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B476" w14:textId="58BFF74D" w:rsidR="00295887" w:rsidRDefault="00860F73" w:rsidP="00295887">
      <w:pPr>
        <w:pStyle w:val="PublicationDate"/>
        <w:jc w:val="both"/>
      </w:pPr>
      <w:r>
        <w:rPr>
          <w:rFonts w:cs="Arial"/>
          <w:noProof/>
        </w:rPr>
        <w:drawing>
          <wp:anchor distT="0" distB="0" distL="114300" distR="114300" simplePos="0" relativeHeight="251659264" behindDoc="1" locked="0" layoutInCell="1" allowOverlap="1" wp14:anchorId="09C0A79D" wp14:editId="3BDDA565">
            <wp:simplePos x="0" y="0"/>
            <wp:positionH relativeFrom="page">
              <wp:align>right</wp:align>
            </wp:positionH>
            <wp:positionV relativeFrom="paragraph">
              <wp:posOffset>-1733086</wp:posOffset>
            </wp:positionV>
            <wp:extent cx="7621241" cy="10772209"/>
            <wp:effectExtent l="0" t="0" r="0" b="0"/>
            <wp:wrapNone/>
            <wp:docPr id="21296784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8494"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1241" cy="10772209"/>
                    </a:xfrm>
                    <a:prstGeom prst="rect">
                      <a:avLst/>
                    </a:prstGeom>
                  </pic:spPr>
                </pic:pic>
              </a:graphicData>
            </a:graphic>
            <wp14:sizeRelH relativeFrom="page">
              <wp14:pctWidth>0</wp14:pctWidth>
            </wp14:sizeRelH>
            <wp14:sizeRelV relativeFrom="page">
              <wp14:pctHeight>0</wp14:pctHeight>
            </wp14:sizeRelV>
          </wp:anchor>
        </w:drawing>
      </w:r>
      <w:r w:rsidR="000B6A64">
        <w:t>May</w:t>
      </w:r>
      <w:r>
        <w:t xml:space="preserve"> 2024</w:t>
      </w:r>
    </w:p>
    <w:p w14:paraId="4327091B" w14:textId="5F0B981A" w:rsidR="00295887" w:rsidRPr="008A4E8B" w:rsidRDefault="00860F73" w:rsidP="00295887">
      <w:pPr>
        <w:pStyle w:val="Title"/>
      </w:pPr>
      <w:r>
        <w:t>CARAlert annual r</w:t>
      </w:r>
      <w:r w:rsidR="00295887">
        <w:t>eport</w:t>
      </w:r>
    </w:p>
    <w:p w14:paraId="4B951C90" w14:textId="33A1BE3A" w:rsidR="00295887" w:rsidRDefault="00860F73" w:rsidP="00295887">
      <w:pPr>
        <w:pStyle w:val="Subtitle"/>
        <w:rPr>
          <w:lang w:val="en-GB"/>
        </w:rPr>
      </w:pPr>
      <w:r>
        <w:rPr>
          <w:lang w:val="en-GB"/>
        </w:rPr>
        <w:t>202</w:t>
      </w:r>
      <w:r w:rsidR="002C5486">
        <w:rPr>
          <w:lang w:val="en-GB"/>
        </w:rPr>
        <w:t>3</w:t>
      </w:r>
    </w:p>
    <w:p w14:paraId="32758C4A" w14:textId="624E552F" w:rsidR="00295887" w:rsidRDefault="00295887" w:rsidP="00295887">
      <w:pPr>
        <w:spacing w:before="1200"/>
        <w:sectPr w:rsidR="00295887" w:rsidSect="00F84583">
          <w:headerReference w:type="even" r:id="rId12"/>
          <w:headerReference w:type="default" r:id="rId13"/>
          <w:footerReference w:type="even" r:id="rId14"/>
          <w:pgSz w:w="11906" w:h="16838"/>
          <w:pgMar w:top="2475" w:right="1134" w:bottom="851" w:left="1134" w:header="709" w:footer="567" w:gutter="0"/>
          <w:cols w:space="708"/>
          <w:docGrid w:linePitch="360"/>
        </w:sectPr>
      </w:pPr>
    </w:p>
    <w:p w14:paraId="5C2FDAB9" w14:textId="77777777" w:rsidR="00295887" w:rsidRPr="000F6B39" w:rsidRDefault="00295887" w:rsidP="00295887">
      <w:pPr>
        <w:pStyle w:val="ImprintText"/>
      </w:pPr>
      <w:r w:rsidRPr="000F6B39">
        <w:lastRenderedPageBreak/>
        <w:t>Published by the Australian Commission on Safety and Quality in Health Care</w:t>
      </w:r>
    </w:p>
    <w:p w14:paraId="32E6C0DA" w14:textId="77777777" w:rsidR="00295887" w:rsidRDefault="00295887" w:rsidP="00295887">
      <w:pPr>
        <w:pStyle w:val="ImprintText"/>
      </w:pPr>
      <w:r>
        <w:t>Level 5, 255 Elizabeth Street, Sydney NSW 2000</w:t>
      </w:r>
      <w:r>
        <w:br/>
        <w:t>Phone: (02) 9126 3600</w:t>
      </w:r>
      <w:r w:rsidRPr="0054718D">
        <w:t> </w:t>
      </w:r>
      <w:r>
        <w:br/>
        <w:t xml:space="preserve">Email: </w:t>
      </w:r>
      <w:hyperlink r:id="rId15" w:history="1">
        <w:r w:rsidRPr="00985F55">
          <w:rPr>
            <w:rStyle w:val="Hyperlink"/>
          </w:rPr>
          <w:t>mail@safetyandquality.gov.au</w:t>
        </w:r>
      </w:hyperlink>
      <w:r>
        <w:t xml:space="preserve"> </w:t>
      </w:r>
      <w:r>
        <w:br/>
        <w:t xml:space="preserve">Website: </w:t>
      </w:r>
      <w:hyperlink r:id="rId16" w:history="1">
        <w:r w:rsidRPr="00985F55">
          <w:rPr>
            <w:rStyle w:val="Hyperlink"/>
          </w:rPr>
          <w:t>www.safetyandquality.gov.au</w:t>
        </w:r>
      </w:hyperlink>
      <w:r>
        <w:t xml:space="preserve"> </w:t>
      </w:r>
    </w:p>
    <w:p w14:paraId="59813646" w14:textId="19C60C0B" w:rsidR="00295887" w:rsidRPr="00F9754A" w:rsidRDefault="00295887" w:rsidP="00295887">
      <w:pPr>
        <w:pStyle w:val="ImprintText"/>
        <w:rPr>
          <w:color w:val="auto"/>
        </w:rPr>
      </w:pPr>
      <w:r w:rsidRPr="00F9754A">
        <w:rPr>
          <w:color w:val="auto"/>
        </w:rPr>
        <w:t xml:space="preserve">ISBN: </w:t>
      </w:r>
      <w:r w:rsidR="00F9754A" w:rsidRPr="00F9754A">
        <w:rPr>
          <w:noProof/>
          <w:color w:val="auto"/>
        </w:rPr>
        <w:t>978-1-922880-77-2</w:t>
      </w:r>
    </w:p>
    <w:p w14:paraId="4D0BF56B" w14:textId="19D48719" w:rsidR="00295887" w:rsidRDefault="00295887" w:rsidP="00295887">
      <w:pPr>
        <w:pStyle w:val="ImprintText"/>
      </w:pPr>
      <w:r w:rsidRPr="00F9754A">
        <w:rPr>
          <w:color w:val="auto"/>
        </w:rPr>
        <w:t xml:space="preserve">© Australian Commission on Safety and Quality </w:t>
      </w:r>
      <w:r>
        <w:t xml:space="preserve">in </w:t>
      </w:r>
      <w:r w:rsidRPr="0072122F">
        <w:rPr>
          <w:color w:val="auto"/>
        </w:rPr>
        <w:t xml:space="preserve">Health Care </w:t>
      </w:r>
      <w:r w:rsidRPr="0072122F">
        <w:rPr>
          <w:rStyle w:val="DraftingNotesChar"/>
          <w:color w:val="auto"/>
        </w:rPr>
        <w:t>202</w:t>
      </w:r>
      <w:r w:rsidR="00454603" w:rsidRPr="0072122F">
        <w:rPr>
          <w:rStyle w:val="DraftingNotesChar"/>
          <w:color w:val="auto"/>
        </w:rPr>
        <w:t>4</w:t>
      </w:r>
    </w:p>
    <w:p w14:paraId="5ED2E97A" w14:textId="77777777" w:rsidR="00295887" w:rsidRDefault="00295887" w:rsidP="00295887">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5C53E4D4" w14:textId="77777777" w:rsidR="00295887" w:rsidRDefault="00295887" w:rsidP="00295887">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97E8E5B" w14:textId="77777777" w:rsidR="00295887" w:rsidRDefault="00295887" w:rsidP="00295887">
      <w:pPr>
        <w:pStyle w:val="ImprintText"/>
      </w:pPr>
      <w:r>
        <w:t xml:space="preserve">With the exception of any material protected by a trademark, any content provided by third parties, and where otherwise noted, all material presented in this publication is licensed under a </w:t>
      </w:r>
      <w:hyperlink r:id="rId17" w:history="1">
        <w:r w:rsidRPr="007705C5">
          <w:rPr>
            <w:rStyle w:val="Hyperlink"/>
          </w:rPr>
          <w:t>Creative Commons Attribution-</w:t>
        </w:r>
        <w:proofErr w:type="spellStart"/>
        <w:r w:rsidRPr="007705C5">
          <w:rPr>
            <w:rStyle w:val="Hyperlink"/>
          </w:rPr>
          <w:t>NonCommercial</w:t>
        </w:r>
        <w:proofErr w:type="spellEnd"/>
        <w:r w:rsidRPr="007705C5">
          <w:rPr>
            <w:rStyle w:val="Hyperlink"/>
          </w:rPr>
          <w:t>-</w:t>
        </w:r>
        <w:proofErr w:type="spellStart"/>
        <w:r w:rsidRPr="007705C5">
          <w:rPr>
            <w:rStyle w:val="Hyperlink"/>
          </w:rPr>
          <w:t>NoDerivatives</w:t>
        </w:r>
        <w:proofErr w:type="spellEnd"/>
        <w:r w:rsidRPr="007705C5">
          <w:rPr>
            <w:rStyle w:val="Hyperlink"/>
          </w:rPr>
          <w:t xml:space="preserve"> 4.0 International licence</w:t>
        </w:r>
      </w:hyperlink>
      <w:r>
        <w:t>.</w:t>
      </w:r>
    </w:p>
    <w:p w14:paraId="2727FDC5" w14:textId="77777777" w:rsidR="00295887" w:rsidRDefault="00295887" w:rsidP="00295887">
      <w:pPr>
        <w:pStyle w:val="ImprintText"/>
      </w:pPr>
      <w:r w:rsidRPr="00B56D4D">
        <w:rPr>
          <w:noProof/>
        </w:rPr>
        <w:drawing>
          <wp:inline distT="0" distB="0" distL="0" distR="0" wp14:anchorId="6EE9843D" wp14:editId="0F830F00">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443F37B2" w14:textId="77777777" w:rsidR="00295887" w:rsidRDefault="00295887" w:rsidP="00295887">
      <w:pPr>
        <w:pStyle w:val="ImprintText"/>
      </w:pPr>
      <w:r>
        <w:t xml:space="preserve">Enquiries about the licence and any use of this publication are welcome and can be sent to </w:t>
      </w:r>
      <w:hyperlink r:id="rId19" w:tooltip="Send an email to the Commission" w:history="1">
        <w:r w:rsidRPr="00963018">
          <w:rPr>
            <w:rStyle w:val="Hyperlink"/>
          </w:rPr>
          <w:t>communications@safetyandquality.gov.au</w:t>
        </w:r>
      </w:hyperlink>
      <w:r>
        <w:t>.</w:t>
      </w:r>
    </w:p>
    <w:p w14:paraId="48488C4B" w14:textId="77777777" w:rsidR="00295887" w:rsidRDefault="00295887" w:rsidP="00295887">
      <w:pPr>
        <w:pStyle w:val="ImprintText"/>
      </w:pPr>
      <w:r>
        <w:t>The Commission’s preference is that you attribute this publication (and any material sourced from it) using the following citation:</w:t>
      </w:r>
      <w:r w:rsidRPr="0054718D">
        <w:t> </w:t>
      </w:r>
    </w:p>
    <w:p w14:paraId="223AF0EA" w14:textId="395BD762" w:rsidR="00295887" w:rsidRPr="0072122F" w:rsidRDefault="00295887" w:rsidP="00295887">
      <w:pPr>
        <w:pStyle w:val="ImprintText"/>
        <w:rPr>
          <w:color w:val="auto"/>
        </w:rPr>
      </w:pPr>
      <w:r w:rsidRPr="0072122F">
        <w:rPr>
          <w:rStyle w:val="DraftingNotesChar"/>
          <w:color w:val="auto"/>
        </w:rPr>
        <w:t xml:space="preserve">Australian Commission on Safety and Quality in Health Care. </w:t>
      </w:r>
      <w:r w:rsidR="0072122F" w:rsidRPr="0072122F">
        <w:rPr>
          <w:color w:val="auto"/>
        </w:rPr>
        <w:t>CARAlert annual report: 2023</w:t>
      </w:r>
      <w:r w:rsidRPr="0072122F">
        <w:rPr>
          <w:rStyle w:val="DraftingNotesChar"/>
          <w:color w:val="auto"/>
        </w:rPr>
        <w:t>. Sydney; ACSQHC, 202</w:t>
      </w:r>
      <w:r w:rsidR="00454603" w:rsidRPr="0072122F">
        <w:rPr>
          <w:rStyle w:val="DraftingNotesChar"/>
          <w:color w:val="auto"/>
        </w:rPr>
        <w:t>4</w:t>
      </w:r>
      <w:r w:rsidRPr="0072122F">
        <w:rPr>
          <w:color w:val="auto"/>
        </w:rPr>
        <w:t>.</w:t>
      </w:r>
    </w:p>
    <w:p w14:paraId="4A39086A" w14:textId="77777777" w:rsidR="00295887" w:rsidRPr="002E617C" w:rsidRDefault="00295887" w:rsidP="00295887">
      <w:pPr>
        <w:pStyle w:val="ImprintText"/>
        <w:rPr>
          <w:rStyle w:val="Strong"/>
        </w:rPr>
      </w:pPr>
      <w:r w:rsidRPr="002E617C">
        <w:rPr>
          <w:rStyle w:val="Strong"/>
        </w:rPr>
        <w:t>Disclaimer</w:t>
      </w:r>
    </w:p>
    <w:p w14:paraId="0904A852" w14:textId="6EE6A9E1" w:rsidR="00295887" w:rsidRDefault="00295887" w:rsidP="00295887">
      <w:pPr>
        <w:pStyle w:val="ImprintText"/>
      </w:pPr>
      <w: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14:paraId="0C5664A6" w14:textId="36285ED5" w:rsidR="000E53AD" w:rsidRDefault="000E53AD" w:rsidP="00295887">
      <w:pPr>
        <w:pStyle w:val="ImprintText"/>
      </w:pPr>
      <w:r w:rsidRPr="000E53AD">
        <w:t>The Commission does not accept any legal liability for any injury, loss or damage incurred by the use of, or reliance on, this document.</w:t>
      </w:r>
    </w:p>
    <w:p w14:paraId="0E9EA753" w14:textId="77777777" w:rsidR="00A845A9" w:rsidRPr="00A845A9" w:rsidRDefault="00A845A9" w:rsidP="00A845A9">
      <w:pPr>
        <w:pStyle w:val="ImprintText"/>
        <w:rPr>
          <w:b/>
          <w:bCs/>
        </w:rPr>
      </w:pPr>
      <w:r w:rsidRPr="00A845A9">
        <w:rPr>
          <w:b/>
          <w:bCs/>
        </w:rPr>
        <w:t xml:space="preserve">Note regarding alternative </w:t>
      </w:r>
      <w:proofErr w:type="gramStart"/>
      <w:r w:rsidRPr="00A845A9">
        <w:rPr>
          <w:b/>
          <w:bCs/>
        </w:rPr>
        <w:t>descriptions</w:t>
      </w:r>
      <w:proofErr w:type="gramEnd"/>
      <w:r w:rsidRPr="00A845A9">
        <w:rPr>
          <w:b/>
          <w:bCs/>
        </w:rPr>
        <w:t xml:space="preserve"> </w:t>
      </w:r>
    </w:p>
    <w:p w14:paraId="4616FA4A" w14:textId="3AA6A474" w:rsidR="00EB6106" w:rsidRPr="00EB6106" w:rsidRDefault="00315E35" w:rsidP="00CA2056">
      <w:pPr>
        <w:pStyle w:val="ImprintText"/>
      </w:pPr>
      <w:r>
        <w:rPr>
          <w:lang w:val="en-US"/>
        </w:rPr>
        <w:t>N</w:t>
      </w:r>
      <w:r w:rsidR="00A845A9" w:rsidRPr="00A845A9">
        <w:rPr>
          <w:lang w:val="en-US"/>
        </w:rPr>
        <w:t xml:space="preserve">o alternative descriptions have been provided. If you need assistance with the structure of any graphs or charts, please email the Australian Commission on Safety and Quality in Health Care at </w:t>
      </w:r>
      <w:hyperlink r:id="rId20" w:history="1">
        <w:r w:rsidR="006F1FAC" w:rsidRPr="00B8416F">
          <w:rPr>
            <w:rStyle w:val="Hyperlink"/>
            <w:lang w:val="en-US"/>
          </w:rPr>
          <w:t>CARAlert@safetyandquality.gov.au</w:t>
        </w:r>
      </w:hyperlink>
      <w:r w:rsidR="00A845A9" w:rsidRPr="00A845A9">
        <w:rPr>
          <w:lang w:val="en-US"/>
        </w:rPr>
        <w:t>.</w:t>
      </w:r>
      <w:r w:rsidR="00EB6106">
        <w:rPr>
          <w:rStyle w:val="DraftingNotesChar"/>
          <w:color w:val="auto"/>
        </w:rPr>
        <w:br w:type="page"/>
      </w:r>
    </w:p>
    <w:sdt>
      <w:sdtPr>
        <w:rPr>
          <w:rFonts w:asciiTheme="minorHAnsi" w:eastAsia="Times New Roman" w:hAnsiTheme="minorHAnsi" w:cs="Times New Roman"/>
          <w:b w:val="0"/>
          <w:bCs w:val="0"/>
          <w:color w:val="auto"/>
          <w:sz w:val="22"/>
          <w:szCs w:val="22"/>
          <w:lang w:val="en-AU" w:eastAsia="en-AU"/>
        </w:rPr>
        <w:id w:val="443341675"/>
        <w:docPartObj>
          <w:docPartGallery w:val="Table of Contents"/>
          <w:docPartUnique/>
        </w:docPartObj>
      </w:sdtPr>
      <w:sdtEndPr>
        <w:rPr>
          <w:noProof/>
        </w:rPr>
      </w:sdtEndPr>
      <w:sdtContent>
        <w:p w14:paraId="7A8CBED3" w14:textId="53D94EE3" w:rsidR="00EB6106" w:rsidRPr="00A00511" w:rsidRDefault="00EB6106" w:rsidP="00EB6106">
          <w:pPr>
            <w:pStyle w:val="TOCHeading"/>
            <w:rPr>
              <w:color w:val="1178A2"/>
            </w:rPr>
          </w:pPr>
          <w:r w:rsidRPr="00A00511">
            <w:rPr>
              <w:color w:val="1178A2"/>
            </w:rPr>
            <w:t>Contents</w:t>
          </w:r>
        </w:p>
        <w:p w14:paraId="00ED5EDE" w14:textId="3B75A180" w:rsidR="00CA2056" w:rsidRDefault="00EB6106">
          <w:pPr>
            <w:pStyle w:val="TOC2"/>
            <w:rPr>
              <w:rFonts w:eastAsiaTheme="minorEastAsia" w:cstheme="minorBidi"/>
              <w:kern w:val="2"/>
              <w:szCs w:val="22"/>
              <w14:ligatures w14:val="standardContextual"/>
            </w:rPr>
          </w:pPr>
          <w:r>
            <w:fldChar w:fldCharType="begin"/>
          </w:r>
          <w:r>
            <w:instrText xml:space="preserve"> TOC \o "1-3" \h \z \u </w:instrText>
          </w:r>
          <w:r>
            <w:fldChar w:fldCharType="separate"/>
          </w:r>
          <w:hyperlink w:anchor="_Toc166585565" w:history="1">
            <w:r w:rsidR="00CA2056" w:rsidRPr="00280563">
              <w:rPr>
                <w:rStyle w:val="Hyperlink"/>
              </w:rPr>
              <w:t>Executive Summary</w:t>
            </w:r>
            <w:r w:rsidR="00CA2056">
              <w:rPr>
                <w:webHidden/>
              </w:rPr>
              <w:tab/>
            </w:r>
            <w:r w:rsidR="00CA2056">
              <w:rPr>
                <w:webHidden/>
              </w:rPr>
              <w:fldChar w:fldCharType="begin"/>
            </w:r>
            <w:r w:rsidR="00CA2056">
              <w:rPr>
                <w:webHidden/>
              </w:rPr>
              <w:instrText xml:space="preserve"> PAGEREF _Toc166585565 \h </w:instrText>
            </w:r>
            <w:r w:rsidR="00CA2056">
              <w:rPr>
                <w:webHidden/>
              </w:rPr>
            </w:r>
            <w:r w:rsidR="00CA2056">
              <w:rPr>
                <w:webHidden/>
              </w:rPr>
              <w:fldChar w:fldCharType="separate"/>
            </w:r>
            <w:r w:rsidR="00CA2056">
              <w:rPr>
                <w:webHidden/>
              </w:rPr>
              <w:t>4</w:t>
            </w:r>
            <w:r w:rsidR="00CA2056">
              <w:rPr>
                <w:webHidden/>
              </w:rPr>
              <w:fldChar w:fldCharType="end"/>
            </w:r>
          </w:hyperlink>
        </w:p>
        <w:p w14:paraId="2D5D1296" w14:textId="6EC32323" w:rsidR="00CA2056" w:rsidRDefault="00000000">
          <w:pPr>
            <w:pStyle w:val="TOC3"/>
            <w:rPr>
              <w:rFonts w:eastAsiaTheme="minorEastAsia" w:cstheme="minorBidi"/>
              <w:iCs w:val="0"/>
              <w:kern w:val="2"/>
              <w:szCs w:val="22"/>
              <w14:ligatures w14:val="standardContextual"/>
            </w:rPr>
          </w:pPr>
          <w:hyperlink w:anchor="_Toc166585566" w:history="1">
            <w:r w:rsidR="00CA2056" w:rsidRPr="00280563">
              <w:rPr>
                <w:rStyle w:val="Hyperlink"/>
              </w:rPr>
              <w:t>What will be done to improve patient safety?</w:t>
            </w:r>
            <w:r w:rsidR="00CA2056">
              <w:rPr>
                <w:webHidden/>
              </w:rPr>
              <w:tab/>
            </w:r>
            <w:r w:rsidR="00CA2056">
              <w:rPr>
                <w:webHidden/>
              </w:rPr>
              <w:fldChar w:fldCharType="begin"/>
            </w:r>
            <w:r w:rsidR="00CA2056">
              <w:rPr>
                <w:webHidden/>
              </w:rPr>
              <w:instrText xml:space="preserve"> PAGEREF _Toc166585566 \h </w:instrText>
            </w:r>
            <w:r w:rsidR="00CA2056">
              <w:rPr>
                <w:webHidden/>
              </w:rPr>
            </w:r>
            <w:r w:rsidR="00CA2056">
              <w:rPr>
                <w:webHidden/>
              </w:rPr>
              <w:fldChar w:fldCharType="separate"/>
            </w:r>
            <w:r w:rsidR="00CA2056">
              <w:rPr>
                <w:webHidden/>
              </w:rPr>
              <w:t>4</w:t>
            </w:r>
            <w:r w:rsidR="00CA2056">
              <w:rPr>
                <w:webHidden/>
              </w:rPr>
              <w:fldChar w:fldCharType="end"/>
            </w:r>
          </w:hyperlink>
        </w:p>
        <w:p w14:paraId="669EE2B6" w14:textId="4B246DED" w:rsidR="00CA2056" w:rsidRDefault="00000000">
          <w:pPr>
            <w:pStyle w:val="TOC3"/>
            <w:rPr>
              <w:rFonts w:eastAsiaTheme="minorEastAsia" w:cstheme="minorBidi"/>
              <w:iCs w:val="0"/>
              <w:kern w:val="2"/>
              <w:szCs w:val="22"/>
              <w14:ligatures w14:val="standardContextual"/>
            </w:rPr>
          </w:pPr>
          <w:hyperlink w:anchor="_Toc166585567" w:history="1">
            <w:r w:rsidR="00CA2056" w:rsidRPr="00280563">
              <w:rPr>
                <w:rStyle w:val="Hyperlink"/>
              </w:rPr>
              <w:t>National overview of key findings: 2023 compared to 2022</w:t>
            </w:r>
            <w:r w:rsidR="00CA2056">
              <w:rPr>
                <w:webHidden/>
              </w:rPr>
              <w:tab/>
            </w:r>
            <w:r w:rsidR="00CA2056">
              <w:rPr>
                <w:webHidden/>
              </w:rPr>
              <w:fldChar w:fldCharType="begin"/>
            </w:r>
            <w:r w:rsidR="00CA2056">
              <w:rPr>
                <w:webHidden/>
              </w:rPr>
              <w:instrText xml:space="preserve"> PAGEREF _Toc166585567 \h </w:instrText>
            </w:r>
            <w:r w:rsidR="00CA2056">
              <w:rPr>
                <w:webHidden/>
              </w:rPr>
            </w:r>
            <w:r w:rsidR="00CA2056">
              <w:rPr>
                <w:webHidden/>
              </w:rPr>
              <w:fldChar w:fldCharType="separate"/>
            </w:r>
            <w:r w:rsidR="00CA2056">
              <w:rPr>
                <w:webHidden/>
              </w:rPr>
              <w:t>5</w:t>
            </w:r>
            <w:r w:rsidR="00CA2056">
              <w:rPr>
                <w:webHidden/>
              </w:rPr>
              <w:fldChar w:fldCharType="end"/>
            </w:r>
          </w:hyperlink>
        </w:p>
        <w:p w14:paraId="786C45FB" w14:textId="7853C245" w:rsidR="00CA2056" w:rsidRDefault="00000000">
          <w:pPr>
            <w:pStyle w:val="TOC2"/>
            <w:rPr>
              <w:rFonts w:eastAsiaTheme="minorEastAsia" w:cstheme="minorBidi"/>
              <w:kern w:val="2"/>
              <w:szCs w:val="22"/>
              <w14:ligatures w14:val="standardContextual"/>
            </w:rPr>
          </w:pPr>
          <w:hyperlink w:anchor="_Toc166585568" w:history="1">
            <w:r w:rsidR="00CA2056" w:rsidRPr="00280563">
              <w:rPr>
                <w:rStyle w:val="Hyperlink"/>
              </w:rPr>
              <w:t>Results from CARAlert, 2023</w:t>
            </w:r>
            <w:r w:rsidR="00CA2056">
              <w:rPr>
                <w:webHidden/>
              </w:rPr>
              <w:tab/>
            </w:r>
            <w:r w:rsidR="00CA2056">
              <w:rPr>
                <w:webHidden/>
              </w:rPr>
              <w:fldChar w:fldCharType="begin"/>
            </w:r>
            <w:r w:rsidR="00CA2056">
              <w:rPr>
                <w:webHidden/>
              </w:rPr>
              <w:instrText xml:space="preserve"> PAGEREF _Toc166585568 \h </w:instrText>
            </w:r>
            <w:r w:rsidR="00CA2056">
              <w:rPr>
                <w:webHidden/>
              </w:rPr>
            </w:r>
            <w:r w:rsidR="00CA2056">
              <w:rPr>
                <w:webHidden/>
              </w:rPr>
              <w:fldChar w:fldCharType="separate"/>
            </w:r>
            <w:r w:rsidR="00CA2056">
              <w:rPr>
                <w:webHidden/>
              </w:rPr>
              <w:t>6</w:t>
            </w:r>
            <w:r w:rsidR="00CA2056">
              <w:rPr>
                <w:webHidden/>
              </w:rPr>
              <w:fldChar w:fldCharType="end"/>
            </w:r>
          </w:hyperlink>
        </w:p>
        <w:p w14:paraId="6CC598E1" w14:textId="0380AE96" w:rsidR="00CA2056" w:rsidRDefault="00000000">
          <w:pPr>
            <w:pStyle w:val="TOC3"/>
            <w:rPr>
              <w:rFonts w:eastAsiaTheme="minorEastAsia" w:cstheme="minorBidi"/>
              <w:iCs w:val="0"/>
              <w:kern w:val="2"/>
              <w:szCs w:val="22"/>
              <w14:ligatures w14:val="standardContextual"/>
            </w:rPr>
          </w:pPr>
          <w:hyperlink w:anchor="_Toc166585569" w:history="1">
            <w:r w:rsidR="00CA2056" w:rsidRPr="00280563">
              <w:rPr>
                <w:rStyle w:val="Hyperlink"/>
              </w:rPr>
              <w:t>Critical antimicrobial resistances by state and territory</w:t>
            </w:r>
            <w:r w:rsidR="00CA2056">
              <w:rPr>
                <w:webHidden/>
              </w:rPr>
              <w:tab/>
            </w:r>
            <w:r w:rsidR="00CA2056">
              <w:rPr>
                <w:webHidden/>
              </w:rPr>
              <w:fldChar w:fldCharType="begin"/>
            </w:r>
            <w:r w:rsidR="00CA2056">
              <w:rPr>
                <w:webHidden/>
              </w:rPr>
              <w:instrText xml:space="preserve"> PAGEREF _Toc166585569 \h </w:instrText>
            </w:r>
            <w:r w:rsidR="00CA2056">
              <w:rPr>
                <w:webHidden/>
              </w:rPr>
            </w:r>
            <w:r w:rsidR="00CA2056">
              <w:rPr>
                <w:webHidden/>
              </w:rPr>
              <w:fldChar w:fldCharType="separate"/>
            </w:r>
            <w:r w:rsidR="00CA2056">
              <w:rPr>
                <w:webHidden/>
              </w:rPr>
              <w:t>6</w:t>
            </w:r>
            <w:r w:rsidR="00CA2056">
              <w:rPr>
                <w:webHidden/>
              </w:rPr>
              <w:fldChar w:fldCharType="end"/>
            </w:r>
          </w:hyperlink>
        </w:p>
        <w:p w14:paraId="7386E2C0" w14:textId="3D43927D" w:rsidR="00CA2056" w:rsidRDefault="00000000">
          <w:pPr>
            <w:pStyle w:val="TOC3"/>
            <w:rPr>
              <w:rFonts w:eastAsiaTheme="minorEastAsia" w:cstheme="minorBidi"/>
              <w:iCs w:val="0"/>
              <w:kern w:val="2"/>
              <w:szCs w:val="22"/>
              <w14:ligatures w14:val="standardContextual"/>
            </w:rPr>
          </w:pPr>
          <w:hyperlink w:anchor="_Toc166585570" w:history="1">
            <w:r w:rsidR="00CA2056" w:rsidRPr="00280563">
              <w:rPr>
                <w:rStyle w:val="Hyperlink"/>
              </w:rPr>
              <w:t>Critical antimicrobial resistances by age group</w:t>
            </w:r>
            <w:r w:rsidR="00CA2056">
              <w:rPr>
                <w:webHidden/>
              </w:rPr>
              <w:tab/>
            </w:r>
            <w:r w:rsidR="00CA2056">
              <w:rPr>
                <w:webHidden/>
              </w:rPr>
              <w:fldChar w:fldCharType="begin"/>
            </w:r>
            <w:r w:rsidR="00CA2056">
              <w:rPr>
                <w:webHidden/>
              </w:rPr>
              <w:instrText xml:space="preserve"> PAGEREF _Toc166585570 \h </w:instrText>
            </w:r>
            <w:r w:rsidR="00CA2056">
              <w:rPr>
                <w:webHidden/>
              </w:rPr>
            </w:r>
            <w:r w:rsidR="00CA2056">
              <w:rPr>
                <w:webHidden/>
              </w:rPr>
              <w:fldChar w:fldCharType="separate"/>
            </w:r>
            <w:r w:rsidR="00CA2056">
              <w:rPr>
                <w:webHidden/>
              </w:rPr>
              <w:t>9</w:t>
            </w:r>
            <w:r w:rsidR="00CA2056">
              <w:rPr>
                <w:webHidden/>
              </w:rPr>
              <w:fldChar w:fldCharType="end"/>
            </w:r>
          </w:hyperlink>
        </w:p>
        <w:p w14:paraId="18B5D910" w14:textId="21439F7B" w:rsidR="00CA2056" w:rsidRDefault="00000000">
          <w:pPr>
            <w:pStyle w:val="TOC3"/>
            <w:rPr>
              <w:rFonts w:eastAsiaTheme="minorEastAsia" w:cstheme="minorBidi"/>
              <w:iCs w:val="0"/>
              <w:kern w:val="2"/>
              <w:szCs w:val="22"/>
              <w14:ligatures w14:val="standardContextual"/>
            </w:rPr>
          </w:pPr>
          <w:hyperlink w:anchor="_Toc166585571" w:history="1">
            <w:r w:rsidR="00CA2056" w:rsidRPr="00280563">
              <w:rPr>
                <w:rStyle w:val="Hyperlink"/>
              </w:rPr>
              <w:t>Critical antimicrobial resistances by facility type</w:t>
            </w:r>
            <w:r w:rsidR="00CA2056">
              <w:rPr>
                <w:webHidden/>
              </w:rPr>
              <w:tab/>
            </w:r>
            <w:r w:rsidR="00CA2056">
              <w:rPr>
                <w:webHidden/>
              </w:rPr>
              <w:fldChar w:fldCharType="begin"/>
            </w:r>
            <w:r w:rsidR="00CA2056">
              <w:rPr>
                <w:webHidden/>
              </w:rPr>
              <w:instrText xml:space="preserve"> PAGEREF _Toc166585571 \h </w:instrText>
            </w:r>
            <w:r w:rsidR="00CA2056">
              <w:rPr>
                <w:webHidden/>
              </w:rPr>
            </w:r>
            <w:r w:rsidR="00CA2056">
              <w:rPr>
                <w:webHidden/>
              </w:rPr>
              <w:fldChar w:fldCharType="separate"/>
            </w:r>
            <w:r w:rsidR="00CA2056">
              <w:rPr>
                <w:webHidden/>
              </w:rPr>
              <w:t>10</w:t>
            </w:r>
            <w:r w:rsidR="00CA2056">
              <w:rPr>
                <w:webHidden/>
              </w:rPr>
              <w:fldChar w:fldCharType="end"/>
            </w:r>
          </w:hyperlink>
        </w:p>
        <w:p w14:paraId="1354F14A" w14:textId="0A3920D1" w:rsidR="00CA2056" w:rsidRDefault="00000000">
          <w:pPr>
            <w:pStyle w:val="TOC3"/>
            <w:rPr>
              <w:rFonts w:eastAsiaTheme="minorEastAsia" w:cstheme="minorBidi"/>
              <w:iCs w:val="0"/>
              <w:kern w:val="2"/>
              <w:szCs w:val="22"/>
              <w14:ligatures w14:val="standardContextual"/>
            </w:rPr>
          </w:pPr>
          <w:hyperlink w:anchor="_Toc166585572" w:history="1">
            <w:r w:rsidR="00CA2056" w:rsidRPr="00280563">
              <w:rPr>
                <w:rStyle w:val="Hyperlink"/>
              </w:rPr>
              <w:t>Critical antimicrobial resistances by specimen type</w:t>
            </w:r>
            <w:r w:rsidR="00CA2056">
              <w:rPr>
                <w:webHidden/>
              </w:rPr>
              <w:tab/>
            </w:r>
            <w:r w:rsidR="00CA2056">
              <w:rPr>
                <w:webHidden/>
              </w:rPr>
              <w:fldChar w:fldCharType="begin"/>
            </w:r>
            <w:r w:rsidR="00CA2056">
              <w:rPr>
                <w:webHidden/>
              </w:rPr>
              <w:instrText xml:space="preserve"> PAGEREF _Toc166585572 \h </w:instrText>
            </w:r>
            <w:r w:rsidR="00CA2056">
              <w:rPr>
                <w:webHidden/>
              </w:rPr>
            </w:r>
            <w:r w:rsidR="00CA2056">
              <w:rPr>
                <w:webHidden/>
              </w:rPr>
              <w:fldChar w:fldCharType="separate"/>
            </w:r>
            <w:r w:rsidR="00CA2056">
              <w:rPr>
                <w:webHidden/>
              </w:rPr>
              <w:t>11</w:t>
            </w:r>
            <w:r w:rsidR="00CA2056">
              <w:rPr>
                <w:webHidden/>
              </w:rPr>
              <w:fldChar w:fldCharType="end"/>
            </w:r>
          </w:hyperlink>
        </w:p>
        <w:p w14:paraId="3CB95962" w14:textId="3C890976" w:rsidR="00CA2056" w:rsidRDefault="00000000">
          <w:pPr>
            <w:pStyle w:val="TOC2"/>
            <w:rPr>
              <w:rFonts w:eastAsiaTheme="minorEastAsia" w:cstheme="minorBidi"/>
              <w:kern w:val="2"/>
              <w:szCs w:val="22"/>
              <w14:ligatures w14:val="standardContextual"/>
            </w:rPr>
          </w:pPr>
          <w:hyperlink w:anchor="_Toc166585573" w:history="1">
            <w:r w:rsidR="00CA2056" w:rsidRPr="00280563">
              <w:rPr>
                <w:rStyle w:val="Hyperlink"/>
              </w:rPr>
              <w:t>Summary by CAR, with trend data for 2017–2023</w:t>
            </w:r>
            <w:r w:rsidR="00CA2056">
              <w:rPr>
                <w:webHidden/>
              </w:rPr>
              <w:tab/>
            </w:r>
            <w:r w:rsidR="00CA2056">
              <w:rPr>
                <w:webHidden/>
              </w:rPr>
              <w:fldChar w:fldCharType="begin"/>
            </w:r>
            <w:r w:rsidR="00CA2056">
              <w:rPr>
                <w:webHidden/>
              </w:rPr>
              <w:instrText xml:space="preserve"> PAGEREF _Toc166585573 \h </w:instrText>
            </w:r>
            <w:r w:rsidR="00CA2056">
              <w:rPr>
                <w:webHidden/>
              </w:rPr>
            </w:r>
            <w:r w:rsidR="00CA2056">
              <w:rPr>
                <w:webHidden/>
              </w:rPr>
              <w:fldChar w:fldCharType="separate"/>
            </w:r>
            <w:r w:rsidR="00CA2056">
              <w:rPr>
                <w:webHidden/>
              </w:rPr>
              <w:t>12</w:t>
            </w:r>
            <w:r w:rsidR="00CA2056">
              <w:rPr>
                <w:webHidden/>
              </w:rPr>
              <w:fldChar w:fldCharType="end"/>
            </w:r>
          </w:hyperlink>
        </w:p>
        <w:p w14:paraId="2DA6D29A" w14:textId="0C511E73" w:rsidR="00CA2056" w:rsidRDefault="00000000">
          <w:pPr>
            <w:pStyle w:val="TOC3"/>
            <w:rPr>
              <w:rFonts w:eastAsiaTheme="minorEastAsia" w:cstheme="minorBidi"/>
              <w:iCs w:val="0"/>
              <w:kern w:val="2"/>
              <w:szCs w:val="22"/>
              <w14:ligatures w14:val="standardContextual"/>
            </w:rPr>
          </w:pPr>
          <w:hyperlink w:anchor="_Toc166585574" w:history="1">
            <w:r w:rsidR="00CA2056" w:rsidRPr="00280563">
              <w:rPr>
                <w:rStyle w:val="Hyperlink"/>
                <w:i/>
              </w:rPr>
              <w:t>Acinetobacter baumannii</w:t>
            </w:r>
            <w:r w:rsidR="00CA2056" w:rsidRPr="00280563">
              <w:rPr>
                <w:rStyle w:val="Hyperlink"/>
              </w:rPr>
              <w:t xml:space="preserve"> complex</w:t>
            </w:r>
            <w:r w:rsidR="00CA2056">
              <w:rPr>
                <w:webHidden/>
              </w:rPr>
              <w:tab/>
            </w:r>
            <w:r w:rsidR="00CA2056">
              <w:rPr>
                <w:webHidden/>
              </w:rPr>
              <w:fldChar w:fldCharType="begin"/>
            </w:r>
            <w:r w:rsidR="00CA2056">
              <w:rPr>
                <w:webHidden/>
              </w:rPr>
              <w:instrText xml:space="preserve"> PAGEREF _Toc166585574 \h </w:instrText>
            </w:r>
            <w:r w:rsidR="00CA2056">
              <w:rPr>
                <w:webHidden/>
              </w:rPr>
            </w:r>
            <w:r w:rsidR="00CA2056">
              <w:rPr>
                <w:webHidden/>
              </w:rPr>
              <w:fldChar w:fldCharType="separate"/>
            </w:r>
            <w:r w:rsidR="00CA2056">
              <w:rPr>
                <w:webHidden/>
              </w:rPr>
              <w:t>12</w:t>
            </w:r>
            <w:r w:rsidR="00CA2056">
              <w:rPr>
                <w:webHidden/>
              </w:rPr>
              <w:fldChar w:fldCharType="end"/>
            </w:r>
          </w:hyperlink>
        </w:p>
        <w:p w14:paraId="73EA3B27" w14:textId="28815834" w:rsidR="00CA2056" w:rsidRDefault="00000000">
          <w:pPr>
            <w:pStyle w:val="TOC3"/>
            <w:rPr>
              <w:rFonts w:eastAsiaTheme="minorEastAsia" w:cstheme="minorBidi"/>
              <w:iCs w:val="0"/>
              <w:kern w:val="2"/>
              <w:szCs w:val="22"/>
              <w14:ligatures w14:val="standardContextual"/>
            </w:rPr>
          </w:pPr>
          <w:hyperlink w:anchor="_Toc166585575" w:history="1">
            <w:r w:rsidR="00CA2056" w:rsidRPr="00280563">
              <w:rPr>
                <w:rStyle w:val="Hyperlink"/>
                <w:i/>
              </w:rPr>
              <w:t>Candida auris</w:t>
            </w:r>
            <w:r w:rsidR="00CA2056">
              <w:rPr>
                <w:webHidden/>
              </w:rPr>
              <w:tab/>
            </w:r>
            <w:r w:rsidR="00CA2056">
              <w:rPr>
                <w:webHidden/>
              </w:rPr>
              <w:fldChar w:fldCharType="begin"/>
            </w:r>
            <w:r w:rsidR="00CA2056">
              <w:rPr>
                <w:webHidden/>
              </w:rPr>
              <w:instrText xml:space="preserve"> PAGEREF _Toc166585575 \h </w:instrText>
            </w:r>
            <w:r w:rsidR="00CA2056">
              <w:rPr>
                <w:webHidden/>
              </w:rPr>
            </w:r>
            <w:r w:rsidR="00CA2056">
              <w:rPr>
                <w:webHidden/>
              </w:rPr>
              <w:fldChar w:fldCharType="separate"/>
            </w:r>
            <w:r w:rsidR="00CA2056">
              <w:rPr>
                <w:webHidden/>
              </w:rPr>
              <w:t>13</w:t>
            </w:r>
            <w:r w:rsidR="00CA2056">
              <w:rPr>
                <w:webHidden/>
              </w:rPr>
              <w:fldChar w:fldCharType="end"/>
            </w:r>
          </w:hyperlink>
        </w:p>
        <w:p w14:paraId="7BEC45DE" w14:textId="21BB2D1F" w:rsidR="00CA2056" w:rsidRDefault="00000000">
          <w:pPr>
            <w:pStyle w:val="TOC3"/>
            <w:rPr>
              <w:rFonts w:eastAsiaTheme="minorEastAsia" w:cstheme="minorBidi"/>
              <w:iCs w:val="0"/>
              <w:kern w:val="2"/>
              <w:szCs w:val="22"/>
              <w14:ligatures w14:val="standardContextual"/>
            </w:rPr>
          </w:pPr>
          <w:hyperlink w:anchor="_Toc166585576" w:history="1">
            <w:r w:rsidR="00CA2056" w:rsidRPr="00280563">
              <w:rPr>
                <w:rStyle w:val="Hyperlink"/>
                <w:i/>
              </w:rPr>
              <w:t>Enterobacterales</w:t>
            </w:r>
            <w:r w:rsidR="00CA2056">
              <w:rPr>
                <w:webHidden/>
              </w:rPr>
              <w:tab/>
            </w:r>
            <w:r w:rsidR="00CA2056">
              <w:rPr>
                <w:webHidden/>
              </w:rPr>
              <w:fldChar w:fldCharType="begin"/>
            </w:r>
            <w:r w:rsidR="00CA2056">
              <w:rPr>
                <w:webHidden/>
              </w:rPr>
              <w:instrText xml:space="preserve"> PAGEREF _Toc166585576 \h </w:instrText>
            </w:r>
            <w:r w:rsidR="00CA2056">
              <w:rPr>
                <w:webHidden/>
              </w:rPr>
            </w:r>
            <w:r w:rsidR="00CA2056">
              <w:rPr>
                <w:webHidden/>
              </w:rPr>
              <w:fldChar w:fldCharType="separate"/>
            </w:r>
            <w:r w:rsidR="00CA2056">
              <w:rPr>
                <w:webHidden/>
              </w:rPr>
              <w:t>14</w:t>
            </w:r>
            <w:r w:rsidR="00CA2056">
              <w:rPr>
                <w:webHidden/>
              </w:rPr>
              <w:fldChar w:fldCharType="end"/>
            </w:r>
          </w:hyperlink>
        </w:p>
        <w:p w14:paraId="32415BD9" w14:textId="01F66452" w:rsidR="00CA2056" w:rsidRDefault="00000000">
          <w:pPr>
            <w:pStyle w:val="TOC3"/>
            <w:rPr>
              <w:rFonts w:eastAsiaTheme="minorEastAsia" w:cstheme="minorBidi"/>
              <w:iCs w:val="0"/>
              <w:kern w:val="2"/>
              <w:szCs w:val="22"/>
              <w14:ligatures w14:val="standardContextual"/>
            </w:rPr>
          </w:pPr>
          <w:hyperlink w:anchor="_Toc166585577" w:history="1">
            <w:r w:rsidR="00CA2056" w:rsidRPr="00280563">
              <w:rPr>
                <w:rStyle w:val="Hyperlink"/>
                <w:i/>
              </w:rPr>
              <w:t>Enterococcus</w:t>
            </w:r>
            <w:r w:rsidR="00CA2056" w:rsidRPr="00280563">
              <w:rPr>
                <w:rStyle w:val="Hyperlink"/>
              </w:rPr>
              <w:t xml:space="preserve"> species</w:t>
            </w:r>
            <w:r w:rsidR="00CA2056">
              <w:rPr>
                <w:webHidden/>
              </w:rPr>
              <w:tab/>
            </w:r>
            <w:r w:rsidR="00CA2056">
              <w:rPr>
                <w:webHidden/>
              </w:rPr>
              <w:fldChar w:fldCharType="begin"/>
            </w:r>
            <w:r w:rsidR="00CA2056">
              <w:rPr>
                <w:webHidden/>
              </w:rPr>
              <w:instrText xml:space="preserve"> PAGEREF _Toc166585577 \h </w:instrText>
            </w:r>
            <w:r w:rsidR="00CA2056">
              <w:rPr>
                <w:webHidden/>
              </w:rPr>
            </w:r>
            <w:r w:rsidR="00CA2056">
              <w:rPr>
                <w:webHidden/>
              </w:rPr>
              <w:fldChar w:fldCharType="separate"/>
            </w:r>
            <w:r w:rsidR="00CA2056">
              <w:rPr>
                <w:webHidden/>
              </w:rPr>
              <w:t>23</w:t>
            </w:r>
            <w:r w:rsidR="00CA2056">
              <w:rPr>
                <w:webHidden/>
              </w:rPr>
              <w:fldChar w:fldCharType="end"/>
            </w:r>
          </w:hyperlink>
        </w:p>
        <w:p w14:paraId="106D5399" w14:textId="02092E63" w:rsidR="00CA2056" w:rsidRDefault="00000000">
          <w:pPr>
            <w:pStyle w:val="TOC3"/>
            <w:rPr>
              <w:rFonts w:eastAsiaTheme="minorEastAsia" w:cstheme="minorBidi"/>
              <w:iCs w:val="0"/>
              <w:kern w:val="2"/>
              <w:szCs w:val="22"/>
              <w14:ligatures w14:val="standardContextual"/>
            </w:rPr>
          </w:pPr>
          <w:hyperlink w:anchor="_Toc166585578" w:history="1">
            <w:r w:rsidR="00CA2056" w:rsidRPr="00280563">
              <w:rPr>
                <w:rStyle w:val="Hyperlink"/>
                <w:i/>
              </w:rPr>
              <w:t>Mycobacterium tuberculosis</w:t>
            </w:r>
            <w:r w:rsidR="00CA2056">
              <w:rPr>
                <w:webHidden/>
              </w:rPr>
              <w:tab/>
            </w:r>
            <w:r w:rsidR="00CA2056">
              <w:rPr>
                <w:webHidden/>
              </w:rPr>
              <w:fldChar w:fldCharType="begin"/>
            </w:r>
            <w:r w:rsidR="00CA2056">
              <w:rPr>
                <w:webHidden/>
              </w:rPr>
              <w:instrText xml:space="preserve"> PAGEREF _Toc166585578 \h </w:instrText>
            </w:r>
            <w:r w:rsidR="00CA2056">
              <w:rPr>
                <w:webHidden/>
              </w:rPr>
            </w:r>
            <w:r w:rsidR="00CA2056">
              <w:rPr>
                <w:webHidden/>
              </w:rPr>
              <w:fldChar w:fldCharType="separate"/>
            </w:r>
            <w:r w:rsidR="00CA2056">
              <w:rPr>
                <w:webHidden/>
              </w:rPr>
              <w:t>24</w:t>
            </w:r>
            <w:r w:rsidR="00CA2056">
              <w:rPr>
                <w:webHidden/>
              </w:rPr>
              <w:fldChar w:fldCharType="end"/>
            </w:r>
          </w:hyperlink>
        </w:p>
        <w:p w14:paraId="4D2CDE29" w14:textId="6B439753" w:rsidR="00CA2056" w:rsidRDefault="00000000">
          <w:pPr>
            <w:pStyle w:val="TOC3"/>
            <w:rPr>
              <w:rFonts w:eastAsiaTheme="minorEastAsia" w:cstheme="minorBidi"/>
              <w:iCs w:val="0"/>
              <w:kern w:val="2"/>
              <w:szCs w:val="22"/>
              <w14:ligatures w14:val="standardContextual"/>
            </w:rPr>
          </w:pPr>
          <w:hyperlink w:anchor="_Toc166585579" w:history="1">
            <w:r w:rsidR="00CA2056" w:rsidRPr="00280563">
              <w:rPr>
                <w:rStyle w:val="Hyperlink"/>
                <w:i/>
              </w:rPr>
              <w:t>Neisseria gonorrhoeae</w:t>
            </w:r>
            <w:r w:rsidR="00CA2056">
              <w:rPr>
                <w:webHidden/>
              </w:rPr>
              <w:tab/>
            </w:r>
            <w:r w:rsidR="00CA2056">
              <w:rPr>
                <w:webHidden/>
              </w:rPr>
              <w:fldChar w:fldCharType="begin"/>
            </w:r>
            <w:r w:rsidR="00CA2056">
              <w:rPr>
                <w:webHidden/>
              </w:rPr>
              <w:instrText xml:space="preserve"> PAGEREF _Toc166585579 \h </w:instrText>
            </w:r>
            <w:r w:rsidR="00CA2056">
              <w:rPr>
                <w:webHidden/>
              </w:rPr>
            </w:r>
            <w:r w:rsidR="00CA2056">
              <w:rPr>
                <w:webHidden/>
              </w:rPr>
              <w:fldChar w:fldCharType="separate"/>
            </w:r>
            <w:r w:rsidR="00CA2056">
              <w:rPr>
                <w:webHidden/>
              </w:rPr>
              <w:t>25</w:t>
            </w:r>
            <w:r w:rsidR="00CA2056">
              <w:rPr>
                <w:webHidden/>
              </w:rPr>
              <w:fldChar w:fldCharType="end"/>
            </w:r>
          </w:hyperlink>
        </w:p>
        <w:p w14:paraId="4D53B2F8" w14:textId="08489DED" w:rsidR="00CA2056" w:rsidRDefault="00000000">
          <w:pPr>
            <w:pStyle w:val="TOC3"/>
            <w:rPr>
              <w:rFonts w:eastAsiaTheme="minorEastAsia" w:cstheme="minorBidi"/>
              <w:iCs w:val="0"/>
              <w:kern w:val="2"/>
              <w:szCs w:val="22"/>
              <w14:ligatures w14:val="standardContextual"/>
            </w:rPr>
          </w:pPr>
          <w:hyperlink w:anchor="_Toc166585580" w:history="1">
            <w:r w:rsidR="00CA2056" w:rsidRPr="00280563">
              <w:rPr>
                <w:rStyle w:val="Hyperlink"/>
                <w:i/>
              </w:rPr>
              <w:t>Neisseria meningitidis</w:t>
            </w:r>
            <w:r w:rsidR="00CA2056">
              <w:rPr>
                <w:webHidden/>
              </w:rPr>
              <w:tab/>
            </w:r>
            <w:r w:rsidR="00CA2056">
              <w:rPr>
                <w:webHidden/>
              </w:rPr>
              <w:fldChar w:fldCharType="begin"/>
            </w:r>
            <w:r w:rsidR="00CA2056">
              <w:rPr>
                <w:webHidden/>
              </w:rPr>
              <w:instrText xml:space="preserve"> PAGEREF _Toc166585580 \h </w:instrText>
            </w:r>
            <w:r w:rsidR="00CA2056">
              <w:rPr>
                <w:webHidden/>
              </w:rPr>
            </w:r>
            <w:r w:rsidR="00CA2056">
              <w:rPr>
                <w:webHidden/>
              </w:rPr>
              <w:fldChar w:fldCharType="separate"/>
            </w:r>
            <w:r w:rsidR="00CA2056">
              <w:rPr>
                <w:webHidden/>
              </w:rPr>
              <w:t>27</w:t>
            </w:r>
            <w:r w:rsidR="00CA2056">
              <w:rPr>
                <w:webHidden/>
              </w:rPr>
              <w:fldChar w:fldCharType="end"/>
            </w:r>
          </w:hyperlink>
        </w:p>
        <w:p w14:paraId="1F05B966" w14:textId="32C005B1" w:rsidR="00CA2056" w:rsidRDefault="00000000">
          <w:pPr>
            <w:pStyle w:val="TOC3"/>
            <w:rPr>
              <w:rFonts w:eastAsiaTheme="minorEastAsia" w:cstheme="minorBidi"/>
              <w:iCs w:val="0"/>
              <w:kern w:val="2"/>
              <w:szCs w:val="22"/>
              <w14:ligatures w14:val="standardContextual"/>
            </w:rPr>
          </w:pPr>
          <w:hyperlink w:anchor="_Toc166585581" w:history="1">
            <w:r w:rsidR="00CA2056" w:rsidRPr="00280563">
              <w:rPr>
                <w:rStyle w:val="Hyperlink"/>
                <w:i/>
              </w:rPr>
              <w:t>Pseudomonas aeruginosa</w:t>
            </w:r>
            <w:r w:rsidR="00CA2056">
              <w:rPr>
                <w:webHidden/>
              </w:rPr>
              <w:tab/>
            </w:r>
            <w:r w:rsidR="00CA2056">
              <w:rPr>
                <w:webHidden/>
              </w:rPr>
              <w:fldChar w:fldCharType="begin"/>
            </w:r>
            <w:r w:rsidR="00CA2056">
              <w:rPr>
                <w:webHidden/>
              </w:rPr>
              <w:instrText xml:space="preserve"> PAGEREF _Toc166585581 \h </w:instrText>
            </w:r>
            <w:r w:rsidR="00CA2056">
              <w:rPr>
                <w:webHidden/>
              </w:rPr>
            </w:r>
            <w:r w:rsidR="00CA2056">
              <w:rPr>
                <w:webHidden/>
              </w:rPr>
              <w:fldChar w:fldCharType="separate"/>
            </w:r>
            <w:r w:rsidR="00CA2056">
              <w:rPr>
                <w:webHidden/>
              </w:rPr>
              <w:t>27</w:t>
            </w:r>
            <w:r w:rsidR="00CA2056">
              <w:rPr>
                <w:webHidden/>
              </w:rPr>
              <w:fldChar w:fldCharType="end"/>
            </w:r>
          </w:hyperlink>
        </w:p>
        <w:p w14:paraId="39A647B6" w14:textId="72E202F9" w:rsidR="00CA2056" w:rsidRDefault="00000000">
          <w:pPr>
            <w:pStyle w:val="TOC3"/>
            <w:rPr>
              <w:rFonts w:eastAsiaTheme="minorEastAsia" w:cstheme="minorBidi"/>
              <w:iCs w:val="0"/>
              <w:kern w:val="2"/>
              <w:szCs w:val="22"/>
              <w14:ligatures w14:val="standardContextual"/>
            </w:rPr>
          </w:pPr>
          <w:hyperlink w:anchor="_Toc166585582" w:history="1">
            <w:r w:rsidR="00CA2056" w:rsidRPr="00280563">
              <w:rPr>
                <w:rStyle w:val="Hyperlink"/>
                <w:i/>
              </w:rPr>
              <w:t>Salmonella</w:t>
            </w:r>
            <w:r w:rsidR="00CA2056" w:rsidRPr="00280563">
              <w:rPr>
                <w:rStyle w:val="Hyperlink"/>
              </w:rPr>
              <w:t xml:space="preserve"> species</w:t>
            </w:r>
            <w:r w:rsidR="00CA2056">
              <w:rPr>
                <w:webHidden/>
              </w:rPr>
              <w:tab/>
            </w:r>
            <w:r w:rsidR="00CA2056">
              <w:rPr>
                <w:webHidden/>
              </w:rPr>
              <w:fldChar w:fldCharType="begin"/>
            </w:r>
            <w:r w:rsidR="00CA2056">
              <w:rPr>
                <w:webHidden/>
              </w:rPr>
              <w:instrText xml:space="preserve"> PAGEREF _Toc166585582 \h </w:instrText>
            </w:r>
            <w:r w:rsidR="00CA2056">
              <w:rPr>
                <w:webHidden/>
              </w:rPr>
            </w:r>
            <w:r w:rsidR="00CA2056">
              <w:rPr>
                <w:webHidden/>
              </w:rPr>
              <w:fldChar w:fldCharType="separate"/>
            </w:r>
            <w:r w:rsidR="00CA2056">
              <w:rPr>
                <w:webHidden/>
              </w:rPr>
              <w:t>28</w:t>
            </w:r>
            <w:r w:rsidR="00CA2056">
              <w:rPr>
                <w:webHidden/>
              </w:rPr>
              <w:fldChar w:fldCharType="end"/>
            </w:r>
          </w:hyperlink>
        </w:p>
        <w:p w14:paraId="3B19D9CC" w14:textId="6C34637B" w:rsidR="00CA2056" w:rsidRDefault="00000000">
          <w:pPr>
            <w:pStyle w:val="TOC3"/>
            <w:rPr>
              <w:rFonts w:eastAsiaTheme="minorEastAsia" w:cstheme="minorBidi"/>
              <w:iCs w:val="0"/>
              <w:kern w:val="2"/>
              <w:szCs w:val="22"/>
              <w14:ligatures w14:val="standardContextual"/>
            </w:rPr>
          </w:pPr>
          <w:hyperlink w:anchor="_Toc166585583" w:history="1">
            <w:r w:rsidR="00CA2056" w:rsidRPr="00280563">
              <w:rPr>
                <w:rStyle w:val="Hyperlink"/>
                <w:i/>
              </w:rPr>
              <w:t>Shigella</w:t>
            </w:r>
            <w:r w:rsidR="00CA2056" w:rsidRPr="00280563">
              <w:rPr>
                <w:rStyle w:val="Hyperlink"/>
              </w:rPr>
              <w:t xml:space="preserve"> species</w:t>
            </w:r>
            <w:r w:rsidR="00CA2056">
              <w:rPr>
                <w:webHidden/>
              </w:rPr>
              <w:tab/>
            </w:r>
            <w:r w:rsidR="00CA2056">
              <w:rPr>
                <w:webHidden/>
              </w:rPr>
              <w:fldChar w:fldCharType="begin"/>
            </w:r>
            <w:r w:rsidR="00CA2056">
              <w:rPr>
                <w:webHidden/>
              </w:rPr>
              <w:instrText xml:space="preserve"> PAGEREF _Toc166585583 \h </w:instrText>
            </w:r>
            <w:r w:rsidR="00CA2056">
              <w:rPr>
                <w:webHidden/>
              </w:rPr>
            </w:r>
            <w:r w:rsidR="00CA2056">
              <w:rPr>
                <w:webHidden/>
              </w:rPr>
              <w:fldChar w:fldCharType="separate"/>
            </w:r>
            <w:r w:rsidR="00CA2056">
              <w:rPr>
                <w:webHidden/>
              </w:rPr>
              <w:t>30</w:t>
            </w:r>
            <w:r w:rsidR="00CA2056">
              <w:rPr>
                <w:webHidden/>
              </w:rPr>
              <w:fldChar w:fldCharType="end"/>
            </w:r>
          </w:hyperlink>
        </w:p>
        <w:p w14:paraId="69C5484A" w14:textId="2DFCF63C" w:rsidR="00CA2056" w:rsidRDefault="00000000">
          <w:pPr>
            <w:pStyle w:val="TOC3"/>
            <w:rPr>
              <w:rFonts w:eastAsiaTheme="minorEastAsia" w:cstheme="minorBidi"/>
              <w:iCs w:val="0"/>
              <w:kern w:val="2"/>
              <w:szCs w:val="22"/>
              <w14:ligatures w14:val="standardContextual"/>
            </w:rPr>
          </w:pPr>
          <w:hyperlink w:anchor="_Toc166585584" w:history="1">
            <w:r w:rsidR="00CA2056" w:rsidRPr="00280563">
              <w:rPr>
                <w:rStyle w:val="Hyperlink"/>
                <w:i/>
              </w:rPr>
              <w:t>Staphylococcus aureus</w:t>
            </w:r>
            <w:r w:rsidR="00CA2056">
              <w:rPr>
                <w:webHidden/>
              </w:rPr>
              <w:tab/>
            </w:r>
            <w:r w:rsidR="00CA2056">
              <w:rPr>
                <w:webHidden/>
              </w:rPr>
              <w:fldChar w:fldCharType="begin"/>
            </w:r>
            <w:r w:rsidR="00CA2056">
              <w:rPr>
                <w:webHidden/>
              </w:rPr>
              <w:instrText xml:space="preserve"> PAGEREF _Toc166585584 \h </w:instrText>
            </w:r>
            <w:r w:rsidR="00CA2056">
              <w:rPr>
                <w:webHidden/>
              </w:rPr>
            </w:r>
            <w:r w:rsidR="00CA2056">
              <w:rPr>
                <w:webHidden/>
              </w:rPr>
              <w:fldChar w:fldCharType="separate"/>
            </w:r>
            <w:r w:rsidR="00CA2056">
              <w:rPr>
                <w:webHidden/>
              </w:rPr>
              <w:t>33</w:t>
            </w:r>
            <w:r w:rsidR="00CA2056">
              <w:rPr>
                <w:webHidden/>
              </w:rPr>
              <w:fldChar w:fldCharType="end"/>
            </w:r>
          </w:hyperlink>
        </w:p>
        <w:p w14:paraId="50732F46" w14:textId="52F88ED2" w:rsidR="00CA2056" w:rsidRDefault="00000000">
          <w:pPr>
            <w:pStyle w:val="TOC3"/>
            <w:rPr>
              <w:rFonts w:eastAsiaTheme="minorEastAsia" w:cstheme="minorBidi"/>
              <w:iCs w:val="0"/>
              <w:kern w:val="2"/>
              <w:szCs w:val="22"/>
              <w14:ligatures w14:val="standardContextual"/>
            </w:rPr>
          </w:pPr>
          <w:hyperlink w:anchor="_Toc166585585" w:history="1">
            <w:r w:rsidR="00CA2056" w:rsidRPr="00280563">
              <w:rPr>
                <w:rStyle w:val="Hyperlink"/>
                <w:i/>
              </w:rPr>
              <w:t>Streptococcus pyogenes</w:t>
            </w:r>
            <w:r w:rsidR="00CA2056">
              <w:rPr>
                <w:webHidden/>
              </w:rPr>
              <w:tab/>
            </w:r>
            <w:r w:rsidR="00CA2056">
              <w:rPr>
                <w:webHidden/>
              </w:rPr>
              <w:fldChar w:fldCharType="begin"/>
            </w:r>
            <w:r w:rsidR="00CA2056">
              <w:rPr>
                <w:webHidden/>
              </w:rPr>
              <w:instrText xml:space="preserve"> PAGEREF _Toc166585585 \h </w:instrText>
            </w:r>
            <w:r w:rsidR="00CA2056">
              <w:rPr>
                <w:webHidden/>
              </w:rPr>
            </w:r>
            <w:r w:rsidR="00CA2056">
              <w:rPr>
                <w:webHidden/>
              </w:rPr>
              <w:fldChar w:fldCharType="separate"/>
            </w:r>
            <w:r w:rsidR="00CA2056">
              <w:rPr>
                <w:webHidden/>
              </w:rPr>
              <w:t>35</w:t>
            </w:r>
            <w:r w:rsidR="00CA2056">
              <w:rPr>
                <w:webHidden/>
              </w:rPr>
              <w:fldChar w:fldCharType="end"/>
            </w:r>
          </w:hyperlink>
        </w:p>
        <w:p w14:paraId="6DE97BF3" w14:textId="2B1D9C98" w:rsidR="00CA2056" w:rsidRDefault="00000000">
          <w:pPr>
            <w:pStyle w:val="TOC2"/>
            <w:rPr>
              <w:rFonts w:eastAsiaTheme="minorEastAsia" w:cstheme="minorBidi"/>
              <w:kern w:val="2"/>
              <w:szCs w:val="22"/>
              <w14:ligatures w14:val="standardContextual"/>
            </w:rPr>
          </w:pPr>
          <w:hyperlink w:anchor="_Toc166585586" w:history="1">
            <w:r w:rsidR="00CA2056" w:rsidRPr="00280563">
              <w:rPr>
                <w:rStyle w:val="Hyperlink"/>
              </w:rPr>
              <w:t>Discussion</w:t>
            </w:r>
            <w:r w:rsidR="00CA2056">
              <w:rPr>
                <w:webHidden/>
              </w:rPr>
              <w:tab/>
            </w:r>
            <w:r w:rsidR="00CA2056">
              <w:rPr>
                <w:webHidden/>
              </w:rPr>
              <w:fldChar w:fldCharType="begin"/>
            </w:r>
            <w:r w:rsidR="00CA2056">
              <w:rPr>
                <w:webHidden/>
              </w:rPr>
              <w:instrText xml:space="preserve"> PAGEREF _Toc166585586 \h </w:instrText>
            </w:r>
            <w:r w:rsidR="00CA2056">
              <w:rPr>
                <w:webHidden/>
              </w:rPr>
            </w:r>
            <w:r w:rsidR="00CA2056">
              <w:rPr>
                <w:webHidden/>
              </w:rPr>
              <w:fldChar w:fldCharType="separate"/>
            </w:r>
            <w:r w:rsidR="00CA2056">
              <w:rPr>
                <w:webHidden/>
              </w:rPr>
              <w:t>36</w:t>
            </w:r>
            <w:r w:rsidR="00CA2056">
              <w:rPr>
                <w:webHidden/>
              </w:rPr>
              <w:fldChar w:fldCharType="end"/>
            </w:r>
          </w:hyperlink>
        </w:p>
        <w:p w14:paraId="31450C38" w14:textId="1B6FDF94" w:rsidR="00CA2056" w:rsidRDefault="00000000">
          <w:pPr>
            <w:pStyle w:val="TOC2"/>
            <w:rPr>
              <w:rFonts w:eastAsiaTheme="minorEastAsia" w:cstheme="minorBidi"/>
              <w:kern w:val="2"/>
              <w:szCs w:val="22"/>
              <w14:ligatures w14:val="standardContextual"/>
            </w:rPr>
          </w:pPr>
          <w:hyperlink w:anchor="_Toc166585587" w:history="1">
            <w:r w:rsidR="00CA2056" w:rsidRPr="00280563">
              <w:rPr>
                <w:rStyle w:val="Hyperlink"/>
              </w:rPr>
              <w:t>References</w:t>
            </w:r>
            <w:r w:rsidR="00CA2056">
              <w:rPr>
                <w:webHidden/>
              </w:rPr>
              <w:tab/>
            </w:r>
            <w:r w:rsidR="00CA2056">
              <w:rPr>
                <w:webHidden/>
              </w:rPr>
              <w:fldChar w:fldCharType="begin"/>
            </w:r>
            <w:r w:rsidR="00CA2056">
              <w:rPr>
                <w:webHidden/>
              </w:rPr>
              <w:instrText xml:space="preserve"> PAGEREF _Toc166585587 \h </w:instrText>
            </w:r>
            <w:r w:rsidR="00CA2056">
              <w:rPr>
                <w:webHidden/>
              </w:rPr>
            </w:r>
            <w:r w:rsidR="00CA2056">
              <w:rPr>
                <w:webHidden/>
              </w:rPr>
              <w:fldChar w:fldCharType="separate"/>
            </w:r>
            <w:r w:rsidR="00CA2056">
              <w:rPr>
                <w:webHidden/>
              </w:rPr>
              <w:t>39</w:t>
            </w:r>
            <w:r w:rsidR="00CA2056">
              <w:rPr>
                <w:webHidden/>
              </w:rPr>
              <w:fldChar w:fldCharType="end"/>
            </w:r>
          </w:hyperlink>
        </w:p>
        <w:p w14:paraId="40F28C65" w14:textId="11404534" w:rsidR="00CA2056" w:rsidRDefault="00000000">
          <w:pPr>
            <w:pStyle w:val="TOC2"/>
            <w:tabs>
              <w:tab w:val="left" w:pos="1540"/>
            </w:tabs>
            <w:rPr>
              <w:rFonts w:eastAsiaTheme="minorEastAsia" w:cstheme="minorBidi"/>
              <w:kern w:val="2"/>
              <w:szCs w:val="22"/>
              <w14:ligatures w14:val="standardContextual"/>
            </w:rPr>
          </w:pPr>
          <w:hyperlink w:anchor="_Toc166585588" w:history="1">
            <w:r w:rsidR="00CA2056" w:rsidRPr="00280563">
              <w:rPr>
                <w:rStyle w:val="Hyperlink"/>
              </w:rPr>
              <w:t>Appendix 1</w:t>
            </w:r>
            <w:r w:rsidR="00CA2056">
              <w:rPr>
                <w:rFonts w:eastAsiaTheme="minorEastAsia" w:cstheme="minorBidi"/>
                <w:kern w:val="2"/>
                <w:szCs w:val="22"/>
                <w14:ligatures w14:val="standardContextual"/>
              </w:rPr>
              <w:tab/>
            </w:r>
            <w:r w:rsidR="00CA2056" w:rsidRPr="00280563">
              <w:rPr>
                <w:rStyle w:val="Hyperlink"/>
              </w:rPr>
              <w:t>About CARAlert</w:t>
            </w:r>
            <w:r w:rsidR="00CA2056">
              <w:rPr>
                <w:webHidden/>
              </w:rPr>
              <w:tab/>
            </w:r>
            <w:r w:rsidR="00CA2056">
              <w:rPr>
                <w:webHidden/>
              </w:rPr>
              <w:fldChar w:fldCharType="begin"/>
            </w:r>
            <w:r w:rsidR="00CA2056">
              <w:rPr>
                <w:webHidden/>
              </w:rPr>
              <w:instrText xml:space="preserve"> PAGEREF _Toc166585588 \h </w:instrText>
            </w:r>
            <w:r w:rsidR="00CA2056">
              <w:rPr>
                <w:webHidden/>
              </w:rPr>
            </w:r>
            <w:r w:rsidR="00CA2056">
              <w:rPr>
                <w:webHidden/>
              </w:rPr>
              <w:fldChar w:fldCharType="separate"/>
            </w:r>
            <w:r w:rsidR="00CA2056">
              <w:rPr>
                <w:webHidden/>
              </w:rPr>
              <w:t>41</w:t>
            </w:r>
            <w:r w:rsidR="00CA2056">
              <w:rPr>
                <w:webHidden/>
              </w:rPr>
              <w:fldChar w:fldCharType="end"/>
            </w:r>
          </w:hyperlink>
        </w:p>
        <w:p w14:paraId="3400E68B" w14:textId="537452D4" w:rsidR="00CA2056" w:rsidRDefault="00000000">
          <w:pPr>
            <w:pStyle w:val="TOC2"/>
            <w:tabs>
              <w:tab w:val="left" w:pos="1540"/>
            </w:tabs>
            <w:rPr>
              <w:rFonts w:eastAsiaTheme="minorEastAsia" w:cstheme="minorBidi"/>
              <w:kern w:val="2"/>
              <w:szCs w:val="22"/>
              <w14:ligatures w14:val="standardContextual"/>
            </w:rPr>
          </w:pPr>
          <w:hyperlink w:anchor="_Toc166585589" w:history="1">
            <w:r w:rsidR="00CA2056" w:rsidRPr="00280563">
              <w:rPr>
                <w:rStyle w:val="Hyperlink"/>
              </w:rPr>
              <w:t>Appendix 2</w:t>
            </w:r>
            <w:r w:rsidR="00CA2056">
              <w:rPr>
                <w:rFonts w:eastAsiaTheme="minorEastAsia" w:cstheme="minorBidi"/>
                <w:kern w:val="2"/>
                <w:szCs w:val="22"/>
                <w14:ligatures w14:val="standardContextual"/>
              </w:rPr>
              <w:tab/>
            </w:r>
            <w:r w:rsidR="00CA2056" w:rsidRPr="00280563">
              <w:rPr>
                <w:rStyle w:val="Hyperlink"/>
              </w:rPr>
              <w:t>Methodology</w:t>
            </w:r>
            <w:r w:rsidR="00CA2056">
              <w:rPr>
                <w:webHidden/>
              </w:rPr>
              <w:tab/>
            </w:r>
            <w:r w:rsidR="00CA2056">
              <w:rPr>
                <w:webHidden/>
              </w:rPr>
              <w:fldChar w:fldCharType="begin"/>
            </w:r>
            <w:r w:rsidR="00CA2056">
              <w:rPr>
                <w:webHidden/>
              </w:rPr>
              <w:instrText xml:space="preserve"> PAGEREF _Toc166585589 \h </w:instrText>
            </w:r>
            <w:r w:rsidR="00CA2056">
              <w:rPr>
                <w:webHidden/>
              </w:rPr>
            </w:r>
            <w:r w:rsidR="00CA2056">
              <w:rPr>
                <w:webHidden/>
              </w:rPr>
              <w:fldChar w:fldCharType="separate"/>
            </w:r>
            <w:r w:rsidR="00CA2056">
              <w:rPr>
                <w:webHidden/>
              </w:rPr>
              <w:t>43</w:t>
            </w:r>
            <w:r w:rsidR="00CA2056">
              <w:rPr>
                <w:webHidden/>
              </w:rPr>
              <w:fldChar w:fldCharType="end"/>
            </w:r>
          </w:hyperlink>
        </w:p>
        <w:p w14:paraId="219932E5" w14:textId="13E47877" w:rsidR="00CA2056" w:rsidRDefault="00000000">
          <w:pPr>
            <w:pStyle w:val="TOC2"/>
            <w:tabs>
              <w:tab w:val="left" w:pos="1540"/>
            </w:tabs>
            <w:rPr>
              <w:rFonts w:eastAsiaTheme="minorEastAsia" w:cstheme="minorBidi"/>
              <w:kern w:val="2"/>
              <w:szCs w:val="22"/>
              <w14:ligatures w14:val="standardContextual"/>
            </w:rPr>
          </w:pPr>
          <w:hyperlink w:anchor="_Toc166585590" w:history="1">
            <w:r w:rsidR="00CA2056" w:rsidRPr="00280563">
              <w:rPr>
                <w:rStyle w:val="Hyperlink"/>
              </w:rPr>
              <w:t>Appendix 3</w:t>
            </w:r>
            <w:r w:rsidR="00CA2056">
              <w:rPr>
                <w:rFonts w:eastAsiaTheme="minorEastAsia" w:cstheme="minorBidi"/>
                <w:kern w:val="2"/>
                <w:szCs w:val="22"/>
                <w14:ligatures w14:val="standardContextual"/>
              </w:rPr>
              <w:tab/>
            </w:r>
            <w:r w:rsidR="00CA2056" w:rsidRPr="00280563">
              <w:rPr>
                <w:rStyle w:val="Hyperlink"/>
              </w:rPr>
              <w:t>CARAlert confirming laboratories, 2023</w:t>
            </w:r>
            <w:r w:rsidR="00CA2056">
              <w:rPr>
                <w:webHidden/>
              </w:rPr>
              <w:tab/>
            </w:r>
            <w:r w:rsidR="00CA2056">
              <w:rPr>
                <w:webHidden/>
              </w:rPr>
              <w:fldChar w:fldCharType="begin"/>
            </w:r>
            <w:r w:rsidR="00CA2056">
              <w:rPr>
                <w:webHidden/>
              </w:rPr>
              <w:instrText xml:space="preserve"> PAGEREF _Toc166585590 \h </w:instrText>
            </w:r>
            <w:r w:rsidR="00CA2056">
              <w:rPr>
                <w:webHidden/>
              </w:rPr>
            </w:r>
            <w:r w:rsidR="00CA2056">
              <w:rPr>
                <w:webHidden/>
              </w:rPr>
              <w:fldChar w:fldCharType="separate"/>
            </w:r>
            <w:r w:rsidR="00CA2056">
              <w:rPr>
                <w:webHidden/>
              </w:rPr>
              <w:t>45</w:t>
            </w:r>
            <w:r w:rsidR="00CA2056">
              <w:rPr>
                <w:webHidden/>
              </w:rPr>
              <w:fldChar w:fldCharType="end"/>
            </w:r>
          </w:hyperlink>
        </w:p>
        <w:p w14:paraId="73F58E41" w14:textId="0D425136" w:rsidR="001204A3" w:rsidRDefault="00EB6106" w:rsidP="001204A3">
          <w:pPr>
            <w:rPr>
              <w:noProof/>
            </w:rPr>
          </w:pPr>
          <w:r>
            <w:fldChar w:fldCharType="end"/>
          </w:r>
        </w:p>
      </w:sdtContent>
    </w:sdt>
    <w:p w14:paraId="2A7458DA" w14:textId="138F1A6D" w:rsidR="00EB6106" w:rsidRPr="00FE0619" w:rsidRDefault="00EB6106" w:rsidP="00FE0619">
      <w:pPr>
        <w:pStyle w:val="Heading2"/>
      </w:pPr>
      <w:r w:rsidRPr="00D76149">
        <w:br w:type="page"/>
      </w:r>
      <w:bookmarkStart w:id="0" w:name="_Toc166585565"/>
      <w:r w:rsidRPr="00FE0619">
        <w:lastRenderedPageBreak/>
        <w:t>Executive Summary</w:t>
      </w:r>
      <w:bookmarkEnd w:id="0"/>
    </w:p>
    <w:p w14:paraId="4C8169ED" w14:textId="77777777" w:rsidR="00EB6106" w:rsidRDefault="00EB6106" w:rsidP="00EB6106">
      <w:pPr>
        <w:rPr>
          <w:rFonts w:cs="Arial"/>
        </w:rPr>
      </w:pPr>
      <w:r>
        <w:t>This report</w:t>
      </w:r>
      <w:r w:rsidRPr="00014464">
        <w:t xml:space="preserve"> </w:t>
      </w:r>
      <w:r w:rsidRPr="00C358BE">
        <w:rPr>
          <w:rFonts w:cs="Arial"/>
        </w:rPr>
        <w:t>provides analyses of data on confirmed critical antimicrobial resistances (CARs) submitted to the National Alert System for Critical Antimicrobial Resistances (CARAlert) for 202</w:t>
      </w:r>
      <w:r>
        <w:rPr>
          <w:rFonts w:cs="Arial"/>
        </w:rPr>
        <w:t>3</w:t>
      </w:r>
      <w:r w:rsidRPr="00C358BE">
        <w:rPr>
          <w:rFonts w:cs="Arial"/>
        </w:rPr>
        <w:t xml:space="preserve">, and trend data </w:t>
      </w:r>
      <w:r>
        <w:rPr>
          <w:rFonts w:cs="Arial"/>
        </w:rPr>
        <w:t xml:space="preserve">between </w:t>
      </w:r>
      <w:r w:rsidRPr="00C358BE">
        <w:rPr>
          <w:rFonts w:cs="Arial"/>
        </w:rPr>
        <w:t xml:space="preserve">2017 </w:t>
      </w:r>
      <w:r>
        <w:rPr>
          <w:rFonts w:cs="Arial"/>
        </w:rPr>
        <w:t>and</w:t>
      </w:r>
      <w:r w:rsidRPr="00C358BE">
        <w:rPr>
          <w:rFonts w:cs="Arial"/>
        </w:rPr>
        <w:t xml:space="preserve"> 202</w:t>
      </w:r>
      <w:r>
        <w:rPr>
          <w:rFonts w:cs="Arial"/>
        </w:rPr>
        <w:t>3.</w:t>
      </w:r>
    </w:p>
    <w:p w14:paraId="1BC994EC" w14:textId="5CBBFBE5" w:rsidR="00EB6106" w:rsidRPr="003C324D" w:rsidRDefault="00EB6106" w:rsidP="00EB6106">
      <w:r w:rsidRPr="00D222FE">
        <w:t>There was an overall 85.</w:t>
      </w:r>
      <w:r w:rsidR="004E44D7">
        <w:t>8</w:t>
      </w:r>
      <w:r w:rsidRPr="00D222FE">
        <w:t xml:space="preserve">% increase </w:t>
      </w:r>
      <w:r w:rsidR="00710B2C">
        <w:t>in</w:t>
      </w:r>
      <w:r w:rsidRPr="00D222FE">
        <w:t xml:space="preserve"> CARs reported between 2022 (</w:t>
      </w:r>
      <w:r w:rsidRPr="00D222FE">
        <w:rPr>
          <w:i/>
          <w:iCs/>
        </w:rPr>
        <w:t>n</w:t>
      </w:r>
      <w:r w:rsidRPr="00D222FE">
        <w:t> = 1,446) and 2023 (</w:t>
      </w:r>
      <w:r w:rsidRPr="00D222FE">
        <w:rPr>
          <w:i/>
          <w:iCs/>
        </w:rPr>
        <w:t>n</w:t>
      </w:r>
      <w:r w:rsidRPr="00D222FE">
        <w:t> = </w:t>
      </w:r>
      <w:r w:rsidR="00FE0619">
        <w:t>2,686</w:t>
      </w:r>
      <w:r w:rsidRPr="00D222FE">
        <w:t xml:space="preserve">). </w:t>
      </w:r>
      <w:r w:rsidR="00710B2C">
        <w:t>C</w:t>
      </w:r>
      <w:r w:rsidRPr="003C324D">
        <w:t xml:space="preserve">arbapenemase-producing </w:t>
      </w:r>
      <w:r w:rsidRPr="003C324D">
        <w:rPr>
          <w:i/>
        </w:rPr>
        <w:t>Enterobacterales</w:t>
      </w:r>
      <w:r w:rsidRPr="003C324D">
        <w:t xml:space="preserve"> (CPE), </w:t>
      </w:r>
      <w:r w:rsidR="00710B2C">
        <w:t xml:space="preserve">which is </w:t>
      </w:r>
      <w:r w:rsidR="00710B2C" w:rsidRPr="00710B2C">
        <w:t xml:space="preserve">the most frequently reported CAR to CARAlert, </w:t>
      </w:r>
      <w:r w:rsidRPr="003C324D">
        <w:t xml:space="preserve">continues to be a concern for patient safety. Bacteria that produce carbapenemase enzymes are almost always resistant to other important antibiotic classes, such as other </w:t>
      </w:r>
      <w:r w:rsidRPr="003C324D">
        <w:rPr>
          <w:rFonts w:cstheme="minorHAnsi"/>
        </w:rPr>
        <w:t>β</w:t>
      </w:r>
      <w:r w:rsidRPr="003C324D">
        <w:t xml:space="preserve">-lactams, </w:t>
      </w:r>
      <w:r w:rsidRPr="003C324D">
        <w:rPr>
          <w:rFonts w:cstheme="minorHAnsi"/>
        </w:rPr>
        <w:t>β</w:t>
      </w:r>
      <w:r w:rsidRPr="003C324D">
        <w:t>-lactamase inhibitor combinations, fluoroquinolones and aminoglycosides. This means that effective treatment options for infections may be very limited, and lengths of stay for hospital admissions may increase.</w:t>
      </w:r>
    </w:p>
    <w:p w14:paraId="1F62E3D3" w14:textId="22BF53C8" w:rsidR="00EB6106" w:rsidRPr="003C324D" w:rsidRDefault="00EB6106" w:rsidP="00EB6106">
      <w:r w:rsidRPr="003C324D">
        <w:t>Implications for health care and patient safety identified by analyses of 202</w:t>
      </w:r>
      <w:r w:rsidR="00991E6C">
        <w:t>3</w:t>
      </w:r>
      <w:r w:rsidRPr="003C324D">
        <w:t xml:space="preserve"> CARAlert data include:</w:t>
      </w:r>
    </w:p>
    <w:p w14:paraId="2FCAD112" w14:textId="77777777" w:rsidR="00EB6106" w:rsidRPr="00CA1A38" w:rsidRDefault="00EB6106" w:rsidP="00C76970">
      <w:pPr>
        <w:pStyle w:val="Bulletlist"/>
        <w:numPr>
          <w:ilvl w:val="0"/>
          <w:numId w:val="9"/>
        </w:numPr>
        <w:spacing w:after="60"/>
        <w:rPr>
          <w:color w:val="auto"/>
        </w:rPr>
      </w:pPr>
      <w:r w:rsidRPr="00CA1A38">
        <w:rPr>
          <w:color w:val="auto"/>
        </w:rPr>
        <w:t>Increasing rates of CPE in Australian hospitals</w:t>
      </w:r>
    </w:p>
    <w:p w14:paraId="12C37AF4" w14:textId="61C81CBC" w:rsidR="00EB6106" w:rsidRPr="00CA1A38" w:rsidRDefault="00EB6106" w:rsidP="00C76970">
      <w:pPr>
        <w:pStyle w:val="Bulletlist"/>
        <w:numPr>
          <w:ilvl w:val="0"/>
          <w:numId w:val="9"/>
        </w:numPr>
        <w:spacing w:after="60"/>
        <w:rPr>
          <w:color w:val="auto"/>
          <w:szCs w:val="22"/>
        </w:rPr>
      </w:pPr>
      <w:r w:rsidRPr="00CA1A38">
        <w:rPr>
          <w:color w:val="auto"/>
        </w:rPr>
        <w:t>Increases in the community-onset CARs</w:t>
      </w:r>
      <w:r w:rsidR="00710B2C">
        <w:rPr>
          <w:color w:val="auto"/>
        </w:rPr>
        <w:t>,</w:t>
      </w:r>
      <w:r w:rsidRPr="00CA1A38">
        <w:rPr>
          <w:color w:val="auto"/>
        </w:rPr>
        <w:t xml:space="preserve"> including multidrug-resistant (MDR) </w:t>
      </w:r>
      <w:r w:rsidRPr="00CA1A38">
        <w:rPr>
          <w:i/>
          <w:iCs/>
          <w:color w:val="auto"/>
        </w:rPr>
        <w:t>Shigella</w:t>
      </w:r>
      <w:r w:rsidRPr="00CA1A38">
        <w:rPr>
          <w:color w:val="auto"/>
        </w:rPr>
        <w:t xml:space="preserve"> species</w:t>
      </w:r>
      <w:r w:rsidRPr="00CA1A38">
        <w:rPr>
          <w:rStyle w:val="A4"/>
          <w:color w:val="auto"/>
        </w:rPr>
        <w:t xml:space="preserve"> and </w:t>
      </w:r>
      <w:r w:rsidRPr="00CA1A38">
        <w:rPr>
          <w:i/>
          <w:iCs/>
          <w:color w:val="auto"/>
        </w:rPr>
        <w:t>Salmonella</w:t>
      </w:r>
      <w:r w:rsidRPr="00CA1A38">
        <w:rPr>
          <w:color w:val="auto"/>
        </w:rPr>
        <w:t xml:space="preserve"> species</w:t>
      </w:r>
      <w:r w:rsidR="00710B2C">
        <w:rPr>
          <w:color w:val="auto"/>
        </w:rPr>
        <w:t>,</w:t>
      </w:r>
      <w:r w:rsidRPr="00CA1A38">
        <w:rPr>
          <w:color w:val="auto"/>
        </w:rPr>
        <w:t xml:space="preserve"> corresponding with the easing of travel restrictions associated with the COVID-19 pandemic, </w:t>
      </w:r>
      <w:r w:rsidRPr="00CA1A38">
        <w:rPr>
          <w:color w:val="auto"/>
          <w:szCs w:val="22"/>
        </w:rPr>
        <w:t xml:space="preserve">and changes in </w:t>
      </w:r>
      <w:r w:rsidR="00F66484">
        <w:rPr>
          <w:color w:val="auto"/>
          <w:szCs w:val="22"/>
        </w:rPr>
        <w:t xml:space="preserve">resistance patterns for </w:t>
      </w:r>
      <w:r w:rsidRPr="00CA1A38">
        <w:rPr>
          <w:rStyle w:val="A4"/>
          <w:i/>
          <w:iCs/>
          <w:color w:val="auto"/>
          <w:sz w:val="22"/>
          <w:szCs w:val="22"/>
        </w:rPr>
        <w:t>Neisseria </w:t>
      </w:r>
      <w:proofErr w:type="gramStart"/>
      <w:r w:rsidRPr="00CA1A38">
        <w:rPr>
          <w:rStyle w:val="A4"/>
          <w:i/>
          <w:iCs/>
          <w:color w:val="auto"/>
          <w:sz w:val="22"/>
          <w:szCs w:val="22"/>
        </w:rPr>
        <w:t>gonorrhoeae</w:t>
      </w:r>
      <w:proofErr w:type="gramEnd"/>
    </w:p>
    <w:p w14:paraId="7050AD31" w14:textId="77777777" w:rsidR="00EB6106" w:rsidRPr="00CA1A38" w:rsidRDefault="00EB6106" w:rsidP="00C76970">
      <w:pPr>
        <w:pStyle w:val="Bulletlist"/>
        <w:numPr>
          <w:ilvl w:val="0"/>
          <w:numId w:val="9"/>
        </w:numPr>
        <w:spacing w:after="60"/>
        <w:rPr>
          <w:color w:val="auto"/>
        </w:rPr>
      </w:pPr>
      <w:r w:rsidRPr="00CA1A38">
        <w:rPr>
          <w:color w:val="auto"/>
        </w:rPr>
        <w:t>Ongoing reports of low levels of CARs in aged care home residents</w:t>
      </w:r>
    </w:p>
    <w:p w14:paraId="621126BC" w14:textId="77777777" w:rsidR="00EB6106" w:rsidRPr="00CA1A38" w:rsidRDefault="00EB6106" w:rsidP="00EB6106">
      <w:pPr>
        <w:pStyle w:val="Bulletlist"/>
        <w:numPr>
          <w:ilvl w:val="0"/>
          <w:numId w:val="9"/>
        </w:numPr>
        <w:rPr>
          <w:color w:val="auto"/>
        </w:rPr>
      </w:pPr>
      <w:r w:rsidRPr="00CA1A38">
        <w:rPr>
          <w:color w:val="auto"/>
        </w:rPr>
        <w:t>Ongoing implications for increased health service demand and complexity of care due to CARs.</w:t>
      </w:r>
    </w:p>
    <w:p w14:paraId="4707F6E7" w14:textId="77777777" w:rsidR="00EB6106" w:rsidRPr="005C2AC2" w:rsidRDefault="00EB6106" w:rsidP="009061A9">
      <w:pPr>
        <w:pStyle w:val="Heading3"/>
      </w:pPr>
      <w:bookmarkStart w:id="1" w:name="_Toc166585566"/>
      <w:r w:rsidRPr="00A958D2">
        <w:t>What will be done to improve patient safety?</w:t>
      </w:r>
      <w:bookmarkEnd w:id="1"/>
    </w:p>
    <w:p w14:paraId="1797D862" w14:textId="246EAD03" w:rsidR="00EB6106" w:rsidRDefault="00EB6106" w:rsidP="00991E6C">
      <w:pPr>
        <w:pStyle w:val="Normal-beforebullets"/>
        <w:spacing w:after="120"/>
      </w:pPr>
      <w:r w:rsidRPr="00B77C8C">
        <w:t>In response to the issues identified in analyses of CARAlert data between 2017 and 202</w:t>
      </w:r>
      <w:r>
        <w:t>3</w:t>
      </w:r>
      <w:r w:rsidRPr="00B77C8C">
        <w:t xml:space="preserve">, the </w:t>
      </w:r>
      <w:r w:rsidR="00F66484">
        <w:t xml:space="preserve">Australian on Safety and Quality in Health Care </w:t>
      </w:r>
      <w:r w:rsidRPr="0050196A">
        <w:t>will continue to:</w:t>
      </w:r>
    </w:p>
    <w:p w14:paraId="4DB7F62B" w14:textId="77777777" w:rsidR="003C0CAD" w:rsidRPr="00D46928" w:rsidRDefault="003C0CAD" w:rsidP="00FE0619">
      <w:pPr>
        <w:pStyle w:val="ListParagraph"/>
        <w:numPr>
          <w:ilvl w:val="0"/>
          <w:numId w:val="9"/>
        </w:numPr>
        <w:spacing w:before="0" w:after="60"/>
        <w:ind w:left="568" w:hanging="284"/>
        <w:contextualSpacing w:val="0"/>
      </w:pPr>
      <w:r w:rsidRPr="00D46928">
        <w:t xml:space="preserve">Monitor CARs reported to CARAlert, maintain the CARAlert system and communicate CARAlert and other Antimicrobial Use and Resistance in Australia (AURA) surveillance data and key findings to states, territories, the Department of Health and Aged Care and relevant </w:t>
      </w:r>
      <w:proofErr w:type="gramStart"/>
      <w:r w:rsidRPr="00D46928">
        <w:t>experts</w:t>
      </w:r>
      <w:proofErr w:type="gramEnd"/>
    </w:p>
    <w:p w14:paraId="256BADE2" w14:textId="73BAA37A" w:rsidR="003C0CAD" w:rsidRPr="00D46928" w:rsidRDefault="003C0CAD" w:rsidP="00FE0619">
      <w:pPr>
        <w:pStyle w:val="ListParagraph"/>
        <w:numPr>
          <w:ilvl w:val="0"/>
          <w:numId w:val="9"/>
        </w:numPr>
        <w:spacing w:before="0" w:after="60"/>
        <w:ind w:left="568" w:hanging="284"/>
        <w:contextualSpacing w:val="0"/>
      </w:pPr>
      <w:r w:rsidRPr="00D46928">
        <w:t xml:space="preserve">Maintain the currency of and promote compliance with the </w:t>
      </w:r>
      <w:r w:rsidRPr="00D46928">
        <w:rPr>
          <w:i/>
          <w:iCs/>
        </w:rPr>
        <w:t>Australian Guidelines for the Prevention and Control of Infection in Healthcare</w:t>
      </w:r>
      <w:r w:rsidRPr="00D46928">
        <w:rPr>
          <w:vertAlign w:val="superscript"/>
        </w:rPr>
        <w:fldChar w:fldCharType="begin"/>
      </w:r>
      <w:r w:rsidR="0029488B">
        <w:rPr>
          <w:vertAlign w:val="superscript"/>
        </w:rPr>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D46928">
        <w:rPr>
          <w:vertAlign w:val="superscript"/>
        </w:rPr>
        <w:fldChar w:fldCharType="separate"/>
      </w:r>
      <w:r w:rsidRPr="00D46928">
        <w:rPr>
          <w:noProof/>
          <w:vertAlign w:val="superscript"/>
        </w:rPr>
        <w:t>1</w:t>
      </w:r>
      <w:r w:rsidRPr="00D46928">
        <w:rPr>
          <w:lang w:val="en-GB"/>
        </w:rPr>
        <w:fldChar w:fldCharType="end"/>
      </w:r>
      <w:r w:rsidRPr="00D46928">
        <w:t xml:space="preserve"> as required by the National Safety and Quality Health Service (NSQHS) Standards</w:t>
      </w:r>
      <w:r w:rsidRPr="00D46928">
        <w:fldChar w:fldCharType="begin"/>
      </w:r>
      <w:r w:rsidRPr="00D46928">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Pr="00D46928">
        <w:fldChar w:fldCharType="separate"/>
      </w:r>
      <w:r w:rsidRPr="00D46928">
        <w:rPr>
          <w:vertAlign w:val="superscript"/>
        </w:rPr>
        <w:t>2</w:t>
      </w:r>
      <w:r w:rsidRPr="00D46928">
        <w:rPr>
          <w:lang w:val="en-GB"/>
        </w:rPr>
        <w:fldChar w:fldCharType="end"/>
      </w:r>
      <w:r w:rsidRPr="00D46928">
        <w:rPr>
          <w:lang w:val="en-GB"/>
        </w:rPr>
        <w:t xml:space="preserve">, </w:t>
      </w:r>
      <w:r w:rsidRPr="00D46928">
        <w:t>and relevant local guidance for the response to CPE</w:t>
      </w:r>
    </w:p>
    <w:p w14:paraId="2EFA7DE9" w14:textId="1424C88F" w:rsidR="003C0CAD" w:rsidRPr="00D46928" w:rsidRDefault="003C0CAD" w:rsidP="00FE0619">
      <w:pPr>
        <w:pStyle w:val="ListParagraph"/>
        <w:numPr>
          <w:ilvl w:val="0"/>
          <w:numId w:val="9"/>
        </w:numPr>
        <w:spacing w:before="0" w:after="60"/>
        <w:ind w:left="568" w:hanging="284"/>
        <w:contextualSpacing w:val="0"/>
      </w:pPr>
      <w:r w:rsidRPr="00D46928">
        <w:t xml:space="preserve">Maintain the currency of and promote implementation of guidance for specific organisms, such as the </w:t>
      </w:r>
      <w:r w:rsidRPr="00D46928">
        <w:rPr>
          <w:i/>
          <w:iCs/>
        </w:rPr>
        <w:t xml:space="preserve">Recommendations for the control of carbapenemase-producing </w:t>
      </w:r>
      <w:r w:rsidRPr="00D46928">
        <w:t xml:space="preserve">Enterobacterales </w:t>
      </w:r>
      <w:r w:rsidRPr="00D46928">
        <w:rPr>
          <w:i/>
          <w:iCs/>
        </w:rPr>
        <w:t>(CPE): A guide for acute care health service organisations</w:t>
      </w:r>
      <w:r w:rsidRPr="00D46928">
        <w:rPr>
          <w:vertAlign w:val="superscript"/>
        </w:rPr>
        <w:fldChar w:fldCharType="begin"/>
      </w:r>
      <w:r w:rsidR="00B17B22">
        <w:rPr>
          <w:vertAlign w:val="superscript"/>
        </w:rPr>
        <w:instrText xml:space="preserve"> ADDIN EN.CITE &lt;EndNote&gt;&lt;Cite&gt;&lt;Author&gt;Australian Commission on Safety and Quality in Health Care&lt;/Author&gt;&lt;Year&gt;2021&lt;/Year&gt;&lt;RecNum&gt;565&lt;/RecNum&gt;&lt;DisplayText&gt;&lt;style face="superscript"&gt;3&lt;/style&gt;&lt;/DisplayText&gt;&lt;record&gt;&lt;rec-number&gt;565&lt;/rec-number&gt;&lt;foreign-keys&gt;&lt;key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Pr="00D46928">
        <w:rPr>
          <w:vertAlign w:val="superscript"/>
        </w:rPr>
        <w:fldChar w:fldCharType="separate"/>
      </w:r>
      <w:r w:rsidRPr="00D46928">
        <w:rPr>
          <w:noProof/>
          <w:vertAlign w:val="superscript"/>
        </w:rPr>
        <w:t>3</w:t>
      </w:r>
      <w:r w:rsidRPr="00D46928">
        <w:rPr>
          <w:lang w:val="en-GB"/>
        </w:rPr>
        <w:fldChar w:fldCharType="end"/>
      </w:r>
      <w:r w:rsidRPr="00D46928">
        <w:rPr>
          <w:lang w:val="en-GB"/>
        </w:rPr>
        <w:t xml:space="preserve"> and </w:t>
      </w:r>
      <w:r w:rsidRPr="00D46928">
        <w:t>promote consistency of screening</w:t>
      </w:r>
      <w:r w:rsidR="00710B2C">
        <w:t xml:space="preserve"> and</w:t>
      </w:r>
      <w:r w:rsidRPr="00D46928">
        <w:t xml:space="preserve"> infection prevention and control practices, and outbreak responses to improve CPE containment</w:t>
      </w:r>
    </w:p>
    <w:p w14:paraId="5ABD2012" w14:textId="6FA75B8F" w:rsidR="003C0CAD" w:rsidRPr="00D46928" w:rsidRDefault="003C0CAD" w:rsidP="00FE0619">
      <w:pPr>
        <w:pStyle w:val="ListParagraph"/>
        <w:numPr>
          <w:ilvl w:val="0"/>
          <w:numId w:val="9"/>
        </w:numPr>
        <w:spacing w:before="0" w:after="60"/>
        <w:ind w:left="568" w:hanging="284"/>
        <w:contextualSpacing w:val="0"/>
      </w:pPr>
      <w:r w:rsidRPr="00D46928">
        <w:t>Use CARAlert and other AURA data to refine and strengthen approaches to infection prevention and control and antimicrobial stewardship (AMS), and support implementation of the NSQHS Standards</w:t>
      </w:r>
      <w:r w:rsidRPr="00D46928">
        <w:fldChar w:fldCharType="begin"/>
      </w:r>
      <w:r w:rsidRPr="00D46928">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Pr="00D46928">
        <w:fldChar w:fldCharType="separate"/>
      </w:r>
      <w:r w:rsidRPr="00D46928">
        <w:rPr>
          <w:vertAlign w:val="superscript"/>
        </w:rPr>
        <w:t>2</w:t>
      </w:r>
      <w:r w:rsidRPr="00D46928">
        <w:rPr>
          <w:lang w:val="en-GB"/>
        </w:rPr>
        <w:fldChar w:fldCharType="end"/>
      </w:r>
      <w:r w:rsidRPr="00D46928">
        <w:t>, the National Safety and Quality Primary and Community Healthcare Standards</w:t>
      </w:r>
      <w:r w:rsidRPr="00D46928">
        <w:fldChar w:fldCharType="begin"/>
      </w:r>
      <w:r w:rsidRPr="00D46928">
        <w:instrText xml:space="preserve"> ADDIN EN.CITE &lt;EndNote&gt;&lt;Cite&gt;&lt;Author&gt;Australian Commission on Safety and Quality in Health Care&lt;/Author&gt;&lt;Year&gt;2021&lt;/Year&gt;&lt;RecNum&gt;204&lt;/RecNum&gt;&lt;DisplayText&gt;&lt;style face="superscript"&gt;4&lt;/style&gt;&lt;/DisplayText&gt;&lt;record&gt;&lt;rec-number&gt;204&lt;/rec-number&gt;&lt;foreign-keys&gt;&lt;key app="EN" db-id="vzwf0pfzpvev5nezsr65z5xvafz5xzavdxw9" timestamp="1679278453"&gt;204&lt;/key&gt;&lt;/foreign-keys&gt;&lt;ref-type name="Generic"&gt;13&lt;/ref-type&gt;&lt;contributors&gt;&lt;authors&gt;&lt;author&gt;Australian Commission on Safety and Quality in Health Care,&lt;/author&gt;&lt;/authors&gt;&lt;/contributors&gt;&lt;titles&gt;&lt;title&gt;National Safety and Quality Health Service Primary and Community Healthcare Standards&lt;/title&gt;&lt;/titles&gt;&lt;dates&gt;&lt;year&gt;2021&lt;/year&gt;&lt;/dates&gt;&lt;pub-location&gt;Sydney&lt;/pub-location&gt;&lt;publisher&gt;ACSQHC&lt;/publisher&gt;&lt;urls&gt;&lt;/urls&gt;&lt;electronic-resource-num&gt;https://www.safetyandquality.gov.au/standards/aged-care-quality-standards-clinical-care&lt;/electronic-resource-num&gt;&lt;/record&gt;&lt;/Cite&gt;&lt;/EndNote&gt;</w:instrText>
      </w:r>
      <w:r w:rsidRPr="00D46928">
        <w:fldChar w:fldCharType="separate"/>
      </w:r>
      <w:r w:rsidRPr="00D46928">
        <w:rPr>
          <w:vertAlign w:val="superscript"/>
        </w:rPr>
        <w:t>4</w:t>
      </w:r>
      <w:r w:rsidRPr="00D46928">
        <w:rPr>
          <w:lang w:val="en-GB"/>
        </w:rPr>
        <w:fldChar w:fldCharType="end"/>
      </w:r>
      <w:r w:rsidRPr="00D46928">
        <w:t xml:space="preserve"> and the AMS Clinical Care Standard</w:t>
      </w:r>
      <w:r w:rsidRPr="00D46928">
        <w:fldChar w:fldCharType="begin"/>
      </w:r>
      <w:r w:rsidR="00B17B22">
        <w:instrText xml:space="preserve"> ADDIN EN.CITE &lt;EndNote&gt;&lt;Cite&gt;&lt;Author&gt;Australian Commission on Safety and Quality in Health Care&lt;/Author&gt;&lt;Year&gt;2020&lt;/Year&gt;&lt;RecNum&gt;168&lt;/RecNum&gt;&lt;DisplayText&gt;&lt;style face="superscript"&gt;5&lt;/style&gt;&lt;/DisplayText&gt;&lt;record&gt;&lt;rec-number&gt;168&lt;/rec-number&gt;&lt;foreign-keys&gt;&lt;key app="EN" db-id="wtev2ss0rtrrwme0r0opprfvtfvztrraaz9e" timestamp="1676827768" guid="89467ffb-4bf8-40b7-86b6-72432cae9b9a"&gt;168&lt;/key&gt;&lt;/foreign-keys&gt;&lt;ref-type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access-date&gt;24 May 2021&lt;/access-date&gt;&lt;/record&gt;&lt;/Cite&gt;&lt;/EndNote&gt;</w:instrText>
      </w:r>
      <w:r w:rsidRPr="00D46928">
        <w:fldChar w:fldCharType="separate"/>
      </w:r>
      <w:r w:rsidRPr="00D46928">
        <w:rPr>
          <w:noProof/>
          <w:vertAlign w:val="superscript"/>
        </w:rPr>
        <w:t>5</w:t>
      </w:r>
      <w:r w:rsidRPr="00D46928">
        <w:rPr>
          <w:lang w:val="en-GB"/>
        </w:rPr>
        <w:fldChar w:fldCharType="end"/>
      </w:r>
    </w:p>
    <w:p w14:paraId="248436DF" w14:textId="77777777" w:rsidR="003C0CAD" w:rsidRPr="00D46928" w:rsidRDefault="003C0CAD" w:rsidP="00FE0619">
      <w:pPr>
        <w:pStyle w:val="ListParagraph"/>
        <w:numPr>
          <w:ilvl w:val="0"/>
          <w:numId w:val="9"/>
        </w:numPr>
        <w:spacing w:before="0" w:after="60"/>
        <w:ind w:left="568" w:hanging="284"/>
        <w:contextualSpacing w:val="0"/>
      </w:pPr>
      <w:r w:rsidRPr="00D46928">
        <w:t>Liaise with the Aged Care Quality and Safety Commission and aged care provider organisations and develop resources to support implementation of infection prevention and control programs in aged care homes to meet the requirements of the Aged Care Quality Standards, particularly the strengthened Aged Care Clinical Standard</w:t>
      </w:r>
      <w:r w:rsidRPr="00D46928">
        <w:fldChar w:fldCharType="begin"/>
      </w:r>
      <w:r w:rsidRPr="00D46928">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Pr="00D46928">
        <w:fldChar w:fldCharType="separate"/>
      </w:r>
      <w:r w:rsidRPr="00D46928">
        <w:rPr>
          <w:vertAlign w:val="superscript"/>
        </w:rPr>
        <w:t>6</w:t>
      </w:r>
      <w:r w:rsidRPr="00D46928">
        <w:rPr>
          <w:lang w:val="en-GB"/>
        </w:rPr>
        <w:fldChar w:fldCharType="end"/>
      </w:r>
    </w:p>
    <w:p w14:paraId="7F39C4CD" w14:textId="5CED19FD" w:rsidR="003C0CAD" w:rsidRPr="00D46928" w:rsidRDefault="003C0CAD" w:rsidP="00FE0619">
      <w:pPr>
        <w:pStyle w:val="ListParagraph"/>
        <w:numPr>
          <w:ilvl w:val="0"/>
          <w:numId w:val="9"/>
        </w:numPr>
        <w:spacing w:before="0" w:after="60"/>
        <w:ind w:left="568" w:hanging="284"/>
        <w:contextualSpacing w:val="0"/>
      </w:pPr>
      <w:r w:rsidRPr="00D46928">
        <w:t xml:space="preserve">Support collaboration between </w:t>
      </w:r>
      <w:r w:rsidR="00710B2C">
        <w:t xml:space="preserve">the </w:t>
      </w:r>
      <w:r w:rsidRPr="00D46928">
        <w:t xml:space="preserve">states and territories and hospital and community care settings to prevent and control </w:t>
      </w:r>
      <w:proofErr w:type="gramStart"/>
      <w:r w:rsidRPr="00D46928">
        <w:t>CARs</w:t>
      </w:r>
      <w:proofErr w:type="gramEnd"/>
    </w:p>
    <w:p w14:paraId="5A8038A1" w14:textId="0F0AF8AC" w:rsidR="00EB6106" w:rsidRPr="0039424D" w:rsidRDefault="003C0CAD" w:rsidP="00991E6C">
      <w:pPr>
        <w:pStyle w:val="Bulletlist"/>
        <w:numPr>
          <w:ilvl w:val="0"/>
          <w:numId w:val="9"/>
        </w:numPr>
        <w:spacing w:after="0"/>
      </w:pPr>
      <w:r w:rsidRPr="00D46928">
        <w:t>Prepare analyses of antimicrobial resistance data for and liaise with Therapeutic Guidelines Limited, the organisation that develops guidance on antimicrobial prescribing in Australia.</w:t>
      </w:r>
      <w:r w:rsidR="00EB6106" w:rsidRPr="0039424D">
        <w:rPr>
          <w:rFonts w:cs="Arial"/>
          <w:b/>
          <w:bCs/>
          <w:color w:val="000000"/>
        </w:rPr>
        <w:br w:type="page"/>
      </w:r>
    </w:p>
    <w:p w14:paraId="04094E5C" w14:textId="77777777" w:rsidR="00EB6106" w:rsidRPr="008E2966" w:rsidRDefault="00EB6106" w:rsidP="00064B79">
      <w:pPr>
        <w:pStyle w:val="Heading3"/>
      </w:pPr>
      <w:bookmarkStart w:id="2" w:name="_Toc166585567"/>
      <w:r w:rsidRPr="00A958D2">
        <w:lastRenderedPageBreak/>
        <w:t>National overview of key findings: 202</w:t>
      </w:r>
      <w:r>
        <w:t>3</w:t>
      </w:r>
      <w:r w:rsidRPr="00A958D2">
        <w:t xml:space="preserve"> compared to </w:t>
      </w:r>
      <w:proofErr w:type="gramStart"/>
      <w:r w:rsidRPr="00A958D2">
        <w:t>202</w:t>
      </w:r>
      <w:r>
        <w:t>2</w:t>
      </w:r>
      <w:bookmarkEnd w:id="2"/>
      <w:proofErr w:type="gramEnd"/>
    </w:p>
    <w:p w14:paraId="47ADA441" w14:textId="24B0CAF8" w:rsidR="001A1396" w:rsidRPr="00CC3B6C" w:rsidRDefault="001A1396" w:rsidP="00466BC0">
      <w:pPr>
        <w:pStyle w:val="Bulletlist"/>
        <w:numPr>
          <w:ilvl w:val="0"/>
          <w:numId w:val="9"/>
        </w:numPr>
        <w:spacing w:after="60"/>
        <w:ind w:left="283"/>
        <w:rPr>
          <w:color w:val="auto"/>
        </w:rPr>
      </w:pPr>
      <w:r w:rsidRPr="0061367D">
        <w:rPr>
          <w:color w:val="auto"/>
        </w:rPr>
        <w:t>CPE (including those with ribosomal methyltransferase or transmissible colistin resistance) was the most frequently reported CAR (1,</w:t>
      </w:r>
      <w:r w:rsidR="00443D13" w:rsidRPr="0061367D">
        <w:rPr>
          <w:color w:val="auto"/>
        </w:rPr>
        <w:t>205</w:t>
      </w:r>
      <w:r w:rsidRPr="0061367D">
        <w:rPr>
          <w:color w:val="auto"/>
        </w:rPr>
        <w:t>/2,6</w:t>
      </w:r>
      <w:r w:rsidR="00443D13" w:rsidRPr="0061367D">
        <w:rPr>
          <w:color w:val="auto"/>
        </w:rPr>
        <w:t>86</w:t>
      </w:r>
      <w:r w:rsidRPr="0061367D">
        <w:rPr>
          <w:color w:val="auto"/>
        </w:rPr>
        <w:t>, 4</w:t>
      </w:r>
      <w:r w:rsidR="001C0E00" w:rsidRPr="0061367D">
        <w:rPr>
          <w:color w:val="auto"/>
        </w:rPr>
        <w:t>4.</w:t>
      </w:r>
      <w:r w:rsidR="0061367D" w:rsidRPr="0061367D">
        <w:rPr>
          <w:color w:val="auto"/>
        </w:rPr>
        <w:t>9</w:t>
      </w:r>
      <w:r w:rsidRPr="0061367D">
        <w:rPr>
          <w:color w:val="auto"/>
        </w:rPr>
        <w:t xml:space="preserve">%) in 2023, followed by azithromycin-nonsusceptible </w:t>
      </w:r>
      <w:r w:rsidRPr="0061367D">
        <w:rPr>
          <w:i/>
          <w:iCs/>
          <w:color w:val="auto"/>
        </w:rPr>
        <w:t>N</w:t>
      </w:r>
      <w:r w:rsidR="00377FB3">
        <w:rPr>
          <w:i/>
          <w:iCs/>
          <w:color w:val="auto"/>
        </w:rPr>
        <w:t>. </w:t>
      </w:r>
      <w:r w:rsidRPr="0061367D">
        <w:rPr>
          <w:i/>
          <w:iCs/>
          <w:color w:val="auto"/>
        </w:rPr>
        <w:t>gonorrhoeae</w:t>
      </w:r>
      <w:r w:rsidRPr="0061367D">
        <w:rPr>
          <w:color w:val="auto"/>
        </w:rPr>
        <w:t xml:space="preserve"> (low-level resistance</w:t>
      </w:r>
      <w:r w:rsidR="00987675">
        <w:rPr>
          <w:color w:val="auto"/>
        </w:rPr>
        <w:t xml:space="preserve"> [LLR]</w:t>
      </w:r>
      <w:r w:rsidRPr="0061367D">
        <w:rPr>
          <w:color w:val="auto"/>
        </w:rPr>
        <w:t xml:space="preserve">, minimum </w:t>
      </w:r>
      <w:r w:rsidRPr="00CC3B6C">
        <w:rPr>
          <w:color w:val="auto"/>
        </w:rPr>
        <w:t>inhibitory concentration [MIC] &lt; 256 mg/L) (</w:t>
      </w:r>
      <w:r w:rsidR="0061367D" w:rsidRPr="000E46CB">
        <w:rPr>
          <w:color w:val="auto"/>
        </w:rPr>
        <w:t>669</w:t>
      </w:r>
      <w:r w:rsidRPr="000E46CB">
        <w:rPr>
          <w:color w:val="auto"/>
        </w:rPr>
        <w:t>/2</w:t>
      </w:r>
      <w:r w:rsidR="0061367D" w:rsidRPr="000E46CB">
        <w:rPr>
          <w:color w:val="auto"/>
        </w:rPr>
        <w:t>,</w:t>
      </w:r>
      <w:r w:rsidR="0061367D" w:rsidRPr="00CC3B6C">
        <w:rPr>
          <w:color w:val="auto"/>
        </w:rPr>
        <w:t>686</w:t>
      </w:r>
      <w:r w:rsidRPr="00CC3B6C">
        <w:rPr>
          <w:color w:val="auto"/>
        </w:rPr>
        <w:t>, 24.</w:t>
      </w:r>
      <w:r w:rsidR="0061367D" w:rsidRPr="00CC3B6C">
        <w:rPr>
          <w:color w:val="auto"/>
        </w:rPr>
        <w:t>9</w:t>
      </w:r>
      <w:r w:rsidRPr="00CC3B6C">
        <w:rPr>
          <w:color w:val="auto"/>
        </w:rPr>
        <w:t>%).</w:t>
      </w:r>
    </w:p>
    <w:p w14:paraId="1F0648A0" w14:textId="27293002" w:rsidR="00EB6106" w:rsidRPr="004B0BCF" w:rsidRDefault="00282AF9" w:rsidP="00466BC0">
      <w:pPr>
        <w:pStyle w:val="Bulletlist"/>
        <w:numPr>
          <w:ilvl w:val="0"/>
          <w:numId w:val="9"/>
        </w:numPr>
        <w:spacing w:after="60"/>
        <w:ind w:left="283"/>
        <w:rPr>
          <w:color w:val="auto"/>
          <w:szCs w:val="22"/>
        </w:rPr>
      </w:pPr>
      <w:r w:rsidRPr="004B0BCF">
        <w:rPr>
          <w:color w:val="auto"/>
        </w:rPr>
        <w:t>The total number of CPE (either alone or in combination with other CARs) reported in 2023, compared to 2022, increased by 45.</w:t>
      </w:r>
      <w:r w:rsidR="00C76970" w:rsidRPr="004B0BCF">
        <w:rPr>
          <w:color w:val="auto"/>
        </w:rPr>
        <w:t>4</w:t>
      </w:r>
      <w:r w:rsidRPr="004B0BCF">
        <w:rPr>
          <w:color w:val="auto"/>
        </w:rPr>
        <w:t>% (</w:t>
      </w:r>
      <w:r w:rsidRPr="004B0BCF">
        <w:rPr>
          <w:i/>
          <w:iCs/>
          <w:color w:val="auto"/>
        </w:rPr>
        <w:t>n</w:t>
      </w:r>
      <w:r w:rsidRPr="004B0BCF">
        <w:rPr>
          <w:color w:val="auto"/>
        </w:rPr>
        <w:t> = 1,</w:t>
      </w:r>
      <w:r w:rsidR="000B4BED" w:rsidRPr="004B0BCF">
        <w:rPr>
          <w:color w:val="auto"/>
        </w:rPr>
        <w:t>205</w:t>
      </w:r>
      <w:r w:rsidRPr="004B0BCF">
        <w:rPr>
          <w:color w:val="auto"/>
        </w:rPr>
        <w:t xml:space="preserve"> in 2023; </w:t>
      </w:r>
      <w:r w:rsidRPr="004B0BCF">
        <w:rPr>
          <w:i/>
          <w:iCs/>
          <w:color w:val="auto"/>
        </w:rPr>
        <w:t>n</w:t>
      </w:r>
      <w:r w:rsidRPr="004B0BCF">
        <w:rPr>
          <w:color w:val="auto"/>
        </w:rPr>
        <w:t> = 8</w:t>
      </w:r>
      <w:r w:rsidR="0061367D" w:rsidRPr="004B0BCF">
        <w:rPr>
          <w:color w:val="auto"/>
        </w:rPr>
        <w:t>29</w:t>
      </w:r>
      <w:r w:rsidRPr="004B0BCF">
        <w:rPr>
          <w:color w:val="auto"/>
        </w:rPr>
        <w:t xml:space="preserve"> in 2022). The increase </w:t>
      </w:r>
      <w:r w:rsidRPr="004B0BCF">
        <w:rPr>
          <w:color w:val="auto"/>
          <w:szCs w:val="22"/>
        </w:rPr>
        <w:t xml:space="preserve">was mostly seen in </w:t>
      </w:r>
      <w:r w:rsidR="00FC4708">
        <w:rPr>
          <w:color w:val="auto"/>
          <w:szCs w:val="22"/>
        </w:rPr>
        <w:t>Victoria (</w:t>
      </w:r>
      <w:r w:rsidR="00FC4708" w:rsidRPr="00FC4708">
        <w:rPr>
          <w:i/>
          <w:iCs/>
          <w:color w:val="auto"/>
          <w:szCs w:val="22"/>
        </w:rPr>
        <w:t>n</w:t>
      </w:r>
      <w:r w:rsidR="00FC4708" w:rsidRPr="00FC4708">
        <w:rPr>
          <w:color w:val="auto"/>
          <w:szCs w:val="22"/>
        </w:rPr>
        <w:t> = </w:t>
      </w:r>
      <w:r w:rsidR="00FC4708">
        <w:rPr>
          <w:color w:val="auto"/>
          <w:szCs w:val="22"/>
        </w:rPr>
        <w:t xml:space="preserve">356 in 2023; </w:t>
      </w:r>
      <w:r w:rsidR="00FC4708" w:rsidRPr="00FC4708">
        <w:rPr>
          <w:i/>
          <w:iCs/>
          <w:color w:val="auto"/>
          <w:szCs w:val="22"/>
        </w:rPr>
        <w:t>n</w:t>
      </w:r>
      <w:r w:rsidR="00FC4708" w:rsidRPr="00FC4708">
        <w:rPr>
          <w:color w:val="auto"/>
          <w:szCs w:val="22"/>
        </w:rPr>
        <w:t> = </w:t>
      </w:r>
      <w:r w:rsidR="00FC4708">
        <w:rPr>
          <w:color w:val="auto"/>
          <w:szCs w:val="22"/>
        </w:rPr>
        <w:t>200 in 2022, up 78</w:t>
      </w:r>
      <w:r w:rsidR="001673E2">
        <w:rPr>
          <w:color w:val="auto"/>
          <w:szCs w:val="22"/>
        </w:rPr>
        <w:t>.0</w:t>
      </w:r>
      <w:r w:rsidR="00FC4708">
        <w:rPr>
          <w:color w:val="auto"/>
          <w:szCs w:val="22"/>
        </w:rPr>
        <w:t>%), N</w:t>
      </w:r>
      <w:r w:rsidR="00C54F23">
        <w:rPr>
          <w:color w:val="auto"/>
          <w:szCs w:val="22"/>
        </w:rPr>
        <w:t xml:space="preserve">ew </w:t>
      </w:r>
      <w:r w:rsidR="00FC4708">
        <w:rPr>
          <w:color w:val="auto"/>
          <w:szCs w:val="22"/>
        </w:rPr>
        <w:t>S</w:t>
      </w:r>
      <w:r w:rsidR="00C54F23">
        <w:rPr>
          <w:color w:val="auto"/>
          <w:szCs w:val="22"/>
        </w:rPr>
        <w:t xml:space="preserve">outh </w:t>
      </w:r>
      <w:r w:rsidR="00FC4708">
        <w:rPr>
          <w:color w:val="auto"/>
          <w:szCs w:val="22"/>
        </w:rPr>
        <w:t>W</w:t>
      </w:r>
      <w:r w:rsidR="00C54F23">
        <w:rPr>
          <w:color w:val="auto"/>
          <w:szCs w:val="22"/>
        </w:rPr>
        <w:t>ales (NSW)</w:t>
      </w:r>
      <w:r w:rsidR="00FC4708">
        <w:rPr>
          <w:color w:val="auto"/>
          <w:szCs w:val="22"/>
        </w:rPr>
        <w:t xml:space="preserve"> (</w:t>
      </w:r>
      <w:r w:rsidR="00FC4708" w:rsidRPr="00FC4708">
        <w:rPr>
          <w:i/>
          <w:iCs/>
          <w:color w:val="auto"/>
          <w:szCs w:val="22"/>
        </w:rPr>
        <w:t>n</w:t>
      </w:r>
      <w:r w:rsidR="00FC4708" w:rsidRPr="00FC4708">
        <w:rPr>
          <w:color w:val="auto"/>
          <w:szCs w:val="22"/>
        </w:rPr>
        <w:t> = </w:t>
      </w:r>
      <w:r w:rsidR="00FC4708">
        <w:rPr>
          <w:color w:val="auto"/>
          <w:szCs w:val="22"/>
        </w:rPr>
        <w:t xml:space="preserve">524 in 2023; </w:t>
      </w:r>
      <w:r w:rsidR="00FC4708" w:rsidRPr="00FC4708">
        <w:rPr>
          <w:i/>
          <w:iCs/>
          <w:color w:val="auto"/>
          <w:szCs w:val="22"/>
        </w:rPr>
        <w:t>n</w:t>
      </w:r>
      <w:r w:rsidR="00FC4708" w:rsidRPr="00FC4708">
        <w:rPr>
          <w:color w:val="auto"/>
          <w:szCs w:val="22"/>
        </w:rPr>
        <w:t> = </w:t>
      </w:r>
      <w:r w:rsidR="00FC4708">
        <w:rPr>
          <w:color w:val="auto"/>
          <w:szCs w:val="22"/>
        </w:rPr>
        <w:t>299 in 2022, up 75</w:t>
      </w:r>
      <w:r w:rsidR="001673E2">
        <w:rPr>
          <w:color w:val="auto"/>
          <w:szCs w:val="22"/>
        </w:rPr>
        <w:t>.3</w:t>
      </w:r>
      <w:r w:rsidR="00FC4708">
        <w:rPr>
          <w:color w:val="auto"/>
          <w:szCs w:val="22"/>
        </w:rPr>
        <w:t>%)</w:t>
      </w:r>
      <w:r w:rsidR="002C3666">
        <w:rPr>
          <w:color w:val="auto"/>
          <w:szCs w:val="22"/>
        </w:rPr>
        <w:t>.</w:t>
      </w:r>
    </w:p>
    <w:p w14:paraId="4F1CDC7E" w14:textId="42EAD8A1" w:rsidR="00EB6106" w:rsidRPr="004B0BCF" w:rsidRDefault="00CC3B6C" w:rsidP="00466BC0">
      <w:pPr>
        <w:pStyle w:val="Bulletlist"/>
        <w:numPr>
          <w:ilvl w:val="0"/>
          <w:numId w:val="9"/>
        </w:numPr>
        <w:spacing w:after="60"/>
        <w:ind w:left="283"/>
        <w:rPr>
          <w:color w:val="auto"/>
          <w:szCs w:val="22"/>
        </w:rPr>
      </w:pPr>
      <w:r w:rsidRPr="004B0BCF">
        <w:rPr>
          <w:rStyle w:val="A4"/>
          <w:color w:val="auto"/>
          <w:sz w:val="22"/>
          <w:szCs w:val="22"/>
        </w:rPr>
        <w:t xml:space="preserve">The total number of </w:t>
      </w:r>
      <w:r w:rsidRPr="004B0BCF">
        <w:rPr>
          <w:rStyle w:val="A4"/>
          <w:i/>
          <w:iCs/>
          <w:color w:val="auto"/>
          <w:sz w:val="22"/>
          <w:szCs w:val="22"/>
        </w:rPr>
        <w:t xml:space="preserve">N. gonorrhoeae </w:t>
      </w:r>
      <w:r w:rsidRPr="004B0BCF">
        <w:rPr>
          <w:rStyle w:val="A4"/>
          <w:color w:val="auto"/>
          <w:sz w:val="22"/>
          <w:szCs w:val="22"/>
        </w:rPr>
        <w:t>report</w:t>
      </w:r>
      <w:r w:rsidR="002F38C6" w:rsidRPr="004B0BCF">
        <w:rPr>
          <w:rStyle w:val="A4"/>
          <w:color w:val="auto"/>
          <w:sz w:val="22"/>
          <w:szCs w:val="22"/>
        </w:rPr>
        <w:t xml:space="preserve">s </w:t>
      </w:r>
      <w:r w:rsidRPr="004B0BCF">
        <w:rPr>
          <w:rStyle w:val="A4"/>
          <w:color w:val="auto"/>
          <w:sz w:val="22"/>
          <w:szCs w:val="22"/>
        </w:rPr>
        <w:t>in 2023</w:t>
      </w:r>
      <w:r w:rsidR="002F38C6" w:rsidRPr="004B0BCF">
        <w:rPr>
          <w:rStyle w:val="A4"/>
          <w:color w:val="auto"/>
          <w:sz w:val="22"/>
          <w:szCs w:val="22"/>
        </w:rPr>
        <w:t xml:space="preserve"> more than quadrupled </w:t>
      </w:r>
      <w:r w:rsidRPr="004B0BCF">
        <w:rPr>
          <w:rStyle w:val="A4"/>
          <w:color w:val="auto"/>
          <w:sz w:val="22"/>
          <w:szCs w:val="22"/>
        </w:rPr>
        <w:t>compared to 2022</w:t>
      </w:r>
      <w:r w:rsidR="002F38C6" w:rsidRPr="004B0BCF">
        <w:rPr>
          <w:rStyle w:val="A4"/>
          <w:color w:val="auto"/>
          <w:sz w:val="22"/>
          <w:szCs w:val="22"/>
        </w:rPr>
        <w:t xml:space="preserve"> </w:t>
      </w:r>
      <w:r w:rsidRPr="004B0BCF">
        <w:rPr>
          <w:rStyle w:val="A4"/>
          <w:color w:val="auto"/>
          <w:sz w:val="22"/>
          <w:szCs w:val="22"/>
        </w:rPr>
        <w:t>(</w:t>
      </w:r>
      <w:r w:rsidRPr="004B0BCF">
        <w:rPr>
          <w:i/>
          <w:iCs/>
          <w:color w:val="auto"/>
        </w:rPr>
        <w:t>n</w:t>
      </w:r>
      <w:r w:rsidRPr="004B0BCF">
        <w:rPr>
          <w:color w:val="auto"/>
        </w:rPr>
        <w:t> = </w:t>
      </w:r>
      <w:r w:rsidR="002F38C6" w:rsidRPr="004B0BCF">
        <w:rPr>
          <w:color w:val="auto"/>
        </w:rPr>
        <w:t>713</w:t>
      </w:r>
      <w:r w:rsidRPr="004B0BCF">
        <w:rPr>
          <w:color w:val="auto"/>
        </w:rPr>
        <w:t xml:space="preserve"> in 2023; </w:t>
      </w:r>
      <w:r w:rsidRPr="004B0BCF">
        <w:rPr>
          <w:i/>
          <w:iCs/>
          <w:color w:val="auto"/>
        </w:rPr>
        <w:t>n</w:t>
      </w:r>
      <w:r w:rsidRPr="004B0BCF">
        <w:rPr>
          <w:color w:val="auto"/>
        </w:rPr>
        <w:t> = </w:t>
      </w:r>
      <w:r w:rsidR="002F38C6" w:rsidRPr="004B0BCF">
        <w:rPr>
          <w:color w:val="auto"/>
        </w:rPr>
        <w:t>159</w:t>
      </w:r>
      <w:r w:rsidRPr="004B0BCF">
        <w:rPr>
          <w:color w:val="auto"/>
        </w:rPr>
        <w:t xml:space="preserve"> in 2022</w:t>
      </w:r>
      <w:r w:rsidR="003E3832" w:rsidRPr="004B0BCF">
        <w:rPr>
          <w:color w:val="auto"/>
        </w:rPr>
        <w:t>,</w:t>
      </w:r>
      <w:r w:rsidR="002F38C6" w:rsidRPr="004B0BCF">
        <w:rPr>
          <w:color w:val="auto"/>
        </w:rPr>
        <w:t xml:space="preserve"> </w:t>
      </w:r>
      <w:r w:rsidR="003E3832" w:rsidRPr="004B0BCF">
        <w:rPr>
          <w:color w:val="auto"/>
        </w:rPr>
        <w:t xml:space="preserve">up </w:t>
      </w:r>
      <w:r w:rsidR="002F38C6" w:rsidRPr="004B0BCF">
        <w:rPr>
          <w:color w:val="auto"/>
        </w:rPr>
        <w:t>448%). Of these reports, 22 were ceftriaxone-nonsusceptible (</w:t>
      </w:r>
      <w:r w:rsidR="002F38C6" w:rsidRPr="004B0BCF">
        <w:rPr>
          <w:rStyle w:val="A4"/>
          <w:color w:val="auto"/>
          <w:sz w:val="22"/>
          <w:szCs w:val="22"/>
        </w:rPr>
        <w:t xml:space="preserve">MIC ≥ 0.125 mg/L) and 27 were azithromycin-nonsusceptible (high-level resistance, MIC ≥ 256 mg/L). </w:t>
      </w:r>
      <w:r w:rsidR="00EB6106" w:rsidRPr="004B0BCF">
        <w:rPr>
          <w:rStyle w:val="A4"/>
          <w:color w:val="auto"/>
          <w:sz w:val="22"/>
          <w:szCs w:val="22"/>
        </w:rPr>
        <w:t xml:space="preserve">The remaining </w:t>
      </w:r>
      <w:r w:rsidR="00EB6106" w:rsidRPr="004B0BCF">
        <w:rPr>
          <w:rStyle w:val="A4"/>
          <w:i/>
          <w:iCs/>
          <w:color w:val="auto"/>
          <w:sz w:val="22"/>
          <w:szCs w:val="22"/>
        </w:rPr>
        <w:t xml:space="preserve">N. gonorrhoeae </w:t>
      </w:r>
      <w:r w:rsidR="00EB6106" w:rsidRPr="004B0BCF">
        <w:rPr>
          <w:rStyle w:val="A4"/>
          <w:color w:val="auto"/>
          <w:sz w:val="22"/>
          <w:szCs w:val="22"/>
        </w:rPr>
        <w:t>reports were azithromycin-nonsusceptible (</w:t>
      </w:r>
      <w:r w:rsidR="00987675">
        <w:rPr>
          <w:rStyle w:val="A4"/>
          <w:color w:val="auto"/>
          <w:sz w:val="22"/>
          <w:szCs w:val="22"/>
        </w:rPr>
        <w:t>LLR</w:t>
      </w:r>
      <w:r w:rsidR="00EB6106" w:rsidRPr="004B0BCF">
        <w:rPr>
          <w:rStyle w:val="A4"/>
          <w:color w:val="auto"/>
          <w:sz w:val="22"/>
          <w:szCs w:val="22"/>
        </w:rPr>
        <w:t>, MIC &lt; 256 mg/L)</w:t>
      </w:r>
      <w:r w:rsidR="002F38C6" w:rsidRPr="004B0BCF">
        <w:rPr>
          <w:rStyle w:val="A4"/>
          <w:color w:val="auto"/>
          <w:sz w:val="22"/>
          <w:szCs w:val="22"/>
        </w:rPr>
        <w:t>.</w:t>
      </w:r>
    </w:p>
    <w:p w14:paraId="2143BAB9" w14:textId="09ADA49D" w:rsidR="00EB6106" w:rsidRPr="003D4AC1" w:rsidRDefault="00EB6106" w:rsidP="00466BC0">
      <w:pPr>
        <w:pStyle w:val="Bulletlist"/>
        <w:numPr>
          <w:ilvl w:val="0"/>
          <w:numId w:val="9"/>
        </w:numPr>
        <w:spacing w:after="60"/>
        <w:ind w:left="283"/>
        <w:rPr>
          <w:color w:val="auto"/>
        </w:rPr>
      </w:pPr>
      <w:r w:rsidRPr="00C76970">
        <w:rPr>
          <w:color w:val="auto"/>
          <w:szCs w:val="22"/>
        </w:rPr>
        <w:t xml:space="preserve">The number of reports of carbapenemase-producing </w:t>
      </w:r>
      <w:r w:rsidRPr="00C76970">
        <w:rPr>
          <w:i/>
          <w:iCs/>
          <w:color w:val="auto"/>
          <w:szCs w:val="22"/>
        </w:rPr>
        <w:t>Pseudomonas</w:t>
      </w:r>
      <w:r w:rsidR="00671348">
        <w:rPr>
          <w:i/>
          <w:iCs/>
          <w:color w:val="auto"/>
          <w:szCs w:val="22"/>
        </w:rPr>
        <w:t xml:space="preserve"> </w:t>
      </w:r>
      <w:r w:rsidRPr="00C76970">
        <w:rPr>
          <w:i/>
          <w:iCs/>
          <w:color w:val="auto"/>
          <w:szCs w:val="22"/>
        </w:rPr>
        <w:t>aeruginosa</w:t>
      </w:r>
      <w:r w:rsidRPr="00C76970">
        <w:rPr>
          <w:color w:val="auto"/>
          <w:szCs w:val="22"/>
        </w:rPr>
        <w:t xml:space="preserve"> (</w:t>
      </w:r>
      <w:r w:rsidRPr="00C76970">
        <w:rPr>
          <w:i/>
          <w:iCs/>
          <w:color w:val="auto"/>
          <w:szCs w:val="22"/>
        </w:rPr>
        <w:t>n </w:t>
      </w:r>
      <w:r w:rsidRPr="00C76970">
        <w:rPr>
          <w:color w:val="auto"/>
          <w:szCs w:val="22"/>
        </w:rPr>
        <w:t>= </w:t>
      </w:r>
      <w:r w:rsidR="003E3832">
        <w:rPr>
          <w:color w:val="auto"/>
          <w:szCs w:val="22"/>
        </w:rPr>
        <w:t>75</w:t>
      </w:r>
      <w:r w:rsidRPr="00C76970">
        <w:rPr>
          <w:color w:val="auto"/>
          <w:szCs w:val="22"/>
        </w:rPr>
        <w:t xml:space="preserve"> in</w:t>
      </w:r>
      <w:r w:rsidRPr="003D4AC1">
        <w:rPr>
          <w:color w:val="auto"/>
        </w:rPr>
        <w:t xml:space="preserve"> 2023; </w:t>
      </w:r>
      <w:r w:rsidRPr="003D4AC1">
        <w:rPr>
          <w:i/>
          <w:iCs/>
          <w:color w:val="auto"/>
        </w:rPr>
        <w:t>n </w:t>
      </w:r>
      <w:r w:rsidRPr="003D4AC1">
        <w:rPr>
          <w:color w:val="auto"/>
        </w:rPr>
        <w:t xml:space="preserve">= 57 in 2022) and carbapenemase-producing </w:t>
      </w:r>
      <w:r w:rsidRPr="003D4AC1">
        <w:rPr>
          <w:i/>
          <w:iCs/>
          <w:color w:val="auto"/>
        </w:rPr>
        <w:t>Acinetobacter</w:t>
      </w:r>
      <w:r w:rsidR="00671348">
        <w:rPr>
          <w:i/>
          <w:iCs/>
          <w:color w:val="auto"/>
        </w:rPr>
        <w:t xml:space="preserve"> </w:t>
      </w:r>
      <w:r w:rsidRPr="003D4AC1">
        <w:rPr>
          <w:i/>
          <w:iCs/>
          <w:color w:val="auto"/>
        </w:rPr>
        <w:t>baumannii</w:t>
      </w:r>
      <w:r w:rsidRPr="003D4AC1">
        <w:rPr>
          <w:color w:val="auto"/>
        </w:rPr>
        <w:t xml:space="preserve"> complex (</w:t>
      </w:r>
      <w:r w:rsidRPr="003D4AC1">
        <w:rPr>
          <w:i/>
          <w:iCs/>
          <w:color w:val="auto"/>
        </w:rPr>
        <w:t>n</w:t>
      </w:r>
      <w:r w:rsidRPr="003D4AC1">
        <w:rPr>
          <w:color w:val="auto"/>
        </w:rPr>
        <w:t xml:space="preserve"> = 37 in 2023; </w:t>
      </w:r>
      <w:r w:rsidRPr="003D4AC1">
        <w:rPr>
          <w:i/>
          <w:iCs/>
          <w:color w:val="auto"/>
        </w:rPr>
        <w:t>n </w:t>
      </w:r>
      <w:r w:rsidRPr="003D4AC1">
        <w:rPr>
          <w:color w:val="auto"/>
        </w:rPr>
        <w:t>= 23 in 2022) increased compared to the number</w:t>
      </w:r>
      <w:r w:rsidR="003E3832">
        <w:rPr>
          <w:color w:val="auto"/>
        </w:rPr>
        <w:t>s</w:t>
      </w:r>
      <w:r w:rsidRPr="003D4AC1">
        <w:rPr>
          <w:color w:val="auto"/>
        </w:rPr>
        <w:t xml:space="preserve"> reported in 2022</w:t>
      </w:r>
      <w:r w:rsidR="003E3832">
        <w:rPr>
          <w:color w:val="auto"/>
        </w:rPr>
        <w:t>.</w:t>
      </w:r>
    </w:p>
    <w:p w14:paraId="3E5F02BB" w14:textId="7949F1AA" w:rsidR="00EB6106" w:rsidRPr="004163B9" w:rsidRDefault="00EB6106" w:rsidP="00466BC0">
      <w:pPr>
        <w:pStyle w:val="Bulletlist"/>
        <w:numPr>
          <w:ilvl w:val="0"/>
          <w:numId w:val="9"/>
        </w:numPr>
        <w:spacing w:after="60"/>
        <w:ind w:left="283"/>
        <w:rPr>
          <w:color w:val="auto"/>
        </w:rPr>
      </w:pPr>
      <w:r w:rsidRPr="004163B9">
        <w:rPr>
          <w:color w:val="auto"/>
        </w:rPr>
        <w:t xml:space="preserve">There was a 4.7-fold increase in the overall number of reports of MDR </w:t>
      </w:r>
      <w:r w:rsidRPr="004163B9">
        <w:rPr>
          <w:i/>
          <w:iCs/>
          <w:color w:val="auto"/>
        </w:rPr>
        <w:t>Shigella</w:t>
      </w:r>
      <w:r w:rsidRPr="004163B9">
        <w:rPr>
          <w:color w:val="auto"/>
        </w:rPr>
        <w:t xml:space="preserve"> species (</w:t>
      </w:r>
      <w:r w:rsidRPr="004163B9">
        <w:rPr>
          <w:i/>
          <w:iCs/>
          <w:color w:val="auto"/>
        </w:rPr>
        <w:t>n</w:t>
      </w:r>
      <w:r w:rsidRPr="004163B9">
        <w:rPr>
          <w:color w:val="auto"/>
        </w:rPr>
        <w:t xml:space="preserve"> = 469 in 2023; </w:t>
      </w:r>
      <w:r w:rsidRPr="004163B9">
        <w:rPr>
          <w:i/>
          <w:iCs/>
          <w:color w:val="auto"/>
        </w:rPr>
        <w:t>n</w:t>
      </w:r>
      <w:r w:rsidRPr="004163B9">
        <w:rPr>
          <w:color w:val="auto"/>
        </w:rPr>
        <w:t> = 99 in 2022). There was a 10-fold increase in South Australia (</w:t>
      </w:r>
      <w:r w:rsidRPr="004163B9">
        <w:rPr>
          <w:i/>
          <w:iCs/>
          <w:color w:val="auto"/>
        </w:rPr>
        <w:t>n</w:t>
      </w:r>
      <w:r w:rsidRPr="004163B9">
        <w:rPr>
          <w:color w:val="auto"/>
        </w:rPr>
        <w:t xml:space="preserve"> = 21 in 2023; </w:t>
      </w:r>
      <w:r w:rsidRPr="004163B9">
        <w:rPr>
          <w:i/>
          <w:iCs/>
          <w:color w:val="auto"/>
        </w:rPr>
        <w:t>n</w:t>
      </w:r>
      <w:r w:rsidRPr="004163B9">
        <w:rPr>
          <w:color w:val="auto"/>
        </w:rPr>
        <w:t> = 2 in 2022), and more than 5-fold increase</w:t>
      </w:r>
      <w:r w:rsidR="003E3832">
        <w:rPr>
          <w:color w:val="auto"/>
        </w:rPr>
        <w:t>s</w:t>
      </w:r>
      <w:r w:rsidRPr="004163B9">
        <w:rPr>
          <w:color w:val="auto"/>
        </w:rPr>
        <w:t xml:space="preserve"> in Victoria (</w:t>
      </w:r>
      <w:r w:rsidRPr="004163B9">
        <w:rPr>
          <w:i/>
          <w:iCs/>
          <w:color w:val="auto"/>
        </w:rPr>
        <w:t>n</w:t>
      </w:r>
      <w:r w:rsidRPr="004163B9">
        <w:rPr>
          <w:color w:val="auto"/>
        </w:rPr>
        <w:t xml:space="preserve"> = 202 in 2023; </w:t>
      </w:r>
      <w:r w:rsidRPr="004163B9">
        <w:rPr>
          <w:i/>
          <w:iCs/>
          <w:color w:val="auto"/>
        </w:rPr>
        <w:t>n</w:t>
      </w:r>
      <w:r w:rsidRPr="004163B9">
        <w:rPr>
          <w:color w:val="auto"/>
        </w:rPr>
        <w:t> = 37 in 2022</w:t>
      </w:r>
      <w:r w:rsidR="003E3832">
        <w:rPr>
          <w:color w:val="auto"/>
        </w:rPr>
        <w:t>)</w:t>
      </w:r>
      <w:r>
        <w:rPr>
          <w:color w:val="auto"/>
        </w:rPr>
        <w:t xml:space="preserve">, </w:t>
      </w:r>
      <w:r w:rsidRPr="004163B9">
        <w:rPr>
          <w:color w:val="auto"/>
        </w:rPr>
        <w:t>NSW (</w:t>
      </w:r>
      <w:r w:rsidRPr="004163B9">
        <w:rPr>
          <w:i/>
          <w:iCs/>
          <w:color w:val="auto"/>
        </w:rPr>
        <w:t>n</w:t>
      </w:r>
      <w:r w:rsidRPr="004163B9">
        <w:rPr>
          <w:color w:val="auto"/>
        </w:rPr>
        <w:t xml:space="preserve"> = 178 in 2023; </w:t>
      </w:r>
      <w:r w:rsidRPr="004163B9">
        <w:rPr>
          <w:i/>
          <w:iCs/>
          <w:color w:val="auto"/>
        </w:rPr>
        <w:t>n</w:t>
      </w:r>
      <w:r w:rsidRPr="004163B9">
        <w:rPr>
          <w:color w:val="auto"/>
        </w:rPr>
        <w:t> = 32 in 2022)</w:t>
      </w:r>
      <w:r>
        <w:rPr>
          <w:color w:val="auto"/>
        </w:rPr>
        <w:t xml:space="preserve"> and</w:t>
      </w:r>
      <w:r w:rsidRPr="004163B9">
        <w:rPr>
          <w:color w:val="auto"/>
        </w:rPr>
        <w:t xml:space="preserve"> W</w:t>
      </w:r>
      <w:r w:rsidR="00A1457D">
        <w:rPr>
          <w:color w:val="auto"/>
        </w:rPr>
        <w:t xml:space="preserve">estern </w:t>
      </w:r>
      <w:r w:rsidRPr="004163B9">
        <w:rPr>
          <w:color w:val="auto"/>
        </w:rPr>
        <w:t>A</w:t>
      </w:r>
      <w:r w:rsidR="00A1457D">
        <w:rPr>
          <w:color w:val="auto"/>
        </w:rPr>
        <w:t>ustralia</w:t>
      </w:r>
      <w:r w:rsidRPr="004163B9">
        <w:rPr>
          <w:color w:val="auto"/>
        </w:rPr>
        <w:t xml:space="preserve"> (</w:t>
      </w:r>
      <w:r w:rsidRPr="004163B9">
        <w:rPr>
          <w:i/>
          <w:iCs/>
          <w:color w:val="auto"/>
        </w:rPr>
        <w:t>n</w:t>
      </w:r>
      <w:r w:rsidRPr="004163B9">
        <w:rPr>
          <w:color w:val="auto"/>
        </w:rPr>
        <w:t xml:space="preserve"> = 30 in 2023; </w:t>
      </w:r>
      <w:r w:rsidRPr="004163B9">
        <w:rPr>
          <w:i/>
          <w:iCs/>
          <w:color w:val="auto"/>
        </w:rPr>
        <w:t>n</w:t>
      </w:r>
      <w:r w:rsidRPr="004163B9">
        <w:rPr>
          <w:color w:val="auto"/>
        </w:rPr>
        <w:t> = 5 in 2022)</w:t>
      </w:r>
      <w:r w:rsidR="003E3832">
        <w:rPr>
          <w:color w:val="auto"/>
        </w:rPr>
        <w:t>.</w:t>
      </w:r>
    </w:p>
    <w:p w14:paraId="5DF88A43" w14:textId="66824F07" w:rsidR="00EB6106" w:rsidRPr="00D66ED8" w:rsidRDefault="00EB6106" w:rsidP="00466BC0">
      <w:pPr>
        <w:pStyle w:val="Bulletlist"/>
        <w:numPr>
          <w:ilvl w:val="0"/>
          <w:numId w:val="9"/>
        </w:numPr>
        <w:spacing w:after="60"/>
        <w:ind w:left="283"/>
        <w:rPr>
          <w:color w:val="auto"/>
        </w:rPr>
      </w:pPr>
      <w:r w:rsidRPr="00D66ED8">
        <w:rPr>
          <w:color w:val="auto"/>
        </w:rPr>
        <w:t xml:space="preserve">There was an increase in the number of ceftriaxone-nonsusceptible </w:t>
      </w:r>
      <w:r w:rsidRPr="00D66ED8">
        <w:rPr>
          <w:i/>
          <w:iCs/>
          <w:color w:val="auto"/>
        </w:rPr>
        <w:t>Salmonella</w:t>
      </w:r>
      <w:r w:rsidRPr="00D66ED8">
        <w:rPr>
          <w:color w:val="auto"/>
        </w:rPr>
        <w:t xml:space="preserve"> species (</w:t>
      </w:r>
      <w:r w:rsidRPr="00D66ED8">
        <w:rPr>
          <w:i/>
          <w:iCs/>
          <w:color w:val="auto"/>
        </w:rPr>
        <w:t>n</w:t>
      </w:r>
      <w:r w:rsidRPr="00D66ED8">
        <w:rPr>
          <w:color w:val="auto"/>
        </w:rPr>
        <w:t xml:space="preserve"> = 95 in 2023; </w:t>
      </w:r>
      <w:r w:rsidRPr="00D66ED8">
        <w:rPr>
          <w:i/>
          <w:iCs/>
          <w:color w:val="auto"/>
        </w:rPr>
        <w:t>n</w:t>
      </w:r>
      <w:r w:rsidRPr="00D66ED8">
        <w:rPr>
          <w:color w:val="auto"/>
        </w:rPr>
        <w:t> = 15 in 2022, up 86.3%). There were 13 (13.7%) typhoidal species reported in 2023</w:t>
      </w:r>
      <w:r w:rsidR="009E2981">
        <w:rPr>
          <w:color w:val="auto"/>
        </w:rPr>
        <w:t>.</w:t>
      </w:r>
    </w:p>
    <w:p w14:paraId="22DD0D60" w14:textId="13812D91" w:rsidR="00EB6106" w:rsidRPr="00AF040B" w:rsidRDefault="00EB6106" w:rsidP="00466BC0">
      <w:pPr>
        <w:pStyle w:val="Bulletlist"/>
        <w:numPr>
          <w:ilvl w:val="0"/>
          <w:numId w:val="9"/>
        </w:numPr>
        <w:spacing w:after="60"/>
        <w:ind w:left="283"/>
        <w:rPr>
          <w:color w:val="auto"/>
        </w:rPr>
      </w:pPr>
      <w:r w:rsidRPr="00AF040B">
        <w:rPr>
          <w:color w:val="auto"/>
        </w:rPr>
        <w:t xml:space="preserve">There were 14 reports of MDR </w:t>
      </w:r>
      <w:r w:rsidRPr="00AF040B">
        <w:rPr>
          <w:i/>
          <w:iCs/>
          <w:color w:val="auto"/>
        </w:rPr>
        <w:t>Mycobacterium tuberculosis</w:t>
      </w:r>
      <w:r w:rsidRPr="00AF040B">
        <w:rPr>
          <w:color w:val="auto"/>
        </w:rPr>
        <w:t xml:space="preserve"> in 2023, compared to 16 reports in 2022</w:t>
      </w:r>
      <w:r w:rsidR="00BE42C0">
        <w:rPr>
          <w:color w:val="auto"/>
        </w:rPr>
        <w:t>.</w:t>
      </w:r>
    </w:p>
    <w:p w14:paraId="1556D7F8" w14:textId="5DBDC1FB" w:rsidR="00EB6106" w:rsidRPr="00AF040B" w:rsidRDefault="00EB6106" w:rsidP="00466BC0">
      <w:pPr>
        <w:pStyle w:val="Bulletlist"/>
        <w:numPr>
          <w:ilvl w:val="0"/>
          <w:numId w:val="9"/>
        </w:numPr>
        <w:spacing w:after="60"/>
        <w:ind w:left="283"/>
        <w:rPr>
          <w:color w:val="auto"/>
        </w:rPr>
      </w:pPr>
      <w:r w:rsidRPr="00AF040B">
        <w:rPr>
          <w:color w:val="auto"/>
        </w:rPr>
        <w:t xml:space="preserve">There were 17 reports of </w:t>
      </w:r>
      <w:r w:rsidRPr="00AF040B">
        <w:rPr>
          <w:i/>
          <w:iCs/>
          <w:color w:val="auto"/>
        </w:rPr>
        <w:t>Candida auris</w:t>
      </w:r>
      <w:r w:rsidRPr="00AF040B">
        <w:rPr>
          <w:color w:val="auto"/>
        </w:rPr>
        <w:t xml:space="preserve"> in 2023, from five states. In 2022 there were nine reports</w:t>
      </w:r>
      <w:r w:rsidR="00BE42C0">
        <w:rPr>
          <w:color w:val="auto"/>
        </w:rPr>
        <w:t>.</w:t>
      </w:r>
    </w:p>
    <w:p w14:paraId="3FA8127F" w14:textId="791D2B2A" w:rsidR="00EB6106" w:rsidRPr="006F58F2" w:rsidRDefault="00EB6106" w:rsidP="00466BC0">
      <w:pPr>
        <w:pStyle w:val="Bulletlist"/>
        <w:numPr>
          <w:ilvl w:val="0"/>
          <w:numId w:val="9"/>
        </w:numPr>
        <w:ind w:left="283"/>
        <w:rPr>
          <w:color w:val="auto"/>
        </w:rPr>
      </w:pPr>
      <w:r w:rsidRPr="006F58F2">
        <w:rPr>
          <w:color w:val="auto"/>
        </w:rPr>
        <w:t>Where the setting was known, the majority of CARs were reported from hospitals (1,387/2,244, 61.8%). There were 849 (</w:t>
      </w:r>
      <w:r w:rsidR="00BE42C0">
        <w:rPr>
          <w:color w:val="auto"/>
        </w:rPr>
        <w:t>37.8</w:t>
      </w:r>
      <w:r w:rsidRPr="006F58F2">
        <w:rPr>
          <w:color w:val="auto"/>
        </w:rPr>
        <w:t xml:space="preserve">%) CARs reported from community settings, and </w:t>
      </w:r>
      <w:r w:rsidR="00BE42C0">
        <w:rPr>
          <w:color w:val="auto"/>
        </w:rPr>
        <w:t>eight</w:t>
      </w:r>
      <w:r w:rsidRPr="006F58F2">
        <w:rPr>
          <w:color w:val="auto"/>
        </w:rPr>
        <w:t xml:space="preserve"> (0.4%) from aged care homes.</w:t>
      </w:r>
    </w:p>
    <w:p w14:paraId="2DDA5DF7" w14:textId="77777777" w:rsidR="00EB6106" w:rsidRPr="00D36D52" w:rsidRDefault="00EB6106" w:rsidP="00EB6106">
      <w:pPr>
        <w:pStyle w:val="Bulletlist"/>
        <w:numPr>
          <w:ilvl w:val="0"/>
          <w:numId w:val="9"/>
        </w:numPr>
        <w:spacing w:after="80"/>
      </w:pPr>
      <w:r w:rsidRPr="00D36D52">
        <w:rPr>
          <w:color w:val="EFF6FA" w:themeColor="accent2" w:themeTint="99"/>
        </w:rPr>
        <w:br w:type="page"/>
      </w:r>
    </w:p>
    <w:p w14:paraId="2D539FAD" w14:textId="77777777" w:rsidR="00EB6106" w:rsidRPr="001C2D02" w:rsidRDefault="00EB6106" w:rsidP="00EB6106">
      <w:pPr>
        <w:pStyle w:val="Heading2"/>
      </w:pPr>
      <w:bookmarkStart w:id="3" w:name="_Toc166585568"/>
      <w:r w:rsidRPr="001C2D02">
        <w:lastRenderedPageBreak/>
        <w:t>Results from CARAlert, 20</w:t>
      </w:r>
      <w:r>
        <w:t>23</w:t>
      </w:r>
      <w:bookmarkEnd w:id="3"/>
    </w:p>
    <w:p w14:paraId="7C218C9B" w14:textId="77777777" w:rsidR="00EB6106" w:rsidRDefault="00EB6106" w:rsidP="00EB6106">
      <w:r>
        <w:t>I</w:t>
      </w:r>
      <w:r w:rsidRPr="001C74A2">
        <w:t xml:space="preserve">nformation about </w:t>
      </w:r>
      <w:r>
        <w:t>the National Alert System for Critical Antimicrobial Resistances (</w:t>
      </w:r>
      <w:r w:rsidRPr="001C74A2">
        <w:t>CARAlert</w:t>
      </w:r>
      <w:r>
        <w:t>), and methods used for the analyses presented in this report are included in Appendices 1 and 2.</w:t>
      </w:r>
    </w:p>
    <w:p w14:paraId="2E1C1191" w14:textId="123BFC6D" w:rsidR="00EB6106" w:rsidRDefault="00EB6106" w:rsidP="00EB6106">
      <w:r w:rsidRPr="00797EEB">
        <w:t>Between 1 January 202</w:t>
      </w:r>
      <w:r w:rsidR="00F66484">
        <w:t>3</w:t>
      </w:r>
      <w:r w:rsidRPr="00797EEB">
        <w:t xml:space="preserve"> and 31 December 202</w:t>
      </w:r>
      <w:r>
        <w:t>3</w:t>
      </w:r>
      <w:r w:rsidRPr="00797EEB">
        <w:t xml:space="preserve">, a total </w:t>
      </w:r>
      <w:r w:rsidRPr="00174A07">
        <w:t xml:space="preserve">of </w:t>
      </w:r>
      <w:r>
        <w:t>2</w:t>
      </w:r>
      <w:r w:rsidRPr="00174A07">
        <w:t>,</w:t>
      </w:r>
      <w:r>
        <w:t>686</w:t>
      </w:r>
      <w:r w:rsidRPr="00E52318">
        <w:t xml:space="preserve"> </w:t>
      </w:r>
      <w:r>
        <w:t>critical antimicrobial resistances (</w:t>
      </w:r>
      <w:r w:rsidRPr="00E52318">
        <w:t>CARs</w:t>
      </w:r>
      <w:r>
        <w:t>)</w:t>
      </w:r>
      <w:r w:rsidRPr="00E52318">
        <w:t xml:space="preserve"> </w:t>
      </w:r>
      <w:r w:rsidRPr="005E7EA9">
        <w:t xml:space="preserve">from </w:t>
      </w:r>
      <w:r>
        <w:t>72</w:t>
      </w:r>
      <w:r w:rsidRPr="00E52318">
        <w:t xml:space="preserve"> originating laboratories across Australia were entered into CARAlert </w:t>
      </w:r>
      <w:r w:rsidRPr="003D4AC1">
        <w:t xml:space="preserve">by 23 of </w:t>
      </w:r>
      <w:r>
        <w:t xml:space="preserve">the </w:t>
      </w:r>
      <w:r w:rsidRPr="007307E4">
        <w:t>2</w:t>
      </w:r>
      <w:r>
        <w:t xml:space="preserve">6 </w:t>
      </w:r>
      <w:r w:rsidRPr="00E52318">
        <w:t xml:space="preserve">confirming laboratories </w:t>
      </w:r>
      <w:r>
        <w:t xml:space="preserve">nationally that </w:t>
      </w:r>
      <w:r w:rsidR="00424205">
        <w:t>participate</w:t>
      </w:r>
      <w:r>
        <w:t xml:space="preserve"> </w:t>
      </w:r>
      <w:r w:rsidR="00424205">
        <w:t xml:space="preserve">in </w:t>
      </w:r>
      <w:r>
        <w:t xml:space="preserve">CARAlert </w:t>
      </w:r>
      <w:r w:rsidRPr="00E52318">
        <w:t>(</w:t>
      </w:r>
      <w:r>
        <w:t>Appendix 3</w:t>
      </w:r>
      <w:r w:rsidRPr="00E52318">
        <w:t xml:space="preserve">). There was an average </w:t>
      </w:r>
      <w:r w:rsidRPr="005E7EA9">
        <w:t xml:space="preserve">of </w:t>
      </w:r>
      <w:r>
        <w:t>224</w:t>
      </w:r>
      <w:r w:rsidRPr="00E52318">
        <w:t xml:space="preserve"> entries per month.</w:t>
      </w:r>
    </w:p>
    <w:p w14:paraId="05DAB9E0" w14:textId="77777777" w:rsidR="00EB6106" w:rsidRDefault="00EB6106" w:rsidP="00EB6106">
      <w:pPr>
        <w:pStyle w:val="Heading3"/>
      </w:pPr>
      <w:bookmarkStart w:id="4" w:name="_Toc166585569"/>
      <w:r w:rsidRPr="00E63148">
        <w:t>Critical</w:t>
      </w:r>
      <w:r w:rsidRPr="00A958D2">
        <w:t xml:space="preserve"> antimicrobial resistances by </w:t>
      </w:r>
      <w:r w:rsidRPr="00D16695">
        <w:t>state and territory</w:t>
      </w:r>
      <w:bookmarkEnd w:id="4"/>
    </w:p>
    <w:p w14:paraId="331983D1" w14:textId="77777777" w:rsidR="00EB6106" w:rsidRPr="00C66643" w:rsidRDefault="00EB6106" w:rsidP="00EB6106">
      <w:r w:rsidRPr="00BB6C46">
        <w:t xml:space="preserve">Most CARs were reported for patients who lived in the most populous states (New South Wales </w:t>
      </w:r>
      <w:r w:rsidRPr="00C66643">
        <w:t xml:space="preserve">[NSW], </w:t>
      </w:r>
      <w:r w:rsidRPr="00C66643">
        <w:rPr>
          <w:i/>
          <w:iCs/>
        </w:rPr>
        <w:t>n = </w:t>
      </w:r>
      <w:r w:rsidRPr="00C66643">
        <w:t>95</w:t>
      </w:r>
      <w:r>
        <w:t>8</w:t>
      </w:r>
      <w:r w:rsidRPr="00C66643">
        <w:t xml:space="preserve">, 35.7%; Victoria, </w:t>
      </w:r>
      <w:r w:rsidRPr="00C66643">
        <w:rPr>
          <w:i/>
          <w:iCs/>
        </w:rPr>
        <w:t>n = </w:t>
      </w:r>
      <w:r w:rsidRPr="00C66643">
        <w:t>1,10</w:t>
      </w:r>
      <w:r>
        <w:t>3</w:t>
      </w:r>
      <w:r w:rsidRPr="00C66643">
        <w:t>, 41.</w:t>
      </w:r>
      <w:r>
        <w:t>1</w:t>
      </w:r>
      <w:r w:rsidRPr="00C66643">
        <w:t xml:space="preserve">%; Queensland, </w:t>
      </w:r>
      <w:r w:rsidRPr="00C66643">
        <w:rPr>
          <w:i/>
          <w:iCs/>
        </w:rPr>
        <w:t>n = </w:t>
      </w:r>
      <w:r w:rsidRPr="00C66643">
        <w:t>29</w:t>
      </w:r>
      <w:r>
        <w:t>9</w:t>
      </w:r>
      <w:r w:rsidRPr="00C66643">
        <w:t>, 11.</w:t>
      </w:r>
      <w:r>
        <w:t>1</w:t>
      </w:r>
      <w:r w:rsidRPr="00C66643">
        <w:t>%). There were fewer than 20 reports from the Northern Territory (NT) and the Australian Capital Territory (ACT) and less than 10 reports from Tasmania (Table 1).</w:t>
      </w:r>
    </w:p>
    <w:p w14:paraId="1468B9B4" w14:textId="5A01DAF2" w:rsidR="0099565A" w:rsidRDefault="00EB6106" w:rsidP="00EB6106">
      <w:r w:rsidRPr="00C66643">
        <w:t xml:space="preserve">Carbapenemase-producing </w:t>
      </w:r>
      <w:r w:rsidRPr="00C66643">
        <w:rPr>
          <w:i/>
        </w:rPr>
        <w:t>Enterobacterales</w:t>
      </w:r>
      <w:r w:rsidRPr="00C66643">
        <w:t xml:space="preserve"> (CPE) (including those with ribosomal methyltransferase or transmissible resistance to colistin) was the most frequently reported CAR (1,205/2,6</w:t>
      </w:r>
      <w:r>
        <w:t>86</w:t>
      </w:r>
      <w:r w:rsidRPr="00C66643">
        <w:t>, 4</w:t>
      </w:r>
      <w:r>
        <w:t>4</w:t>
      </w:r>
      <w:r w:rsidRPr="00C66643">
        <w:t>.</w:t>
      </w:r>
      <w:r>
        <w:t>9</w:t>
      </w:r>
      <w:r w:rsidRPr="00C66643">
        <w:t>%) in 2023. Compared to 2022 (</w:t>
      </w:r>
      <w:r w:rsidRPr="00C66643">
        <w:rPr>
          <w:i/>
          <w:iCs/>
        </w:rPr>
        <w:t>n</w:t>
      </w:r>
      <w:r w:rsidRPr="00C66643">
        <w:t xml:space="preserve"> = 829), there was a 45.4% increase in overall </w:t>
      </w:r>
      <w:r w:rsidRPr="00706B9A">
        <w:t>reports of CPE in 2023; the greatest increase was seen in Victoria (</w:t>
      </w:r>
      <w:r w:rsidRPr="00706B9A">
        <w:rPr>
          <w:i/>
          <w:iCs/>
        </w:rPr>
        <w:t>n </w:t>
      </w:r>
      <w:r w:rsidRPr="00706B9A">
        <w:t>= 356 in 2023;</w:t>
      </w:r>
      <w:r w:rsidRPr="00706B9A">
        <w:rPr>
          <w:i/>
          <w:iCs/>
        </w:rPr>
        <w:t xml:space="preserve"> n </w:t>
      </w:r>
      <w:r w:rsidRPr="00706B9A">
        <w:t>= 200 in 2022, up 78.0%) and NSW (</w:t>
      </w:r>
      <w:r w:rsidRPr="00706B9A">
        <w:rPr>
          <w:i/>
          <w:iCs/>
        </w:rPr>
        <w:t>n </w:t>
      </w:r>
      <w:r w:rsidRPr="00706B9A">
        <w:t>= 524 in 2023;</w:t>
      </w:r>
      <w:r w:rsidRPr="00706B9A">
        <w:rPr>
          <w:i/>
          <w:iCs/>
        </w:rPr>
        <w:t xml:space="preserve"> n </w:t>
      </w:r>
      <w:r w:rsidRPr="00706B9A">
        <w:t>= 299 in 2022, up 75.3%).</w:t>
      </w:r>
    </w:p>
    <w:p w14:paraId="1A3297FA" w14:textId="2DDB2A01" w:rsidR="00EB6106" w:rsidRPr="004B25CD" w:rsidRDefault="00EB6106" w:rsidP="00EB6106">
      <w:r w:rsidRPr="001D62C1">
        <w:t xml:space="preserve">In 2023, the </w:t>
      </w:r>
      <w:r w:rsidRPr="004B25CD">
        <w:t xml:space="preserve">number of azithromycin-nonsusceptible </w:t>
      </w:r>
      <w:r w:rsidRPr="004B25CD">
        <w:rPr>
          <w:i/>
          <w:iCs/>
        </w:rPr>
        <w:t xml:space="preserve">Neisseria gonorrhoeae </w:t>
      </w:r>
      <w:r w:rsidRPr="004B25CD">
        <w:t>(low-level resistance [LLR], minimum inhibitory concentration [</w:t>
      </w:r>
      <w:r w:rsidRPr="004B25CD">
        <w:rPr>
          <w:rStyle w:val="A4"/>
          <w:sz w:val="22"/>
          <w:szCs w:val="22"/>
        </w:rPr>
        <w:t>MIC] &lt; 256 mg/L</w:t>
      </w:r>
      <w:r w:rsidRPr="004B25CD">
        <w:t>) reports increased by almost 6-fold (</w:t>
      </w:r>
      <w:r w:rsidRPr="004B25CD">
        <w:rPr>
          <w:i/>
          <w:iCs/>
        </w:rPr>
        <w:t>n </w:t>
      </w:r>
      <w:r w:rsidRPr="004B25CD">
        <w:t>= 669 in 2023;</w:t>
      </w:r>
      <w:r w:rsidRPr="004B25CD">
        <w:rPr>
          <w:i/>
          <w:iCs/>
        </w:rPr>
        <w:t xml:space="preserve"> n </w:t>
      </w:r>
      <w:r w:rsidRPr="004B25CD">
        <w:t>= 114 in 2022). The greatest increase was seen in NSW (</w:t>
      </w:r>
      <w:r w:rsidRPr="004B25CD">
        <w:rPr>
          <w:i/>
          <w:iCs/>
        </w:rPr>
        <w:t>n</w:t>
      </w:r>
      <w:r w:rsidRPr="004B25CD">
        <w:t> = 157 in 2023;</w:t>
      </w:r>
      <w:r w:rsidRPr="004B25CD">
        <w:rPr>
          <w:i/>
          <w:iCs/>
        </w:rPr>
        <w:t xml:space="preserve"> n</w:t>
      </w:r>
      <w:r w:rsidRPr="004B25CD">
        <w:t> = 9 in 2022, up 17</w:t>
      </w:r>
      <w:r w:rsidR="004B25CD">
        <w:t>.4</w:t>
      </w:r>
      <w:r w:rsidRPr="004B25CD">
        <w:t>-fold</w:t>
      </w:r>
      <w:r w:rsidRPr="00733344">
        <w:t xml:space="preserve">). </w:t>
      </w:r>
      <w:r w:rsidRPr="001673E2">
        <w:t xml:space="preserve">There was an increase in reports of this CAR in </w:t>
      </w:r>
      <w:r w:rsidR="00733344" w:rsidRPr="001673E2">
        <w:t>SA</w:t>
      </w:r>
      <w:r w:rsidRPr="001673E2">
        <w:t xml:space="preserve"> (</w:t>
      </w:r>
      <w:r w:rsidRPr="001673E2">
        <w:rPr>
          <w:i/>
          <w:iCs/>
        </w:rPr>
        <w:t>n</w:t>
      </w:r>
      <w:r w:rsidRPr="001673E2">
        <w:t> = </w:t>
      </w:r>
      <w:r w:rsidR="00733344" w:rsidRPr="001673E2">
        <w:t>17</w:t>
      </w:r>
      <w:r w:rsidRPr="001673E2">
        <w:t xml:space="preserve"> in 202</w:t>
      </w:r>
      <w:r w:rsidR="00733344" w:rsidRPr="001673E2">
        <w:t>3</w:t>
      </w:r>
      <w:r w:rsidRPr="001673E2">
        <w:t>;</w:t>
      </w:r>
      <w:r w:rsidRPr="001673E2">
        <w:rPr>
          <w:i/>
          <w:iCs/>
        </w:rPr>
        <w:t xml:space="preserve"> n</w:t>
      </w:r>
      <w:r w:rsidRPr="001673E2">
        <w:t> = </w:t>
      </w:r>
      <w:r w:rsidR="00733344" w:rsidRPr="001673E2">
        <w:t>2</w:t>
      </w:r>
      <w:r w:rsidRPr="001673E2">
        <w:t xml:space="preserve"> in 202</w:t>
      </w:r>
      <w:r w:rsidR="00733344" w:rsidRPr="001673E2">
        <w:t>2</w:t>
      </w:r>
      <w:r w:rsidRPr="001673E2">
        <w:t xml:space="preserve">, up </w:t>
      </w:r>
      <w:r w:rsidR="00733344" w:rsidRPr="001673E2">
        <w:t xml:space="preserve">8.5-fold </w:t>
      </w:r>
      <w:r w:rsidRPr="001673E2">
        <w:t>and Victoria (</w:t>
      </w:r>
      <w:r w:rsidRPr="001673E2">
        <w:rPr>
          <w:i/>
          <w:iCs/>
        </w:rPr>
        <w:t>n</w:t>
      </w:r>
      <w:r w:rsidRPr="001673E2">
        <w:t> = </w:t>
      </w:r>
      <w:r w:rsidR="00733344" w:rsidRPr="001673E2">
        <w:t>415</w:t>
      </w:r>
      <w:r w:rsidRPr="001673E2">
        <w:t xml:space="preserve"> in 202</w:t>
      </w:r>
      <w:r w:rsidR="00733344" w:rsidRPr="001673E2">
        <w:t>3</w:t>
      </w:r>
      <w:r w:rsidRPr="001673E2">
        <w:t>;</w:t>
      </w:r>
      <w:r w:rsidRPr="001673E2">
        <w:rPr>
          <w:i/>
          <w:iCs/>
        </w:rPr>
        <w:t xml:space="preserve"> n</w:t>
      </w:r>
      <w:r w:rsidRPr="001673E2">
        <w:t> = </w:t>
      </w:r>
      <w:r w:rsidR="00733344" w:rsidRPr="001673E2">
        <w:t>57</w:t>
      </w:r>
      <w:r w:rsidRPr="001673E2">
        <w:t xml:space="preserve"> in 202</w:t>
      </w:r>
      <w:r w:rsidR="00733344" w:rsidRPr="001673E2">
        <w:t>2</w:t>
      </w:r>
      <w:r w:rsidRPr="001673E2">
        <w:t xml:space="preserve">, up </w:t>
      </w:r>
      <w:r w:rsidR="00733344" w:rsidRPr="001673E2">
        <w:t>7.3-fold</w:t>
      </w:r>
      <w:r w:rsidRPr="001673E2">
        <w:t>).</w:t>
      </w:r>
      <w:r w:rsidRPr="00733344">
        <w:t xml:space="preserve"> There </w:t>
      </w:r>
      <w:r w:rsidRPr="004B25CD">
        <w:t>were no reports from the NT or the ACT.</w:t>
      </w:r>
    </w:p>
    <w:p w14:paraId="21FD237F" w14:textId="7AE5403D" w:rsidR="00EB6106" w:rsidRPr="009D5D22" w:rsidRDefault="003B5E18" w:rsidP="00EB6106">
      <w:r w:rsidRPr="009D5D22">
        <w:t xml:space="preserve">Ceftriaxone-nonsusceptible and azithromycin-nonsusceptible (high-level resistance [HLR], </w:t>
      </w:r>
      <w:r w:rsidRPr="009D5D22">
        <w:rPr>
          <w:rStyle w:val="A4"/>
          <w:color w:val="auto"/>
          <w:sz w:val="22"/>
          <w:szCs w:val="22"/>
        </w:rPr>
        <w:t>MIC </w:t>
      </w:r>
      <w:r w:rsidRPr="009D5D22">
        <w:rPr>
          <w:rStyle w:val="A4"/>
          <w:rFonts w:cstheme="minorHAnsi"/>
          <w:color w:val="auto"/>
          <w:sz w:val="22"/>
          <w:szCs w:val="22"/>
        </w:rPr>
        <w:t>≥</w:t>
      </w:r>
      <w:r w:rsidRPr="009D5D22">
        <w:rPr>
          <w:rStyle w:val="A4"/>
          <w:color w:val="auto"/>
          <w:sz w:val="22"/>
          <w:szCs w:val="22"/>
        </w:rPr>
        <w:t> 256 mg/L</w:t>
      </w:r>
      <w:r w:rsidRPr="009D5D22">
        <w:t xml:space="preserve">) </w:t>
      </w:r>
      <w:r w:rsidRPr="009D5D22">
        <w:rPr>
          <w:i/>
          <w:iCs/>
        </w:rPr>
        <w:t xml:space="preserve">N. gonorrhoeae </w:t>
      </w:r>
      <w:r w:rsidRPr="009D5D22">
        <w:t xml:space="preserve">were reported </w:t>
      </w:r>
      <w:r w:rsidR="000E2A73" w:rsidRPr="009D5D22">
        <w:t xml:space="preserve">for the first time </w:t>
      </w:r>
      <w:r w:rsidRPr="009D5D22">
        <w:t>in 2023 (</w:t>
      </w:r>
      <w:r w:rsidRPr="009D5D22">
        <w:rPr>
          <w:i/>
          <w:iCs/>
        </w:rPr>
        <w:t>n</w:t>
      </w:r>
      <w:r w:rsidRPr="009D5D22">
        <w:t> = 5 from Victoria) since 2018 (</w:t>
      </w:r>
      <w:r w:rsidRPr="009D5D22">
        <w:rPr>
          <w:i/>
          <w:iCs/>
        </w:rPr>
        <w:t>n </w:t>
      </w:r>
      <w:r w:rsidRPr="009D5D22">
        <w:t>= 2 from Queensland).</w:t>
      </w:r>
    </w:p>
    <w:p w14:paraId="0747722B" w14:textId="77777777" w:rsidR="00EB6106" w:rsidRPr="00E04AB0" w:rsidRDefault="00EB6106" w:rsidP="00EB6106">
      <w:r>
        <w:t>There was a 4.7-fold increase in the number</w:t>
      </w:r>
      <w:r w:rsidRPr="00F37048">
        <w:t xml:space="preserve"> of multidrug-resistant (MDR) </w:t>
      </w:r>
      <w:r w:rsidRPr="00F37048">
        <w:rPr>
          <w:i/>
          <w:iCs/>
        </w:rPr>
        <w:t xml:space="preserve">Shigella </w:t>
      </w:r>
      <w:r w:rsidRPr="00F37048">
        <w:t xml:space="preserve">species </w:t>
      </w:r>
      <w:r>
        <w:t>reported in 2023</w:t>
      </w:r>
      <w:r w:rsidRPr="00F37048">
        <w:t xml:space="preserve"> (</w:t>
      </w:r>
      <w:r w:rsidRPr="00F37048">
        <w:rPr>
          <w:i/>
          <w:iCs/>
        </w:rPr>
        <w:t>n </w:t>
      </w:r>
      <w:r w:rsidRPr="00F37048">
        <w:t>= </w:t>
      </w:r>
      <w:r w:rsidRPr="00D53C6E">
        <w:t>469 in 2023;</w:t>
      </w:r>
      <w:r w:rsidRPr="00D53C6E">
        <w:rPr>
          <w:i/>
          <w:iCs/>
        </w:rPr>
        <w:t xml:space="preserve"> n </w:t>
      </w:r>
      <w:r w:rsidRPr="00D53C6E">
        <w:t xml:space="preserve">= 99 in 2022). Increases were seen across all states and </w:t>
      </w:r>
      <w:r w:rsidRPr="00E04AB0">
        <w:t>territories, with the greatest increase seen in reports from South Australia (SA), Western Australia (WA), NSW and Victoria.</w:t>
      </w:r>
    </w:p>
    <w:p w14:paraId="5AF3837B" w14:textId="77777777" w:rsidR="00EB6106" w:rsidRPr="000514CD" w:rsidRDefault="00EB6106" w:rsidP="00EB6106">
      <w:r w:rsidRPr="000514CD">
        <w:t xml:space="preserve">Carbapenemase-producing </w:t>
      </w:r>
      <w:r w:rsidRPr="000514CD">
        <w:rPr>
          <w:i/>
          <w:iCs/>
        </w:rPr>
        <w:t>Pseudomonas aeruginosa</w:t>
      </w:r>
      <w:r w:rsidRPr="000514CD">
        <w:t xml:space="preserve"> were reported predominantly from NSW (33/75, 44.0%).</w:t>
      </w:r>
    </w:p>
    <w:p w14:paraId="4B07F7CD" w14:textId="30F5E912" w:rsidR="00EB6106" w:rsidRPr="006C2A77" w:rsidRDefault="00EB6106" w:rsidP="00EB6106">
      <w:r w:rsidRPr="006C2A77">
        <w:t xml:space="preserve">There was a 1.9-fold increase in the number of ceftriaxone-nonsusceptible </w:t>
      </w:r>
      <w:r w:rsidRPr="006C2A77">
        <w:rPr>
          <w:i/>
          <w:iCs/>
        </w:rPr>
        <w:t>Salmonella</w:t>
      </w:r>
      <w:r w:rsidRPr="006C2A77">
        <w:t xml:space="preserve"> species reported in 2023 (</w:t>
      </w:r>
      <w:r w:rsidRPr="006C2A77">
        <w:rPr>
          <w:i/>
          <w:iCs/>
        </w:rPr>
        <w:t>n</w:t>
      </w:r>
      <w:r w:rsidRPr="006C2A77">
        <w:t> = 95 in 2023;</w:t>
      </w:r>
      <w:r w:rsidRPr="006C2A77">
        <w:rPr>
          <w:i/>
          <w:iCs/>
        </w:rPr>
        <w:t xml:space="preserve"> n</w:t>
      </w:r>
      <w:r w:rsidRPr="006C2A77">
        <w:t> = 51 in 2022). The greatest increase was in reports from Queensland (</w:t>
      </w:r>
      <w:r w:rsidRPr="006C2A77">
        <w:rPr>
          <w:i/>
          <w:iCs/>
        </w:rPr>
        <w:t>n</w:t>
      </w:r>
      <w:r w:rsidRPr="006C2A77">
        <w:t> = 22 in 2023;</w:t>
      </w:r>
      <w:r w:rsidRPr="006C2A77">
        <w:rPr>
          <w:i/>
          <w:iCs/>
        </w:rPr>
        <w:t xml:space="preserve"> n</w:t>
      </w:r>
      <w:r w:rsidRPr="006C2A77">
        <w:t> = </w:t>
      </w:r>
      <w:r w:rsidR="006C2A77" w:rsidRPr="006C2A77">
        <w:t>7</w:t>
      </w:r>
      <w:r w:rsidRPr="006C2A77">
        <w:t xml:space="preserve"> in 2022) and Victoria (</w:t>
      </w:r>
      <w:r w:rsidRPr="006C2A77">
        <w:rPr>
          <w:i/>
          <w:iCs/>
        </w:rPr>
        <w:t>n</w:t>
      </w:r>
      <w:r w:rsidRPr="006C2A77">
        <w:t xml:space="preserve"> = 39 in 2023; </w:t>
      </w:r>
      <w:r w:rsidRPr="006C2A77">
        <w:rPr>
          <w:i/>
          <w:iCs/>
        </w:rPr>
        <w:t>n</w:t>
      </w:r>
      <w:r w:rsidRPr="006C2A77">
        <w:t> = </w:t>
      </w:r>
      <w:r w:rsidR="006C2A77" w:rsidRPr="006C2A77">
        <w:t>17</w:t>
      </w:r>
      <w:r w:rsidRPr="006C2A77">
        <w:t xml:space="preserve"> in 2022). </w:t>
      </w:r>
      <w:r w:rsidR="006C2A77">
        <w:t>Less than 1 in 6</w:t>
      </w:r>
      <w:r w:rsidRPr="006C2A77">
        <w:t xml:space="preserve"> (13/</w:t>
      </w:r>
      <w:r w:rsidR="006C2A77" w:rsidRPr="006C2A77">
        <w:t>95</w:t>
      </w:r>
      <w:r w:rsidRPr="006C2A77">
        <w:t xml:space="preserve">, </w:t>
      </w:r>
      <w:r w:rsidR="006C2A77" w:rsidRPr="006C2A77">
        <w:t>13.7</w:t>
      </w:r>
      <w:r w:rsidRPr="006C2A77">
        <w:t>%) of all reports were typhoidal species.</w:t>
      </w:r>
    </w:p>
    <w:p w14:paraId="0BBA3F74" w14:textId="77777777" w:rsidR="00EB6106" w:rsidRPr="000514CD" w:rsidRDefault="00EB6106" w:rsidP="00EB6106">
      <w:r w:rsidRPr="000514CD">
        <w:rPr>
          <w:i/>
          <w:iCs/>
        </w:rPr>
        <w:t xml:space="preserve">Candida auris </w:t>
      </w:r>
      <w:r w:rsidRPr="000514CD">
        <w:t>was reported from five states, with no reports from Tasmania and the mainland territories.</w:t>
      </w:r>
    </w:p>
    <w:p w14:paraId="0320FFAA" w14:textId="6590C358" w:rsidR="00EB6106" w:rsidRPr="000514CD" w:rsidRDefault="00EB6106" w:rsidP="00EB6106">
      <w:pPr>
        <w:rPr>
          <w:rFonts w:asciiTheme="majorHAnsi" w:hAnsiTheme="majorHAnsi" w:cstheme="majorHAnsi"/>
          <w:bCs/>
        </w:rPr>
      </w:pPr>
      <w:r w:rsidRPr="000514CD">
        <w:rPr>
          <w:rStyle w:val="Emphasis"/>
          <w:rFonts w:asciiTheme="majorHAnsi" w:hAnsiTheme="majorHAnsi" w:cstheme="majorHAnsi"/>
        </w:rPr>
        <w:t>Enterobacterales</w:t>
      </w:r>
      <w:r w:rsidRPr="000514CD">
        <w:rPr>
          <w:rFonts w:asciiTheme="majorHAnsi" w:hAnsiTheme="majorHAnsi" w:cstheme="majorHAnsi"/>
          <w:bCs/>
        </w:rPr>
        <w:t xml:space="preserve"> with transmissible resistance to colistin (</w:t>
      </w:r>
      <w:r w:rsidRPr="000514CD">
        <w:rPr>
          <w:rFonts w:asciiTheme="majorHAnsi" w:hAnsiTheme="majorHAnsi" w:cstheme="majorHAnsi"/>
          <w:bCs/>
          <w:i/>
          <w:iCs/>
        </w:rPr>
        <w:t>mcr-1.1</w:t>
      </w:r>
      <w:r w:rsidRPr="000514CD">
        <w:rPr>
          <w:rFonts w:asciiTheme="majorHAnsi" w:hAnsiTheme="majorHAnsi" w:cstheme="majorHAnsi"/>
          <w:bCs/>
        </w:rPr>
        <w:t xml:space="preserve">) were reported from </w:t>
      </w:r>
      <w:r w:rsidR="00825F0E">
        <w:rPr>
          <w:rFonts w:asciiTheme="majorHAnsi" w:hAnsiTheme="majorHAnsi" w:cstheme="majorHAnsi"/>
          <w:bCs/>
        </w:rPr>
        <w:t>SA</w:t>
      </w:r>
      <w:r w:rsidRPr="000514CD">
        <w:rPr>
          <w:rFonts w:asciiTheme="majorHAnsi" w:hAnsiTheme="majorHAnsi" w:cstheme="majorHAnsi"/>
          <w:bCs/>
        </w:rPr>
        <w:t xml:space="preserve"> (</w:t>
      </w:r>
      <w:r w:rsidRPr="000514CD">
        <w:rPr>
          <w:rStyle w:val="Emphasis"/>
          <w:rFonts w:asciiTheme="majorHAnsi" w:hAnsiTheme="majorHAnsi" w:cstheme="majorHAnsi"/>
        </w:rPr>
        <w:t>n</w:t>
      </w:r>
      <w:r w:rsidRPr="000514CD">
        <w:rPr>
          <w:rFonts w:asciiTheme="majorHAnsi" w:hAnsiTheme="majorHAnsi" w:cstheme="majorHAnsi"/>
          <w:bCs/>
        </w:rPr>
        <w:t> = 1) and Victoria (</w:t>
      </w:r>
      <w:r w:rsidRPr="000514CD">
        <w:rPr>
          <w:rFonts w:asciiTheme="majorHAnsi" w:hAnsiTheme="majorHAnsi" w:cstheme="majorHAnsi"/>
          <w:bCs/>
          <w:i/>
          <w:iCs/>
        </w:rPr>
        <w:t>n</w:t>
      </w:r>
      <w:r w:rsidRPr="000514CD">
        <w:rPr>
          <w:rFonts w:asciiTheme="majorHAnsi" w:hAnsiTheme="majorHAnsi" w:cstheme="majorHAnsi"/>
          <w:bCs/>
        </w:rPr>
        <w:t xml:space="preserve"> = 1); the isolate from Victoria also harboured </w:t>
      </w:r>
      <w:r w:rsidRPr="000514CD">
        <w:rPr>
          <w:rFonts w:asciiTheme="majorHAnsi" w:hAnsiTheme="majorHAnsi" w:cstheme="majorHAnsi"/>
          <w:bCs/>
          <w:i/>
          <w:iCs/>
          <w:lang w:val="en-GB"/>
        </w:rPr>
        <w:t>bla</w:t>
      </w:r>
      <w:r w:rsidRPr="000514CD">
        <w:rPr>
          <w:rFonts w:asciiTheme="majorHAnsi" w:hAnsiTheme="majorHAnsi" w:cstheme="majorHAnsi"/>
          <w:bCs/>
          <w:vertAlign w:val="subscript"/>
          <w:lang w:val="en-GB"/>
        </w:rPr>
        <w:t>NDM-1</w:t>
      </w:r>
      <w:r w:rsidRPr="000514CD">
        <w:rPr>
          <w:rFonts w:asciiTheme="majorHAnsi" w:hAnsiTheme="majorHAnsi" w:cstheme="majorHAnsi"/>
          <w:bCs/>
        </w:rPr>
        <w:t>.</w:t>
      </w:r>
    </w:p>
    <w:p w14:paraId="23FCCAEA" w14:textId="77777777" w:rsidR="00EB6106" w:rsidRPr="00B6610C" w:rsidRDefault="00EB6106" w:rsidP="00EB6106">
      <w:pPr>
        <w:pStyle w:val="Bulletlist"/>
        <w:ind w:left="0" w:firstLine="0"/>
        <w:rPr>
          <w:bCs/>
        </w:rPr>
        <w:sectPr w:rsidR="00EB6106" w:rsidRPr="00B6610C" w:rsidSect="00F84583">
          <w:headerReference w:type="default" r:id="rId21"/>
          <w:footerReference w:type="default" r:id="rId22"/>
          <w:footerReference w:type="first" r:id="rId23"/>
          <w:pgSz w:w="11906" w:h="16838"/>
          <w:pgMar w:top="1134" w:right="1134" w:bottom="1134" w:left="1134" w:header="709" w:footer="709" w:gutter="0"/>
          <w:cols w:space="708"/>
          <w:titlePg/>
          <w:docGrid w:linePitch="360"/>
        </w:sectPr>
      </w:pPr>
    </w:p>
    <w:p w14:paraId="340148A7" w14:textId="77777777" w:rsidR="00EB6106" w:rsidRPr="006B79D0" w:rsidRDefault="00EB6106" w:rsidP="00EB6106">
      <w:pPr>
        <w:ind w:left="993" w:hanging="993"/>
        <w:rPr>
          <w:bCs/>
        </w:rPr>
      </w:pPr>
      <w:r w:rsidRPr="00EB4862">
        <w:rPr>
          <w:b/>
        </w:rPr>
        <w:lastRenderedPageBreak/>
        <w:t>Table 1:</w:t>
      </w:r>
      <w:r>
        <w:rPr>
          <w:b/>
        </w:rPr>
        <w:t xml:space="preserve"> </w:t>
      </w:r>
      <w:r w:rsidRPr="006B79D0">
        <w:rPr>
          <w:bCs/>
        </w:rPr>
        <w:t>Number of critical antimicrobial resistances reported to CARAlert, by state and territory, 202</w:t>
      </w:r>
      <w:r>
        <w:rPr>
          <w:bCs/>
        </w:rPr>
        <w:t>3</w:t>
      </w:r>
      <w:r w:rsidRPr="006B79D0">
        <w:rPr>
          <w:bCs/>
        </w:rPr>
        <w:t xml:space="preserve"> and </w:t>
      </w:r>
      <w:proofErr w:type="gramStart"/>
      <w:r w:rsidRPr="006B79D0">
        <w:rPr>
          <w:bCs/>
        </w:rPr>
        <w:t>202</w:t>
      </w:r>
      <w:r>
        <w:rPr>
          <w:bCs/>
        </w:rPr>
        <w:t>2</w:t>
      </w:r>
      <w:proofErr w:type="gramEnd"/>
    </w:p>
    <w:tbl>
      <w:tblPr>
        <w:tblStyle w:val="TableGrid"/>
        <w:tblW w:w="5293"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top w:w="42" w:type="dxa"/>
          <w:left w:w="42" w:type="dxa"/>
          <w:bottom w:w="42" w:type="dxa"/>
          <w:right w:w="42" w:type="dxa"/>
        </w:tblCellMar>
        <w:tblLook w:val="0620" w:firstRow="1" w:lastRow="0" w:firstColumn="0" w:lastColumn="0" w:noHBand="1" w:noVBand="1"/>
        <w:tblCaption w:val="Table 1"/>
      </w:tblPr>
      <w:tblGrid>
        <w:gridCol w:w="2665"/>
        <w:gridCol w:w="3668"/>
        <w:gridCol w:w="679"/>
        <w:gridCol w:w="679"/>
        <w:gridCol w:w="679"/>
        <w:gridCol w:w="679"/>
        <w:gridCol w:w="679"/>
        <w:gridCol w:w="679"/>
        <w:gridCol w:w="679"/>
        <w:gridCol w:w="685"/>
        <w:gridCol w:w="1004"/>
        <w:gridCol w:w="1004"/>
        <w:gridCol w:w="986"/>
      </w:tblGrid>
      <w:tr w:rsidR="00942D3A" w:rsidRPr="00064B79" w14:paraId="0D390D25" w14:textId="77777777" w:rsidTr="00942D3A">
        <w:trPr>
          <w:cnfStyle w:val="100000000000" w:firstRow="1" w:lastRow="0" w:firstColumn="0" w:lastColumn="0" w:oddVBand="0" w:evenVBand="0" w:oddHBand="0" w:evenHBand="0" w:firstRowFirstColumn="0" w:firstRowLastColumn="0" w:lastRowFirstColumn="0" w:lastRowLastColumn="0"/>
          <w:trHeight w:val="283"/>
        </w:trPr>
        <w:tc>
          <w:tcPr>
            <w:tcW w:w="902"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304D10C0" w14:textId="77777777" w:rsidR="00EB6106" w:rsidRPr="00064B79" w:rsidRDefault="00EB6106" w:rsidP="00064B79">
            <w:pPr>
              <w:spacing w:before="0" w:after="0"/>
              <w:rPr>
                <w:rFonts w:cstheme="minorHAnsi"/>
                <w:i/>
                <w:iCs/>
                <w:sz w:val="16"/>
                <w:szCs w:val="16"/>
              </w:rPr>
            </w:pPr>
          </w:p>
        </w:tc>
        <w:tc>
          <w:tcPr>
            <w:tcW w:w="1242"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178866AD" w14:textId="77777777" w:rsidR="00EB6106" w:rsidRPr="00064B79" w:rsidRDefault="00EB6106" w:rsidP="00064B79">
            <w:pPr>
              <w:pStyle w:val="Normal-beforebullets"/>
              <w:ind w:left="57"/>
              <w:rPr>
                <w:rFonts w:cstheme="minorHAnsi"/>
                <w:sz w:val="16"/>
                <w:szCs w:val="16"/>
              </w:rPr>
            </w:pPr>
          </w:p>
        </w:tc>
        <w:tc>
          <w:tcPr>
            <w:tcW w:w="1842" w:type="pct"/>
            <w:gridSpan w:val="8"/>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66D7B4EA" w14:textId="77777777" w:rsidR="00EB6106" w:rsidRPr="00064B79" w:rsidRDefault="00EB6106" w:rsidP="00451E5C">
            <w:pPr>
              <w:spacing w:before="0" w:after="0"/>
              <w:jc w:val="center"/>
              <w:rPr>
                <w:rFonts w:cstheme="minorHAnsi"/>
                <w:color w:val="000000"/>
                <w:sz w:val="16"/>
                <w:szCs w:val="16"/>
              </w:rPr>
            </w:pPr>
            <w:r w:rsidRPr="00064B79">
              <w:rPr>
                <w:rFonts w:cstheme="minorHAnsi"/>
                <w:color w:val="000000"/>
                <w:sz w:val="16"/>
                <w:szCs w:val="16"/>
              </w:rPr>
              <w:t>State or territory, 2023</w:t>
            </w:r>
          </w:p>
        </w:tc>
        <w:tc>
          <w:tcPr>
            <w:tcW w:w="680" w:type="pct"/>
            <w:gridSpan w:val="2"/>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7C446C71" w14:textId="77777777" w:rsidR="00EB6106" w:rsidRPr="00064B79" w:rsidRDefault="00EB6106" w:rsidP="00451E5C">
            <w:pPr>
              <w:pStyle w:val="Normal-beforebullets"/>
              <w:jc w:val="center"/>
              <w:rPr>
                <w:rFonts w:cstheme="minorHAnsi"/>
                <w:sz w:val="16"/>
                <w:szCs w:val="16"/>
              </w:rPr>
            </w:pPr>
            <w:r w:rsidRPr="00064B79">
              <w:rPr>
                <w:rFonts w:cstheme="minorHAnsi"/>
                <w:sz w:val="16"/>
                <w:szCs w:val="16"/>
              </w:rPr>
              <w:t>Year</w:t>
            </w:r>
          </w:p>
        </w:tc>
        <w:tc>
          <w:tcPr>
            <w:tcW w:w="334" w:type="pct"/>
            <w:tcBorders>
              <w:top w:val="single" w:sz="4" w:space="0" w:color="auto"/>
              <w:left w:val="single" w:sz="4" w:space="0" w:color="auto"/>
              <w:bottom w:val="nil"/>
              <w:right w:val="single" w:sz="4" w:space="0" w:color="auto"/>
            </w:tcBorders>
            <w:shd w:val="clear" w:color="auto" w:fill="86D3F2" w:themeFill="background2" w:themeFillTint="66"/>
            <w:vAlign w:val="center"/>
          </w:tcPr>
          <w:p w14:paraId="6801196B" w14:textId="77777777" w:rsidR="00EB6106" w:rsidRPr="00064B79" w:rsidRDefault="00EB6106" w:rsidP="00064B79">
            <w:pPr>
              <w:pStyle w:val="Normal-beforebullets"/>
              <w:rPr>
                <w:rFonts w:cstheme="minorHAnsi"/>
                <w:sz w:val="16"/>
                <w:szCs w:val="16"/>
              </w:rPr>
            </w:pPr>
          </w:p>
        </w:tc>
      </w:tr>
      <w:tr w:rsidR="00B60986" w:rsidRPr="00064B79" w14:paraId="01AB4965" w14:textId="77777777" w:rsidTr="00115AF0">
        <w:trPr>
          <w:trHeight w:val="283"/>
        </w:trPr>
        <w:tc>
          <w:tcPr>
            <w:tcW w:w="902"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60B9EDCD" w14:textId="77777777" w:rsidR="00EB6106" w:rsidRPr="00064B79" w:rsidRDefault="00EB6106" w:rsidP="00064B79">
            <w:pPr>
              <w:spacing w:before="0" w:after="0"/>
              <w:rPr>
                <w:rFonts w:cstheme="minorHAnsi"/>
                <w:b/>
                <w:i/>
                <w:iCs/>
                <w:sz w:val="16"/>
                <w:szCs w:val="16"/>
              </w:rPr>
            </w:pPr>
            <w:r w:rsidRPr="00064B79">
              <w:rPr>
                <w:rFonts w:cstheme="minorHAnsi"/>
                <w:b/>
                <w:sz w:val="16"/>
                <w:szCs w:val="16"/>
              </w:rPr>
              <w:t>Species</w:t>
            </w:r>
          </w:p>
        </w:tc>
        <w:tc>
          <w:tcPr>
            <w:tcW w:w="1242"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57E4B580" w14:textId="77777777" w:rsidR="00EB6106" w:rsidRPr="00064B79" w:rsidRDefault="00EB6106" w:rsidP="00064B79">
            <w:pPr>
              <w:pStyle w:val="Normal-beforebullets"/>
              <w:ind w:left="57"/>
              <w:rPr>
                <w:rFonts w:cstheme="minorHAnsi"/>
                <w:b/>
                <w:sz w:val="16"/>
                <w:szCs w:val="16"/>
              </w:rPr>
            </w:pPr>
            <w:r w:rsidRPr="00064B79">
              <w:rPr>
                <w:rFonts w:cstheme="minorHAnsi"/>
                <w:b/>
                <w:sz w:val="16"/>
                <w:szCs w:val="16"/>
              </w:rPr>
              <w:t>Critical resistance</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7C13DC25"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NSW</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20F15FD2"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Vic</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66F5AFD0"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Qld</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7A66A510"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SA</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4ED7433C"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WA</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333B2858"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Tas</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7F877FBF"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NT</w:t>
            </w:r>
          </w:p>
        </w:tc>
        <w:tc>
          <w:tcPr>
            <w:tcW w:w="23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0C3CC30B" w14:textId="77777777" w:rsidR="00EB6106" w:rsidRPr="00064B79" w:rsidRDefault="00EB6106" w:rsidP="00064B79">
            <w:pPr>
              <w:spacing w:before="0" w:after="0"/>
              <w:jc w:val="center"/>
              <w:rPr>
                <w:rFonts w:cstheme="minorHAnsi"/>
                <w:b/>
                <w:color w:val="000000"/>
                <w:sz w:val="16"/>
                <w:szCs w:val="16"/>
              </w:rPr>
            </w:pPr>
            <w:r w:rsidRPr="00064B79">
              <w:rPr>
                <w:rFonts w:cstheme="minorHAnsi"/>
                <w:b/>
                <w:sz w:val="16"/>
                <w:szCs w:val="16"/>
              </w:rPr>
              <w:t>ACT</w:t>
            </w:r>
          </w:p>
        </w:tc>
        <w:tc>
          <w:tcPr>
            <w:tcW w:w="34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12132BD4" w14:textId="77777777" w:rsidR="00EB6106" w:rsidRPr="00064B79" w:rsidRDefault="00EB6106" w:rsidP="00064B79">
            <w:pPr>
              <w:pStyle w:val="Normal-beforebullets"/>
              <w:jc w:val="center"/>
              <w:rPr>
                <w:rFonts w:cstheme="minorHAnsi"/>
                <w:b/>
                <w:color w:val="000000"/>
                <w:sz w:val="16"/>
                <w:szCs w:val="16"/>
              </w:rPr>
            </w:pPr>
            <w:r w:rsidRPr="00064B79">
              <w:rPr>
                <w:rFonts w:cstheme="minorHAnsi"/>
                <w:b/>
                <w:color w:val="auto"/>
                <w:sz w:val="16"/>
                <w:szCs w:val="16"/>
              </w:rPr>
              <w:t>2022</w:t>
            </w:r>
          </w:p>
        </w:tc>
        <w:tc>
          <w:tcPr>
            <w:tcW w:w="34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04852BA7" w14:textId="77777777" w:rsidR="00EB6106" w:rsidRPr="00064B79" w:rsidRDefault="00EB6106" w:rsidP="00064B79">
            <w:pPr>
              <w:pStyle w:val="Normal-beforebullets"/>
              <w:jc w:val="center"/>
              <w:rPr>
                <w:rFonts w:cstheme="minorHAnsi"/>
                <w:b/>
                <w:sz w:val="16"/>
                <w:szCs w:val="16"/>
              </w:rPr>
            </w:pPr>
            <w:r w:rsidRPr="00064B79">
              <w:rPr>
                <w:rFonts w:cstheme="minorHAnsi"/>
                <w:b/>
                <w:color w:val="000000"/>
                <w:sz w:val="16"/>
                <w:szCs w:val="16"/>
              </w:rPr>
              <w:t>2023</w:t>
            </w:r>
          </w:p>
        </w:tc>
        <w:tc>
          <w:tcPr>
            <w:tcW w:w="334" w:type="pct"/>
            <w:tcBorders>
              <w:top w:val="nil"/>
              <w:left w:val="single" w:sz="4" w:space="0" w:color="auto"/>
              <w:bottom w:val="single" w:sz="4" w:space="0" w:color="auto"/>
              <w:right w:val="single" w:sz="4" w:space="0" w:color="auto"/>
            </w:tcBorders>
            <w:shd w:val="clear" w:color="auto" w:fill="86D3F2" w:themeFill="background2" w:themeFillTint="66"/>
            <w:vAlign w:val="center"/>
          </w:tcPr>
          <w:p w14:paraId="03E84BA9" w14:textId="77777777" w:rsidR="00EB6106" w:rsidRPr="00064B79" w:rsidRDefault="00EB6106" w:rsidP="00064B79">
            <w:pPr>
              <w:pStyle w:val="Normal-beforebullets"/>
              <w:jc w:val="center"/>
              <w:rPr>
                <w:rFonts w:cstheme="minorHAnsi"/>
                <w:b/>
                <w:sz w:val="16"/>
                <w:szCs w:val="16"/>
              </w:rPr>
            </w:pPr>
            <w:r w:rsidRPr="00064B79">
              <w:rPr>
                <w:rFonts w:cstheme="minorHAnsi"/>
                <w:b/>
                <w:sz w:val="16"/>
                <w:szCs w:val="16"/>
              </w:rPr>
              <w:t>Relative change*</w:t>
            </w:r>
          </w:p>
        </w:tc>
      </w:tr>
      <w:tr w:rsidR="00942D3A" w:rsidRPr="00064B79" w14:paraId="77F33149" w14:textId="77777777" w:rsidTr="00942D3A">
        <w:trPr>
          <w:trHeight w:val="283"/>
        </w:trPr>
        <w:tc>
          <w:tcPr>
            <w:tcW w:w="902" w:type="pct"/>
            <w:vMerge w:val="restart"/>
            <w:tcBorders>
              <w:top w:val="single" w:sz="4" w:space="0" w:color="auto"/>
              <w:left w:val="single" w:sz="4" w:space="0" w:color="auto"/>
              <w:right w:val="single" w:sz="4" w:space="0" w:color="auto"/>
            </w:tcBorders>
            <w:vAlign w:val="center"/>
          </w:tcPr>
          <w:p w14:paraId="232B679B" w14:textId="77777777" w:rsidR="00EB6106" w:rsidRPr="00064B79" w:rsidRDefault="00EB6106" w:rsidP="00064B79">
            <w:pPr>
              <w:spacing w:before="0" w:after="0"/>
              <w:rPr>
                <w:rFonts w:cstheme="minorHAnsi"/>
                <w:i/>
                <w:iCs/>
                <w:sz w:val="16"/>
                <w:szCs w:val="16"/>
              </w:rPr>
            </w:pPr>
            <w:r w:rsidRPr="00064B79">
              <w:rPr>
                <w:rFonts w:cstheme="minorHAnsi"/>
                <w:i/>
                <w:iCs/>
                <w:sz w:val="16"/>
                <w:szCs w:val="16"/>
              </w:rPr>
              <w:t xml:space="preserve">Acinetobacter baumannii </w:t>
            </w:r>
            <w:r w:rsidRPr="00064B79">
              <w:rPr>
                <w:rFonts w:cstheme="minorHAnsi"/>
                <w:sz w:val="16"/>
                <w:szCs w:val="16"/>
              </w:rPr>
              <w:t>complex</w:t>
            </w:r>
          </w:p>
        </w:tc>
        <w:tc>
          <w:tcPr>
            <w:tcW w:w="1242" w:type="pct"/>
            <w:tcBorders>
              <w:top w:val="single" w:sz="4" w:space="0" w:color="auto"/>
              <w:left w:val="single" w:sz="4" w:space="0" w:color="auto"/>
              <w:bottom w:val="single" w:sz="4" w:space="0" w:color="D9D9D9" w:themeColor="background1" w:themeShade="D9"/>
              <w:right w:val="single" w:sz="4" w:space="0" w:color="auto"/>
            </w:tcBorders>
            <w:vAlign w:val="center"/>
          </w:tcPr>
          <w:p w14:paraId="53327CD4"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Carbapenemase-producing</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2EBA17D"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14</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49F156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5</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604AD7D"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C808089"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8CFBF5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6</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4ED4A73"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E4DD453"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AD756FC"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7230CB80"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18</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54FBD20E"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27</w:t>
            </w:r>
          </w:p>
        </w:tc>
        <w:tc>
          <w:tcPr>
            <w:tcW w:w="334" w:type="pct"/>
            <w:tcBorders>
              <w:top w:val="single" w:sz="4" w:space="0" w:color="auto"/>
              <w:left w:val="single" w:sz="4" w:space="0" w:color="auto"/>
              <w:bottom w:val="single" w:sz="4" w:space="0" w:color="D9D9D9" w:themeColor="background1" w:themeShade="D9"/>
              <w:right w:val="single" w:sz="4" w:space="0" w:color="auto"/>
            </w:tcBorders>
            <w:vAlign w:val="center"/>
          </w:tcPr>
          <w:p w14:paraId="5BB633EF" w14:textId="77777777" w:rsidR="00EB6106" w:rsidRPr="00064B79" w:rsidRDefault="00EB6106" w:rsidP="00064B79">
            <w:pPr>
              <w:pStyle w:val="Normal-beforebullets"/>
              <w:jc w:val="center"/>
              <w:rPr>
                <w:rFonts w:cs="Arial"/>
                <w:color w:val="auto"/>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50.0%</w:t>
            </w:r>
          </w:p>
        </w:tc>
      </w:tr>
      <w:tr w:rsidR="00942D3A" w:rsidRPr="00064B79" w14:paraId="741E3BAC" w14:textId="77777777" w:rsidTr="00942D3A">
        <w:trPr>
          <w:trHeight w:val="283"/>
        </w:trPr>
        <w:tc>
          <w:tcPr>
            <w:tcW w:w="902" w:type="pct"/>
            <w:vMerge/>
            <w:tcBorders>
              <w:left w:val="single" w:sz="4" w:space="0" w:color="auto"/>
              <w:bottom w:val="single" w:sz="4" w:space="0" w:color="auto"/>
              <w:right w:val="single" w:sz="4" w:space="0" w:color="auto"/>
            </w:tcBorders>
            <w:vAlign w:val="center"/>
          </w:tcPr>
          <w:p w14:paraId="47B6B913"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auto"/>
              <w:right w:val="single" w:sz="4" w:space="0" w:color="auto"/>
            </w:tcBorders>
            <w:vAlign w:val="center"/>
          </w:tcPr>
          <w:p w14:paraId="47E6FBF9"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Carbapenemase- and ribosomal methyltransferase-producing</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35D52C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E3D7589"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7</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6D2C910"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3</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F781871"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D4E98A5"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B42B380"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8ED333A"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ED3307B"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46F7B4A0" w14:textId="77777777" w:rsidR="00EB6106" w:rsidRPr="00064B79" w:rsidRDefault="00EB6106" w:rsidP="00064B79">
            <w:pPr>
              <w:pStyle w:val="Normal-beforebullets"/>
              <w:jc w:val="center"/>
              <w:rPr>
                <w:rFonts w:cs="Arial"/>
                <w:color w:val="000000"/>
                <w:sz w:val="16"/>
                <w:szCs w:val="16"/>
              </w:rPr>
            </w:pPr>
            <w:r w:rsidRPr="00064B79">
              <w:rPr>
                <w:rFonts w:cs="Arial"/>
                <w:sz w:val="16"/>
                <w:szCs w:val="16"/>
              </w:rPr>
              <w:t>5</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27D94514" w14:textId="77777777" w:rsidR="00EB6106" w:rsidRPr="00064B79" w:rsidRDefault="00EB6106" w:rsidP="00064B79">
            <w:pPr>
              <w:pStyle w:val="Normal-beforebullets"/>
              <w:jc w:val="center"/>
              <w:rPr>
                <w:rFonts w:cs="Arial"/>
                <w:sz w:val="16"/>
                <w:szCs w:val="16"/>
              </w:rPr>
            </w:pPr>
            <w:r w:rsidRPr="00064B79">
              <w:rPr>
                <w:rFonts w:cs="Arial"/>
                <w:sz w:val="16"/>
                <w:szCs w:val="16"/>
              </w:rPr>
              <w:t>10</w:t>
            </w:r>
          </w:p>
        </w:tc>
        <w:tc>
          <w:tcPr>
            <w:tcW w:w="334" w:type="pct"/>
            <w:tcBorders>
              <w:top w:val="single" w:sz="4" w:space="0" w:color="D9D9D9" w:themeColor="background1" w:themeShade="D9"/>
              <w:left w:val="single" w:sz="4" w:space="0" w:color="auto"/>
              <w:bottom w:val="single" w:sz="4" w:space="0" w:color="auto"/>
              <w:right w:val="single" w:sz="4" w:space="0" w:color="auto"/>
            </w:tcBorders>
            <w:vAlign w:val="center"/>
          </w:tcPr>
          <w:p w14:paraId="553BD9C5" w14:textId="77777777" w:rsidR="00EB6106" w:rsidRPr="00064B79" w:rsidRDefault="00EB6106" w:rsidP="00064B79">
            <w:pPr>
              <w:pStyle w:val="Normal-beforebullets"/>
              <w:jc w:val="center"/>
              <w:rPr>
                <w:rFonts w:cs="Arial"/>
                <w:color w:val="auto"/>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100%</w:t>
            </w:r>
          </w:p>
        </w:tc>
      </w:tr>
      <w:tr w:rsidR="00942D3A" w:rsidRPr="00064B79" w14:paraId="7274492F" w14:textId="77777777" w:rsidTr="00942D3A">
        <w:trPr>
          <w:trHeight w:val="283"/>
        </w:trPr>
        <w:tc>
          <w:tcPr>
            <w:tcW w:w="902" w:type="pct"/>
            <w:tcBorders>
              <w:top w:val="single" w:sz="4" w:space="0" w:color="auto"/>
              <w:left w:val="single" w:sz="4" w:space="0" w:color="auto"/>
              <w:bottom w:val="single" w:sz="4" w:space="0" w:color="auto"/>
              <w:right w:val="single" w:sz="4" w:space="0" w:color="auto"/>
            </w:tcBorders>
            <w:vAlign w:val="center"/>
          </w:tcPr>
          <w:p w14:paraId="46E41EE9" w14:textId="77777777" w:rsidR="00EB6106" w:rsidRPr="00064B79" w:rsidRDefault="00EB6106" w:rsidP="00064B79">
            <w:pPr>
              <w:spacing w:before="0" w:after="0"/>
              <w:rPr>
                <w:rFonts w:cstheme="minorHAnsi"/>
                <w:i/>
                <w:iCs/>
                <w:sz w:val="16"/>
                <w:szCs w:val="16"/>
              </w:rPr>
            </w:pPr>
            <w:r w:rsidRPr="00064B79">
              <w:rPr>
                <w:rFonts w:cstheme="minorHAnsi"/>
                <w:i/>
                <w:iCs/>
                <w:sz w:val="16"/>
                <w:szCs w:val="16"/>
              </w:rPr>
              <w:t>Candida auris</w:t>
            </w:r>
          </w:p>
        </w:tc>
        <w:tc>
          <w:tcPr>
            <w:tcW w:w="1242" w:type="pct"/>
            <w:tcBorders>
              <w:top w:val="single" w:sz="4" w:space="0" w:color="auto"/>
              <w:left w:val="single" w:sz="4" w:space="0" w:color="auto"/>
              <w:bottom w:val="single" w:sz="4" w:space="0" w:color="auto"/>
              <w:right w:val="single" w:sz="4" w:space="0" w:color="auto"/>
            </w:tcBorders>
            <w:vAlign w:val="center"/>
          </w:tcPr>
          <w:p w14:paraId="38829A00"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tcPr>
          <w:p w14:paraId="055AC52D"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064AF44B"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2</w:t>
            </w:r>
          </w:p>
        </w:tc>
        <w:tc>
          <w:tcPr>
            <w:tcW w:w="230" w:type="pct"/>
            <w:tcBorders>
              <w:top w:val="single" w:sz="4" w:space="0" w:color="auto"/>
              <w:left w:val="single" w:sz="4" w:space="0" w:color="auto"/>
              <w:bottom w:val="single" w:sz="4" w:space="0" w:color="auto"/>
              <w:right w:val="single" w:sz="4" w:space="0" w:color="auto"/>
            </w:tcBorders>
            <w:noWrap/>
            <w:vAlign w:val="center"/>
          </w:tcPr>
          <w:p w14:paraId="048A836B"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50E04CC1"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4</w:t>
            </w:r>
          </w:p>
        </w:tc>
        <w:tc>
          <w:tcPr>
            <w:tcW w:w="230" w:type="pct"/>
            <w:tcBorders>
              <w:top w:val="single" w:sz="4" w:space="0" w:color="auto"/>
              <w:left w:val="single" w:sz="4" w:space="0" w:color="auto"/>
              <w:bottom w:val="single" w:sz="4" w:space="0" w:color="auto"/>
              <w:right w:val="single" w:sz="4" w:space="0" w:color="auto"/>
            </w:tcBorders>
            <w:noWrap/>
            <w:vAlign w:val="center"/>
          </w:tcPr>
          <w:p w14:paraId="47ED5A6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9</w:t>
            </w:r>
          </w:p>
        </w:tc>
        <w:tc>
          <w:tcPr>
            <w:tcW w:w="230" w:type="pct"/>
            <w:tcBorders>
              <w:top w:val="single" w:sz="4" w:space="0" w:color="auto"/>
              <w:left w:val="single" w:sz="4" w:space="0" w:color="auto"/>
              <w:bottom w:val="single" w:sz="4" w:space="0" w:color="auto"/>
              <w:right w:val="single" w:sz="4" w:space="0" w:color="auto"/>
            </w:tcBorders>
            <w:noWrap/>
            <w:vAlign w:val="center"/>
          </w:tcPr>
          <w:p w14:paraId="77B14C5F"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67CBD27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auto"/>
              <w:right w:val="single" w:sz="4" w:space="0" w:color="auto"/>
            </w:tcBorders>
            <w:noWrap/>
            <w:vAlign w:val="center"/>
          </w:tcPr>
          <w:p w14:paraId="115720E4"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auto"/>
              <w:left w:val="single" w:sz="4" w:space="0" w:color="auto"/>
              <w:bottom w:val="single" w:sz="4" w:space="0" w:color="auto"/>
              <w:right w:val="single" w:sz="4" w:space="0" w:color="auto"/>
            </w:tcBorders>
            <w:vAlign w:val="center"/>
          </w:tcPr>
          <w:p w14:paraId="56957AA2"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9</w:t>
            </w:r>
          </w:p>
        </w:tc>
        <w:tc>
          <w:tcPr>
            <w:tcW w:w="340" w:type="pct"/>
            <w:tcBorders>
              <w:top w:val="single" w:sz="4" w:space="0" w:color="auto"/>
              <w:left w:val="single" w:sz="4" w:space="0" w:color="auto"/>
              <w:bottom w:val="single" w:sz="4" w:space="0" w:color="auto"/>
              <w:right w:val="single" w:sz="4" w:space="0" w:color="auto"/>
            </w:tcBorders>
            <w:vAlign w:val="center"/>
          </w:tcPr>
          <w:p w14:paraId="3F8E6E58"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17</w:t>
            </w:r>
          </w:p>
        </w:tc>
        <w:tc>
          <w:tcPr>
            <w:tcW w:w="334" w:type="pct"/>
            <w:tcBorders>
              <w:top w:val="single" w:sz="4" w:space="0" w:color="auto"/>
              <w:left w:val="single" w:sz="4" w:space="0" w:color="auto"/>
              <w:bottom w:val="single" w:sz="4" w:space="0" w:color="auto"/>
              <w:right w:val="single" w:sz="4" w:space="0" w:color="auto"/>
            </w:tcBorders>
            <w:vAlign w:val="center"/>
          </w:tcPr>
          <w:p w14:paraId="562C0979" w14:textId="77777777" w:rsidR="00EB6106" w:rsidRPr="00064B79" w:rsidRDefault="00EB6106" w:rsidP="00064B79">
            <w:pPr>
              <w:pStyle w:val="Normal-beforebullets"/>
              <w:jc w:val="center"/>
              <w:rPr>
                <w:rFonts w:cs="Arial"/>
                <w:color w:val="auto"/>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88.9%</w:t>
            </w:r>
          </w:p>
        </w:tc>
      </w:tr>
      <w:tr w:rsidR="00942D3A" w:rsidRPr="00064B79" w14:paraId="21A8CB3A" w14:textId="77777777" w:rsidTr="00942D3A">
        <w:trPr>
          <w:trHeight w:val="283"/>
        </w:trPr>
        <w:tc>
          <w:tcPr>
            <w:tcW w:w="902" w:type="pct"/>
            <w:vMerge w:val="restart"/>
            <w:tcBorders>
              <w:top w:val="single" w:sz="4" w:space="0" w:color="auto"/>
              <w:left w:val="single" w:sz="4" w:space="0" w:color="auto"/>
              <w:right w:val="single" w:sz="4" w:space="0" w:color="auto"/>
            </w:tcBorders>
            <w:vAlign w:val="center"/>
          </w:tcPr>
          <w:p w14:paraId="7228954B" w14:textId="4CB5D3F8" w:rsidR="00EB6106" w:rsidRPr="00064B79" w:rsidRDefault="00EB6106" w:rsidP="00064B79">
            <w:pPr>
              <w:spacing w:before="0" w:after="0"/>
              <w:rPr>
                <w:rFonts w:cstheme="minorHAnsi"/>
                <w:sz w:val="16"/>
                <w:szCs w:val="16"/>
              </w:rPr>
            </w:pPr>
            <w:r w:rsidRPr="00064B79">
              <w:rPr>
                <w:rFonts w:cstheme="minorHAnsi"/>
                <w:i/>
                <w:sz w:val="16"/>
                <w:szCs w:val="16"/>
              </w:rPr>
              <w:t>Enterobacterales</w:t>
            </w:r>
          </w:p>
        </w:tc>
        <w:tc>
          <w:tcPr>
            <w:tcW w:w="1242" w:type="pct"/>
            <w:tcBorders>
              <w:top w:val="single" w:sz="4" w:space="0" w:color="auto"/>
              <w:left w:val="single" w:sz="4" w:space="0" w:color="auto"/>
              <w:bottom w:val="single" w:sz="4" w:space="0" w:color="D9D9D9" w:themeColor="background1" w:themeShade="D9"/>
              <w:right w:val="single" w:sz="4" w:space="0" w:color="auto"/>
            </w:tcBorders>
            <w:vAlign w:val="center"/>
          </w:tcPr>
          <w:p w14:paraId="19F45CF4"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Carbapenemase-producing (alone or in combination with other CARs)</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E9EB61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524</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9BD363A"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356</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AD611AF"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192</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71712C6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52</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DC176B6"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59</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1F3F15F"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3</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67F876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7</w:t>
            </w:r>
          </w:p>
        </w:tc>
        <w:tc>
          <w:tcPr>
            <w:tcW w:w="23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57A559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12</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4132F752" w14:textId="77777777" w:rsidR="00EB6106" w:rsidRPr="00064B79" w:rsidRDefault="00EB6106" w:rsidP="00064B79">
            <w:pPr>
              <w:pStyle w:val="Normal-beforebullets"/>
              <w:jc w:val="center"/>
              <w:rPr>
                <w:rFonts w:cs="Arial"/>
                <w:color w:val="000000"/>
                <w:sz w:val="16"/>
                <w:szCs w:val="16"/>
              </w:rPr>
            </w:pPr>
            <w:r w:rsidRPr="00064B79">
              <w:rPr>
                <w:rFonts w:cs="Arial"/>
                <w:color w:val="000000"/>
                <w:sz w:val="16"/>
                <w:szCs w:val="16"/>
              </w:rPr>
              <w:t>829</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5B46E0BA"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1,205</w:t>
            </w:r>
          </w:p>
        </w:tc>
        <w:tc>
          <w:tcPr>
            <w:tcW w:w="334" w:type="pct"/>
            <w:tcBorders>
              <w:top w:val="single" w:sz="4" w:space="0" w:color="auto"/>
              <w:left w:val="single" w:sz="4" w:space="0" w:color="auto"/>
              <w:bottom w:val="single" w:sz="4" w:space="0" w:color="D9D9D9" w:themeColor="background1" w:themeShade="D9"/>
              <w:right w:val="single" w:sz="4" w:space="0" w:color="auto"/>
            </w:tcBorders>
            <w:vAlign w:val="center"/>
          </w:tcPr>
          <w:p w14:paraId="4928148A" w14:textId="77777777" w:rsidR="00EB6106" w:rsidRPr="00064B79" w:rsidRDefault="00EB6106" w:rsidP="00064B79">
            <w:pPr>
              <w:pStyle w:val="Normal-beforebullets"/>
              <w:jc w:val="center"/>
              <w:rPr>
                <w:rFonts w:cs="Arial"/>
                <w:color w:val="auto"/>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45.4%</w:t>
            </w:r>
          </w:p>
        </w:tc>
      </w:tr>
      <w:tr w:rsidR="00942D3A" w:rsidRPr="00064B79" w14:paraId="2D50A694" w14:textId="77777777" w:rsidTr="00942D3A">
        <w:trPr>
          <w:trHeight w:val="283"/>
        </w:trPr>
        <w:tc>
          <w:tcPr>
            <w:tcW w:w="902" w:type="pct"/>
            <w:vMerge/>
            <w:tcBorders>
              <w:left w:val="single" w:sz="4" w:space="0" w:color="auto"/>
              <w:right w:val="single" w:sz="4" w:space="0" w:color="auto"/>
            </w:tcBorders>
            <w:vAlign w:val="center"/>
          </w:tcPr>
          <w:p w14:paraId="6389226C" w14:textId="77777777" w:rsidR="00EB6106" w:rsidRPr="00064B79" w:rsidRDefault="00EB6106" w:rsidP="00064B79">
            <w:pPr>
              <w:spacing w:before="0" w:after="0"/>
              <w:rPr>
                <w:rFonts w:cs="Arial"/>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EFA6579" w14:textId="77777777" w:rsidR="00EB6106" w:rsidRPr="00064B79" w:rsidRDefault="00EB6106" w:rsidP="00064B79">
            <w:pPr>
              <w:pStyle w:val="Normal-beforebullets"/>
              <w:ind w:left="243"/>
              <w:rPr>
                <w:rFonts w:cs="Arial"/>
                <w:sz w:val="16"/>
                <w:szCs w:val="16"/>
              </w:rPr>
            </w:pPr>
            <w:r w:rsidRPr="00064B79">
              <w:rPr>
                <w:rFonts w:cs="Arial"/>
                <w:sz w:val="16"/>
                <w:szCs w:val="16"/>
              </w:rPr>
              <w:t>Carbapenemase-producing</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7139D71"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511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68B9A4C"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300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4AB0977"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180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096C205"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43</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29DFE9A"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51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23D2A0C"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3</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F82C882"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7</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752D4E7"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8</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BE8C2B"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782</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1416FB"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1,103</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C247FD" w14:textId="77777777" w:rsidR="00EB6106" w:rsidRPr="00064B79" w:rsidRDefault="00EB6106" w:rsidP="00064B79">
            <w:pPr>
              <w:pStyle w:val="Normal-beforebullets"/>
              <w:jc w:val="center"/>
              <w:rPr>
                <w:rFonts w:cs="Arial"/>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41.0%</w:t>
            </w:r>
          </w:p>
        </w:tc>
      </w:tr>
      <w:tr w:rsidR="00EB6106" w:rsidRPr="00064B79" w14:paraId="57235CD5" w14:textId="77777777" w:rsidTr="00942D3A">
        <w:trPr>
          <w:trHeight w:val="283"/>
        </w:trPr>
        <w:tc>
          <w:tcPr>
            <w:tcW w:w="902" w:type="pct"/>
            <w:vMerge/>
            <w:tcBorders>
              <w:left w:val="single" w:sz="4" w:space="0" w:color="auto"/>
              <w:right w:val="single" w:sz="4" w:space="0" w:color="auto"/>
            </w:tcBorders>
            <w:vAlign w:val="center"/>
          </w:tcPr>
          <w:p w14:paraId="0A134460" w14:textId="77777777" w:rsidR="00EB6106" w:rsidRPr="00064B79" w:rsidRDefault="00EB6106" w:rsidP="00064B79">
            <w:pPr>
              <w:spacing w:before="0" w:after="0"/>
              <w:rPr>
                <w:rFonts w:cs="Arial"/>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032CABA" w14:textId="77777777" w:rsidR="00EB6106" w:rsidRPr="00064B79" w:rsidRDefault="00EB6106" w:rsidP="00064B79">
            <w:pPr>
              <w:pStyle w:val="Normal-beforebullets"/>
              <w:ind w:left="243"/>
              <w:rPr>
                <w:rFonts w:cs="Arial"/>
                <w:sz w:val="16"/>
                <w:szCs w:val="16"/>
              </w:rPr>
            </w:pPr>
            <w:r w:rsidRPr="00064B79">
              <w:rPr>
                <w:rFonts w:cstheme="minorHAnsi"/>
                <w:sz w:val="16"/>
                <w:szCs w:val="16"/>
              </w:rPr>
              <w:t xml:space="preserve">Carbapenemase- and ribosomal methyltransferase-producing </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7980FB8"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13</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F9FF0FD"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55</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5ED105F"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12</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299ED18"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9</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62990BA"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8</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3A215B3"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C273D9C"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734B62"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4</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A1FD3E9"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46</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21134F1"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101</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928A3DE" w14:textId="77777777" w:rsidR="00EB6106" w:rsidRPr="00064B79" w:rsidRDefault="00EB6106" w:rsidP="00064B79">
            <w:pPr>
              <w:pStyle w:val="Normal-beforebullets"/>
              <w:jc w:val="center"/>
              <w:rPr>
                <w:rFonts w:cs="Arial"/>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120%</w:t>
            </w:r>
          </w:p>
        </w:tc>
      </w:tr>
      <w:tr w:rsidR="00EB6106" w:rsidRPr="00064B79" w14:paraId="461A875A" w14:textId="77777777" w:rsidTr="00942D3A">
        <w:trPr>
          <w:trHeight w:val="283"/>
        </w:trPr>
        <w:tc>
          <w:tcPr>
            <w:tcW w:w="902" w:type="pct"/>
            <w:vMerge/>
            <w:tcBorders>
              <w:left w:val="single" w:sz="4" w:space="0" w:color="auto"/>
              <w:right w:val="single" w:sz="4" w:space="0" w:color="auto"/>
            </w:tcBorders>
            <w:vAlign w:val="center"/>
          </w:tcPr>
          <w:p w14:paraId="02AD386A" w14:textId="77777777" w:rsidR="00EB6106" w:rsidRPr="00064B79" w:rsidRDefault="00EB6106" w:rsidP="00064B79">
            <w:pPr>
              <w:spacing w:before="0" w:after="0"/>
              <w:rPr>
                <w:rFonts w:cs="Arial"/>
                <w:sz w:val="16"/>
                <w:szCs w:val="16"/>
              </w:rPr>
            </w:pPr>
          </w:p>
        </w:tc>
        <w:tc>
          <w:tcPr>
            <w:tcW w:w="1242" w:type="pct"/>
            <w:tcBorders>
              <w:top w:val="single" w:sz="4" w:space="0" w:color="D9D9D9" w:themeColor="background1" w:themeShade="D9"/>
              <w:left w:val="single" w:sz="4" w:space="0" w:color="auto"/>
              <w:bottom w:val="single" w:sz="4" w:space="0" w:color="auto"/>
              <w:right w:val="single" w:sz="4" w:space="0" w:color="auto"/>
            </w:tcBorders>
            <w:vAlign w:val="center"/>
          </w:tcPr>
          <w:p w14:paraId="4A59F69A" w14:textId="77777777" w:rsidR="00EB6106" w:rsidRPr="00064B79" w:rsidRDefault="00EB6106" w:rsidP="00064B79">
            <w:pPr>
              <w:pStyle w:val="Normal-beforebullets"/>
              <w:ind w:left="243"/>
              <w:rPr>
                <w:rFonts w:cstheme="minorHAnsi"/>
                <w:sz w:val="16"/>
                <w:szCs w:val="16"/>
              </w:rPr>
            </w:pPr>
            <w:r w:rsidRPr="00064B79">
              <w:rPr>
                <w:rFonts w:cstheme="minorHAnsi"/>
                <w:sz w:val="16"/>
                <w:szCs w:val="16"/>
              </w:rPr>
              <w:t>Carbapenemase-producing and transmissible resistance to colistin</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8563F5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FC91C2A"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14A4137"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8B4992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364FDAE"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464F99B"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0C874FE"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3D0B44"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51E6051F" w14:textId="77777777" w:rsidR="00EB6106" w:rsidRPr="00064B79" w:rsidRDefault="00EB6106" w:rsidP="00064B79">
            <w:pPr>
              <w:pStyle w:val="Normal-beforebullets"/>
              <w:jc w:val="center"/>
              <w:rPr>
                <w:rFonts w:cs="Arial"/>
                <w:sz w:val="16"/>
                <w:szCs w:val="16"/>
              </w:rPr>
            </w:pPr>
            <w:r w:rsidRPr="00064B79">
              <w:rPr>
                <w:rFonts w:cs="Arial"/>
                <w:sz w:val="16"/>
                <w:szCs w:val="16"/>
              </w:rPr>
              <w:t>1</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005F52CD" w14:textId="77777777" w:rsidR="00EB6106" w:rsidRPr="00064B79" w:rsidRDefault="00EB6106" w:rsidP="00064B79">
            <w:pPr>
              <w:pStyle w:val="Normal-beforebullets"/>
              <w:jc w:val="center"/>
              <w:rPr>
                <w:rFonts w:cs="Arial"/>
                <w:sz w:val="16"/>
                <w:szCs w:val="16"/>
              </w:rPr>
            </w:pPr>
            <w:r w:rsidRPr="00064B79">
              <w:rPr>
                <w:rFonts w:cs="Arial"/>
                <w:color w:val="000000"/>
                <w:sz w:val="16"/>
                <w:szCs w:val="16"/>
              </w:rPr>
              <w:t>1</w:t>
            </w:r>
          </w:p>
        </w:tc>
        <w:tc>
          <w:tcPr>
            <w:tcW w:w="334" w:type="pct"/>
            <w:tcBorders>
              <w:top w:val="single" w:sz="4" w:space="0" w:color="D9D9D9" w:themeColor="background1" w:themeShade="D9"/>
              <w:left w:val="single" w:sz="4" w:space="0" w:color="auto"/>
              <w:bottom w:val="single" w:sz="4" w:space="0" w:color="auto"/>
              <w:right w:val="single" w:sz="4" w:space="0" w:color="auto"/>
            </w:tcBorders>
            <w:vAlign w:val="center"/>
          </w:tcPr>
          <w:p w14:paraId="63F84276" w14:textId="77777777" w:rsidR="00EB6106" w:rsidRPr="00064B79" w:rsidRDefault="00EB6106" w:rsidP="00064B79">
            <w:pPr>
              <w:pStyle w:val="Normal-beforebullets"/>
              <w:jc w:val="center"/>
              <w:rPr>
                <w:rFonts w:cs="Arial"/>
                <w:sz w:val="16"/>
                <w:szCs w:val="16"/>
              </w:rPr>
            </w:pPr>
            <w:r w:rsidRPr="00064B79">
              <w:rPr>
                <w:rFonts w:cs="Arial"/>
                <w:color w:val="auto"/>
                <w:sz w:val="16"/>
                <w:szCs w:val="16"/>
              </w:rPr>
              <w:t>0.0</w:t>
            </w:r>
          </w:p>
        </w:tc>
      </w:tr>
      <w:tr w:rsidR="00EB6106" w:rsidRPr="00064B79" w14:paraId="3BF72EC7" w14:textId="77777777" w:rsidTr="00942D3A">
        <w:trPr>
          <w:trHeight w:val="283"/>
        </w:trPr>
        <w:tc>
          <w:tcPr>
            <w:tcW w:w="902" w:type="pct"/>
            <w:vMerge/>
            <w:tcBorders>
              <w:left w:val="single" w:sz="4" w:space="0" w:color="auto"/>
              <w:right w:val="single" w:sz="4" w:space="0" w:color="auto"/>
            </w:tcBorders>
            <w:vAlign w:val="center"/>
          </w:tcPr>
          <w:p w14:paraId="02C771CC" w14:textId="77777777" w:rsidR="00EB6106" w:rsidRPr="00064B79" w:rsidRDefault="00EB6106" w:rsidP="00064B79">
            <w:pPr>
              <w:spacing w:before="0" w:after="0"/>
              <w:rPr>
                <w:rFonts w:cs="Arial"/>
                <w:sz w:val="16"/>
                <w:szCs w:val="16"/>
              </w:rPr>
            </w:pPr>
          </w:p>
        </w:tc>
        <w:tc>
          <w:tcPr>
            <w:tcW w:w="1242" w:type="pct"/>
            <w:tcBorders>
              <w:top w:val="single" w:sz="4" w:space="0" w:color="auto"/>
              <w:left w:val="single" w:sz="4" w:space="0" w:color="auto"/>
              <w:bottom w:val="single" w:sz="4" w:space="0" w:color="auto"/>
              <w:right w:val="single" w:sz="4" w:space="0" w:color="auto"/>
            </w:tcBorders>
            <w:vAlign w:val="center"/>
          </w:tcPr>
          <w:p w14:paraId="38655A61" w14:textId="77777777" w:rsidR="00EB6106" w:rsidRPr="00064B79" w:rsidRDefault="00EB6106" w:rsidP="00064B79">
            <w:pPr>
              <w:pStyle w:val="Normal-beforebullets"/>
              <w:ind w:left="57"/>
              <w:rPr>
                <w:rFonts w:cs="Arial"/>
                <w:sz w:val="16"/>
                <w:szCs w:val="16"/>
              </w:rPr>
            </w:pPr>
            <w:r w:rsidRPr="00064B79">
              <w:rPr>
                <w:rFonts w:cstheme="minorHAnsi"/>
                <w:sz w:val="16"/>
                <w:szCs w:val="16"/>
              </w:rPr>
              <w:t>Ribosomal methyltransferase-producing</w:t>
            </w:r>
          </w:p>
        </w:tc>
        <w:tc>
          <w:tcPr>
            <w:tcW w:w="230" w:type="pct"/>
            <w:tcBorders>
              <w:top w:val="single" w:sz="4" w:space="0" w:color="auto"/>
              <w:left w:val="single" w:sz="4" w:space="0" w:color="auto"/>
              <w:bottom w:val="single" w:sz="4" w:space="0" w:color="auto"/>
              <w:right w:val="single" w:sz="4" w:space="0" w:color="auto"/>
            </w:tcBorders>
            <w:noWrap/>
            <w:vAlign w:val="center"/>
          </w:tcPr>
          <w:p w14:paraId="234908B8"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2</w:t>
            </w:r>
          </w:p>
        </w:tc>
        <w:tc>
          <w:tcPr>
            <w:tcW w:w="230" w:type="pct"/>
            <w:tcBorders>
              <w:top w:val="single" w:sz="4" w:space="0" w:color="auto"/>
              <w:left w:val="single" w:sz="4" w:space="0" w:color="auto"/>
              <w:bottom w:val="single" w:sz="4" w:space="0" w:color="auto"/>
              <w:right w:val="single" w:sz="4" w:space="0" w:color="auto"/>
            </w:tcBorders>
            <w:noWrap/>
            <w:vAlign w:val="center"/>
          </w:tcPr>
          <w:p w14:paraId="43E03E48"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11</w:t>
            </w:r>
          </w:p>
        </w:tc>
        <w:tc>
          <w:tcPr>
            <w:tcW w:w="230" w:type="pct"/>
            <w:tcBorders>
              <w:top w:val="single" w:sz="4" w:space="0" w:color="auto"/>
              <w:left w:val="single" w:sz="4" w:space="0" w:color="auto"/>
              <w:bottom w:val="single" w:sz="4" w:space="0" w:color="auto"/>
              <w:right w:val="single" w:sz="4" w:space="0" w:color="auto"/>
            </w:tcBorders>
            <w:noWrap/>
            <w:vAlign w:val="center"/>
          </w:tcPr>
          <w:p w14:paraId="0CC215EB"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0CCF8FF9"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11D2EE65"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2</w:t>
            </w:r>
          </w:p>
        </w:tc>
        <w:tc>
          <w:tcPr>
            <w:tcW w:w="230" w:type="pct"/>
            <w:tcBorders>
              <w:top w:val="single" w:sz="4" w:space="0" w:color="auto"/>
              <w:left w:val="single" w:sz="4" w:space="0" w:color="auto"/>
              <w:bottom w:val="single" w:sz="4" w:space="0" w:color="auto"/>
              <w:right w:val="single" w:sz="4" w:space="0" w:color="auto"/>
            </w:tcBorders>
            <w:noWrap/>
            <w:vAlign w:val="center"/>
          </w:tcPr>
          <w:p w14:paraId="64104F3D"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60BCB9FD"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auto"/>
              <w:right w:val="single" w:sz="4" w:space="0" w:color="auto"/>
            </w:tcBorders>
            <w:noWrap/>
            <w:vAlign w:val="center"/>
          </w:tcPr>
          <w:p w14:paraId="43380F27"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340" w:type="pct"/>
            <w:tcBorders>
              <w:top w:val="single" w:sz="4" w:space="0" w:color="auto"/>
              <w:left w:val="single" w:sz="4" w:space="0" w:color="auto"/>
              <w:bottom w:val="single" w:sz="4" w:space="0" w:color="auto"/>
              <w:right w:val="single" w:sz="4" w:space="0" w:color="auto"/>
            </w:tcBorders>
            <w:vAlign w:val="center"/>
          </w:tcPr>
          <w:p w14:paraId="58AA28C1"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10</w:t>
            </w:r>
          </w:p>
        </w:tc>
        <w:tc>
          <w:tcPr>
            <w:tcW w:w="340" w:type="pct"/>
            <w:tcBorders>
              <w:top w:val="single" w:sz="4" w:space="0" w:color="auto"/>
              <w:left w:val="single" w:sz="4" w:space="0" w:color="auto"/>
              <w:bottom w:val="single" w:sz="4" w:space="0" w:color="auto"/>
              <w:right w:val="single" w:sz="4" w:space="0" w:color="auto"/>
            </w:tcBorders>
            <w:vAlign w:val="center"/>
          </w:tcPr>
          <w:p w14:paraId="12EA48EF"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16</w:t>
            </w:r>
          </w:p>
        </w:tc>
        <w:tc>
          <w:tcPr>
            <w:tcW w:w="334" w:type="pct"/>
            <w:tcBorders>
              <w:top w:val="single" w:sz="4" w:space="0" w:color="auto"/>
              <w:left w:val="single" w:sz="4" w:space="0" w:color="auto"/>
              <w:bottom w:val="single" w:sz="4" w:space="0" w:color="auto"/>
              <w:right w:val="single" w:sz="4" w:space="0" w:color="auto"/>
            </w:tcBorders>
            <w:vAlign w:val="center"/>
          </w:tcPr>
          <w:p w14:paraId="40FCC3FA" w14:textId="77777777" w:rsidR="00EB6106" w:rsidRPr="00064B79" w:rsidRDefault="00EB6106" w:rsidP="00064B79">
            <w:pPr>
              <w:pStyle w:val="Normal-beforebullets"/>
              <w:jc w:val="center"/>
              <w:rPr>
                <w:rFonts w:cs="Arial"/>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60.0%</w:t>
            </w:r>
          </w:p>
        </w:tc>
      </w:tr>
      <w:tr w:rsidR="00942D3A" w:rsidRPr="00064B79" w14:paraId="477FA922" w14:textId="77777777" w:rsidTr="00942D3A">
        <w:trPr>
          <w:trHeight w:val="283"/>
        </w:trPr>
        <w:tc>
          <w:tcPr>
            <w:tcW w:w="902" w:type="pct"/>
            <w:vMerge/>
            <w:tcBorders>
              <w:left w:val="single" w:sz="4" w:space="0" w:color="auto"/>
              <w:bottom w:val="single" w:sz="4" w:space="0" w:color="auto"/>
              <w:right w:val="single" w:sz="4" w:space="0" w:color="auto"/>
            </w:tcBorders>
            <w:vAlign w:val="center"/>
          </w:tcPr>
          <w:p w14:paraId="14CA63C9" w14:textId="77777777" w:rsidR="00EB6106" w:rsidRPr="00064B79" w:rsidRDefault="00EB6106" w:rsidP="00064B79">
            <w:pPr>
              <w:spacing w:before="0" w:after="0"/>
              <w:rPr>
                <w:rFonts w:cstheme="minorHAnsi"/>
                <w:i/>
                <w:iCs/>
                <w:sz w:val="16"/>
                <w:szCs w:val="16"/>
              </w:rPr>
            </w:pPr>
          </w:p>
        </w:tc>
        <w:tc>
          <w:tcPr>
            <w:tcW w:w="1242" w:type="pct"/>
            <w:tcBorders>
              <w:top w:val="single" w:sz="4" w:space="0" w:color="auto"/>
              <w:left w:val="single" w:sz="4" w:space="0" w:color="auto"/>
              <w:bottom w:val="single" w:sz="4" w:space="0" w:color="auto"/>
              <w:right w:val="single" w:sz="4" w:space="0" w:color="auto"/>
            </w:tcBorders>
            <w:vAlign w:val="center"/>
          </w:tcPr>
          <w:p w14:paraId="3362C12E"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Transmissible colistin resistance</w:t>
            </w:r>
            <w:r w:rsidRPr="00064B79">
              <w:rPr>
                <w:rFonts w:cstheme="minorHAnsi"/>
                <w:sz w:val="16"/>
                <w:szCs w:val="16"/>
                <w:vertAlign w:val="superscript"/>
              </w:rPr>
              <w:t>†</w:t>
            </w:r>
          </w:p>
        </w:tc>
        <w:tc>
          <w:tcPr>
            <w:tcW w:w="230" w:type="pct"/>
            <w:tcBorders>
              <w:top w:val="single" w:sz="4" w:space="0" w:color="auto"/>
              <w:left w:val="single" w:sz="4" w:space="0" w:color="auto"/>
              <w:bottom w:val="single" w:sz="4" w:space="0" w:color="auto"/>
              <w:right w:val="single" w:sz="4" w:space="0" w:color="auto"/>
            </w:tcBorders>
            <w:noWrap/>
            <w:vAlign w:val="center"/>
          </w:tcPr>
          <w:p w14:paraId="6E99CD29"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1D609ABA"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1E1C9CBA"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4AB5462A"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275194BF"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7FC434E8"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252E9A19"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auto"/>
              <w:right w:val="single" w:sz="4" w:space="0" w:color="auto"/>
            </w:tcBorders>
            <w:noWrap/>
            <w:vAlign w:val="center"/>
          </w:tcPr>
          <w:p w14:paraId="07DA87A1"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auto"/>
              <w:left w:val="single" w:sz="4" w:space="0" w:color="auto"/>
              <w:bottom w:val="single" w:sz="4" w:space="0" w:color="auto"/>
              <w:right w:val="single" w:sz="4" w:space="0" w:color="auto"/>
            </w:tcBorders>
            <w:vAlign w:val="center"/>
          </w:tcPr>
          <w:p w14:paraId="6591D718"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26F5A8F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w:t>
            </w:r>
          </w:p>
        </w:tc>
        <w:tc>
          <w:tcPr>
            <w:tcW w:w="334" w:type="pct"/>
            <w:tcBorders>
              <w:top w:val="single" w:sz="4" w:space="0" w:color="auto"/>
              <w:left w:val="single" w:sz="4" w:space="0" w:color="auto"/>
              <w:bottom w:val="single" w:sz="4" w:space="0" w:color="auto"/>
              <w:right w:val="single" w:sz="4" w:space="0" w:color="auto"/>
            </w:tcBorders>
            <w:vAlign w:val="center"/>
          </w:tcPr>
          <w:p w14:paraId="3960894A"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w:t>
            </w:r>
          </w:p>
        </w:tc>
      </w:tr>
      <w:tr w:rsidR="00942D3A" w:rsidRPr="00064B79" w14:paraId="53DA5E97" w14:textId="77777777" w:rsidTr="00942D3A">
        <w:trPr>
          <w:trHeight w:val="283"/>
        </w:trPr>
        <w:tc>
          <w:tcPr>
            <w:tcW w:w="902" w:type="pct"/>
            <w:tcBorders>
              <w:top w:val="single" w:sz="4" w:space="0" w:color="auto"/>
              <w:left w:val="single" w:sz="4" w:space="0" w:color="auto"/>
              <w:bottom w:val="single" w:sz="4" w:space="0" w:color="auto"/>
              <w:right w:val="single" w:sz="4" w:space="0" w:color="auto"/>
            </w:tcBorders>
            <w:vAlign w:val="center"/>
          </w:tcPr>
          <w:p w14:paraId="0788619C" w14:textId="77777777" w:rsidR="00EB6106" w:rsidRPr="00064B79" w:rsidRDefault="00EB6106" w:rsidP="00064B79">
            <w:pPr>
              <w:spacing w:before="0" w:after="0"/>
              <w:rPr>
                <w:rFonts w:cs="Arial"/>
                <w:sz w:val="16"/>
                <w:szCs w:val="16"/>
              </w:rPr>
            </w:pPr>
            <w:r w:rsidRPr="00064B79">
              <w:rPr>
                <w:rFonts w:cstheme="minorHAnsi"/>
                <w:i/>
                <w:iCs/>
                <w:sz w:val="16"/>
                <w:szCs w:val="16"/>
              </w:rPr>
              <w:t xml:space="preserve">Enterococcus </w:t>
            </w:r>
            <w:r w:rsidRPr="00064B79">
              <w:rPr>
                <w:rFonts w:cstheme="minorHAnsi"/>
                <w:iCs/>
                <w:sz w:val="16"/>
                <w:szCs w:val="16"/>
              </w:rPr>
              <w:t>species</w:t>
            </w:r>
          </w:p>
        </w:tc>
        <w:tc>
          <w:tcPr>
            <w:tcW w:w="1242" w:type="pct"/>
            <w:tcBorders>
              <w:top w:val="single" w:sz="4" w:space="0" w:color="auto"/>
              <w:left w:val="single" w:sz="4" w:space="0" w:color="auto"/>
              <w:bottom w:val="single" w:sz="4" w:space="0" w:color="auto"/>
              <w:right w:val="single" w:sz="4" w:space="0" w:color="auto"/>
            </w:tcBorders>
            <w:vAlign w:val="center"/>
          </w:tcPr>
          <w:p w14:paraId="16155280" w14:textId="77777777" w:rsidR="00EB6106" w:rsidRPr="00064B79" w:rsidRDefault="00EB6106" w:rsidP="00064B79">
            <w:pPr>
              <w:pStyle w:val="Normal-beforebullets"/>
              <w:ind w:left="57"/>
              <w:rPr>
                <w:rFonts w:cs="Arial"/>
                <w:sz w:val="16"/>
                <w:szCs w:val="16"/>
              </w:rPr>
            </w:pPr>
            <w:r w:rsidRPr="00064B79">
              <w:rPr>
                <w:rFonts w:cstheme="minorHAnsi"/>
                <w:sz w:val="16"/>
                <w:szCs w:val="16"/>
              </w:rPr>
              <w:t>Linezolid-resistant</w:t>
            </w:r>
          </w:p>
        </w:tc>
        <w:tc>
          <w:tcPr>
            <w:tcW w:w="230" w:type="pct"/>
            <w:tcBorders>
              <w:top w:val="single" w:sz="4" w:space="0" w:color="auto"/>
              <w:left w:val="single" w:sz="4" w:space="0" w:color="auto"/>
              <w:bottom w:val="single" w:sz="4" w:space="0" w:color="auto"/>
              <w:right w:val="single" w:sz="4" w:space="0" w:color="auto"/>
            </w:tcBorders>
            <w:noWrap/>
            <w:vAlign w:val="center"/>
          </w:tcPr>
          <w:p w14:paraId="4B0AAE26"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8</w:t>
            </w:r>
          </w:p>
        </w:tc>
        <w:tc>
          <w:tcPr>
            <w:tcW w:w="230" w:type="pct"/>
            <w:tcBorders>
              <w:top w:val="single" w:sz="4" w:space="0" w:color="auto"/>
              <w:left w:val="single" w:sz="4" w:space="0" w:color="auto"/>
              <w:bottom w:val="single" w:sz="4" w:space="0" w:color="auto"/>
              <w:right w:val="single" w:sz="4" w:space="0" w:color="auto"/>
            </w:tcBorders>
            <w:noWrap/>
            <w:vAlign w:val="center"/>
          </w:tcPr>
          <w:p w14:paraId="73C7C3BD"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20</w:t>
            </w:r>
          </w:p>
        </w:tc>
        <w:tc>
          <w:tcPr>
            <w:tcW w:w="230" w:type="pct"/>
            <w:tcBorders>
              <w:top w:val="single" w:sz="4" w:space="0" w:color="auto"/>
              <w:left w:val="single" w:sz="4" w:space="0" w:color="auto"/>
              <w:bottom w:val="single" w:sz="4" w:space="0" w:color="auto"/>
              <w:right w:val="single" w:sz="4" w:space="0" w:color="auto"/>
            </w:tcBorders>
            <w:noWrap/>
            <w:vAlign w:val="center"/>
          </w:tcPr>
          <w:p w14:paraId="51AD24FE"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3</w:t>
            </w:r>
          </w:p>
        </w:tc>
        <w:tc>
          <w:tcPr>
            <w:tcW w:w="230" w:type="pct"/>
            <w:tcBorders>
              <w:top w:val="single" w:sz="4" w:space="0" w:color="auto"/>
              <w:left w:val="single" w:sz="4" w:space="0" w:color="auto"/>
              <w:bottom w:val="single" w:sz="4" w:space="0" w:color="auto"/>
              <w:right w:val="single" w:sz="4" w:space="0" w:color="auto"/>
            </w:tcBorders>
            <w:noWrap/>
            <w:vAlign w:val="center"/>
          </w:tcPr>
          <w:p w14:paraId="7A70FD83"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5BBA713E"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5</w:t>
            </w:r>
          </w:p>
        </w:tc>
        <w:tc>
          <w:tcPr>
            <w:tcW w:w="230" w:type="pct"/>
            <w:tcBorders>
              <w:top w:val="single" w:sz="4" w:space="0" w:color="auto"/>
              <w:left w:val="single" w:sz="4" w:space="0" w:color="auto"/>
              <w:bottom w:val="single" w:sz="4" w:space="0" w:color="auto"/>
              <w:right w:val="single" w:sz="4" w:space="0" w:color="auto"/>
            </w:tcBorders>
            <w:noWrap/>
            <w:vAlign w:val="center"/>
          </w:tcPr>
          <w:p w14:paraId="1A972BAC"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34731849"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w:t>
            </w:r>
          </w:p>
        </w:tc>
        <w:tc>
          <w:tcPr>
            <w:tcW w:w="232" w:type="pct"/>
            <w:tcBorders>
              <w:top w:val="single" w:sz="4" w:space="0" w:color="auto"/>
              <w:left w:val="single" w:sz="4" w:space="0" w:color="auto"/>
              <w:bottom w:val="single" w:sz="4" w:space="0" w:color="auto"/>
              <w:right w:val="single" w:sz="4" w:space="0" w:color="auto"/>
            </w:tcBorders>
            <w:noWrap/>
            <w:vAlign w:val="center"/>
          </w:tcPr>
          <w:p w14:paraId="3E778834" w14:textId="77777777" w:rsidR="00EB6106" w:rsidRPr="00064B79" w:rsidRDefault="00EB6106" w:rsidP="00064B79">
            <w:pPr>
              <w:spacing w:before="0" w:after="0"/>
              <w:jc w:val="center"/>
              <w:rPr>
                <w:rFonts w:cs="Arial"/>
                <w:bCs/>
                <w:color w:val="auto"/>
                <w:sz w:val="16"/>
                <w:szCs w:val="16"/>
              </w:rPr>
            </w:pPr>
            <w:r w:rsidRPr="00064B79">
              <w:rPr>
                <w:rFonts w:cs="Arial"/>
                <w:color w:val="000000"/>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0AB10B03"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17</w:t>
            </w:r>
          </w:p>
        </w:tc>
        <w:tc>
          <w:tcPr>
            <w:tcW w:w="340" w:type="pct"/>
            <w:tcBorders>
              <w:top w:val="single" w:sz="4" w:space="0" w:color="auto"/>
              <w:left w:val="single" w:sz="4" w:space="0" w:color="auto"/>
              <w:bottom w:val="single" w:sz="4" w:space="0" w:color="auto"/>
              <w:right w:val="single" w:sz="4" w:space="0" w:color="auto"/>
            </w:tcBorders>
            <w:vAlign w:val="center"/>
          </w:tcPr>
          <w:p w14:paraId="45001694"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39</w:t>
            </w:r>
          </w:p>
        </w:tc>
        <w:tc>
          <w:tcPr>
            <w:tcW w:w="334" w:type="pct"/>
            <w:tcBorders>
              <w:top w:val="single" w:sz="4" w:space="0" w:color="auto"/>
              <w:left w:val="single" w:sz="4" w:space="0" w:color="auto"/>
              <w:bottom w:val="single" w:sz="4" w:space="0" w:color="auto"/>
              <w:right w:val="single" w:sz="4" w:space="0" w:color="auto"/>
            </w:tcBorders>
            <w:vAlign w:val="center"/>
          </w:tcPr>
          <w:p w14:paraId="2F6F1737" w14:textId="77777777" w:rsidR="00EB6106" w:rsidRPr="00064B79" w:rsidRDefault="00EB6106" w:rsidP="00064B79">
            <w:pPr>
              <w:pStyle w:val="Normal-beforebullets"/>
              <w:jc w:val="center"/>
              <w:rPr>
                <w:rFonts w:cs="Arial"/>
                <w:sz w:val="16"/>
                <w:szCs w:val="16"/>
              </w:rPr>
            </w:pPr>
            <w:r w:rsidRPr="00064B79">
              <w:rPr>
                <w:rFonts w:cs="Arial"/>
                <w:bCs/>
                <w:color w:val="FF0000"/>
                <w:sz w:val="16"/>
                <w:szCs w:val="16"/>
              </w:rPr>
              <w:t>▲</w:t>
            </w:r>
            <w:r w:rsidRPr="00064B79">
              <w:rPr>
                <w:rFonts w:cs="Arial"/>
                <w:color w:val="00B050"/>
                <w:sz w:val="16"/>
                <w:szCs w:val="16"/>
              </w:rPr>
              <w:t xml:space="preserve"> </w:t>
            </w:r>
            <w:r w:rsidRPr="00064B79">
              <w:rPr>
                <w:rFonts w:cs="Arial"/>
                <w:sz w:val="16"/>
                <w:szCs w:val="16"/>
              </w:rPr>
              <w:t>129%</w:t>
            </w:r>
          </w:p>
        </w:tc>
      </w:tr>
      <w:tr w:rsidR="00942D3A" w:rsidRPr="00064B79" w14:paraId="779890B6" w14:textId="77777777" w:rsidTr="00942D3A">
        <w:trPr>
          <w:trHeight w:val="283"/>
        </w:trPr>
        <w:tc>
          <w:tcPr>
            <w:tcW w:w="902" w:type="pct"/>
            <w:tcBorders>
              <w:top w:val="single" w:sz="4" w:space="0" w:color="auto"/>
              <w:left w:val="single" w:sz="4" w:space="0" w:color="auto"/>
              <w:bottom w:val="single" w:sz="4" w:space="0" w:color="auto"/>
              <w:right w:val="single" w:sz="4" w:space="0" w:color="auto"/>
            </w:tcBorders>
            <w:vAlign w:val="center"/>
          </w:tcPr>
          <w:p w14:paraId="7B6B96E0" w14:textId="77777777" w:rsidR="00EB6106" w:rsidRPr="00064B79" w:rsidRDefault="00EB6106" w:rsidP="00064B79">
            <w:pPr>
              <w:spacing w:before="0" w:after="0"/>
              <w:rPr>
                <w:rFonts w:cstheme="minorHAnsi"/>
                <w:i/>
                <w:iCs/>
                <w:sz w:val="16"/>
                <w:szCs w:val="16"/>
              </w:rPr>
            </w:pPr>
            <w:r w:rsidRPr="00064B79">
              <w:rPr>
                <w:rFonts w:cstheme="minorHAnsi"/>
                <w:i/>
                <w:iCs/>
                <w:sz w:val="16"/>
                <w:szCs w:val="16"/>
              </w:rPr>
              <w:t>Mycobacterium tuberculosis</w:t>
            </w:r>
          </w:p>
        </w:tc>
        <w:tc>
          <w:tcPr>
            <w:tcW w:w="1242" w:type="pct"/>
            <w:tcBorders>
              <w:top w:val="single" w:sz="4" w:space="0" w:color="auto"/>
              <w:left w:val="single" w:sz="4" w:space="0" w:color="auto"/>
              <w:bottom w:val="single" w:sz="4" w:space="0" w:color="auto"/>
              <w:right w:val="single" w:sz="4" w:space="0" w:color="auto"/>
            </w:tcBorders>
            <w:vAlign w:val="center"/>
          </w:tcPr>
          <w:p w14:paraId="69880F46"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Multidrug-resistant – at least rifampicin- and isoniazid-resistant strains</w:t>
            </w:r>
          </w:p>
        </w:tc>
        <w:tc>
          <w:tcPr>
            <w:tcW w:w="230" w:type="pct"/>
            <w:tcBorders>
              <w:top w:val="single" w:sz="4" w:space="0" w:color="auto"/>
              <w:left w:val="single" w:sz="4" w:space="0" w:color="auto"/>
              <w:bottom w:val="single" w:sz="4" w:space="0" w:color="auto"/>
              <w:right w:val="single" w:sz="4" w:space="0" w:color="auto"/>
            </w:tcBorders>
            <w:noWrap/>
            <w:vAlign w:val="center"/>
          </w:tcPr>
          <w:p w14:paraId="23BEF308"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6</w:t>
            </w:r>
          </w:p>
        </w:tc>
        <w:tc>
          <w:tcPr>
            <w:tcW w:w="230" w:type="pct"/>
            <w:tcBorders>
              <w:top w:val="single" w:sz="4" w:space="0" w:color="auto"/>
              <w:left w:val="single" w:sz="4" w:space="0" w:color="auto"/>
              <w:bottom w:val="single" w:sz="4" w:space="0" w:color="auto"/>
              <w:right w:val="single" w:sz="4" w:space="0" w:color="auto"/>
            </w:tcBorders>
            <w:noWrap/>
            <w:vAlign w:val="center"/>
          </w:tcPr>
          <w:p w14:paraId="6F7E446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5</w:t>
            </w:r>
          </w:p>
        </w:tc>
        <w:tc>
          <w:tcPr>
            <w:tcW w:w="230" w:type="pct"/>
            <w:tcBorders>
              <w:top w:val="single" w:sz="4" w:space="0" w:color="auto"/>
              <w:left w:val="single" w:sz="4" w:space="0" w:color="auto"/>
              <w:bottom w:val="single" w:sz="4" w:space="0" w:color="auto"/>
              <w:right w:val="single" w:sz="4" w:space="0" w:color="auto"/>
            </w:tcBorders>
            <w:noWrap/>
            <w:vAlign w:val="center"/>
          </w:tcPr>
          <w:p w14:paraId="5A125292" w14:textId="77777777" w:rsidR="00EB6106" w:rsidRPr="00064B79" w:rsidRDefault="00EB6106" w:rsidP="00064B79">
            <w:pPr>
              <w:spacing w:before="0" w:after="0"/>
              <w:jc w:val="center"/>
              <w:rPr>
                <w:rFonts w:cs="Arial"/>
                <w:color w:val="auto"/>
                <w:sz w:val="16"/>
                <w:szCs w:val="16"/>
              </w:rPr>
            </w:pPr>
            <w:r w:rsidRPr="00064B79">
              <w:rPr>
                <w:rFonts w:cs="Arial"/>
                <w:color w:val="auto"/>
                <w:sz w:val="16"/>
                <w:szCs w:val="16"/>
              </w:rPr>
              <w:t>1</w:t>
            </w:r>
          </w:p>
        </w:tc>
        <w:tc>
          <w:tcPr>
            <w:tcW w:w="230" w:type="pct"/>
            <w:tcBorders>
              <w:top w:val="single" w:sz="4" w:space="0" w:color="auto"/>
              <w:left w:val="single" w:sz="4" w:space="0" w:color="auto"/>
              <w:bottom w:val="single" w:sz="4" w:space="0" w:color="auto"/>
              <w:right w:val="single" w:sz="4" w:space="0" w:color="auto"/>
            </w:tcBorders>
            <w:noWrap/>
            <w:vAlign w:val="center"/>
          </w:tcPr>
          <w:p w14:paraId="0BF68555"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0B65BCA3"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590279E0"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4F0A7D3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2" w:type="pct"/>
            <w:tcBorders>
              <w:top w:val="single" w:sz="4" w:space="0" w:color="auto"/>
              <w:left w:val="single" w:sz="4" w:space="0" w:color="auto"/>
              <w:bottom w:val="single" w:sz="4" w:space="0" w:color="auto"/>
              <w:right w:val="single" w:sz="4" w:space="0" w:color="auto"/>
            </w:tcBorders>
            <w:noWrap/>
            <w:vAlign w:val="center"/>
          </w:tcPr>
          <w:p w14:paraId="60725D9A"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1E7DC6BF"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16</w:t>
            </w:r>
          </w:p>
        </w:tc>
        <w:tc>
          <w:tcPr>
            <w:tcW w:w="340" w:type="pct"/>
            <w:tcBorders>
              <w:top w:val="single" w:sz="4" w:space="0" w:color="auto"/>
              <w:left w:val="single" w:sz="4" w:space="0" w:color="auto"/>
              <w:bottom w:val="single" w:sz="4" w:space="0" w:color="auto"/>
              <w:right w:val="single" w:sz="4" w:space="0" w:color="auto"/>
            </w:tcBorders>
            <w:vAlign w:val="center"/>
          </w:tcPr>
          <w:p w14:paraId="5A3E5325"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14</w:t>
            </w:r>
          </w:p>
        </w:tc>
        <w:tc>
          <w:tcPr>
            <w:tcW w:w="334" w:type="pct"/>
            <w:tcBorders>
              <w:top w:val="single" w:sz="4" w:space="0" w:color="auto"/>
              <w:left w:val="single" w:sz="4" w:space="0" w:color="auto"/>
              <w:bottom w:val="single" w:sz="4" w:space="0" w:color="auto"/>
              <w:right w:val="single" w:sz="4" w:space="0" w:color="auto"/>
            </w:tcBorders>
            <w:vAlign w:val="center"/>
          </w:tcPr>
          <w:p w14:paraId="24089067" w14:textId="77777777" w:rsidR="00EB6106" w:rsidRPr="00064B79" w:rsidRDefault="00EB6106" w:rsidP="00064B79">
            <w:pPr>
              <w:pStyle w:val="Normal-beforebullets"/>
              <w:jc w:val="center"/>
              <w:rPr>
                <w:rFonts w:cs="Arial"/>
                <w:color w:val="auto"/>
                <w:sz w:val="16"/>
                <w:szCs w:val="16"/>
              </w:rPr>
            </w:pPr>
            <w:r w:rsidRPr="00064B79">
              <w:rPr>
                <w:rFonts w:cs="Arial"/>
                <w:color w:val="00B050"/>
                <w:sz w:val="16"/>
                <w:szCs w:val="16"/>
              </w:rPr>
              <w:t xml:space="preserve">▼ </w:t>
            </w:r>
            <w:r w:rsidRPr="00064B79">
              <w:rPr>
                <w:rFonts w:cs="Arial"/>
                <w:sz w:val="16"/>
                <w:szCs w:val="16"/>
              </w:rPr>
              <w:t>12.5%</w:t>
            </w:r>
          </w:p>
        </w:tc>
      </w:tr>
      <w:tr w:rsidR="00942D3A" w:rsidRPr="00064B79" w14:paraId="2D4E891F" w14:textId="77777777" w:rsidTr="00942D3A">
        <w:trPr>
          <w:trHeight w:val="283"/>
        </w:trPr>
        <w:tc>
          <w:tcPr>
            <w:tcW w:w="902" w:type="pct"/>
            <w:vMerge w:val="restart"/>
            <w:tcBorders>
              <w:top w:val="single" w:sz="4" w:space="0" w:color="auto"/>
              <w:left w:val="single" w:sz="4" w:space="0" w:color="auto"/>
              <w:right w:val="single" w:sz="4" w:space="0" w:color="auto"/>
            </w:tcBorders>
            <w:vAlign w:val="center"/>
          </w:tcPr>
          <w:p w14:paraId="32F49965" w14:textId="77777777" w:rsidR="00EB6106" w:rsidRPr="00064B79" w:rsidRDefault="00EB6106" w:rsidP="00064B79">
            <w:pPr>
              <w:spacing w:before="0" w:after="0"/>
              <w:rPr>
                <w:rFonts w:cstheme="minorHAnsi"/>
                <w:i/>
                <w:iCs/>
                <w:sz w:val="16"/>
                <w:szCs w:val="16"/>
              </w:rPr>
            </w:pPr>
            <w:r w:rsidRPr="00064B79">
              <w:rPr>
                <w:rFonts w:cstheme="minorHAnsi"/>
                <w:i/>
                <w:iCs/>
                <w:sz w:val="16"/>
                <w:szCs w:val="16"/>
              </w:rPr>
              <w:t>Neisseria gonorrhoeae</w:t>
            </w:r>
          </w:p>
        </w:tc>
        <w:tc>
          <w:tcPr>
            <w:tcW w:w="1242" w:type="pct"/>
            <w:tcBorders>
              <w:top w:val="single" w:sz="4" w:space="0" w:color="auto"/>
              <w:left w:val="single" w:sz="4" w:space="0" w:color="auto"/>
              <w:bottom w:val="single" w:sz="4" w:space="0" w:color="D9D9D9" w:themeColor="background1" w:themeShade="D9"/>
              <w:right w:val="single" w:sz="4" w:space="0" w:color="auto"/>
            </w:tcBorders>
            <w:vAlign w:val="center"/>
          </w:tcPr>
          <w:p w14:paraId="6CAD7428"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Azithromycin-nonsusceptible (low-level)</w:t>
            </w:r>
            <w:r w:rsidRPr="00064B79">
              <w:rPr>
                <w:rFonts w:cstheme="minorHAnsi"/>
                <w:sz w:val="16"/>
                <w:szCs w:val="16"/>
                <w:vertAlign w:val="superscript"/>
              </w:rPr>
              <w:t>§</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54E12C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157</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F3313AB"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415</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5864383"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37</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AD8E1D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17</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D5DBCFF" w14:textId="77777777" w:rsidR="00EB6106" w:rsidRPr="00064B79" w:rsidRDefault="00EB6106" w:rsidP="00064B79">
            <w:pPr>
              <w:spacing w:before="0" w:after="0"/>
              <w:jc w:val="center"/>
              <w:rPr>
                <w:rFonts w:cs="Arial"/>
                <w:color w:val="auto"/>
                <w:sz w:val="16"/>
                <w:szCs w:val="16"/>
              </w:rPr>
            </w:pPr>
            <w:r w:rsidRPr="00064B79">
              <w:rPr>
                <w:rFonts w:cs="Arial"/>
                <w:color w:val="auto"/>
                <w:sz w:val="16"/>
                <w:szCs w:val="16"/>
              </w:rPr>
              <w:t>42</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02830B7"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0E1D18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722FAA83"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29AD6392"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114</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7BD1A057" w14:textId="77777777" w:rsidR="00EB6106" w:rsidRPr="00064B79" w:rsidRDefault="00EB6106" w:rsidP="00064B79">
            <w:pPr>
              <w:spacing w:before="0" w:after="0"/>
              <w:jc w:val="center"/>
              <w:rPr>
                <w:rFonts w:cs="Arial"/>
                <w:color w:val="000000"/>
                <w:sz w:val="16"/>
                <w:szCs w:val="16"/>
              </w:rPr>
            </w:pPr>
            <w:r w:rsidRPr="00BB33F7">
              <w:rPr>
                <w:rFonts w:cs="Arial"/>
                <w:color w:val="000000"/>
                <w:sz w:val="16"/>
                <w:szCs w:val="16"/>
              </w:rPr>
              <w:t>669</w:t>
            </w:r>
          </w:p>
        </w:tc>
        <w:tc>
          <w:tcPr>
            <w:tcW w:w="334" w:type="pct"/>
            <w:tcBorders>
              <w:top w:val="single" w:sz="4" w:space="0" w:color="auto"/>
              <w:left w:val="single" w:sz="4" w:space="0" w:color="auto"/>
              <w:bottom w:val="single" w:sz="4" w:space="0" w:color="D9D9D9" w:themeColor="background1" w:themeShade="D9"/>
              <w:right w:val="single" w:sz="4" w:space="0" w:color="auto"/>
            </w:tcBorders>
            <w:vAlign w:val="center"/>
          </w:tcPr>
          <w:p w14:paraId="340134AC" w14:textId="67F65757" w:rsidR="00EB6106" w:rsidRPr="00064B79" w:rsidRDefault="00EB6106" w:rsidP="00064B79">
            <w:pPr>
              <w:pStyle w:val="Normal-beforebullets"/>
              <w:jc w:val="center"/>
              <w:rPr>
                <w:rFonts w:cs="Arial"/>
                <w:color w:val="auto"/>
                <w:sz w:val="16"/>
                <w:szCs w:val="16"/>
              </w:rPr>
            </w:pPr>
            <w:r w:rsidRPr="00064B79">
              <w:rPr>
                <w:rFonts w:cs="Arial"/>
                <w:bCs/>
                <w:color w:val="FF0000"/>
                <w:sz w:val="16"/>
                <w:szCs w:val="16"/>
              </w:rPr>
              <w:t>▲</w:t>
            </w:r>
            <w:r w:rsidRPr="00064B79">
              <w:rPr>
                <w:rFonts w:cs="Arial"/>
                <w:color w:val="FF0000"/>
                <w:sz w:val="16"/>
                <w:szCs w:val="16"/>
              </w:rPr>
              <w:t xml:space="preserve"> </w:t>
            </w:r>
            <w:r w:rsidRPr="00064B79">
              <w:rPr>
                <w:rFonts w:cs="Arial"/>
                <w:sz w:val="16"/>
                <w:szCs w:val="16"/>
              </w:rPr>
              <w:t>48</w:t>
            </w:r>
            <w:r w:rsidR="00BB33F7">
              <w:rPr>
                <w:rFonts w:cs="Arial"/>
                <w:sz w:val="16"/>
                <w:szCs w:val="16"/>
              </w:rPr>
              <w:t>7</w:t>
            </w:r>
            <w:r w:rsidRPr="00064B79">
              <w:rPr>
                <w:rFonts w:cs="Arial"/>
                <w:sz w:val="16"/>
                <w:szCs w:val="16"/>
              </w:rPr>
              <w:t>%</w:t>
            </w:r>
          </w:p>
        </w:tc>
      </w:tr>
      <w:tr w:rsidR="00EB6106" w:rsidRPr="00064B79" w14:paraId="186A8AA2" w14:textId="77777777" w:rsidTr="00942D3A">
        <w:trPr>
          <w:trHeight w:val="283"/>
        </w:trPr>
        <w:tc>
          <w:tcPr>
            <w:tcW w:w="902" w:type="pct"/>
            <w:vMerge/>
            <w:tcBorders>
              <w:left w:val="single" w:sz="4" w:space="0" w:color="auto"/>
              <w:right w:val="single" w:sz="4" w:space="0" w:color="auto"/>
            </w:tcBorders>
            <w:vAlign w:val="center"/>
          </w:tcPr>
          <w:p w14:paraId="38EF2D8C"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B3320B"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Azithromycin-nonsusceptible (high-level)</w:t>
            </w:r>
            <w:r w:rsidRPr="00064B79">
              <w:rPr>
                <w:rFonts w:cstheme="minorHAnsi"/>
                <w:sz w:val="16"/>
                <w:szCs w:val="16"/>
                <w:vertAlign w:val="superscript"/>
              </w:rPr>
              <w:t>#</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793B63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8C19313"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8</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53423DC"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C506E3D"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4A1E04C"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2</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12677AF"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BCA57A1"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C909A4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27B40A7"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8</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D6C1C9D" w14:textId="77777777" w:rsidR="00EB6106" w:rsidRPr="00064B79" w:rsidRDefault="00EB6106" w:rsidP="00064B79">
            <w:pPr>
              <w:pStyle w:val="Normal-beforebullets"/>
              <w:jc w:val="center"/>
              <w:rPr>
                <w:rFonts w:cs="Arial"/>
                <w:color w:val="auto"/>
                <w:sz w:val="16"/>
                <w:szCs w:val="16"/>
              </w:rPr>
            </w:pPr>
            <w:r w:rsidRPr="00064B79">
              <w:rPr>
                <w:rFonts w:cs="Arial"/>
                <w:color w:val="000000"/>
                <w:sz w:val="16"/>
                <w:szCs w:val="16"/>
              </w:rPr>
              <w:t>22</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79273A1" w14:textId="77777777" w:rsidR="00EB6106" w:rsidRPr="00064B79" w:rsidRDefault="00EB6106" w:rsidP="00064B79">
            <w:pPr>
              <w:pStyle w:val="Normal-beforebullets"/>
              <w:jc w:val="center"/>
              <w:rPr>
                <w:rFonts w:cs="Arial"/>
                <w:sz w:val="16"/>
                <w:szCs w:val="16"/>
              </w:rPr>
            </w:pPr>
            <w:r w:rsidRPr="00064B79">
              <w:rPr>
                <w:rFonts w:cs="Arial"/>
                <w:bCs/>
                <w:color w:val="FF0000"/>
                <w:sz w:val="16"/>
                <w:szCs w:val="16"/>
              </w:rPr>
              <w:t>▲</w:t>
            </w:r>
            <w:r w:rsidRPr="00064B79">
              <w:rPr>
                <w:rFonts w:cs="Arial"/>
                <w:color w:val="FF0000"/>
                <w:sz w:val="16"/>
                <w:szCs w:val="16"/>
              </w:rPr>
              <w:t xml:space="preserve"> </w:t>
            </w:r>
            <w:r w:rsidRPr="00064B79">
              <w:rPr>
                <w:rFonts w:cs="Arial"/>
                <w:sz w:val="16"/>
                <w:szCs w:val="16"/>
              </w:rPr>
              <w:t>175%</w:t>
            </w:r>
          </w:p>
        </w:tc>
      </w:tr>
      <w:tr w:rsidR="00EB6106" w:rsidRPr="00064B79" w14:paraId="645C8B24" w14:textId="77777777" w:rsidTr="00942D3A">
        <w:trPr>
          <w:trHeight w:val="283"/>
        </w:trPr>
        <w:tc>
          <w:tcPr>
            <w:tcW w:w="902" w:type="pct"/>
            <w:vMerge/>
            <w:tcBorders>
              <w:left w:val="single" w:sz="4" w:space="0" w:color="auto"/>
              <w:right w:val="single" w:sz="4" w:space="0" w:color="auto"/>
            </w:tcBorders>
            <w:vAlign w:val="center"/>
          </w:tcPr>
          <w:p w14:paraId="4A552398"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4367A5"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Ceftriaxone-nonsusceptible</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7EBEE39"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7</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11ECCE9"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5A7D61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3</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2CC38B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1</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FA7DB6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2</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599F1D6"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DDF87A4"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36383C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BC45EE2"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33</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78F745" w14:textId="77777777" w:rsidR="00EB6106" w:rsidRPr="00064B79" w:rsidRDefault="00EB6106" w:rsidP="00064B79">
            <w:pPr>
              <w:pStyle w:val="Normal-beforebullets"/>
              <w:jc w:val="center"/>
              <w:rPr>
                <w:rFonts w:cs="Arial"/>
                <w:color w:val="auto"/>
                <w:sz w:val="16"/>
                <w:szCs w:val="16"/>
              </w:rPr>
            </w:pPr>
            <w:r w:rsidRPr="00064B79">
              <w:rPr>
                <w:rFonts w:cs="Arial"/>
                <w:color w:val="000000"/>
                <w:sz w:val="16"/>
                <w:szCs w:val="16"/>
              </w:rPr>
              <w:t>14</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6B2CC83" w14:textId="77777777" w:rsidR="00EB6106" w:rsidRPr="00064B79" w:rsidRDefault="00EB6106" w:rsidP="00064B79">
            <w:pPr>
              <w:pStyle w:val="Normal-beforebullets"/>
              <w:jc w:val="center"/>
              <w:rPr>
                <w:rFonts w:cs="Arial"/>
                <w:sz w:val="16"/>
                <w:szCs w:val="16"/>
              </w:rPr>
            </w:pPr>
            <w:r w:rsidRPr="00064B79">
              <w:rPr>
                <w:rFonts w:cs="Arial"/>
                <w:color w:val="00B050"/>
                <w:sz w:val="16"/>
                <w:szCs w:val="16"/>
              </w:rPr>
              <w:t xml:space="preserve">▼ </w:t>
            </w:r>
            <w:r w:rsidRPr="00064B79">
              <w:rPr>
                <w:rFonts w:cs="Arial"/>
                <w:sz w:val="16"/>
                <w:szCs w:val="16"/>
              </w:rPr>
              <w:t>57.6%</w:t>
            </w:r>
          </w:p>
        </w:tc>
      </w:tr>
      <w:tr w:rsidR="00942D3A" w:rsidRPr="00064B79" w14:paraId="5A140EDE" w14:textId="77777777" w:rsidTr="00942D3A">
        <w:trPr>
          <w:trHeight w:val="283"/>
        </w:trPr>
        <w:tc>
          <w:tcPr>
            <w:tcW w:w="902" w:type="pct"/>
            <w:vMerge/>
            <w:tcBorders>
              <w:left w:val="single" w:sz="4" w:space="0" w:color="auto"/>
              <w:right w:val="single" w:sz="4" w:space="0" w:color="auto"/>
            </w:tcBorders>
            <w:vAlign w:val="center"/>
          </w:tcPr>
          <w:p w14:paraId="4D52BDD7"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A49D22B"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Ceftriaxone-nonsusceptible and azithromycin-nonsusceptible (low-level)</w:t>
            </w:r>
            <w:r w:rsidRPr="00064B79">
              <w:rPr>
                <w:rFonts w:cstheme="minorHAnsi"/>
                <w:sz w:val="16"/>
                <w:szCs w:val="16"/>
                <w:vertAlign w:val="superscript"/>
              </w:rPr>
              <w:t xml:space="preserve"> §</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D10BF7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68F38F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3</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F8A1142"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EC4F887"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57F2DEE"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B11E9F7"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9496ECA"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12C0EDB" w14:textId="77777777" w:rsidR="00EB6106" w:rsidRPr="00064B79" w:rsidRDefault="00EB6106" w:rsidP="00064B79">
            <w:pPr>
              <w:spacing w:before="0" w:after="0"/>
              <w:jc w:val="center"/>
              <w:rPr>
                <w:rFonts w:cs="Arial"/>
                <w:color w:val="auto"/>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242A85F" w14:textId="77777777" w:rsidR="00EB6106" w:rsidRPr="00064B79" w:rsidRDefault="00EB6106" w:rsidP="00064B79">
            <w:pPr>
              <w:pStyle w:val="Normal-beforebullets"/>
              <w:jc w:val="center"/>
              <w:rPr>
                <w:rFonts w:cs="Arial"/>
                <w:color w:val="auto"/>
                <w:sz w:val="16"/>
                <w:szCs w:val="16"/>
              </w:rPr>
            </w:pPr>
            <w:r w:rsidRPr="00064B79">
              <w:rPr>
                <w:rFonts w:cs="Arial"/>
                <w:color w:val="auto"/>
                <w:sz w:val="16"/>
                <w:szCs w:val="16"/>
              </w:rPr>
              <w:t>4</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24222E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3</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E428C7A" w14:textId="77777777" w:rsidR="00EB6106" w:rsidRPr="00064B79" w:rsidRDefault="00EB6106" w:rsidP="00064B79">
            <w:pPr>
              <w:pStyle w:val="Normal-beforebullets"/>
              <w:jc w:val="center"/>
              <w:rPr>
                <w:rFonts w:cs="Arial"/>
                <w:sz w:val="16"/>
                <w:szCs w:val="16"/>
              </w:rPr>
            </w:pPr>
            <w:r w:rsidRPr="00064B79">
              <w:rPr>
                <w:rFonts w:cs="Arial"/>
                <w:color w:val="00B050"/>
                <w:sz w:val="16"/>
                <w:szCs w:val="16"/>
              </w:rPr>
              <w:t xml:space="preserve">▼ </w:t>
            </w:r>
            <w:r w:rsidRPr="00064B79">
              <w:rPr>
                <w:rFonts w:cs="Arial"/>
                <w:sz w:val="16"/>
                <w:szCs w:val="16"/>
              </w:rPr>
              <w:t>25.0%</w:t>
            </w:r>
          </w:p>
        </w:tc>
      </w:tr>
      <w:tr w:rsidR="00942D3A" w:rsidRPr="00064B79" w14:paraId="2B0FC74E" w14:textId="77777777" w:rsidTr="00942D3A">
        <w:trPr>
          <w:trHeight w:val="283"/>
        </w:trPr>
        <w:tc>
          <w:tcPr>
            <w:tcW w:w="902" w:type="pct"/>
            <w:vMerge/>
            <w:tcBorders>
              <w:left w:val="single" w:sz="4" w:space="0" w:color="auto"/>
              <w:right w:val="single" w:sz="4" w:space="0" w:color="auto"/>
            </w:tcBorders>
            <w:vAlign w:val="center"/>
          </w:tcPr>
          <w:p w14:paraId="4E8B3FE0"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F1E5D6D" w14:textId="77777777" w:rsidR="00EB6106" w:rsidRPr="00064B79" w:rsidRDefault="00EB6106" w:rsidP="00064B79">
            <w:pPr>
              <w:pStyle w:val="Normal-beforebullets"/>
              <w:ind w:left="57"/>
              <w:rPr>
                <w:rFonts w:cstheme="minorHAnsi"/>
                <w:sz w:val="16"/>
                <w:szCs w:val="16"/>
              </w:rPr>
            </w:pPr>
            <w:r w:rsidRPr="00064B79">
              <w:rPr>
                <w:rFonts w:cstheme="minorHAnsi"/>
                <w:sz w:val="16"/>
                <w:szCs w:val="16"/>
              </w:rPr>
              <w:t>Ceftriaxone-nonsusceptible and azithromycin-nonsusceptible (high-level)</w:t>
            </w:r>
            <w:r w:rsidRPr="00064B79">
              <w:rPr>
                <w:rFonts w:cstheme="minorHAnsi"/>
                <w:sz w:val="16"/>
                <w:szCs w:val="16"/>
                <w:vertAlign w:val="superscript"/>
              </w:rPr>
              <w:t xml:space="preserve"> #</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AF2EB66"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43D88DD"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5</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7B853D6"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5751282"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753CFEE"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55CBAF9"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217DB04F"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DE195F9"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243520B" w14:textId="77777777" w:rsidR="00EB6106" w:rsidRPr="00064B79" w:rsidRDefault="00EB6106" w:rsidP="00064B79">
            <w:pPr>
              <w:pStyle w:val="Normal-beforebullets"/>
              <w:jc w:val="center"/>
              <w:rPr>
                <w:rFonts w:cs="Arial"/>
                <w:sz w:val="16"/>
                <w:szCs w:val="16"/>
              </w:rPr>
            </w:pPr>
            <w:r w:rsidRPr="00064B79">
              <w:rPr>
                <w:rFonts w:cs="Arial"/>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F28B7"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5</w:t>
            </w:r>
          </w:p>
        </w:tc>
        <w:tc>
          <w:tcPr>
            <w:tcW w:w="3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9B9E194" w14:textId="77777777" w:rsidR="00EB6106" w:rsidRPr="00064B79" w:rsidRDefault="00EB6106" w:rsidP="00064B79">
            <w:pPr>
              <w:pStyle w:val="Normal-beforebullets"/>
              <w:jc w:val="center"/>
              <w:rPr>
                <w:rFonts w:cs="Arial"/>
                <w:bCs/>
                <w:color w:val="auto"/>
                <w:sz w:val="16"/>
                <w:szCs w:val="16"/>
              </w:rPr>
            </w:pPr>
            <w:r w:rsidRPr="00064B79">
              <w:rPr>
                <w:rFonts w:cs="Arial"/>
                <w:color w:val="auto"/>
                <w:sz w:val="16"/>
                <w:szCs w:val="16"/>
              </w:rPr>
              <w:t>–</w:t>
            </w:r>
          </w:p>
        </w:tc>
      </w:tr>
      <w:tr w:rsidR="00942D3A" w:rsidRPr="00064B79" w14:paraId="3BCAC962" w14:textId="77777777" w:rsidTr="00942D3A">
        <w:trPr>
          <w:trHeight w:val="283"/>
        </w:trPr>
        <w:tc>
          <w:tcPr>
            <w:tcW w:w="902" w:type="pct"/>
            <w:vMerge/>
            <w:tcBorders>
              <w:left w:val="single" w:sz="4" w:space="0" w:color="auto"/>
              <w:bottom w:val="single" w:sz="4" w:space="0" w:color="auto"/>
              <w:right w:val="single" w:sz="4" w:space="0" w:color="auto"/>
            </w:tcBorders>
            <w:vAlign w:val="center"/>
          </w:tcPr>
          <w:p w14:paraId="175DBB54" w14:textId="77777777" w:rsidR="00EB6106" w:rsidRPr="00064B79" w:rsidRDefault="00EB6106" w:rsidP="00064B79">
            <w:pPr>
              <w:spacing w:before="0" w:after="0"/>
              <w:rPr>
                <w:rFonts w:cstheme="minorHAnsi"/>
                <w:i/>
                <w:iCs/>
                <w:sz w:val="16"/>
                <w:szCs w:val="16"/>
              </w:rPr>
            </w:pPr>
          </w:p>
        </w:tc>
        <w:tc>
          <w:tcPr>
            <w:tcW w:w="1242" w:type="pct"/>
            <w:tcBorders>
              <w:top w:val="single" w:sz="4" w:space="0" w:color="D9D9D9" w:themeColor="background1" w:themeShade="D9"/>
              <w:left w:val="single" w:sz="4" w:space="0" w:color="auto"/>
              <w:bottom w:val="single" w:sz="4" w:space="0" w:color="auto"/>
              <w:right w:val="single" w:sz="4" w:space="0" w:color="auto"/>
            </w:tcBorders>
            <w:vAlign w:val="center"/>
          </w:tcPr>
          <w:p w14:paraId="01E83DA4" w14:textId="4EA689C9" w:rsidR="00EB6106" w:rsidRPr="007A13D1" w:rsidRDefault="00EB6106" w:rsidP="00064B79">
            <w:pPr>
              <w:pStyle w:val="Normal-beforebullets"/>
              <w:ind w:left="57"/>
              <w:rPr>
                <w:rFonts w:cstheme="minorHAnsi"/>
                <w:sz w:val="16"/>
                <w:szCs w:val="16"/>
              </w:rPr>
            </w:pPr>
            <w:r w:rsidRPr="007A13D1">
              <w:rPr>
                <w:rFonts w:cstheme="minorHAnsi"/>
                <w:sz w:val="16"/>
                <w:szCs w:val="16"/>
              </w:rPr>
              <w:t>Gentamicin-resistant</w:t>
            </w:r>
            <w:r w:rsidR="007A13D1" w:rsidRPr="007A13D1">
              <w:rPr>
                <w:rFonts w:cstheme="minorHAnsi"/>
                <w:sz w:val="16"/>
                <w:szCs w:val="16"/>
              </w:rPr>
              <w:t>**</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9171ED"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7CC7786"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A124C22"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AFFA951"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D0F50BC"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F98FAA3"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AD41DD9"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689F77B"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55E80804" w14:textId="77777777" w:rsidR="00EB6106" w:rsidRPr="00064B79" w:rsidRDefault="00EB6106" w:rsidP="00064B79">
            <w:pPr>
              <w:pStyle w:val="Normal-beforebullets"/>
              <w:jc w:val="center"/>
              <w:rPr>
                <w:rFonts w:cs="Arial"/>
                <w:sz w:val="16"/>
                <w:szCs w:val="16"/>
              </w:rPr>
            </w:pPr>
            <w:r w:rsidRPr="00064B79">
              <w:rPr>
                <w:rFonts w:cs="Arial"/>
                <w:color w:val="auto"/>
                <w:sz w:val="16"/>
                <w:szCs w:val="16"/>
              </w:rPr>
              <w:t>–</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4188759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34" w:type="pct"/>
            <w:tcBorders>
              <w:top w:val="single" w:sz="4" w:space="0" w:color="D9D9D9" w:themeColor="background1" w:themeShade="D9"/>
              <w:left w:val="single" w:sz="4" w:space="0" w:color="auto"/>
              <w:bottom w:val="single" w:sz="4" w:space="0" w:color="auto"/>
              <w:right w:val="single" w:sz="4" w:space="0" w:color="auto"/>
            </w:tcBorders>
            <w:vAlign w:val="center"/>
          </w:tcPr>
          <w:p w14:paraId="2B141087" w14:textId="77777777" w:rsidR="00EB6106" w:rsidRPr="00064B79" w:rsidRDefault="00EB6106" w:rsidP="00064B79">
            <w:pPr>
              <w:pStyle w:val="Normal-beforebullets"/>
              <w:jc w:val="center"/>
              <w:rPr>
                <w:rFonts w:cs="Arial"/>
                <w:bCs/>
                <w:color w:val="auto"/>
                <w:sz w:val="16"/>
                <w:szCs w:val="16"/>
              </w:rPr>
            </w:pPr>
            <w:r w:rsidRPr="00064B79">
              <w:rPr>
                <w:rFonts w:cs="Arial"/>
                <w:color w:val="auto"/>
                <w:sz w:val="16"/>
                <w:szCs w:val="16"/>
              </w:rPr>
              <w:t>–</w:t>
            </w:r>
          </w:p>
        </w:tc>
      </w:tr>
      <w:tr w:rsidR="00661059" w:rsidRPr="00064B79" w14:paraId="2F6EAAD8" w14:textId="77777777" w:rsidTr="00942D3A">
        <w:trPr>
          <w:trHeight w:val="283"/>
        </w:trPr>
        <w:tc>
          <w:tcPr>
            <w:tcW w:w="902" w:type="pct"/>
            <w:tcBorders>
              <w:top w:val="single" w:sz="4" w:space="0" w:color="auto"/>
              <w:left w:val="single" w:sz="4" w:space="0" w:color="auto"/>
              <w:bottom w:val="single" w:sz="4" w:space="0" w:color="auto"/>
              <w:right w:val="single" w:sz="4" w:space="0" w:color="auto"/>
            </w:tcBorders>
            <w:vAlign w:val="center"/>
          </w:tcPr>
          <w:p w14:paraId="6D9C933C" w14:textId="77777777" w:rsidR="00EB6106" w:rsidRPr="00064B79" w:rsidRDefault="00EB6106" w:rsidP="00064B79">
            <w:pPr>
              <w:spacing w:before="0" w:after="0"/>
              <w:rPr>
                <w:rFonts w:cstheme="minorHAnsi"/>
                <w:i/>
                <w:iCs/>
                <w:sz w:val="16"/>
                <w:szCs w:val="16"/>
              </w:rPr>
            </w:pPr>
            <w:r w:rsidRPr="00064B79">
              <w:rPr>
                <w:rFonts w:cstheme="minorHAnsi"/>
                <w:i/>
                <w:iCs/>
                <w:sz w:val="16"/>
                <w:szCs w:val="16"/>
              </w:rPr>
              <w:t>Neisseria meningitidis</w:t>
            </w:r>
          </w:p>
        </w:tc>
        <w:tc>
          <w:tcPr>
            <w:tcW w:w="1242" w:type="pct"/>
            <w:tcBorders>
              <w:top w:val="single" w:sz="4" w:space="0" w:color="auto"/>
              <w:left w:val="single" w:sz="4" w:space="0" w:color="auto"/>
              <w:bottom w:val="single" w:sz="4" w:space="0" w:color="auto"/>
              <w:right w:val="single" w:sz="4" w:space="0" w:color="auto"/>
            </w:tcBorders>
            <w:vAlign w:val="center"/>
          </w:tcPr>
          <w:p w14:paraId="2AC94E73" w14:textId="5066A485" w:rsidR="00EB6106" w:rsidRPr="007A13D1" w:rsidRDefault="00EB6106" w:rsidP="00064B79">
            <w:pPr>
              <w:pStyle w:val="Normal-beforebullets"/>
              <w:ind w:left="57"/>
              <w:rPr>
                <w:rFonts w:cstheme="minorHAnsi"/>
                <w:sz w:val="16"/>
                <w:szCs w:val="16"/>
              </w:rPr>
            </w:pPr>
            <w:r w:rsidRPr="007A13D1">
              <w:rPr>
                <w:rFonts w:cstheme="minorHAnsi"/>
                <w:sz w:val="16"/>
                <w:szCs w:val="16"/>
              </w:rPr>
              <w:t>Ciprofloxacin-nonsusceptible</w:t>
            </w:r>
            <w:r w:rsidR="007A13D1" w:rsidRPr="007A13D1">
              <w:rPr>
                <w:rFonts w:cstheme="minorHAns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tcPr>
          <w:p w14:paraId="07D349C1"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4FC11886"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4</w:t>
            </w:r>
          </w:p>
        </w:tc>
        <w:tc>
          <w:tcPr>
            <w:tcW w:w="230" w:type="pct"/>
            <w:tcBorders>
              <w:top w:val="single" w:sz="4" w:space="0" w:color="auto"/>
              <w:left w:val="single" w:sz="4" w:space="0" w:color="auto"/>
              <w:bottom w:val="single" w:sz="4" w:space="0" w:color="auto"/>
              <w:right w:val="single" w:sz="4" w:space="0" w:color="auto"/>
            </w:tcBorders>
            <w:noWrap/>
            <w:vAlign w:val="center"/>
          </w:tcPr>
          <w:p w14:paraId="3DD6BB59"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71DE2A08"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72FF79E7"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4DF47CA4"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375E84CF"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232" w:type="pct"/>
            <w:tcBorders>
              <w:top w:val="single" w:sz="4" w:space="0" w:color="auto"/>
              <w:left w:val="single" w:sz="4" w:space="0" w:color="auto"/>
              <w:bottom w:val="single" w:sz="4" w:space="0" w:color="auto"/>
              <w:right w:val="single" w:sz="4" w:space="0" w:color="auto"/>
            </w:tcBorders>
            <w:noWrap/>
            <w:vAlign w:val="center"/>
          </w:tcPr>
          <w:p w14:paraId="4019BBE3"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0</w:t>
            </w:r>
          </w:p>
        </w:tc>
        <w:tc>
          <w:tcPr>
            <w:tcW w:w="340" w:type="pct"/>
            <w:tcBorders>
              <w:top w:val="single" w:sz="4" w:space="0" w:color="auto"/>
              <w:left w:val="single" w:sz="4" w:space="0" w:color="auto"/>
              <w:bottom w:val="single" w:sz="4" w:space="0" w:color="auto"/>
              <w:right w:val="single" w:sz="4" w:space="0" w:color="auto"/>
            </w:tcBorders>
            <w:vAlign w:val="center"/>
          </w:tcPr>
          <w:p w14:paraId="3649C044" w14:textId="77777777" w:rsidR="00EB6106" w:rsidRPr="00064B79" w:rsidRDefault="00EB6106" w:rsidP="00064B79">
            <w:pPr>
              <w:pStyle w:val="Normal-beforebullets"/>
              <w:jc w:val="center"/>
              <w:rPr>
                <w:rFonts w:cs="Arial"/>
                <w:sz w:val="16"/>
                <w:szCs w:val="16"/>
              </w:rPr>
            </w:pPr>
            <w:r w:rsidRPr="00064B79">
              <w:rPr>
                <w:rFonts w:cs="Arial"/>
                <w:color w:val="auto"/>
                <w:sz w:val="16"/>
                <w:szCs w:val="16"/>
              </w:rPr>
              <w:t>–</w:t>
            </w:r>
          </w:p>
        </w:tc>
        <w:tc>
          <w:tcPr>
            <w:tcW w:w="340" w:type="pct"/>
            <w:tcBorders>
              <w:top w:val="single" w:sz="4" w:space="0" w:color="auto"/>
              <w:left w:val="single" w:sz="4" w:space="0" w:color="auto"/>
              <w:bottom w:val="single" w:sz="4" w:space="0" w:color="auto"/>
              <w:right w:val="single" w:sz="4" w:space="0" w:color="auto"/>
            </w:tcBorders>
            <w:vAlign w:val="center"/>
          </w:tcPr>
          <w:p w14:paraId="4661D183" w14:textId="77777777" w:rsidR="00EB6106" w:rsidRPr="00064B79" w:rsidRDefault="00EB6106" w:rsidP="00064B79">
            <w:pPr>
              <w:spacing w:before="0" w:after="0"/>
              <w:jc w:val="center"/>
              <w:rPr>
                <w:rFonts w:cs="Arial"/>
                <w:color w:val="000000"/>
                <w:sz w:val="16"/>
                <w:szCs w:val="16"/>
              </w:rPr>
            </w:pPr>
            <w:r w:rsidRPr="00064B79">
              <w:rPr>
                <w:rFonts w:cs="Arial"/>
                <w:color w:val="000000"/>
                <w:sz w:val="16"/>
                <w:szCs w:val="16"/>
              </w:rPr>
              <w:t>4</w:t>
            </w:r>
          </w:p>
        </w:tc>
        <w:tc>
          <w:tcPr>
            <w:tcW w:w="334" w:type="pct"/>
            <w:tcBorders>
              <w:top w:val="single" w:sz="4" w:space="0" w:color="auto"/>
              <w:left w:val="single" w:sz="4" w:space="0" w:color="auto"/>
              <w:bottom w:val="single" w:sz="4" w:space="0" w:color="auto"/>
              <w:right w:val="single" w:sz="4" w:space="0" w:color="auto"/>
            </w:tcBorders>
            <w:vAlign w:val="center"/>
          </w:tcPr>
          <w:p w14:paraId="31AF5C24" w14:textId="77777777" w:rsidR="00EB6106" w:rsidRPr="00064B79" w:rsidRDefault="00EB6106" w:rsidP="00064B79">
            <w:pPr>
              <w:pStyle w:val="Normal-beforebullets"/>
              <w:jc w:val="center"/>
              <w:rPr>
                <w:rFonts w:cs="Arial"/>
                <w:sz w:val="16"/>
                <w:szCs w:val="16"/>
              </w:rPr>
            </w:pPr>
            <w:r w:rsidRPr="00064B79">
              <w:rPr>
                <w:rFonts w:cs="Arial"/>
                <w:color w:val="auto"/>
                <w:sz w:val="16"/>
                <w:szCs w:val="16"/>
              </w:rPr>
              <w:t>–</w:t>
            </w:r>
          </w:p>
        </w:tc>
      </w:tr>
    </w:tbl>
    <w:p w14:paraId="439CEB2C" w14:textId="77777777" w:rsidR="00EB6106" w:rsidRPr="002302B1" w:rsidRDefault="00EB6106" w:rsidP="00EB6106">
      <w:pPr>
        <w:spacing w:after="80"/>
        <w:jc w:val="right"/>
        <w:rPr>
          <w:rFonts w:cs="Arial"/>
          <w:i/>
          <w:iCs/>
          <w:sz w:val="16"/>
          <w:szCs w:val="16"/>
        </w:rPr>
      </w:pPr>
      <w:r w:rsidRPr="00A400BC">
        <w:rPr>
          <w:rFonts w:cs="Arial"/>
          <w:i/>
          <w:iCs/>
          <w:sz w:val="16"/>
          <w:szCs w:val="16"/>
        </w:rPr>
        <w:t>Continued</w:t>
      </w:r>
      <w:r>
        <w:rPr>
          <w:rFonts w:cs="Arial"/>
          <w:sz w:val="16"/>
          <w:szCs w:val="16"/>
        </w:rPr>
        <w:br w:type="page"/>
      </w:r>
    </w:p>
    <w:p w14:paraId="75F6D47E" w14:textId="77777777" w:rsidR="00EB6106" w:rsidRDefault="00EB6106" w:rsidP="00EB6106">
      <w:pPr>
        <w:pStyle w:val="FigureTitle"/>
        <w:rPr>
          <w:b w:val="0"/>
          <w:bCs/>
          <w:i/>
          <w:iCs/>
        </w:rPr>
      </w:pPr>
      <w:r w:rsidRPr="00D63DD5">
        <w:lastRenderedPageBreak/>
        <w:t>Table 1:</w:t>
      </w:r>
      <w:r w:rsidRPr="00136DD0">
        <w:t xml:space="preserve"> </w:t>
      </w:r>
      <w:r w:rsidRPr="00136DD0">
        <w:rPr>
          <w:b w:val="0"/>
          <w:bCs/>
          <w:i/>
          <w:iCs/>
        </w:rPr>
        <w:t>continued</w:t>
      </w:r>
    </w:p>
    <w:tbl>
      <w:tblPr>
        <w:tblStyle w:val="TableGrid"/>
        <w:tblpPr w:leftFromText="64" w:rightFromText="64" w:vertAnchor="text" w:horzAnchor="margin" w:tblpY="133"/>
        <w:tblOverlap w:val="never"/>
        <w:tblW w:w="5136" w:type="pct"/>
        <w:tblLayout w:type="fixed"/>
        <w:tblLook w:val="0620" w:firstRow="1" w:lastRow="0" w:firstColumn="0" w:lastColumn="0" w:noHBand="1" w:noVBand="1"/>
        <w:tblCaption w:val="Table 1 continued"/>
      </w:tblPr>
      <w:tblGrid>
        <w:gridCol w:w="2620"/>
        <w:gridCol w:w="3619"/>
        <w:gridCol w:w="636"/>
        <w:gridCol w:w="636"/>
        <w:gridCol w:w="636"/>
        <w:gridCol w:w="636"/>
        <w:gridCol w:w="636"/>
        <w:gridCol w:w="636"/>
        <w:gridCol w:w="636"/>
        <w:gridCol w:w="659"/>
        <w:gridCol w:w="1003"/>
        <w:gridCol w:w="1003"/>
        <w:gridCol w:w="971"/>
      </w:tblGrid>
      <w:tr w:rsidR="00B60986" w:rsidRPr="00B624CD" w14:paraId="71D17BC9" w14:textId="77777777" w:rsidTr="00B60986">
        <w:trPr>
          <w:cnfStyle w:val="100000000000" w:firstRow="1" w:lastRow="0" w:firstColumn="0" w:lastColumn="0" w:oddVBand="0" w:evenVBand="0" w:oddHBand="0" w:evenHBand="0" w:firstRowFirstColumn="0" w:firstRowLastColumn="0" w:lastRowFirstColumn="0" w:lastRowLastColumn="0"/>
          <w:trHeight w:val="340"/>
        </w:trPr>
        <w:tc>
          <w:tcPr>
            <w:tcW w:w="914"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1942D9FD" w14:textId="77777777" w:rsidR="00EB6106" w:rsidRPr="00B624CD" w:rsidRDefault="00EB6106" w:rsidP="00B624CD">
            <w:pPr>
              <w:spacing w:before="0" w:after="0"/>
              <w:rPr>
                <w:rFonts w:cs="Arial"/>
                <w:i/>
                <w:iCs/>
                <w:sz w:val="16"/>
                <w:szCs w:val="16"/>
              </w:rPr>
            </w:pPr>
          </w:p>
        </w:tc>
        <w:tc>
          <w:tcPr>
            <w:tcW w:w="1263"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34B18E43" w14:textId="77777777" w:rsidR="00EB6106" w:rsidRPr="00B624CD" w:rsidRDefault="00EB6106" w:rsidP="00B624CD">
            <w:pPr>
              <w:spacing w:before="0" w:after="0"/>
              <w:rPr>
                <w:rFonts w:cs="Arial"/>
                <w:sz w:val="16"/>
                <w:szCs w:val="16"/>
              </w:rPr>
            </w:pPr>
          </w:p>
        </w:tc>
        <w:tc>
          <w:tcPr>
            <w:tcW w:w="1781" w:type="pct"/>
            <w:gridSpan w:val="8"/>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1AAB6188" w14:textId="77777777" w:rsidR="00EB6106" w:rsidRPr="003C5192" w:rsidRDefault="00EB6106" w:rsidP="003C5192">
            <w:pPr>
              <w:spacing w:before="0" w:after="0"/>
              <w:jc w:val="center"/>
              <w:rPr>
                <w:rFonts w:cstheme="minorHAnsi"/>
                <w:color w:val="000000"/>
                <w:sz w:val="16"/>
                <w:szCs w:val="16"/>
              </w:rPr>
            </w:pPr>
            <w:r w:rsidRPr="003C5192">
              <w:rPr>
                <w:rFonts w:cstheme="minorHAnsi"/>
                <w:sz w:val="16"/>
                <w:szCs w:val="16"/>
              </w:rPr>
              <w:t>State or territory, 2023</w:t>
            </w:r>
          </w:p>
        </w:tc>
        <w:tc>
          <w:tcPr>
            <w:tcW w:w="700" w:type="pct"/>
            <w:gridSpan w:val="2"/>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3BC952EE" w14:textId="77777777" w:rsidR="00EB6106" w:rsidRPr="00B624CD" w:rsidRDefault="00EB6106" w:rsidP="003C5192">
            <w:pPr>
              <w:spacing w:before="0" w:after="0"/>
              <w:jc w:val="center"/>
              <w:rPr>
                <w:rFonts w:cstheme="minorHAnsi"/>
                <w:b w:val="0"/>
                <w:sz w:val="16"/>
                <w:szCs w:val="16"/>
              </w:rPr>
            </w:pPr>
            <w:r w:rsidRPr="003C5192">
              <w:rPr>
                <w:rFonts w:cstheme="minorHAnsi"/>
                <w:bCs/>
                <w:sz w:val="16"/>
                <w:szCs w:val="16"/>
              </w:rPr>
              <w:t>Year</w:t>
            </w:r>
          </w:p>
        </w:tc>
        <w:tc>
          <w:tcPr>
            <w:tcW w:w="341" w:type="pct"/>
            <w:tcBorders>
              <w:top w:val="single" w:sz="4" w:space="0" w:color="auto"/>
              <w:left w:val="single" w:sz="4" w:space="0" w:color="auto"/>
              <w:bottom w:val="nil"/>
              <w:right w:val="single" w:sz="4" w:space="0" w:color="auto"/>
            </w:tcBorders>
            <w:shd w:val="clear" w:color="auto" w:fill="86D3F2" w:themeFill="background2" w:themeFillTint="66"/>
            <w:vAlign w:val="center"/>
          </w:tcPr>
          <w:p w14:paraId="357F5AF7" w14:textId="77777777" w:rsidR="00EB6106" w:rsidRPr="00B624CD" w:rsidRDefault="00EB6106" w:rsidP="00B624CD">
            <w:pPr>
              <w:spacing w:before="0" w:after="0"/>
              <w:rPr>
                <w:rFonts w:cstheme="minorHAnsi"/>
                <w:sz w:val="16"/>
                <w:szCs w:val="16"/>
              </w:rPr>
            </w:pPr>
          </w:p>
        </w:tc>
      </w:tr>
      <w:tr w:rsidR="00B60986" w:rsidRPr="00B624CD" w14:paraId="48BFFB7F" w14:textId="77777777" w:rsidTr="00B60986">
        <w:trPr>
          <w:trHeight w:val="340"/>
        </w:trPr>
        <w:tc>
          <w:tcPr>
            <w:tcW w:w="914"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0C86C7DB" w14:textId="77777777" w:rsidR="00EB6106" w:rsidRPr="00B624CD" w:rsidRDefault="00EB6106" w:rsidP="00B624CD">
            <w:pPr>
              <w:spacing w:before="0" w:after="0"/>
              <w:rPr>
                <w:rFonts w:cs="Arial"/>
                <w:i/>
                <w:iCs/>
                <w:sz w:val="16"/>
                <w:szCs w:val="16"/>
              </w:rPr>
            </w:pPr>
            <w:r w:rsidRPr="00B624CD">
              <w:rPr>
                <w:rFonts w:cstheme="minorHAnsi"/>
                <w:b/>
                <w:bCs/>
                <w:sz w:val="16"/>
                <w:szCs w:val="16"/>
              </w:rPr>
              <w:t>Species</w:t>
            </w:r>
          </w:p>
        </w:tc>
        <w:tc>
          <w:tcPr>
            <w:tcW w:w="1263"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29ADDD86" w14:textId="77777777" w:rsidR="00EB6106" w:rsidRPr="00B624CD" w:rsidRDefault="00EB6106" w:rsidP="00B624CD">
            <w:pPr>
              <w:spacing w:before="0" w:after="0"/>
              <w:rPr>
                <w:rFonts w:cs="Arial"/>
                <w:sz w:val="16"/>
                <w:szCs w:val="16"/>
              </w:rPr>
            </w:pPr>
            <w:r w:rsidRPr="00B624CD">
              <w:rPr>
                <w:rFonts w:cstheme="minorHAnsi"/>
                <w:b/>
                <w:bCs/>
                <w:sz w:val="16"/>
                <w:szCs w:val="16"/>
              </w:rPr>
              <w:t>Critical resistance</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0E1823AB"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NSW</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4F1CFD42"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Vic</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262CB847"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Qld</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1CA63378"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SA</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2F11347F"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WA</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4217C4ED"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Tas</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24EA9B4E"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NT</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tcPr>
          <w:p w14:paraId="5754C5B1" w14:textId="77777777" w:rsidR="00EB6106" w:rsidRPr="00B624CD" w:rsidRDefault="00EB6106" w:rsidP="00B624CD">
            <w:pPr>
              <w:spacing w:before="0" w:after="0"/>
              <w:jc w:val="center"/>
              <w:rPr>
                <w:rFonts w:cstheme="minorHAnsi"/>
                <w:color w:val="000000"/>
                <w:sz w:val="16"/>
                <w:szCs w:val="16"/>
              </w:rPr>
            </w:pPr>
            <w:r w:rsidRPr="00B624CD">
              <w:rPr>
                <w:rFonts w:cstheme="minorHAnsi"/>
                <w:b/>
                <w:bCs/>
                <w:sz w:val="16"/>
                <w:szCs w:val="16"/>
              </w:rPr>
              <w:t>ACT</w:t>
            </w:r>
          </w:p>
        </w:tc>
        <w:tc>
          <w:tcPr>
            <w:tcW w:w="35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6A3106A4" w14:textId="77777777" w:rsidR="00EB6106" w:rsidRPr="00B624CD" w:rsidRDefault="00EB6106" w:rsidP="00B624CD">
            <w:pPr>
              <w:spacing w:before="0" w:after="0"/>
              <w:jc w:val="center"/>
              <w:rPr>
                <w:rFonts w:cstheme="minorHAnsi"/>
                <w:color w:val="000000"/>
                <w:sz w:val="16"/>
                <w:szCs w:val="16"/>
              </w:rPr>
            </w:pPr>
            <w:r w:rsidRPr="00B624CD">
              <w:rPr>
                <w:rFonts w:cstheme="minorHAnsi"/>
                <w:b/>
                <w:color w:val="auto"/>
                <w:sz w:val="16"/>
                <w:szCs w:val="16"/>
              </w:rPr>
              <w:t>2022</w:t>
            </w:r>
          </w:p>
        </w:tc>
        <w:tc>
          <w:tcPr>
            <w:tcW w:w="35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75D8BEA1" w14:textId="77777777" w:rsidR="00EB6106" w:rsidRPr="00B624CD" w:rsidRDefault="00EB6106" w:rsidP="00B624CD">
            <w:pPr>
              <w:spacing w:before="0" w:after="0"/>
              <w:jc w:val="center"/>
              <w:rPr>
                <w:rFonts w:cstheme="minorHAnsi"/>
                <w:color w:val="000000"/>
                <w:sz w:val="16"/>
                <w:szCs w:val="16"/>
              </w:rPr>
            </w:pPr>
            <w:r w:rsidRPr="00B624CD">
              <w:rPr>
                <w:rFonts w:cstheme="minorHAnsi"/>
                <w:b/>
                <w:color w:val="000000"/>
                <w:sz w:val="16"/>
                <w:szCs w:val="16"/>
              </w:rPr>
              <w:t>2023</w:t>
            </w:r>
          </w:p>
        </w:tc>
        <w:tc>
          <w:tcPr>
            <w:tcW w:w="340" w:type="pct"/>
            <w:tcBorders>
              <w:top w:val="nil"/>
              <w:left w:val="single" w:sz="4" w:space="0" w:color="auto"/>
              <w:bottom w:val="single" w:sz="4" w:space="0" w:color="auto"/>
              <w:right w:val="single" w:sz="4" w:space="0" w:color="auto"/>
            </w:tcBorders>
            <w:shd w:val="clear" w:color="auto" w:fill="86D3F2" w:themeFill="background2" w:themeFillTint="66"/>
            <w:vAlign w:val="center"/>
          </w:tcPr>
          <w:p w14:paraId="17162CC3" w14:textId="77777777" w:rsidR="00EB6106" w:rsidRPr="00B624CD" w:rsidRDefault="00EB6106" w:rsidP="00B624CD">
            <w:pPr>
              <w:spacing w:before="0" w:after="0"/>
              <w:jc w:val="center"/>
              <w:rPr>
                <w:rFonts w:cstheme="minorHAnsi"/>
                <w:sz w:val="16"/>
                <w:szCs w:val="16"/>
              </w:rPr>
            </w:pPr>
            <w:r w:rsidRPr="00B624CD">
              <w:rPr>
                <w:rFonts w:cstheme="minorHAnsi"/>
                <w:b/>
                <w:sz w:val="16"/>
                <w:szCs w:val="16"/>
              </w:rPr>
              <w:t>Relative change*</w:t>
            </w:r>
          </w:p>
        </w:tc>
      </w:tr>
      <w:tr w:rsidR="00B60986" w:rsidRPr="00B624CD" w14:paraId="2023EAA3" w14:textId="77777777" w:rsidTr="00B60986">
        <w:trPr>
          <w:trHeight w:val="340"/>
        </w:trPr>
        <w:tc>
          <w:tcPr>
            <w:tcW w:w="914" w:type="pct"/>
            <w:vMerge w:val="restart"/>
            <w:tcBorders>
              <w:top w:val="single" w:sz="4" w:space="0" w:color="auto"/>
              <w:left w:val="single" w:sz="4" w:space="0" w:color="auto"/>
              <w:right w:val="single" w:sz="4" w:space="0" w:color="auto"/>
            </w:tcBorders>
            <w:vAlign w:val="center"/>
          </w:tcPr>
          <w:p w14:paraId="08201BFE" w14:textId="77777777" w:rsidR="00EB6106" w:rsidRPr="00B624CD" w:rsidRDefault="00EB6106" w:rsidP="00B624CD">
            <w:pPr>
              <w:spacing w:before="0" w:after="0"/>
              <w:rPr>
                <w:rFonts w:cs="Arial"/>
                <w:i/>
                <w:iCs/>
                <w:sz w:val="16"/>
                <w:szCs w:val="16"/>
              </w:rPr>
            </w:pPr>
            <w:bookmarkStart w:id="5" w:name="_Hlk162951297"/>
            <w:r w:rsidRPr="00B624CD">
              <w:rPr>
                <w:rFonts w:cs="Arial"/>
                <w:i/>
                <w:iCs/>
                <w:sz w:val="16"/>
                <w:szCs w:val="16"/>
              </w:rPr>
              <w:t>Pseudomonas aeruginosa</w:t>
            </w:r>
          </w:p>
        </w:tc>
        <w:tc>
          <w:tcPr>
            <w:tcW w:w="1263" w:type="pct"/>
            <w:tcBorders>
              <w:top w:val="single" w:sz="4" w:space="0" w:color="auto"/>
              <w:left w:val="single" w:sz="4" w:space="0" w:color="auto"/>
              <w:bottom w:val="single" w:sz="4" w:space="0" w:color="D9D9D9" w:themeColor="background1" w:themeShade="D9"/>
              <w:right w:val="single" w:sz="4" w:space="0" w:color="auto"/>
            </w:tcBorders>
            <w:vAlign w:val="center"/>
          </w:tcPr>
          <w:p w14:paraId="52DEA57B" w14:textId="77777777" w:rsidR="00EB6106" w:rsidRPr="00B624CD" w:rsidRDefault="00EB6106" w:rsidP="00B624CD">
            <w:pPr>
              <w:spacing w:before="0" w:after="0"/>
              <w:ind w:left="57"/>
              <w:rPr>
                <w:rFonts w:cs="Arial"/>
                <w:b/>
                <w:sz w:val="16"/>
                <w:szCs w:val="16"/>
              </w:rPr>
            </w:pPr>
            <w:r w:rsidRPr="00B624CD">
              <w:rPr>
                <w:rFonts w:cs="Arial"/>
                <w:sz w:val="16"/>
                <w:szCs w:val="16"/>
              </w:rPr>
              <w:t>Carbapenemase-producing</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27F4117"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32</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6F0EE4B"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18</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3F26C0C"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5</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627AFB3"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3</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B8C275E"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9</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ACF039D"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42CA55EF"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0</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674F78A1"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6ED3AB47" w14:textId="77777777" w:rsidR="00EB6106" w:rsidRPr="00B624CD" w:rsidRDefault="00EB6106" w:rsidP="00B624CD">
            <w:pPr>
              <w:spacing w:before="0" w:after="0"/>
              <w:jc w:val="center"/>
              <w:rPr>
                <w:rFonts w:cs="Arial"/>
                <w:sz w:val="16"/>
                <w:szCs w:val="16"/>
              </w:rPr>
            </w:pPr>
            <w:r w:rsidRPr="00B624CD">
              <w:rPr>
                <w:rFonts w:cs="Arial"/>
                <w:sz w:val="16"/>
                <w:szCs w:val="16"/>
              </w:rPr>
              <w:t>55</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495EA71F" w14:textId="77777777" w:rsidR="00EB6106" w:rsidRPr="00B624CD" w:rsidRDefault="00EB6106" w:rsidP="00B624CD">
            <w:pPr>
              <w:spacing w:before="0" w:after="0"/>
              <w:jc w:val="center"/>
              <w:rPr>
                <w:rFonts w:cs="Arial"/>
                <w:sz w:val="16"/>
                <w:szCs w:val="16"/>
              </w:rPr>
            </w:pPr>
            <w:r w:rsidRPr="00B624CD">
              <w:rPr>
                <w:rFonts w:cs="Arial"/>
                <w:sz w:val="16"/>
                <w:szCs w:val="16"/>
              </w:rPr>
              <w:t>67</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4F3E327E" w14:textId="77777777" w:rsidR="00EB6106" w:rsidRPr="00B624CD" w:rsidRDefault="00EB6106" w:rsidP="00B624CD">
            <w:pPr>
              <w:spacing w:before="0" w:after="0"/>
              <w:jc w:val="center"/>
              <w:rPr>
                <w:rFonts w:cs="Arial"/>
                <w:bCs/>
                <w:color w:val="auto"/>
                <w:sz w:val="16"/>
                <w:szCs w:val="16"/>
              </w:rPr>
            </w:pPr>
            <w:r w:rsidRPr="00B624CD">
              <w:rPr>
                <w:rFonts w:cs="Arial"/>
                <w:bCs/>
                <w:color w:val="FF0000"/>
                <w:sz w:val="16"/>
                <w:szCs w:val="16"/>
              </w:rPr>
              <w:t xml:space="preserve">▲ </w:t>
            </w:r>
            <w:r w:rsidRPr="00B624CD">
              <w:rPr>
                <w:rFonts w:cs="Arial"/>
                <w:bCs/>
                <w:sz w:val="16"/>
                <w:szCs w:val="16"/>
              </w:rPr>
              <w:t>21.8</w:t>
            </w:r>
            <w:r w:rsidRPr="00B624CD">
              <w:rPr>
                <w:rFonts w:cs="Arial"/>
                <w:sz w:val="16"/>
                <w:szCs w:val="16"/>
              </w:rPr>
              <w:t>%</w:t>
            </w:r>
          </w:p>
        </w:tc>
      </w:tr>
      <w:tr w:rsidR="00B60986" w:rsidRPr="00B624CD" w14:paraId="6D40890F" w14:textId="77777777" w:rsidTr="00B60986">
        <w:trPr>
          <w:trHeight w:val="340"/>
        </w:trPr>
        <w:tc>
          <w:tcPr>
            <w:tcW w:w="914" w:type="pct"/>
            <w:vMerge/>
            <w:tcBorders>
              <w:left w:val="single" w:sz="4" w:space="0" w:color="auto"/>
              <w:bottom w:val="single" w:sz="4" w:space="0" w:color="auto"/>
              <w:right w:val="single" w:sz="4" w:space="0" w:color="auto"/>
            </w:tcBorders>
            <w:vAlign w:val="center"/>
          </w:tcPr>
          <w:p w14:paraId="1CED210B" w14:textId="77777777" w:rsidR="00EB6106" w:rsidRPr="00B624CD" w:rsidRDefault="00EB6106" w:rsidP="00B624CD">
            <w:pPr>
              <w:spacing w:before="0" w:after="0"/>
              <w:rPr>
                <w:rFonts w:cs="Arial"/>
                <w:i/>
                <w:iCs/>
                <w:sz w:val="16"/>
                <w:szCs w:val="16"/>
              </w:rPr>
            </w:pPr>
          </w:p>
        </w:tc>
        <w:tc>
          <w:tcPr>
            <w:tcW w:w="1263" w:type="pct"/>
            <w:tcBorders>
              <w:top w:val="single" w:sz="4" w:space="0" w:color="D9D9D9" w:themeColor="background1" w:themeShade="D9"/>
              <w:left w:val="single" w:sz="4" w:space="0" w:color="auto"/>
              <w:bottom w:val="single" w:sz="4" w:space="0" w:color="auto"/>
              <w:right w:val="single" w:sz="4" w:space="0" w:color="auto"/>
            </w:tcBorders>
            <w:vAlign w:val="center"/>
          </w:tcPr>
          <w:p w14:paraId="501974D1" w14:textId="77777777" w:rsidR="00EB6106" w:rsidRPr="00B624CD" w:rsidRDefault="00EB6106" w:rsidP="00B624CD">
            <w:pPr>
              <w:spacing w:before="0" w:after="0"/>
              <w:ind w:left="57"/>
              <w:rPr>
                <w:rFonts w:cs="Arial"/>
                <w:sz w:val="16"/>
                <w:szCs w:val="16"/>
              </w:rPr>
            </w:pPr>
            <w:r w:rsidRPr="00B624CD">
              <w:rPr>
                <w:rFonts w:cstheme="minorHAnsi"/>
                <w:sz w:val="16"/>
                <w:szCs w:val="16"/>
              </w:rPr>
              <w:t>Carbapenemase- and ribosomal methyltransferase-producing</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BA35D40"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453D4C99"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2</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BB0563B"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3</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6E90EAC"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2</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5E48BEB"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BD86906"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2841DCEE"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1C55076"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0</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09AC629D" w14:textId="77777777" w:rsidR="00EB6106" w:rsidRPr="00B624CD" w:rsidRDefault="00EB6106" w:rsidP="00B624CD">
            <w:pPr>
              <w:spacing w:before="0" w:after="0"/>
              <w:jc w:val="center"/>
              <w:rPr>
                <w:rFonts w:cs="Arial"/>
                <w:color w:val="000000"/>
                <w:sz w:val="16"/>
                <w:szCs w:val="16"/>
              </w:rPr>
            </w:pPr>
            <w:r w:rsidRPr="00B624CD">
              <w:rPr>
                <w:rFonts w:cs="Arial"/>
                <w:sz w:val="16"/>
                <w:szCs w:val="16"/>
              </w:rPr>
              <w:t>2</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354FC6CD" w14:textId="77777777" w:rsidR="00EB6106" w:rsidRPr="00B624CD" w:rsidRDefault="00EB6106" w:rsidP="00B624CD">
            <w:pPr>
              <w:spacing w:before="0" w:after="0"/>
              <w:jc w:val="center"/>
              <w:rPr>
                <w:rFonts w:cs="Arial"/>
                <w:sz w:val="16"/>
                <w:szCs w:val="16"/>
              </w:rPr>
            </w:pPr>
            <w:r w:rsidRPr="00B624CD">
              <w:rPr>
                <w:rFonts w:cs="Arial"/>
                <w:sz w:val="16"/>
                <w:szCs w:val="16"/>
              </w:rPr>
              <w:t>8</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508A85EC" w14:textId="77777777" w:rsidR="00EB6106" w:rsidRPr="00B624CD" w:rsidRDefault="00EB6106" w:rsidP="00B624CD">
            <w:pPr>
              <w:spacing w:before="0" w:after="0"/>
              <w:jc w:val="center"/>
              <w:rPr>
                <w:rFonts w:cs="Arial"/>
                <w:bCs/>
                <w:sz w:val="16"/>
                <w:szCs w:val="16"/>
              </w:rPr>
            </w:pPr>
            <w:r w:rsidRPr="00B624CD">
              <w:rPr>
                <w:rFonts w:cs="Arial"/>
                <w:bCs/>
                <w:color w:val="FF0000"/>
                <w:sz w:val="16"/>
                <w:szCs w:val="16"/>
              </w:rPr>
              <w:t xml:space="preserve">▲ </w:t>
            </w:r>
            <w:r w:rsidRPr="00B624CD">
              <w:rPr>
                <w:rFonts w:cs="Arial"/>
                <w:bCs/>
                <w:sz w:val="16"/>
                <w:szCs w:val="16"/>
              </w:rPr>
              <w:t>300</w:t>
            </w:r>
            <w:r w:rsidRPr="00B624CD">
              <w:rPr>
                <w:rFonts w:cs="Arial"/>
                <w:sz w:val="16"/>
                <w:szCs w:val="16"/>
              </w:rPr>
              <w:t>%</w:t>
            </w:r>
          </w:p>
        </w:tc>
      </w:tr>
      <w:tr w:rsidR="00B60986" w:rsidRPr="00B624CD" w14:paraId="304B0E69" w14:textId="77777777" w:rsidTr="00B60986">
        <w:trPr>
          <w:trHeight w:val="340"/>
        </w:trPr>
        <w:tc>
          <w:tcPr>
            <w:tcW w:w="914" w:type="pct"/>
            <w:tcBorders>
              <w:top w:val="single" w:sz="4" w:space="0" w:color="auto"/>
              <w:left w:val="single" w:sz="4" w:space="0" w:color="auto"/>
              <w:bottom w:val="single" w:sz="4" w:space="0" w:color="auto"/>
              <w:right w:val="single" w:sz="4" w:space="0" w:color="auto"/>
            </w:tcBorders>
            <w:vAlign w:val="center"/>
          </w:tcPr>
          <w:p w14:paraId="5FD6F032" w14:textId="77777777" w:rsidR="00EB6106" w:rsidRPr="00B624CD" w:rsidRDefault="00EB6106" w:rsidP="00B624CD">
            <w:pPr>
              <w:spacing w:before="0" w:after="0"/>
              <w:rPr>
                <w:rFonts w:cstheme="minorHAnsi"/>
                <w:i/>
                <w:iCs/>
                <w:sz w:val="16"/>
                <w:szCs w:val="16"/>
              </w:rPr>
            </w:pPr>
            <w:r w:rsidRPr="00B624CD">
              <w:rPr>
                <w:rFonts w:cstheme="minorHAnsi"/>
                <w:i/>
                <w:iCs/>
                <w:sz w:val="16"/>
                <w:szCs w:val="16"/>
              </w:rPr>
              <w:t xml:space="preserve">Salmonella </w:t>
            </w:r>
            <w:r w:rsidRPr="00B624CD">
              <w:rPr>
                <w:rFonts w:cstheme="minorHAnsi"/>
                <w:sz w:val="16"/>
                <w:szCs w:val="16"/>
              </w:rPr>
              <w:t>species</w:t>
            </w:r>
          </w:p>
        </w:tc>
        <w:tc>
          <w:tcPr>
            <w:tcW w:w="1263" w:type="pct"/>
            <w:tcBorders>
              <w:top w:val="single" w:sz="4" w:space="0" w:color="auto"/>
              <w:left w:val="single" w:sz="4" w:space="0" w:color="auto"/>
              <w:bottom w:val="single" w:sz="4" w:space="0" w:color="auto"/>
              <w:right w:val="single" w:sz="4" w:space="0" w:color="auto"/>
            </w:tcBorders>
            <w:vAlign w:val="center"/>
          </w:tcPr>
          <w:p w14:paraId="53C98FCB" w14:textId="77777777" w:rsidR="00EB6106" w:rsidRPr="00B624CD" w:rsidRDefault="00EB6106" w:rsidP="00B624CD">
            <w:pPr>
              <w:spacing w:before="0" w:after="0"/>
              <w:ind w:left="57"/>
              <w:rPr>
                <w:rFonts w:cstheme="minorHAnsi"/>
                <w:bCs/>
                <w:sz w:val="16"/>
                <w:szCs w:val="16"/>
              </w:rPr>
            </w:pPr>
            <w:r w:rsidRPr="00B624CD">
              <w:rPr>
                <w:rFonts w:cstheme="minorHAnsi"/>
                <w:bCs/>
                <w:sz w:val="16"/>
                <w:szCs w:val="16"/>
              </w:rPr>
              <w:t>Ceftriaxone-nonsusceptible</w:t>
            </w:r>
          </w:p>
        </w:tc>
        <w:tc>
          <w:tcPr>
            <w:tcW w:w="222" w:type="pct"/>
            <w:tcBorders>
              <w:top w:val="single" w:sz="4" w:space="0" w:color="auto"/>
              <w:left w:val="single" w:sz="4" w:space="0" w:color="auto"/>
              <w:bottom w:val="single" w:sz="4" w:space="0" w:color="auto"/>
              <w:right w:val="single" w:sz="4" w:space="0" w:color="auto"/>
            </w:tcBorders>
            <w:noWrap/>
            <w:vAlign w:val="center"/>
          </w:tcPr>
          <w:p w14:paraId="769E5295"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17</w:t>
            </w:r>
          </w:p>
        </w:tc>
        <w:tc>
          <w:tcPr>
            <w:tcW w:w="222" w:type="pct"/>
            <w:tcBorders>
              <w:top w:val="single" w:sz="4" w:space="0" w:color="auto"/>
              <w:left w:val="single" w:sz="4" w:space="0" w:color="auto"/>
              <w:bottom w:val="single" w:sz="4" w:space="0" w:color="auto"/>
              <w:right w:val="single" w:sz="4" w:space="0" w:color="auto"/>
            </w:tcBorders>
            <w:noWrap/>
            <w:vAlign w:val="center"/>
          </w:tcPr>
          <w:p w14:paraId="32D3174A"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39</w:t>
            </w:r>
          </w:p>
        </w:tc>
        <w:tc>
          <w:tcPr>
            <w:tcW w:w="222" w:type="pct"/>
            <w:tcBorders>
              <w:top w:val="single" w:sz="4" w:space="0" w:color="auto"/>
              <w:left w:val="single" w:sz="4" w:space="0" w:color="auto"/>
              <w:bottom w:val="single" w:sz="4" w:space="0" w:color="auto"/>
              <w:right w:val="single" w:sz="4" w:space="0" w:color="auto"/>
            </w:tcBorders>
            <w:noWrap/>
            <w:vAlign w:val="center"/>
          </w:tcPr>
          <w:p w14:paraId="673140C8"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22</w:t>
            </w:r>
          </w:p>
        </w:tc>
        <w:tc>
          <w:tcPr>
            <w:tcW w:w="222" w:type="pct"/>
            <w:tcBorders>
              <w:top w:val="single" w:sz="4" w:space="0" w:color="auto"/>
              <w:left w:val="single" w:sz="4" w:space="0" w:color="auto"/>
              <w:bottom w:val="single" w:sz="4" w:space="0" w:color="auto"/>
              <w:right w:val="single" w:sz="4" w:space="0" w:color="auto"/>
            </w:tcBorders>
            <w:noWrap/>
            <w:vAlign w:val="center"/>
          </w:tcPr>
          <w:p w14:paraId="678F1CC2"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784F3216"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15</w:t>
            </w:r>
          </w:p>
        </w:tc>
        <w:tc>
          <w:tcPr>
            <w:tcW w:w="222" w:type="pct"/>
            <w:tcBorders>
              <w:top w:val="single" w:sz="4" w:space="0" w:color="auto"/>
              <w:left w:val="single" w:sz="4" w:space="0" w:color="auto"/>
              <w:bottom w:val="single" w:sz="4" w:space="0" w:color="auto"/>
              <w:right w:val="single" w:sz="4" w:space="0" w:color="auto"/>
            </w:tcBorders>
            <w:noWrap/>
            <w:vAlign w:val="center"/>
          </w:tcPr>
          <w:p w14:paraId="1141809D"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18EFBC03"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400C82AD"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350" w:type="pct"/>
            <w:tcBorders>
              <w:top w:val="single" w:sz="4" w:space="0" w:color="auto"/>
              <w:left w:val="single" w:sz="4" w:space="0" w:color="auto"/>
              <w:bottom w:val="single" w:sz="4" w:space="0" w:color="auto"/>
              <w:right w:val="single" w:sz="4" w:space="0" w:color="auto"/>
            </w:tcBorders>
            <w:vAlign w:val="center"/>
          </w:tcPr>
          <w:p w14:paraId="3AFDFA8B" w14:textId="77777777" w:rsidR="00EB6106" w:rsidRPr="00B624CD" w:rsidRDefault="00EB6106" w:rsidP="00B624CD">
            <w:pPr>
              <w:spacing w:before="0" w:after="0"/>
              <w:jc w:val="center"/>
              <w:rPr>
                <w:rFonts w:cs="Arial"/>
                <w:sz w:val="16"/>
                <w:szCs w:val="16"/>
              </w:rPr>
            </w:pPr>
            <w:r w:rsidRPr="00B624CD">
              <w:rPr>
                <w:rFonts w:cs="Arial"/>
                <w:sz w:val="16"/>
                <w:szCs w:val="16"/>
              </w:rPr>
              <w:t>51</w:t>
            </w:r>
          </w:p>
        </w:tc>
        <w:tc>
          <w:tcPr>
            <w:tcW w:w="350" w:type="pct"/>
            <w:tcBorders>
              <w:top w:val="single" w:sz="4" w:space="0" w:color="auto"/>
              <w:left w:val="single" w:sz="4" w:space="0" w:color="auto"/>
              <w:bottom w:val="single" w:sz="4" w:space="0" w:color="auto"/>
              <w:right w:val="single" w:sz="4" w:space="0" w:color="auto"/>
            </w:tcBorders>
            <w:vAlign w:val="center"/>
          </w:tcPr>
          <w:p w14:paraId="3C817C37" w14:textId="77777777" w:rsidR="00EB6106" w:rsidRPr="00B624CD" w:rsidRDefault="00EB6106" w:rsidP="00B624CD">
            <w:pPr>
              <w:spacing w:before="0" w:after="0"/>
              <w:jc w:val="center"/>
              <w:rPr>
                <w:rFonts w:cs="Arial"/>
                <w:sz w:val="16"/>
                <w:szCs w:val="16"/>
              </w:rPr>
            </w:pPr>
            <w:r w:rsidRPr="00B624CD">
              <w:rPr>
                <w:rFonts w:cs="Arial"/>
                <w:sz w:val="16"/>
                <w:szCs w:val="16"/>
              </w:rPr>
              <w:t>95</w:t>
            </w:r>
          </w:p>
        </w:tc>
        <w:tc>
          <w:tcPr>
            <w:tcW w:w="340" w:type="pct"/>
            <w:tcBorders>
              <w:top w:val="single" w:sz="4" w:space="0" w:color="auto"/>
              <w:left w:val="single" w:sz="4" w:space="0" w:color="auto"/>
              <w:bottom w:val="single" w:sz="4" w:space="0" w:color="auto"/>
              <w:right w:val="single" w:sz="4" w:space="0" w:color="auto"/>
            </w:tcBorders>
            <w:vAlign w:val="center"/>
          </w:tcPr>
          <w:p w14:paraId="4E871C07" w14:textId="77777777" w:rsidR="00EB6106" w:rsidRPr="00B624CD" w:rsidRDefault="00EB6106" w:rsidP="00B624CD">
            <w:pPr>
              <w:spacing w:before="0" w:after="0"/>
              <w:jc w:val="center"/>
              <w:rPr>
                <w:rFonts w:cs="Arial"/>
                <w:bCs/>
                <w:color w:val="auto"/>
                <w:sz w:val="16"/>
                <w:szCs w:val="16"/>
              </w:rPr>
            </w:pPr>
            <w:r w:rsidRPr="00B624CD">
              <w:rPr>
                <w:rFonts w:cs="Arial"/>
                <w:bCs/>
                <w:color w:val="FF0000"/>
                <w:sz w:val="16"/>
                <w:szCs w:val="16"/>
              </w:rPr>
              <w:t>▲</w:t>
            </w:r>
            <w:r w:rsidRPr="00B624CD">
              <w:rPr>
                <w:rFonts w:cs="Arial"/>
                <w:bCs/>
                <w:color w:val="auto"/>
                <w:sz w:val="16"/>
                <w:szCs w:val="16"/>
              </w:rPr>
              <w:t xml:space="preserve"> 86.3</w:t>
            </w:r>
            <w:r w:rsidRPr="00B624CD">
              <w:rPr>
                <w:rFonts w:cs="Arial"/>
                <w:color w:val="auto"/>
                <w:sz w:val="16"/>
                <w:szCs w:val="16"/>
              </w:rPr>
              <w:t>%</w:t>
            </w:r>
          </w:p>
        </w:tc>
      </w:tr>
      <w:tr w:rsidR="00B60986" w:rsidRPr="00B624CD" w14:paraId="7C52BF54" w14:textId="77777777" w:rsidTr="00B60986">
        <w:trPr>
          <w:trHeight w:val="340"/>
        </w:trPr>
        <w:tc>
          <w:tcPr>
            <w:tcW w:w="914" w:type="pct"/>
            <w:tcBorders>
              <w:top w:val="single" w:sz="4" w:space="0" w:color="auto"/>
              <w:left w:val="single" w:sz="4" w:space="0" w:color="auto"/>
              <w:bottom w:val="single" w:sz="4" w:space="0" w:color="auto"/>
              <w:right w:val="single" w:sz="4" w:space="0" w:color="auto"/>
            </w:tcBorders>
            <w:vAlign w:val="center"/>
          </w:tcPr>
          <w:p w14:paraId="4A74B221" w14:textId="77777777" w:rsidR="00EB6106" w:rsidRPr="00B624CD" w:rsidRDefault="00EB6106" w:rsidP="00B624CD">
            <w:pPr>
              <w:spacing w:before="0" w:after="0"/>
              <w:rPr>
                <w:rFonts w:cstheme="minorHAnsi"/>
                <w:i/>
                <w:iCs/>
                <w:sz w:val="16"/>
                <w:szCs w:val="16"/>
              </w:rPr>
            </w:pPr>
            <w:r w:rsidRPr="00B624CD">
              <w:rPr>
                <w:rFonts w:cstheme="minorHAnsi"/>
                <w:i/>
                <w:iCs/>
                <w:sz w:val="16"/>
                <w:szCs w:val="16"/>
              </w:rPr>
              <w:t xml:space="preserve">Shigella </w:t>
            </w:r>
            <w:r w:rsidRPr="00B624CD">
              <w:rPr>
                <w:rFonts w:cstheme="minorHAnsi"/>
                <w:sz w:val="16"/>
                <w:szCs w:val="16"/>
              </w:rPr>
              <w:t>species</w:t>
            </w:r>
          </w:p>
        </w:tc>
        <w:tc>
          <w:tcPr>
            <w:tcW w:w="1263" w:type="pct"/>
            <w:tcBorders>
              <w:top w:val="single" w:sz="4" w:space="0" w:color="auto"/>
              <w:left w:val="single" w:sz="4" w:space="0" w:color="auto"/>
              <w:bottom w:val="single" w:sz="4" w:space="0" w:color="auto"/>
              <w:right w:val="single" w:sz="4" w:space="0" w:color="auto"/>
            </w:tcBorders>
            <w:vAlign w:val="center"/>
          </w:tcPr>
          <w:p w14:paraId="79E2699C" w14:textId="77777777" w:rsidR="00EB6106" w:rsidRPr="00B624CD" w:rsidRDefault="00EB6106" w:rsidP="00B624CD">
            <w:pPr>
              <w:spacing w:before="0" w:after="0"/>
              <w:ind w:left="57"/>
              <w:rPr>
                <w:rFonts w:cstheme="minorHAnsi"/>
                <w:b/>
                <w:sz w:val="16"/>
                <w:szCs w:val="16"/>
              </w:rPr>
            </w:pPr>
            <w:r w:rsidRPr="00B624CD">
              <w:rPr>
                <w:rFonts w:cstheme="minorHAnsi"/>
                <w:sz w:val="16"/>
                <w:szCs w:val="16"/>
              </w:rPr>
              <w:t>Multidrug-resistant</w:t>
            </w:r>
          </w:p>
        </w:tc>
        <w:tc>
          <w:tcPr>
            <w:tcW w:w="222" w:type="pct"/>
            <w:tcBorders>
              <w:top w:val="single" w:sz="4" w:space="0" w:color="auto"/>
              <w:left w:val="single" w:sz="4" w:space="0" w:color="auto"/>
              <w:bottom w:val="single" w:sz="4" w:space="0" w:color="auto"/>
              <w:right w:val="single" w:sz="4" w:space="0" w:color="auto"/>
            </w:tcBorders>
            <w:noWrap/>
            <w:vAlign w:val="center"/>
          </w:tcPr>
          <w:p w14:paraId="7DFA8CC4"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178</w:t>
            </w:r>
          </w:p>
        </w:tc>
        <w:tc>
          <w:tcPr>
            <w:tcW w:w="222" w:type="pct"/>
            <w:tcBorders>
              <w:top w:val="single" w:sz="4" w:space="0" w:color="auto"/>
              <w:left w:val="single" w:sz="4" w:space="0" w:color="auto"/>
              <w:bottom w:val="single" w:sz="4" w:space="0" w:color="auto"/>
              <w:right w:val="single" w:sz="4" w:space="0" w:color="auto"/>
            </w:tcBorders>
            <w:noWrap/>
            <w:vAlign w:val="center"/>
          </w:tcPr>
          <w:p w14:paraId="0FF7283A"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202</w:t>
            </w:r>
          </w:p>
        </w:tc>
        <w:tc>
          <w:tcPr>
            <w:tcW w:w="222" w:type="pct"/>
            <w:tcBorders>
              <w:top w:val="single" w:sz="4" w:space="0" w:color="auto"/>
              <w:left w:val="single" w:sz="4" w:space="0" w:color="auto"/>
              <w:bottom w:val="single" w:sz="4" w:space="0" w:color="auto"/>
              <w:right w:val="single" w:sz="4" w:space="0" w:color="auto"/>
            </w:tcBorders>
            <w:noWrap/>
            <w:vAlign w:val="center"/>
          </w:tcPr>
          <w:p w14:paraId="17CEF7A3"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27</w:t>
            </w:r>
          </w:p>
        </w:tc>
        <w:tc>
          <w:tcPr>
            <w:tcW w:w="222" w:type="pct"/>
            <w:tcBorders>
              <w:top w:val="single" w:sz="4" w:space="0" w:color="auto"/>
              <w:left w:val="single" w:sz="4" w:space="0" w:color="auto"/>
              <w:bottom w:val="single" w:sz="4" w:space="0" w:color="auto"/>
              <w:right w:val="single" w:sz="4" w:space="0" w:color="auto"/>
            </w:tcBorders>
            <w:noWrap/>
            <w:vAlign w:val="center"/>
          </w:tcPr>
          <w:p w14:paraId="79FEF563"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21</w:t>
            </w:r>
          </w:p>
        </w:tc>
        <w:tc>
          <w:tcPr>
            <w:tcW w:w="222" w:type="pct"/>
            <w:tcBorders>
              <w:top w:val="single" w:sz="4" w:space="0" w:color="auto"/>
              <w:left w:val="single" w:sz="4" w:space="0" w:color="auto"/>
              <w:bottom w:val="single" w:sz="4" w:space="0" w:color="auto"/>
              <w:right w:val="single" w:sz="4" w:space="0" w:color="auto"/>
            </w:tcBorders>
            <w:noWrap/>
            <w:vAlign w:val="center"/>
          </w:tcPr>
          <w:p w14:paraId="4518DA9D" w14:textId="77777777" w:rsidR="00EB6106" w:rsidRPr="00B624CD" w:rsidRDefault="00EB6106" w:rsidP="00B624CD">
            <w:pPr>
              <w:spacing w:before="0" w:after="0"/>
              <w:jc w:val="center"/>
              <w:rPr>
                <w:rFonts w:cs="Arial"/>
                <w:color w:val="000000"/>
                <w:sz w:val="16"/>
                <w:szCs w:val="16"/>
              </w:rPr>
            </w:pPr>
            <w:r w:rsidRPr="00B624CD">
              <w:rPr>
                <w:rFonts w:cs="Arial"/>
                <w:color w:val="000000"/>
                <w:sz w:val="16"/>
                <w:szCs w:val="16"/>
              </w:rPr>
              <w:t>30</w:t>
            </w:r>
          </w:p>
        </w:tc>
        <w:tc>
          <w:tcPr>
            <w:tcW w:w="222" w:type="pct"/>
            <w:tcBorders>
              <w:top w:val="single" w:sz="4" w:space="0" w:color="auto"/>
              <w:left w:val="single" w:sz="4" w:space="0" w:color="auto"/>
              <w:bottom w:val="single" w:sz="4" w:space="0" w:color="auto"/>
              <w:right w:val="single" w:sz="4" w:space="0" w:color="auto"/>
            </w:tcBorders>
            <w:noWrap/>
            <w:vAlign w:val="center"/>
          </w:tcPr>
          <w:p w14:paraId="6587986B"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2</w:t>
            </w:r>
          </w:p>
        </w:tc>
        <w:tc>
          <w:tcPr>
            <w:tcW w:w="222" w:type="pct"/>
            <w:tcBorders>
              <w:top w:val="single" w:sz="4" w:space="0" w:color="auto"/>
              <w:left w:val="single" w:sz="4" w:space="0" w:color="auto"/>
              <w:bottom w:val="single" w:sz="4" w:space="0" w:color="auto"/>
              <w:right w:val="single" w:sz="4" w:space="0" w:color="auto"/>
            </w:tcBorders>
            <w:noWrap/>
            <w:vAlign w:val="center"/>
          </w:tcPr>
          <w:p w14:paraId="1DEF237B"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5</w:t>
            </w:r>
          </w:p>
        </w:tc>
        <w:tc>
          <w:tcPr>
            <w:tcW w:w="230" w:type="pct"/>
            <w:tcBorders>
              <w:top w:val="single" w:sz="4" w:space="0" w:color="auto"/>
              <w:left w:val="single" w:sz="4" w:space="0" w:color="auto"/>
              <w:bottom w:val="single" w:sz="4" w:space="0" w:color="auto"/>
              <w:right w:val="single" w:sz="4" w:space="0" w:color="auto"/>
            </w:tcBorders>
            <w:noWrap/>
            <w:vAlign w:val="center"/>
          </w:tcPr>
          <w:p w14:paraId="7A30DAA8"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4</w:t>
            </w:r>
          </w:p>
        </w:tc>
        <w:tc>
          <w:tcPr>
            <w:tcW w:w="350" w:type="pct"/>
            <w:tcBorders>
              <w:top w:val="single" w:sz="4" w:space="0" w:color="auto"/>
              <w:left w:val="single" w:sz="4" w:space="0" w:color="auto"/>
              <w:bottom w:val="single" w:sz="4" w:space="0" w:color="auto"/>
              <w:right w:val="single" w:sz="4" w:space="0" w:color="auto"/>
            </w:tcBorders>
            <w:vAlign w:val="center"/>
          </w:tcPr>
          <w:p w14:paraId="3F4148FB" w14:textId="77777777" w:rsidR="00EB6106" w:rsidRPr="00B624CD" w:rsidRDefault="00EB6106" w:rsidP="00B624CD">
            <w:pPr>
              <w:spacing w:before="0" w:after="0"/>
              <w:jc w:val="center"/>
              <w:rPr>
                <w:rFonts w:cs="Arial"/>
                <w:sz w:val="16"/>
                <w:szCs w:val="16"/>
              </w:rPr>
            </w:pPr>
            <w:r w:rsidRPr="00B624CD">
              <w:rPr>
                <w:rFonts w:cs="Arial"/>
                <w:sz w:val="16"/>
                <w:szCs w:val="16"/>
              </w:rPr>
              <w:t>99</w:t>
            </w:r>
          </w:p>
        </w:tc>
        <w:tc>
          <w:tcPr>
            <w:tcW w:w="350" w:type="pct"/>
            <w:tcBorders>
              <w:top w:val="single" w:sz="4" w:space="0" w:color="auto"/>
              <w:left w:val="single" w:sz="4" w:space="0" w:color="auto"/>
              <w:bottom w:val="single" w:sz="4" w:space="0" w:color="auto"/>
              <w:right w:val="single" w:sz="4" w:space="0" w:color="auto"/>
            </w:tcBorders>
            <w:vAlign w:val="center"/>
          </w:tcPr>
          <w:p w14:paraId="46999907" w14:textId="77777777" w:rsidR="00EB6106" w:rsidRPr="00B624CD" w:rsidRDefault="00EB6106" w:rsidP="00B624CD">
            <w:pPr>
              <w:spacing w:before="0" w:after="0"/>
              <w:jc w:val="center"/>
              <w:rPr>
                <w:rFonts w:cs="Arial"/>
                <w:sz w:val="16"/>
                <w:szCs w:val="16"/>
              </w:rPr>
            </w:pPr>
            <w:r w:rsidRPr="00B624CD">
              <w:rPr>
                <w:rFonts w:cs="Arial"/>
                <w:sz w:val="16"/>
                <w:szCs w:val="16"/>
              </w:rPr>
              <w:t>469</w:t>
            </w:r>
          </w:p>
        </w:tc>
        <w:tc>
          <w:tcPr>
            <w:tcW w:w="340" w:type="pct"/>
            <w:tcBorders>
              <w:top w:val="single" w:sz="4" w:space="0" w:color="auto"/>
              <w:left w:val="single" w:sz="4" w:space="0" w:color="auto"/>
              <w:bottom w:val="single" w:sz="4" w:space="0" w:color="auto"/>
              <w:right w:val="single" w:sz="4" w:space="0" w:color="auto"/>
            </w:tcBorders>
            <w:vAlign w:val="center"/>
          </w:tcPr>
          <w:p w14:paraId="0D908533" w14:textId="42C82A58" w:rsidR="00EB6106" w:rsidRPr="00B624CD" w:rsidRDefault="00EB6106" w:rsidP="00B624CD">
            <w:pPr>
              <w:spacing w:before="0" w:after="0"/>
              <w:jc w:val="center"/>
              <w:rPr>
                <w:rFonts w:cs="Arial"/>
                <w:bCs/>
                <w:color w:val="auto"/>
                <w:sz w:val="16"/>
                <w:szCs w:val="16"/>
              </w:rPr>
            </w:pPr>
            <w:r w:rsidRPr="00B624CD">
              <w:rPr>
                <w:rFonts w:cs="Arial"/>
                <w:bCs/>
                <w:color w:val="FF0000"/>
                <w:sz w:val="16"/>
                <w:szCs w:val="16"/>
              </w:rPr>
              <w:t>▲</w:t>
            </w:r>
            <w:r w:rsidRPr="00B624CD">
              <w:rPr>
                <w:rFonts w:cs="Arial"/>
                <w:bCs/>
                <w:color w:val="auto"/>
                <w:sz w:val="16"/>
                <w:szCs w:val="16"/>
              </w:rPr>
              <w:t xml:space="preserve"> 37</w:t>
            </w:r>
            <w:r w:rsidR="00BB33F7">
              <w:rPr>
                <w:rFonts w:cs="Arial"/>
                <w:bCs/>
                <w:color w:val="auto"/>
                <w:sz w:val="16"/>
                <w:szCs w:val="16"/>
              </w:rPr>
              <w:t>4</w:t>
            </w:r>
            <w:r w:rsidRPr="00B624CD">
              <w:rPr>
                <w:rFonts w:cs="Arial"/>
                <w:color w:val="auto"/>
                <w:sz w:val="16"/>
                <w:szCs w:val="16"/>
              </w:rPr>
              <w:t>%</w:t>
            </w:r>
          </w:p>
        </w:tc>
      </w:tr>
      <w:tr w:rsidR="00B60986" w:rsidRPr="00B624CD" w14:paraId="007E53D3" w14:textId="77777777" w:rsidTr="00B60986">
        <w:trPr>
          <w:trHeight w:val="340"/>
        </w:trPr>
        <w:tc>
          <w:tcPr>
            <w:tcW w:w="914" w:type="pct"/>
            <w:vMerge w:val="restart"/>
            <w:tcBorders>
              <w:top w:val="single" w:sz="4" w:space="0" w:color="auto"/>
              <w:left w:val="single" w:sz="4" w:space="0" w:color="auto"/>
              <w:right w:val="single" w:sz="4" w:space="0" w:color="auto"/>
            </w:tcBorders>
            <w:vAlign w:val="center"/>
          </w:tcPr>
          <w:p w14:paraId="0D82F680" w14:textId="77777777" w:rsidR="00EB6106" w:rsidRPr="00B624CD" w:rsidRDefault="00EB6106" w:rsidP="00B624CD">
            <w:pPr>
              <w:spacing w:before="0" w:after="0"/>
              <w:rPr>
                <w:rFonts w:cstheme="minorHAnsi"/>
                <w:bCs/>
                <w:i/>
                <w:iCs/>
                <w:sz w:val="16"/>
                <w:szCs w:val="16"/>
              </w:rPr>
            </w:pPr>
            <w:r w:rsidRPr="00B624CD">
              <w:rPr>
                <w:rFonts w:cstheme="minorHAnsi"/>
                <w:bCs/>
                <w:i/>
                <w:iCs/>
                <w:sz w:val="16"/>
                <w:szCs w:val="16"/>
              </w:rPr>
              <w:t>Staphylococcus aureus</w:t>
            </w:r>
          </w:p>
        </w:tc>
        <w:tc>
          <w:tcPr>
            <w:tcW w:w="1263" w:type="pct"/>
            <w:tcBorders>
              <w:top w:val="single" w:sz="4" w:space="0" w:color="auto"/>
              <w:left w:val="single" w:sz="4" w:space="0" w:color="auto"/>
              <w:bottom w:val="single" w:sz="4" w:space="0" w:color="D9D9D9" w:themeColor="background1" w:themeShade="D9"/>
              <w:right w:val="single" w:sz="4" w:space="0" w:color="auto"/>
            </w:tcBorders>
            <w:vAlign w:val="center"/>
            <w:hideMark/>
          </w:tcPr>
          <w:p w14:paraId="74373F13" w14:textId="6C20B129" w:rsidR="00EB6106" w:rsidRPr="00B624CD" w:rsidRDefault="00EB6106" w:rsidP="00B624CD">
            <w:pPr>
              <w:spacing w:before="0" w:after="0"/>
              <w:ind w:left="57"/>
              <w:rPr>
                <w:rFonts w:cstheme="minorHAnsi"/>
                <w:bCs/>
                <w:sz w:val="16"/>
                <w:szCs w:val="16"/>
              </w:rPr>
            </w:pPr>
            <w:r w:rsidRPr="00B624CD">
              <w:rPr>
                <w:rFonts w:cstheme="minorHAnsi"/>
                <w:bCs/>
                <w:sz w:val="16"/>
                <w:szCs w:val="16"/>
              </w:rPr>
              <w:t>Daptomycin-nonsusceptible</w:t>
            </w:r>
            <w:r w:rsidR="00F66484" w:rsidRPr="00CB61D6">
              <w:rPr>
                <w:rFonts w:cstheme="minorHAnsi"/>
                <w:bCs/>
                <w:sz w:val="16"/>
                <w:szCs w:val="16"/>
                <w:vertAlign w:val="superscript"/>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67BAD0C"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51AA63A0"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0BCC8CB"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356FDB27"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1F3744FB"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265E148C"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22"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0246FDA7"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230" w:type="pct"/>
            <w:tcBorders>
              <w:top w:val="single" w:sz="4" w:space="0" w:color="auto"/>
              <w:left w:val="single" w:sz="4" w:space="0" w:color="auto"/>
              <w:bottom w:val="single" w:sz="4" w:space="0" w:color="D9D9D9" w:themeColor="background1" w:themeShade="D9"/>
              <w:right w:val="single" w:sz="4" w:space="0" w:color="auto"/>
            </w:tcBorders>
            <w:noWrap/>
            <w:vAlign w:val="center"/>
          </w:tcPr>
          <w:p w14:paraId="787DAB62"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0824C5E5" w14:textId="77777777" w:rsidR="00EB6106" w:rsidRPr="00B624CD" w:rsidRDefault="00EB6106" w:rsidP="00B624CD">
            <w:pPr>
              <w:spacing w:before="0" w:after="0"/>
              <w:jc w:val="center"/>
              <w:rPr>
                <w:rFonts w:cs="Arial"/>
                <w:bCs/>
                <w:sz w:val="16"/>
                <w:szCs w:val="16"/>
              </w:rPr>
            </w:pPr>
            <w:r w:rsidRPr="00B624CD">
              <w:rPr>
                <w:rFonts w:cs="Arial"/>
                <w:bCs/>
                <w:sz w:val="16"/>
                <w:szCs w:val="16"/>
              </w:rPr>
              <w:t>170</w:t>
            </w:r>
          </w:p>
        </w:tc>
        <w:tc>
          <w:tcPr>
            <w:tcW w:w="350" w:type="pct"/>
            <w:tcBorders>
              <w:top w:val="single" w:sz="4" w:space="0" w:color="auto"/>
              <w:left w:val="single" w:sz="4" w:space="0" w:color="auto"/>
              <w:bottom w:val="single" w:sz="4" w:space="0" w:color="D9D9D9" w:themeColor="background1" w:themeShade="D9"/>
              <w:right w:val="single" w:sz="4" w:space="0" w:color="auto"/>
            </w:tcBorders>
            <w:vAlign w:val="center"/>
          </w:tcPr>
          <w:p w14:paraId="05C88CFB"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c>
          <w:tcPr>
            <w:tcW w:w="340" w:type="pct"/>
            <w:tcBorders>
              <w:top w:val="single" w:sz="4" w:space="0" w:color="auto"/>
              <w:left w:val="single" w:sz="4" w:space="0" w:color="auto"/>
              <w:bottom w:val="single" w:sz="4" w:space="0" w:color="D9D9D9" w:themeColor="background1" w:themeShade="D9"/>
              <w:right w:val="single" w:sz="4" w:space="0" w:color="auto"/>
            </w:tcBorders>
            <w:vAlign w:val="center"/>
          </w:tcPr>
          <w:p w14:paraId="79D521CB" w14:textId="77777777" w:rsidR="00EB6106" w:rsidRPr="00B624CD" w:rsidRDefault="00EB6106" w:rsidP="00B624CD">
            <w:pPr>
              <w:spacing w:before="0" w:after="0"/>
              <w:jc w:val="center"/>
              <w:rPr>
                <w:rFonts w:cs="Arial"/>
                <w:bCs/>
                <w:sz w:val="16"/>
                <w:szCs w:val="16"/>
              </w:rPr>
            </w:pPr>
            <w:r w:rsidRPr="00B624CD">
              <w:rPr>
                <w:rFonts w:cs="Arial"/>
                <w:color w:val="auto"/>
                <w:sz w:val="16"/>
                <w:szCs w:val="16"/>
              </w:rPr>
              <w:t>–</w:t>
            </w:r>
          </w:p>
        </w:tc>
      </w:tr>
      <w:tr w:rsidR="00B60986" w:rsidRPr="00B624CD" w14:paraId="6F99BA44" w14:textId="77777777" w:rsidTr="00B60986">
        <w:trPr>
          <w:trHeight w:val="340"/>
        </w:trPr>
        <w:tc>
          <w:tcPr>
            <w:tcW w:w="914" w:type="pct"/>
            <w:vMerge/>
            <w:tcBorders>
              <w:left w:val="single" w:sz="4" w:space="0" w:color="auto"/>
              <w:right w:val="single" w:sz="4" w:space="0" w:color="auto"/>
            </w:tcBorders>
            <w:vAlign w:val="center"/>
          </w:tcPr>
          <w:p w14:paraId="0962687F" w14:textId="77777777" w:rsidR="00EB6106" w:rsidRPr="00B624CD" w:rsidRDefault="00EB6106" w:rsidP="00B624CD">
            <w:pPr>
              <w:spacing w:before="0" w:after="0"/>
              <w:rPr>
                <w:rFonts w:cstheme="minorHAnsi"/>
                <w:sz w:val="16"/>
                <w:szCs w:val="16"/>
              </w:rPr>
            </w:pPr>
          </w:p>
        </w:tc>
        <w:tc>
          <w:tcPr>
            <w:tcW w:w="126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F4F9560" w14:textId="77777777" w:rsidR="00EB6106" w:rsidRPr="00B624CD" w:rsidRDefault="00EB6106" w:rsidP="00B624CD">
            <w:pPr>
              <w:spacing w:before="0" w:after="0"/>
              <w:ind w:left="57"/>
              <w:rPr>
                <w:rFonts w:cstheme="minorHAnsi"/>
                <w:sz w:val="16"/>
                <w:szCs w:val="16"/>
              </w:rPr>
            </w:pPr>
            <w:r w:rsidRPr="00B624CD">
              <w:rPr>
                <w:rFonts w:cstheme="minorHAnsi"/>
                <w:bCs/>
                <w:sz w:val="16"/>
                <w:szCs w:val="16"/>
              </w:rPr>
              <w:t>Daptomycin- and vancomycin-nonsusceptible</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B223C8F"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B7A1060"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4D333E8"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57AF6AB"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5955B81D"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852101"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64FEF7E"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3A37D3B" w14:textId="77777777" w:rsidR="00EB6106" w:rsidRPr="00B624CD" w:rsidRDefault="00EB6106" w:rsidP="00B624CD">
            <w:pPr>
              <w:spacing w:before="0" w:after="0"/>
              <w:jc w:val="center"/>
              <w:rPr>
                <w:rFonts w:cs="Arial"/>
                <w:color w:val="000000"/>
                <w:sz w:val="16"/>
                <w:szCs w:val="16"/>
              </w:rPr>
            </w:pPr>
            <w:r w:rsidRPr="00B624CD">
              <w:rPr>
                <w:rFonts w:cs="Arial"/>
                <w:color w:val="auto"/>
                <w:sz w:val="16"/>
                <w:szCs w:val="16"/>
              </w:rPr>
              <w:t>–</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080CB6" w14:textId="77777777" w:rsidR="00EB6106" w:rsidRPr="00B624CD" w:rsidRDefault="00EB6106" w:rsidP="00B624CD">
            <w:pPr>
              <w:spacing w:before="0" w:after="0"/>
              <w:jc w:val="center"/>
              <w:rPr>
                <w:rFonts w:cs="Arial"/>
                <w:sz w:val="16"/>
                <w:szCs w:val="16"/>
              </w:rPr>
            </w:pPr>
            <w:r w:rsidRPr="00B624CD">
              <w:rPr>
                <w:rFonts w:cs="Arial"/>
                <w:sz w:val="16"/>
                <w:szCs w:val="16"/>
              </w:rPr>
              <w:t>2</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DC7883" w14:textId="77777777" w:rsidR="00EB6106" w:rsidRPr="00B624CD" w:rsidRDefault="00EB6106" w:rsidP="00B624CD">
            <w:pPr>
              <w:spacing w:before="0" w:after="0"/>
              <w:jc w:val="center"/>
              <w:rPr>
                <w:rFonts w:cs="Arial"/>
                <w:sz w:val="16"/>
                <w:szCs w:val="16"/>
              </w:rPr>
            </w:pPr>
            <w:r w:rsidRPr="00B624CD">
              <w:rPr>
                <w:rFonts w:cs="Arial"/>
                <w:color w:val="auto"/>
                <w:sz w:val="16"/>
                <w:szCs w:val="16"/>
              </w:rPr>
              <w:t>–</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A07FDA1" w14:textId="77777777" w:rsidR="00EB6106" w:rsidRPr="00B624CD" w:rsidRDefault="00EB6106" w:rsidP="00B624CD">
            <w:pPr>
              <w:spacing w:before="0" w:after="0"/>
              <w:jc w:val="center"/>
              <w:rPr>
                <w:rFonts w:cs="Arial"/>
                <w:color w:val="auto"/>
                <w:sz w:val="16"/>
                <w:szCs w:val="16"/>
              </w:rPr>
            </w:pPr>
            <w:r w:rsidRPr="00B624CD">
              <w:rPr>
                <w:rFonts w:cs="Arial"/>
                <w:color w:val="auto"/>
                <w:sz w:val="16"/>
                <w:szCs w:val="16"/>
              </w:rPr>
              <w:t>–</w:t>
            </w:r>
          </w:p>
        </w:tc>
      </w:tr>
      <w:tr w:rsidR="00B60986" w:rsidRPr="00B624CD" w14:paraId="46FCD9CA" w14:textId="77777777" w:rsidTr="00B60986">
        <w:trPr>
          <w:trHeight w:val="340"/>
        </w:trPr>
        <w:tc>
          <w:tcPr>
            <w:tcW w:w="914" w:type="pct"/>
            <w:vMerge/>
            <w:tcBorders>
              <w:left w:val="single" w:sz="4" w:space="0" w:color="auto"/>
              <w:right w:val="single" w:sz="4" w:space="0" w:color="auto"/>
            </w:tcBorders>
            <w:vAlign w:val="center"/>
          </w:tcPr>
          <w:p w14:paraId="778BA60E" w14:textId="77777777" w:rsidR="00EB6106" w:rsidRPr="00B624CD" w:rsidRDefault="00EB6106" w:rsidP="00B624CD">
            <w:pPr>
              <w:spacing w:before="0" w:after="0"/>
              <w:rPr>
                <w:rFonts w:cstheme="minorHAnsi"/>
                <w:sz w:val="16"/>
                <w:szCs w:val="16"/>
              </w:rPr>
            </w:pPr>
          </w:p>
        </w:tc>
        <w:tc>
          <w:tcPr>
            <w:tcW w:w="1263"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hideMark/>
          </w:tcPr>
          <w:p w14:paraId="436E61E5" w14:textId="77777777" w:rsidR="00EB6106" w:rsidRPr="00B624CD" w:rsidRDefault="00EB6106" w:rsidP="00B624CD">
            <w:pPr>
              <w:spacing w:before="0" w:after="0"/>
              <w:ind w:left="57"/>
              <w:rPr>
                <w:rFonts w:cstheme="minorHAnsi"/>
                <w:sz w:val="16"/>
                <w:szCs w:val="16"/>
              </w:rPr>
            </w:pPr>
            <w:r w:rsidRPr="00B624CD">
              <w:rPr>
                <w:rFonts w:cstheme="minorHAnsi"/>
                <w:sz w:val="16"/>
                <w:szCs w:val="16"/>
              </w:rPr>
              <w:t>Linezolid-nonsusceptible</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7CAE5CF0"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305FB8"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02D4EB7E"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3D5AE57D"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322C666"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48222DAA"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623EC133"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D9D9D9" w:themeColor="background1" w:themeShade="D9"/>
              <w:right w:val="single" w:sz="4" w:space="0" w:color="auto"/>
            </w:tcBorders>
            <w:noWrap/>
            <w:vAlign w:val="center"/>
          </w:tcPr>
          <w:p w14:paraId="1C86B7B1"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741C5EF" w14:textId="77777777" w:rsidR="00EB6106" w:rsidRPr="00B624CD" w:rsidRDefault="00EB6106" w:rsidP="00B624CD">
            <w:pPr>
              <w:spacing w:before="0" w:after="0"/>
              <w:jc w:val="center"/>
              <w:rPr>
                <w:rFonts w:cs="Arial"/>
                <w:sz w:val="16"/>
                <w:szCs w:val="16"/>
              </w:rPr>
            </w:pPr>
            <w:r w:rsidRPr="00B624CD">
              <w:rPr>
                <w:rFonts w:cs="Arial"/>
                <w:sz w:val="16"/>
                <w:szCs w:val="16"/>
              </w:rPr>
              <w:t>3</w:t>
            </w:r>
          </w:p>
        </w:tc>
        <w:tc>
          <w:tcPr>
            <w:tcW w:w="35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1534A5A"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34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3582128" w14:textId="77777777" w:rsidR="00EB6106" w:rsidRPr="00B624CD" w:rsidRDefault="00EB6106" w:rsidP="00B624CD">
            <w:pPr>
              <w:spacing w:before="0" w:after="0"/>
              <w:jc w:val="center"/>
              <w:rPr>
                <w:rFonts w:cs="Arial"/>
                <w:sz w:val="16"/>
                <w:szCs w:val="16"/>
              </w:rPr>
            </w:pPr>
            <w:r w:rsidRPr="00B624CD">
              <w:rPr>
                <w:rFonts w:cs="Arial"/>
                <w:color w:val="00B050"/>
                <w:sz w:val="16"/>
                <w:szCs w:val="16"/>
              </w:rPr>
              <w:t xml:space="preserve">▼ </w:t>
            </w:r>
            <w:r w:rsidRPr="00B624CD">
              <w:rPr>
                <w:rFonts w:cs="Arial"/>
                <w:sz w:val="16"/>
                <w:szCs w:val="16"/>
              </w:rPr>
              <w:t>100%</w:t>
            </w:r>
          </w:p>
        </w:tc>
      </w:tr>
      <w:tr w:rsidR="00B60986" w:rsidRPr="00B624CD" w14:paraId="5D482352" w14:textId="77777777" w:rsidTr="00B60986">
        <w:trPr>
          <w:trHeight w:val="340"/>
        </w:trPr>
        <w:tc>
          <w:tcPr>
            <w:tcW w:w="914" w:type="pct"/>
            <w:vMerge/>
            <w:tcBorders>
              <w:left w:val="single" w:sz="4" w:space="0" w:color="auto"/>
              <w:bottom w:val="single" w:sz="4" w:space="0" w:color="auto"/>
              <w:right w:val="single" w:sz="4" w:space="0" w:color="auto"/>
            </w:tcBorders>
            <w:vAlign w:val="center"/>
          </w:tcPr>
          <w:p w14:paraId="6D3C078D" w14:textId="77777777" w:rsidR="00EB6106" w:rsidRPr="00B624CD" w:rsidRDefault="00EB6106" w:rsidP="00B624CD">
            <w:pPr>
              <w:spacing w:before="0" w:after="0"/>
              <w:rPr>
                <w:rFonts w:cstheme="minorHAnsi"/>
                <w:sz w:val="16"/>
                <w:szCs w:val="16"/>
              </w:rPr>
            </w:pPr>
          </w:p>
        </w:tc>
        <w:tc>
          <w:tcPr>
            <w:tcW w:w="1263" w:type="pct"/>
            <w:tcBorders>
              <w:top w:val="single" w:sz="4" w:space="0" w:color="D9D9D9" w:themeColor="background1" w:themeShade="D9"/>
              <w:left w:val="single" w:sz="4" w:space="0" w:color="auto"/>
              <w:bottom w:val="single" w:sz="4" w:space="0" w:color="auto"/>
              <w:right w:val="single" w:sz="4" w:space="0" w:color="auto"/>
            </w:tcBorders>
            <w:vAlign w:val="center"/>
          </w:tcPr>
          <w:p w14:paraId="32FA9F04" w14:textId="77777777" w:rsidR="00EB6106" w:rsidRPr="00B624CD" w:rsidRDefault="00EB6106" w:rsidP="00B624CD">
            <w:pPr>
              <w:spacing w:before="0" w:after="0"/>
              <w:ind w:left="57"/>
              <w:rPr>
                <w:rFonts w:cstheme="minorHAnsi"/>
                <w:sz w:val="16"/>
                <w:szCs w:val="16"/>
              </w:rPr>
            </w:pPr>
            <w:r w:rsidRPr="00B624CD">
              <w:rPr>
                <w:rFonts w:cstheme="minorHAnsi"/>
                <w:sz w:val="16"/>
                <w:szCs w:val="16"/>
              </w:rPr>
              <w:t>Vancomycin-nonsusceptible</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53B31A6B"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9095D08"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742AD70"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740457A2"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65A2D9A9"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1</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33851351"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22"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1342EBFC"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230" w:type="pct"/>
            <w:tcBorders>
              <w:top w:val="single" w:sz="4" w:space="0" w:color="D9D9D9" w:themeColor="background1" w:themeShade="D9"/>
              <w:left w:val="single" w:sz="4" w:space="0" w:color="auto"/>
              <w:bottom w:val="single" w:sz="4" w:space="0" w:color="auto"/>
              <w:right w:val="single" w:sz="4" w:space="0" w:color="auto"/>
            </w:tcBorders>
            <w:noWrap/>
            <w:vAlign w:val="center"/>
          </w:tcPr>
          <w:p w14:paraId="0963E90F" w14:textId="77777777" w:rsidR="00EB6106" w:rsidRPr="00B624CD" w:rsidRDefault="00EB6106" w:rsidP="00B624CD">
            <w:pPr>
              <w:spacing w:before="0" w:after="0"/>
              <w:jc w:val="center"/>
              <w:rPr>
                <w:rFonts w:cs="Arial"/>
                <w:sz w:val="16"/>
                <w:szCs w:val="16"/>
              </w:rPr>
            </w:pPr>
            <w:r w:rsidRPr="00B624CD">
              <w:rPr>
                <w:rFonts w:cs="Arial"/>
                <w:color w:val="000000"/>
                <w:sz w:val="16"/>
                <w:szCs w:val="16"/>
              </w:rPr>
              <w:t>0</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58F09500" w14:textId="178F4B30" w:rsidR="00EB6106" w:rsidRPr="00B624CD" w:rsidRDefault="00BB33F7" w:rsidP="00B624CD">
            <w:pPr>
              <w:spacing w:before="0" w:after="0"/>
              <w:jc w:val="center"/>
              <w:rPr>
                <w:rFonts w:cs="Arial"/>
                <w:sz w:val="16"/>
                <w:szCs w:val="16"/>
              </w:rPr>
            </w:pPr>
            <w:r>
              <w:rPr>
                <w:rFonts w:cs="Arial"/>
                <w:sz w:val="16"/>
                <w:szCs w:val="16"/>
              </w:rPr>
              <w:t>0</w:t>
            </w:r>
          </w:p>
        </w:tc>
        <w:tc>
          <w:tcPr>
            <w:tcW w:w="350" w:type="pct"/>
            <w:tcBorders>
              <w:top w:val="single" w:sz="4" w:space="0" w:color="D9D9D9" w:themeColor="background1" w:themeShade="D9"/>
              <w:left w:val="single" w:sz="4" w:space="0" w:color="auto"/>
              <w:bottom w:val="single" w:sz="4" w:space="0" w:color="auto"/>
              <w:right w:val="single" w:sz="4" w:space="0" w:color="auto"/>
            </w:tcBorders>
            <w:vAlign w:val="center"/>
          </w:tcPr>
          <w:p w14:paraId="209115D1" w14:textId="77777777" w:rsidR="00EB6106" w:rsidRPr="00B624CD" w:rsidRDefault="00EB6106" w:rsidP="00B624CD">
            <w:pPr>
              <w:spacing w:before="0" w:after="0"/>
              <w:jc w:val="center"/>
              <w:rPr>
                <w:rFonts w:cs="Arial"/>
                <w:sz w:val="16"/>
                <w:szCs w:val="16"/>
              </w:rPr>
            </w:pPr>
            <w:r w:rsidRPr="00B624CD">
              <w:rPr>
                <w:rFonts w:cs="Arial"/>
                <w:sz w:val="16"/>
                <w:szCs w:val="16"/>
              </w:rPr>
              <w:t>1</w:t>
            </w:r>
          </w:p>
        </w:tc>
        <w:tc>
          <w:tcPr>
            <w:tcW w:w="340" w:type="pct"/>
            <w:tcBorders>
              <w:top w:val="single" w:sz="4" w:space="0" w:color="D9D9D9" w:themeColor="background1" w:themeShade="D9"/>
              <w:left w:val="single" w:sz="4" w:space="0" w:color="auto"/>
              <w:bottom w:val="single" w:sz="4" w:space="0" w:color="auto"/>
              <w:right w:val="single" w:sz="4" w:space="0" w:color="auto"/>
            </w:tcBorders>
            <w:vAlign w:val="center"/>
          </w:tcPr>
          <w:p w14:paraId="78FEAD38" w14:textId="3E1D047F" w:rsidR="00EB6106" w:rsidRPr="00B624CD" w:rsidRDefault="00BB33F7" w:rsidP="00B624CD">
            <w:pPr>
              <w:spacing w:before="0" w:after="0"/>
              <w:jc w:val="center"/>
              <w:rPr>
                <w:rFonts w:cs="Arial"/>
                <w:sz w:val="16"/>
                <w:szCs w:val="16"/>
              </w:rPr>
            </w:pPr>
            <w:r w:rsidRPr="00B624CD">
              <w:rPr>
                <w:rFonts w:cs="Arial"/>
                <w:color w:val="auto"/>
                <w:sz w:val="16"/>
                <w:szCs w:val="16"/>
              </w:rPr>
              <w:t>–</w:t>
            </w:r>
          </w:p>
        </w:tc>
      </w:tr>
      <w:tr w:rsidR="00B60986" w:rsidRPr="00B624CD" w14:paraId="308FF4D8" w14:textId="77777777" w:rsidTr="00B60986">
        <w:trPr>
          <w:trHeight w:val="340"/>
        </w:trPr>
        <w:tc>
          <w:tcPr>
            <w:tcW w:w="914" w:type="pct"/>
            <w:tcBorders>
              <w:top w:val="single" w:sz="4" w:space="0" w:color="auto"/>
              <w:left w:val="single" w:sz="4" w:space="0" w:color="auto"/>
              <w:bottom w:val="single" w:sz="4" w:space="0" w:color="auto"/>
              <w:right w:val="single" w:sz="4" w:space="0" w:color="auto"/>
            </w:tcBorders>
            <w:vAlign w:val="center"/>
          </w:tcPr>
          <w:p w14:paraId="337FE2DF" w14:textId="77777777" w:rsidR="00EB6106" w:rsidRPr="00B624CD" w:rsidRDefault="00EB6106" w:rsidP="00B624CD">
            <w:pPr>
              <w:spacing w:before="0" w:after="0"/>
              <w:rPr>
                <w:rFonts w:cstheme="minorHAnsi"/>
                <w:sz w:val="16"/>
                <w:szCs w:val="16"/>
              </w:rPr>
            </w:pPr>
            <w:r w:rsidRPr="00B624CD">
              <w:rPr>
                <w:rFonts w:cstheme="minorHAnsi"/>
                <w:i/>
                <w:iCs/>
                <w:sz w:val="16"/>
                <w:szCs w:val="16"/>
              </w:rPr>
              <w:t>Streptococcus pyogenes</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C2F55EF" w14:textId="77777777" w:rsidR="00EB6106" w:rsidRPr="00B624CD" w:rsidRDefault="00EB6106" w:rsidP="00B624CD">
            <w:pPr>
              <w:spacing w:before="0" w:after="0"/>
              <w:ind w:left="57"/>
              <w:rPr>
                <w:rFonts w:cstheme="minorHAnsi"/>
                <w:sz w:val="16"/>
                <w:szCs w:val="16"/>
              </w:rPr>
            </w:pPr>
            <w:r w:rsidRPr="00B624CD">
              <w:rPr>
                <w:rFonts w:cstheme="minorHAnsi"/>
                <w:sz w:val="16"/>
                <w:szCs w:val="16"/>
              </w:rPr>
              <w:t>Penicillin reduced susceptibility</w:t>
            </w:r>
          </w:p>
        </w:tc>
        <w:tc>
          <w:tcPr>
            <w:tcW w:w="222" w:type="pct"/>
            <w:tcBorders>
              <w:top w:val="single" w:sz="4" w:space="0" w:color="auto"/>
              <w:left w:val="single" w:sz="4" w:space="0" w:color="auto"/>
              <w:bottom w:val="single" w:sz="4" w:space="0" w:color="auto"/>
              <w:right w:val="single" w:sz="4" w:space="0" w:color="auto"/>
            </w:tcBorders>
            <w:noWrap/>
            <w:vAlign w:val="center"/>
          </w:tcPr>
          <w:p w14:paraId="4F009242"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3F7BF0C"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32691DBB"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05A657C5"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5981C2F5"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62211927"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22" w:type="pct"/>
            <w:tcBorders>
              <w:top w:val="single" w:sz="4" w:space="0" w:color="auto"/>
              <w:left w:val="single" w:sz="4" w:space="0" w:color="auto"/>
              <w:bottom w:val="single" w:sz="4" w:space="0" w:color="auto"/>
              <w:right w:val="single" w:sz="4" w:space="0" w:color="auto"/>
            </w:tcBorders>
            <w:noWrap/>
            <w:vAlign w:val="center"/>
          </w:tcPr>
          <w:p w14:paraId="2ACED971"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230" w:type="pct"/>
            <w:tcBorders>
              <w:top w:val="single" w:sz="4" w:space="0" w:color="auto"/>
              <w:left w:val="single" w:sz="4" w:space="0" w:color="auto"/>
              <w:bottom w:val="single" w:sz="4" w:space="0" w:color="auto"/>
              <w:right w:val="single" w:sz="4" w:space="0" w:color="auto"/>
            </w:tcBorders>
            <w:noWrap/>
            <w:vAlign w:val="center"/>
          </w:tcPr>
          <w:p w14:paraId="5C788995"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350" w:type="pct"/>
            <w:tcBorders>
              <w:top w:val="single" w:sz="4" w:space="0" w:color="auto"/>
              <w:left w:val="single" w:sz="4" w:space="0" w:color="auto"/>
              <w:bottom w:val="single" w:sz="4" w:space="0" w:color="auto"/>
              <w:right w:val="single" w:sz="4" w:space="0" w:color="auto"/>
            </w:tcBorders>
            <w:vAlign w:val="center"/>
          </w:tcPr>
          <w:p w14:paraId="1743088D"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350" w:type="pct"/>
            <w:tcBorders>
              <w:top w:val="single" w:sz="4" w:space="0" w:color="auto"/>
              <w:left w:val="single" w:sz="4" w:space="0" w:color="auto"/>
              <w:bottom w:val="single" w:sz="4" w:space="0" w:color="auto"/>
              <w:right w:val="single" w:sz="4" w:space="0" w:color="auto"/>
            </w:tcBorders>
            <w:vAlign w:val="center"/>
          </w:tcPr>
          <w:p w14:paraId="01ABC086" w14:textId="77777777" w:rsidR="00EB6106" w:rsidRPr="00B624CD" w:rsidRDefault="00EB6106" w:rsidP="00B624CD">
            <w:pPr>
              <w:spacing w:before="0" w:after="0"/>
              <w:jc w:val="center"/>
              <w:rPr>
                <w:rFonts w:cs="Arial"/>
                <w:sz w:val="16"/>
                <w:szCs w:val="16"/>
              </w:rPr>
            </w:pPr>
            <w:r w:rsidRPr="00B624CD">
              <w:rPr>
                <w:rFonts w:cs="Arial"/>
                <w:sz w:val="16"/>
                <w:szCs w:val="16"/>
              </w:rPr>
              <w:t>0</w:t>
            </w:r>
          </w:p>
        </w:tc>
        <w:tc>
          <w:tcPr>
            <w:tcW w:w="340" w:type="pct"/>
            <w:tcBorders>
              <w:top w:val="single" w:sz="4" w:space="0" w:color="auto"/>
              <w:left w:val="single" w:sz="4" w:space="0" w:color="auto"/>
              <w:bottom w:val="single" w:sz="4" w:space="0" w:color="auto"/>
              <w:right w:val="single" w:sz="4" w:space="0" w:color="auto"/>
            </w:tcBorders>
            <w:vAlign w:val="center"/>
          </w:tcPr>
          <w:p w14:paraId="35058A1B" w14:textId="77777777" w:rsidR="00EB6106" w:rsidRPr="00B624CD" w:rsidRDefault="00EB6106" w:rsidP="00B624CD">
            <w:pPr>
              <w:spacing w:before="0" w:after="0"/>
              <w:jc w:val="center"/>
              <w:rPr>
                <w:rFonts w:cs="Arial"/>
                <w:sz w:val="16"/>
                <w:szCs w:val="16"/>
              </w:rPr>
            </w:pPr>
            <w:r w:rsidRPr="00B624CD">
              <w:rPr>
                <w:rFonts w:cs="Arial"/>
                <w:sz w:val="16"/>
                <w:szCs w:val="16"/>
              </w:rPr>
              <w:t>–</w:t>
            </w:r>
          </w:p>
        </w:tc>
      </w:tr>
      <w:tr w:rsidR="00B60986" w:rsidRPr="00B624CD" w14:paraId="584A4B6E" w14:textId="77777777" w:rsidTr="00B60986">
        <w:trPr>
          <w:trHeight w:val="340"/>
        </w:trPr>
        <w:tc>
          <w:tcPr>
            <w:tcW w:w="914"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1DB0D471" w14:textId="77777777" w:rsidR="00EB6106" w:rsidRPr="00B624CD" w:rsidRDefault="00EB6106" w:rsidP="00B624CD">
            <w:pPr>
              <w:spacing w:before="0" w:after="0"/>
              <w:rPr>
                <w:rFonts w:cstheme="minorHAnsi"/>
                <w:b/>
                <w:bCs/>
                <w:sz w:val="16"/>
                <w:szCs w:val="16"/>
              </w:rPr>
            </w:pPr>
          </w:p>
        </w:tc>
        <w:tc>
          <w:tcPr>
            <w:tcW w:w="1263"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23D2C1F4" w14:textId="73B4436D" w:rsidR="00EB6106" w:rsidRPr="00B624CD" w:rsidRDefault="00EB6106" w:rsidP="00B624CD">
            <w:pPr>
              <w:spacing w:before="0" w:after="0"/>
              <w:rPr>
                <w:rFonts w:cstheme="minorHAnsi"/>
                <w:b/>
                <w:bCs/>
                <w:sz w:val="16"/>
                <w:szCs w:val="16"/>
              </w:rPr>
            </w:pPr>
            <w:r w:rsidRPr="00B624CD">
              <w:rPr>
                <w:rFonts w:cstheme="minorHAnsi"/>
                <w:b/>
                <w:bCs/>
                <w:sz w:val="16"/>
                <w:szCs w:val="16"/>
              </w:rPr>
              <w:t>Total (reported by 1 February 2024)</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67676B61"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958</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058F5BDB"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1,103</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67C39E72"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299</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56A27CF7"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105</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32A0EBBE"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182</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6280B3F5"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6</w:t>
            </w:r>
          </w:p>
        </w:tc>
        <w:tc>
          <w:tcPr>
            <w:tcW w:w="222"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7E84B955"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14</w:t>
            </w:r>
          </w:p>
        </w:tc>
        <w:tc>
          <w:tcPr>
            <w:tcW w:w="230" w:type="pct"/>
            <w:tcBorders>
              <w:top w:val="single" w:sz="4" w:space="0" w:color="auto"/>
              <w:left w:val="single" w:sz="4" w:space="0" w:color="auto"/>
              <w:bottom w:val="single" w:sz="4" w:space="0" w:color="auto"/>
              <w:right w:val="single" w:sz="4" w:space="0" w:color="auto"/>
            </w:tcBorders>
            <w:shd w:val="clear" w:color="auto" w:fill="C2E9F8" w:themeFill="background2" w:themeFillTint="33"/>
            <w:noWrap/>
            <w:vAlign w:val="center"/>
            <w:hideMark/>
          </w:tcPr>
          <w:p w14:paraId="44C6F155"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19</w:t>
            </w:r>
          </w:p>
        </w:tc>
        <w:tc>
          <w:tcPr>
            <w:tcW w:w="35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1F2522AC" w14:textId="77777777" w:rsidR="00EB6106" w:rsidRPr="00B624CD" w:rsidRDefault="00EB6106" w:rsidP="00B624CD">
            <w:pPr>
              <w:spacing w:before="0" w:after="0"/>
              <w:jc w:val="center"/>
              <w:rPr>
                <w:rFonts w:cs="Arial"/>
                <w:b/>
                <w:bCs/>
                <w:sz w:val="16"/>
                <w:szCs w:val="16"/>
              </w:rPr>
            </w:pPr>
            <w:r w:rsidRPr="00B624CD">
              <w:rPr>
                <w:rFonts w:cs="Arial"/>
                <w:b/>
                <w:bCs/>
                <w:color w:val="000000"/>
                <w:sz w:val="16"/>
                <w:szCs w:val="16"/>
              </w:rPr>
              <w:t>1,446</w:t>
            </w:r>
          </w:p>
        </w:tc>
        <w:tc>
          <w:tcPr>
            <w:tcW w:w="35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6EAFDD53" w14:textId="77777777" w:rsidR="00EB6106" w:rsidRPr="00B624CD" w:rsidRDefault="00EB6106" w:rsidP="00B624CD">
            <w:pPr>
              <w:spacing w:before="0" w:after="0"/>
              <w:jc w:val="center"/>
              <w:rPr>
                <w:rFonts w:cs="Arial"/>
                <w:b/>
                <w:bCs/>
                <w:color w:val="000000"/>
                <w:sz w:val="16"/>
                <w:szCs w:val="16"/>
              </w:rPr>
            </w:pPr>
            <w:r w:rsidRPr="00B624CD">
              <w:rPr>
                <w:rFonts w:cs="Arial"/>
                <w:b/>
                <w:bCs/>
                <w:color w:val="000000"/>
                <w:sz w:val="16"/>
                <w:szCs w:val="16"/>
              </w:rPr>
              <w:t>2,686</w:t>
            </w:r>
          </w:p>
        </w:tc>
        <w:tc>
          <w:tcPr>
            <w:tcW w:w="340" w:type="pct"/>
            <w:tcBorders>
              <w:top w:val="single" w:sz="4" w:space="0" w:color="auto"/>
              <w:left w:val="single" w:sz="4" w:space="0" w:color="auto"/>
              <w:bottom w:val="single" w:sz="4" w:space="0" w:color="auto"/>
              <w:right w:val="single" w:sz="4" w:space="0" w:color="auto"/>
            </w:tcBorders>
            <w:shd w:val="clear" w:color="auto" w:fill="86D3F2" w:themeFill="background2" w:themeFillTint="66"/>
            <w:vAlign w:val="center"/>
          </w:tcPr>
          <w:p w14:paraId="6BCAA5DF" w14:textId="2B661450" w:rsidR="00EB6106" w:rsidRPr="00B624CD" w:rsidRDefault="00EB6106" w:rsidP="00B624CD">
            <w:pPr>
              <w:spacing w:before="0" w:after="0"/>
              <w:jc w:val="center"/>
              <w:rPr>
                <w:rFonts w:cs="Arial"/>
                <w:b/>
                <w:bCs/>
                <w:sz w:val="16"/>
                <w:szCs w:val="16"/>
              </w:rPr>
            </w:pPr>
            <w:r w:rsidRPr="00B624CD">
              <w:rPr>
                <w:rFonts w:cs="Arial"/>
                <w:bCs/>
                <w:color w:val="FF0000"/>
                <w:sz w:val="16"/>
                <w:szCs w:val="16"/>
              </w:rPr>
              <w:t>▲</w:t>
            </w:r>
            <w:r w:rsidRPr="00B624CD">
              <w:rPr>
                <w:rFonts w:cs="Arial"/>
                <w:bCs/>
                <w:color w:val="auto"/>
                <w:sz w:val="16"/>
                <w:szCs w:val="16"/>
              </w:rPr>
              <w:t xml:space="preserve"> </w:t>
            </w:r>
            <w:r w:rsidRPr="00B624CD">
              <w:rPr>
                <w:rFonts w:cs="Arial"/>
                <w:b/>
                <w:bCs/>
                <w:color w:val="auto"/>
                <w:sz w:val="16"/>
                <w:szCs w:val="16"/>
              </w:rPr>
              <w:t>85.</w:t>
            </w:r>
            <w:r w:rsidR="00A45295">
              <w:rPr>
                <w:rFonts w:cs="Arial"/>
                <w:b/>
                <w:bCs/>
                <w:color w:val="auto"/>
                <w:sz w:val="16"/>
                <w:szCs w:val="16"/>
              </w:rPr>
              <w:t>8</w:t>
            </w:r>
            <w:r w:rsidRPr="00B624CD">
              <w:rPr>
                <w:rFonts w:cs="Arial"/>
                <w:b/>
                <w:color w:val="auto"/>
                <w:sz w:val="16"/>
                <w:szCs w:val="16"/>
              </w:rPr>
              <w:t>%</w:t>
            </w:r>
          </w:p>
        </w:tc>
      </w:tr>
    </w:tbl>
    <w:bookmarkEnd w:id="5"/>
    <w:p w14:paraId="353C98B2" w14:textId="77777777" w:rsidR="00EB6106" w:rsidRPr="005D69B0" w:rsidRDefault="00EB6106" w:rsidP="00B624CD">
      <w:pPr>
        <w:spacing w:after="0"/>
        <w:rPr>
          <w:rFonts w:cs="Arial"/>
          <w:sz w:val="16"/>
          <w:szCs w:val="16"/>
        </w:rPr>
      </w:pPr>
      <w:r>
        <w:rPr>
          <w:rFonts w:cs="Arial"/>
          <w:sz w:val="16"/>
          <w:szCs w:val="16"/>
        </w:rPr>
        <w:t xml:space="preserve">CAR = critical antimicrobial resistance; MIC = minimum inhibitory concentration; </w:t>
      </w:r>
      <w:r w:rsidRPr="00CD5F68">
        <w:rPr>
          <w:rFonts w:cs="Arial"/>
          <w:bCs/>
          <w:color w:val="FF0000"/>
          <w:sz w:val="16"/>
          <w:szCs w:val="16"/>
        </w:rPr>
        <w:t>▲</w:t>
      </w:r>
      <w:r>
        <w:rPr>
          <w:rFonts w:cs="Arial"/>
          <w:sz w:val="16"/>
          <w:szCs w:val="16"/>
        </w:rPr>
        <w:t> = </w:t>
      </w:r>
      <w:r w:rsidRPr="0014072D">
        <w:rPr>
          <w:rFonts w:cs="Arial"/>
          <w:sz w:val="16"/>
          <w:szCs w:val="16"/>
        </w:rPr>
        <w:t xml:space="preserve">increase; </w:t>
      </w:r>
      <w:r w:rsidRPr="00CD5F68">
        <w:rPr>
          <w:rFonts w:cs="Arial"/>
          <w:color w:val="00B050"/>
          <w:sz w:val="16"/>
          <w:szCs w:val="16"/>
        </w:rPr>
        <w:t>▼</w:t>
      </w:r>
      <w:r>
        <w:rPr>
          <w:rFonts w:cs="Arial"/>
          <w:sz w:val="16"/>
          <w:szCs w:val="16"/>
        </w:rPr>
        <w:t> = </w:t>
      </w:r>
      <w:r w:rsidRPr="0014072D">
        <w:rPr>
          <w:rFonts w:cs="Arial"/>
          <w:sz w:val="16"/>
          <w:szCs w:val="16"/>
        </w:rPr>
        <w:t>decrease</w:t>
      </w:r>
      <w:r>
        <w:rPr>
          <w:rFonts w:cs="Arial"/>
          <w:sz w:val="16"/>
          <w:szCs w:val="16"/>
        </w:rPr>
        <w:t>; – = not applicable</w:t>
      </w:r>
    </w:p>
    <w:p w14:paraId="70BAC76B" w14:textId="77777777" w:rsidR="00EB6106" w:rsidRPr="007F4447" w:rsidRDefault="00EB6106" w:rsidP="00B624CD">
      <w:pPr>
        <w:spacing w:before="0" w:after="0"/>
        <w:ind w:left="284" w:hanging="284"/>
        <w:rPr>
          <w:rFonts w:cs="Arial"/>
          <w:sz w:val="16"/>
          <w:szCs w:val="16"/>
        </w:rPr>
      </w:pPr>
      <w:r w:rsidRPr="007F4447">
        <w:rPr>
          <w:rFonts w:cs="Arial"/>
          <w:sz w:val="16"/>
          <w:szCs w:val="16"/>
        </w:rPr>
        <w:t>*</w:t>
      </w:r>
      <w:r>
        <w:rPr>
          <w:rFonts w:cs="Arial"/>
          <w:sz w:val="16"/>
          <w:szCs w:val="16"/>
        </w:rPr>
        <w:tab/>
      </w:r>
      <w:r w:rsidRPr="007F4447">
        <w:rPr>
          <w:rFonts w:cs="Arial"/>
          <w:sz w:val="16"/>
          <w:szCs w:val="16"/>
        </w:rPr>
        <w:t xml:space="preserve">Relative change = absolute change </w:t>
      </w:r>
      <w:r w:rsidRPr="00D256FE">
        <w:rPr>
          <w:rFonts w:cs="Arial"/>
          <w:sz w:val="16"/>
          <w:szCs w:val="16"/>
        </w:rPr>
        <w:t>between 202</w:t>
      </w:r>
      <w:r>
        <w:rPr>
          <w:rFonts w:cs="Arial"/>
          <w:sz w:val="16"/>
          <w:szCs w:val="16"/>
        </w:rPr>
        <w:t>2</w:t>
      </w:r>
      <w:r w:rsidRPr="00D256FE">
        <w:rPr>
          <w:rFonts w:cs="Arial"/>
          <w:sz w:val="16"/>
          <w:szCs w:val="16"/>
        </w:rPr>
        <w:t xml:space="preserve"> and 202</w:t>
      </w:r>
      <w:r>
        <w:rPr>
          <w:rFonts w:cs="Arial"/>
          <w:sz w:val="16"/>
          <w:szCs w:val="16"/>
        </w:rPr>
        <w:t>3</w:t>
      </w:r>
      <w:r w:rsidRPr="00D256FE">
        <w:rPr>
          <w:rFonts w:cs="Arial"/>
          <w:sz w:val="16"/>
          <w:szCs w:val="16"/>
        </w:rPr>
        <w:t>, for each CAR, expressed as a percentage of 202</w:t>
      </w:r>
      <w:r>
        <w:rPr>
          <w:rFonts w:cs="Arial"/>
          <w:sz w:val="16"/>
          <w:szCs w:val="16"/>
        </w:rPr>
        <w:t>2</w:t>
      </w:r>
      <w:r w:rsidRPr="00D256FE">
        <w:rPr>
          <w:rFonts w:cs="Arial"/>
          <w:sz w:val="16"/>
          <w:szCs w:val="16"/>
        </w:rPr>
        <w:t xml:space="preserve"> base</w:t>
      </w:r>
    </w:p>
    <w:p w14:paraId="48813D25" w14:textId="77777777" w:rsidR="00EB6106" w:rsidRPr="00467039" w:rsidRDefault="00EB6106" w:rsidP="00B624CD">
      <w:pPr>
        <w:spacing w:before="0" w:after="0"/>
        <w:ind w:left="284" w:hanging="284"/>
        <w:rPr>
          <w:rFonts w:cs="Arial"/>
          <w:i/>
          <w:iCs/>
          <w:sz w:val="16"/>
          <w:szCs w:val="16"/>
        </w:rPr>
      </w:pPr>
      <w:bookmarkStart w:id="6" w:name="_Hlk132797828"/>
      <w:r w:rsidRPr="00C771A3">
        <w:rPr>
          <w:rFonts w:cs="Arial"/>
          <w:sz w:val="16"/>
          <w:szCs w:val="16"/>
        </w:rPr>
        <w:t>†</w:t>
      </w:r>
      <w:bookmarkEnd w:id="6"/>
      <w:r w:rsidRPr="00A400BC">
        <w:rPr>
          <w:rFonts w:cs="Arial"/>
          <w:sz w:val="16"/>
          <w:szCs w:val="16"/>
        </w:rPr>
        <w:tab/>
      </w:r>
      <w:r>
        <w:rPr>
          <w:rFonts w:cs="Arial"/>
          <w:sz w:val="16"/>
          <w:szCs w:val="16"/>
        </w:rPr>
        <w:t xml:space="preserve">When not seen in combination with carbapenemase-producing </w:t>
      </w:r>
      <w:r>
        <w:rPr>
          <w:rFonts w:cs="Arial"/>
          <w:i/>
          <w:iCs/>
          <w:sz w:val="16"/>
          <w:szCs w:val="16"/>
        </w:rPr>
        <w:t>Enterobacterales</w:t>
      </w:r>
    </w:p>
    <w:p w14:paraId="2113963A" w14:textId="77777777" w:rsidR="00EB6106" w:rsidRDefault="00EB6106" w:rsidP="00B624CD">
      <w:pPr>
        <w:spacing w:before="0" w:after="0"/>
        <w:ind w:left="284" w:hanging="284"/>
        <w:rPr>
          <w:rFonts w:cs="Arial"/>
          <w:sz w:val="16"/>
          <w:szCs w:val="16"/>
        </w:rPr>
      </w:pPr>
      <w:r>
        <w:rPr>
          <w:rFonts w:cs="Arial"/>
          <w:sz w:val="16"/>
          <w:szCs w:val="16"/>
        </w:rPr>
        <w:t>§</w:t>
      </w:r>
      <w:r>
        <w:rPr>
          <w:rFonts w:cs="Arial"/>
          <w:sz w:val="16"/>
          <w:szCs w:val="16"/>
        </w:rPr>
        <w:tab/>
        <w:t>Azithromycin MIC &lt; 256 mg/L</w:t>
      </w:r>
    </w:p>
    <w:p w14:paraId="0776E420" w14:textId="77777777" w:rsidR="00EB6106" w:rsidRDefault="00EB6106" w:rsidP="00B624CD">
      <w:pPr>
        <w:spacing w:before="0" w:after="0"/>
        <w:ind w:left="284" w:hanging="284"/>
        <w:rPr>
          <w:rFonts w:cs="Arial"/>
          <w:sz w:val="16"/>
          <w:szCs w:val="16"/>
        </w:rPr>
      </w:pPr>
      <w:r>
        <w:rPr>
          <w:rFonts w:cs="Arial"/>
          <w:sz w:val="16"/>
          <w:szCs w:val="16"/>
        </w:rPr>
        <w:t>#</w:t>
      </w:r>
      <w:r>
        <w:rPr>
          <w:rFonts w:cs="Arial"/>
          <w:sz w:val="16"/>
          <w:szCs w:val="16"/>
        </w:rPr>
        <w:tab/>
        <w:t xml:space="preserve">Azithromycin MIC </w:t>
      </w:r>
      <w:r>
        <w:rPr>
          <w:rFonts w:cstheme="minorHAnsi"/>
          <w:sz w:val="16"/>
          <w:szCs w:val="16"/>
        </w:rPr>
        <w:t>≥</w:t>
      </w:r>
      <w:r>
        <w:rPr>
          <w:rFonts w:cs="Arial"/>
          <w:sz w:val="16"/>
          <w:szCs w:val="16"/>
        </w:rPr>
        <w:t xml:space="preserve"> 256 mg/L</w:t>
      </w:r>
    </w:p>
    <w:p w14:paraId="033CCEDD" w14:textId="53C36F06" w:rsidR="007A13D1" w:rsidRDefault="007A13D1" w:rsidP="006D636A">
      <w:pPr>
        <w:spacing w:before="0" w:after="0"/>
        <w:ind w:left="284" w:hanging="284"/>
        <w:rPr>
          <w:rFonts w:cs="Arial"/>
          <w:sz w:val="16"/>
          <w:szCs w:val="16"/>
        </w:rPr>
      </w:pPr>
      <w:r>
        <w:rPr>
          <w:rFonts w:cs="Arial"/>
          <w:sz w:val="16"/>
          <w:szCs w:val="16"/>
        </w:rPr>
        <w:t>**</w:t>
      </w:r>
      <w:r>
        <w:rPr>
          <w:rFonts w:cs="Arial"/>
          <w:sz w:val="16"/>
          <w:szCs w:val="16"/>
        </w:rPr>
        <w:tab/>
        <w:t>Reported from January 2023</w:t>
      </w:r>
    </w:p>
    <w:p w14:paraId="096402CF" w14:textId="402091C0" w:rsidR="00F66484" w:rsidRDefault="00F66484" w:rsidP="006D636A">
      <w:pPr>
        <w:spacing w:before="0" w:after="0"/>
        <w:ind w:left="284" w:hanging="284"/>
        <w:rPr>
          <w:rFonts w:cs="Arial"/>
          <w:sz w:val="16"/>
          <w:szCs w:val="16"/>
        </w:rPr>
      </w:pPr>
      <w:r w:rsidRPr="00F66484">
        <w:rPr>
          <w:rFonts w:cstheme="minorHAnsi"/>
          <w:bCs/>
          <w:sz w:val="16"/>
          <w:szCs w:val="16"/>
        </w:rPr>
        <w:t>††</w:t>
      </w:r>
      <w:r>
        <w:rPr>
          <w:rFonts w:cstheme="minorHAnsi"/>
          <w:bCs/>
          <w:sz w:val="16"/>
          <w:szCs w:val="16"/>
        </w:rPr>
        <w:tab/>
      </w:r>
      <w:r>
        <w:rPr>
          <w:rFonts w:cs="Arial"/>
          <w:sz w:val="16"/>
          <w:szCs w:val="16"/>
        </w:rPr>
        <w:t>Reporting suspended from January 2023</w:t>
      </w:r>
    </w:p>
    <w:p w14:paraId="45A87880" w14:textId="77777777" w:rsidR="00EB6106" w:rsidRDefault="00EB6106" w:rsidP="00EB6106">
      <w:pPr>
        <w:spacing w:after="0"/>
        <w:rPr>
          <w:rFonts w:cs="Arial"/>
          <w:sz w:val="16"/>
          <w:szCs w:val="16"/>
        </w:rPr>
      </w:pPr>
    </w:p>
    <w:p w14:paraId="6B239CBD" w14:textId="77777777" w:rsidR="00EB6106" w:rsidRDefault="00EB6106" w:rsidP="00EB6106">
      <w:pPr>
        <w:spacing w:after="0"/>
        <w:rPr>
          <w:rFonts w:cs="Arial"/>
          <w:sz w:val="16"/>
          <w:szCs w:val="16"/>
        </w:rPr>
        <w:sectPr w:rsidR="00EB6106" w:rsidSect="00F84583">
          <w:headerReference w:type="even" r:id="rId24"/>
          <w:headerReference w:type="default" r:id="rId25"/>
          <w:footerReference w:type="default" r:id="rId26"/>
          <w:headerReference w:type="first" r:id="rId27"/>
          <w:pgSz w:w="16838" w:h="11906" w:orient="landscape"/>
          <w:pgMar w:top="1440" w:right="1440" w:bottom="1440" w:left="1440" w:header="709" w:footer="709" w:gutter="0"/>
          <w:cols w:space="708"/>
          <w:docGrid w:linePitch="360"/>
        </w:sectPr>
      </w:pPr>
    </w:p>
    <w:p w14:paraId="5041017C" w14:textId="77777777" w:rsidR="00EB6106" w:rsidRPr="006B0B12" w:rsidRDefault="00EB6106" w:rsidP="00EB6106">
      <w:pPr>
        <w:pStyle w:val="Heading3"/>
      </w:pPr>
      <w:bookmarkStart w:id="7" w:name="_Toc166585570"/>
      <w:r w:rsidRPr="006B0B12">
        <w:lastRenderedPageBreak/>
        <w:t>Critical antimicrobial resistances by age group</w:t>
      </w:r>
      <w:bookmarkEnd w:id="7"/>
    </w:p>
    <w:p w14:paraId="68E2D194" w14:textId="77DEB309" w:rsidR="00EB6106" w:rsidRPr="00FD2DC7" w:rsidRDefault="00EB6106" w:rsidP="00EB6106">
      <w:r w:rsidRPr="00613A42">
        <w:t xml:space="preserve">CARs were isolated from patients of all age groups; the median age </w:t>
      </w:r>
      <w:r w:rsidRPr="003D152B">
        <w:t xml:space="preserve">was 40–49 years (Figure 1). </w:t>
      </w:r>
      <w:r w:rsidRPr="00FD2DC7">
        <w:t xml:space="preserve">Almost three-quarters of CPE were isolated from people aged 50 years and older (896/1,205, 74.4%). Most of ceftriaxone- and/or azithromycin-nonsusceptible </w:t>
      </w:r>
      <w:r w:rsidRPr="00FD2DC7">
        <w:rPr>
          <w:i/>
          <w:iCs/>
        </w:rPr>
        <w:t>N. gonorrhoeae</w:t>
      </w:r>
      <w:r w:rsidRPr="00FD2DC7">
        <w:t xml:space="preserve"> was reported for people aged 15–59 years (697/713, 97.8%); and 84</w:t>
      </w:r>
      <w:r w:rsidR="00A45295">
        <w:t>.0</w:t>
      </w:r>
      <w:r w:rsidRPr="00FD2DC7">
        <w:t xml:space="preserve">% (394/469) of MDR </w:t>
      </w:r>
      <w:r w:rsidRPr="00FD2DC7">
        <w:rPr>
          <w:i/>
          <w:iCs/>
        </w:rPr>
        <w:t>Shigella</w:t>
      </w:r>
      <w:r w:rsidRPr="00FD2DC7">
        <w:t xml:space="preserve"> species were in people aged 20–59 years.</w:t>
      </w:r>
    </w:p>
    <w:p w14:paraId="608F0B4E" w14:textId="77777777" w:rsidR="00EB6106" w:rsidRPr="000B079B" w:rsidRDefault="00EB6106" w:rsidP="00EB6106">
      <w:r w:rsidRPr="00FD2DC7">
        <w:t xml:space="preserve">Only 5.1% (138/2,686) of all CARs were reported in children aged less </w:t>
      </w:r>
      <w:r w:rsidRPr="000B079B">
        <w:t>than 15 years; CPE (</w:t>
      </w:r>
      <w:r w:rsidRPr="000B079B">
        <w:rPr>
          <w:i/>
          <w:iCs/>
        </w:rPr>
        <w:t>n</w:t>
      </w:r>
      <w:r w:rsidRPr="000B079B">
        <w:t xml:space="preserve"> = 66), MDR </w:t>
      </w:r>
      <w:r w:rsidRPr="00FD2DC7">
        <w:rPr>
          <w:i/>
          <w:iCs/>
        </w:rPr>
        <w:t>Shigella</w:t>
      </w:r>
      <w:r w:rsidRPr="00FD2DC7">
        <w:t xml:space="preserve"> species (</w:t>
      </w:r>
      <w:r w:rsidRPr="00FD2DC7">
        <w:rPr>
          <w:i/>
          <w:iCs/>
        </w:rPr>
        <w:t>n</w:t>
      </w:r>
      <w:r w:rsidRPr="00FD2DC7">
        <w:t xml:space="preserve"> = 29) and ceftriaxone-nonsusceptible </w:t>
      </w:r>
      <w:r w:rsidRPr="00FD2DC7">
        <w:rPr>
          <w:i/>
          <w:iCs/>
        </w:rPr>
        <w:t xml:space="preserve">Salmonella </w:t>
      </w:r>
      <w:r w:rsidRPr="00FD2DC7">
        <w:t xml:space="preserve">species </w:t>
      </w:r>
      <w:r w:rsidRPr="000B079B">
        <w:t>(</w:t>
      </w:r>
      <w:r w:rsidRPr="000B079B">
        <w:rPr>
          <w:i/>
          <w:iCs/>
        </w:rPr>
        <w:t>n</w:t>
      </w:r>
      <w:r w:rsidRPr="000B079B">
        <w:t> = 26) were most frequently reported for this age group (121/138, 87.7%). For the 0–4-year age group, CPE was the most frequently reported CAR (</w:t>
      </w:r>
      <w:r w:rsidRPr="000B079B">
        <w:rPr>
          <w:i/>
          <w:iCs/>
        </w:rPr>
        <w:t>n</w:t>
      </w:r>
      <w:r w:rsidRPr="000B079B">
        <w:t xml:space="preserve"> = 47); followed by ceftriaxone-nonsusceptible </w:t>
      </w:r>
      <w:r w:rsidRPr="000B079B">
        <w:rPr>
          <w:i/>
          <w:iCs/>
        </w:rPr>
        <w:t xml:space="preserve">Salmonella </w:t>
      </w:r>
      <w:r w:rsidRPr="000B079B">
        <w:t>species (</w:t>
      </w:r>
      <w:r w:rsidRPr="000B079B">
        <w:rPr>
          <w:i/>
          <w:iCs/>
        </w:rPr>
        <w:t>n </w:t>
      </w:r>
      <w:r w:rsidRPr="000B079B">
        <w:t xml:space="preserve">= 20), and MDR </w:t>
      </w:r>
      <w:r w:rsidRPr="000B079B">
        <w:rPr>
          <w:i/>
          <w:iCs/>
        </w:rPr>
        <w:t>Shigella</w:t>
      </w:r>
      <w:r w:rsidRPr="000B079B">
        <w:t xml:space="preserve"> species (</w:t>
      </w:r>
      <w:r w:rsidRPr="000B079B">
        <w:rPr>
          <w:i/>
          <w:iCs/>
        </w:rPr>
        <w:t>n</w:t>
      </w:r>
      <w:r w:rsidRPr="000B079B">
        <w:t> = 17).</w:t>
      </w:r>
    </w:p>
    <w:p w14:paraId="3256CD1A" w14:textId="77777777" w:rsidR="00FF2966" w:rsidRDefault="00EB6106" w:rsidP="00EB6106">
      <w:pPr>
        <w:rPr>
          <w:bCs/>
        </w:rPr>
      </w:pPr>
      <w:r w:rsidRPr="00772C72">
        <w:rPr>
          <w:b/>
          <w:bCs/>
        </w:rPr>
        <w:t>Figure 1:</w:t>
      </w:r>
      <w:r w:rsidRPr="00772C72">
        <w:t xml:space="preserve"> </w:t>
      </w:r>
      <w:r w:rsidRPr="00772C72">
        <w:rPr>
          <w:bCs/>
        </w:rPr>
        <w:t>Critical antimicrobial resistances</w:t>
      </w:r>
      <w:r w:rsidRPr="00772C72">
        <w:t xml:space="preserve"> </w:t>
      </w:r>
      <w:r w:rsidRPr="00772C72">
        <w:rPr>
          <w:bCs/>
        </w:rPr>
        <w:t xml:space="preserve">reported to CARAlert, by age groups, </w:t>
      </w:r>
      <w:proofErr w:type="gramStart"/>
      <w:r w:rsidRPr="00772C72">
        <w:rPr>
          <w:bCs/>
        </w:rPr>
        <w:t>2023</w:t>
      </w:r>
      <w:proofErr w:type="gramEnd"/>
    </w:p>
    <w:p w14:paraId="3CA55E72" w14:textId="025BCEDC" w:rsidR="00EB6106" w:rsidRDefault="00135DCA" w:rsidP="00EB6106">
      <w:r>
        <w:rPr>
          <w:noProof/>
        </w:rPr>
        <w:drawing>
          <wp:inline distT="0" distB="0" distL="0" distR="0" wp14:anchorId="171B7437" wp14:editId="37AB0E41">
            <wp:extent cx="6078931" cy="6283325"/>
            <wp:effectExtent l="0" t="0" r="0" b="3175"/>
            <wp:docPr id="15" name="Picture 1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pic:cNvPicPr/>
                  </pic:nvPicPr>
                  <pic:blipFill rotWithShape="1">
                    <a:blip r:embed="rId28"/>
                    <a:srcRect r="673"/>
                    <a:stretch/>
                  </pic:blipFill>
                  <pic:spPr bwMode="auto">
                    <a:xfrm>
                      <a:off x="0" y="0"/>
                      <a:ext cx="6078931" cy="6283325"/>
                    </a:xfrm>
                    <a:prstGeom prst="rect">
                      <a:avLst/>
                    </a:prstGeom>
                    <a:ln>
                      <a:noFill/>
                    </a:ln>
                    <a:extLst>
                      <a:ext uri="{53640926-AAD7-44D8-BBD7-CCE9431645EC}">
                        <a14:shadowObscured xmlns:a14="http://schemas.microsoft.com/office/drawing/2010/main"/>
                      </a:ext>
                    </a:extLst>
                  </pic:spPr>
                </pic:pic>
              </a:graphicData>
            </a:graphic>
          </wp:inline>
        </w:drawing>
      </w:r>
      <w:r w:rsidR="00EB6106">
        <w:br w:type="page"/>
      </w:r>
    </w:p>
    <w:p w14:paraId="2F250811" w14:textId="77777777" w:rsidR="00EB6106" w:rsidRDefault="00EB6106" w:rsidP="00EB6106">
      <w:pPr>
        <w:pStyle w:val="Heading3"/>
      </w:pPr>
      <w:bookmarkStart w:id="8" w:name="_Toc166585571"/>
      <w:r>
        <w:lastRenderedPageBreak/>
        <w:t>Critical antimicrobial resistances by facility type</w:t>
      </w:r>
      <w:bookmarkEnd w:id="8"/>
    </w:p>
    <w:p w14:paraId="3AB3470C" w14:textId="43EA4638" w:rsidR="00EB6106" w:rsidRPr="00800FDA" w:rsidRDefault="00EB6106" w:rsidP="00EB6106">
      <w:bookmarkStart w:id="9" w:name="_Hlk139343835"/>
      <w:r>
        <w:t xml:space="preserve">Where the setting was known, a substantial </w:t>
      </w:r>
      <w:r w:rsidRPr="00800FDA">
        <w:t xml:space="preserve">majority of CARs were detected in either hospitalised patients or hospital </w:t>
      </w:r>
      <w:r w:rsidRPr="0008156A">
        <w:t>outpatients (1,3</w:t>
      </w:r>
      <w:r>
        <w:t>8</w:t>
      </w:r>
      <w:r w:rsidR="00A45295">
        <w:t>7</w:t>
      </w:r>
      <w:r w:rsidRPr="0008156A">
        <w:t>/</w:t>
      </w:r>
      <w:r w:rsidR="00FC08D1">
        <w:t>2,244</w:t>
      </w:r>
      <w:r w:rsidRPr="0008156A">
        <w:t>, 61.</w:t>
      </w:r>
      <w:r w:rsidR="00A45295">
        <w:t>8</w:t>
      </w:r>
      <w:r w:rsidRPr="0008156A">
        <w:t>%). Smaller proportions were isolated in the community (84</w:t>
      </w:r>
      <w:r w:rsidR="00FC08D1">
        <w:t>9</w:t>
      </w:r>
      <w:r w:rsidRPr="0008156A">
        <w:t>/</w:t>
      </w:r>
      <w:r w:rsidR="00FC08D1">
        <w:t>2,244</w:t>
      </w:r>
      <w:r w:rsidRPr="0008156A">
        <w:t>, 37.8%) and in aged care homes (8/2</w:t>
      </w:r>
      <w:r>
        <w:t>,</w:t>
      </w:r>
      <w:r w:rsidR="00FC08D1" w:rsidRPr="0008156A">
        <w:t>2</w:t>
      </w:r>
      <w:r w:rsidR="00FC08D1">
        <w:t>44</w:t>
      </w:r>
      <w:r w:rsidRPr="0008156A">
        <w:t>, 0.4%) (Table 2).</w:t>
      </w:r>
    </w:p>
    <w:bookmarkEnd w:id="9"/>
    <w:p w14:paraId="0AB96D28" w14:textId="77777777" w:rsidR="00EB6106" w:rsidRPr="000E135F" w:rsidRDefault="00EB6106" w:rsidP="00EB6106">
      <w:pPr>
        <w:rPr>
          <w:bCs/>
        </w:rPr>
      </w:pPr>
      <w:r w:rsidRPr="00C1440E">
        <w:rPr>
          <w:b/>
        </w:rPr>
        <w:t>Table 2:</w:t>
      </w:r>
      <w:r>
        <w:rPr>
          <w:b/>
        </w:rPr>
        <w:t xml:space="preserve"> </w:t>
      </w:r>
      <w:r w:rsidRPr="000E135F">
        <w:rPr>
          <w:bCs/>
        </w:rPr>
        <w:t>Number of critical antimicrobial resistance isolates</w:t>
      </w:r>
      <w:r w:rsidRPr="005D0B96">
        <w:t xml:space="preserve"> </w:t>
      </w:r>
      <w:r w:rsidRPr="005D0B96">
        <w:rPr>
          <w:bCs/>
        </w:rPr>
        <w:t>reported to CARAlert</w:t>
      </w:r>
      <w:r w:rsidRPr="000E135F">
        <w:rPr>
          <w:bCs/>
        </w:rPr>
        <w:t>, by setting, national</w:t>
      </w:r>
      <w:r w:rsidRPr="00E25547">
        <w:rPr>
          <w:bCs/>
        </w:rPr>
        <w:t xml:space="preserve">, </w:t>
      </w:r>
      <w:proofErr w:type="gramStart"/>
      <w:r w:rsidRPr="00E25547">
        <w:rPr>
          <w:bCs/>
        </w:rPr>
        <w:t>202</w:t>
      </w:r>
      <w:r>
        <w:rPr>
          <w:bCs/>
        </w:rPr>
        <w:t>3</w:t>
      </w:r>
      <w:proofErr w:type="gramEnd"/>
    </w:p>
    <w:tbl>
      <w:tblPr>
        <w:tblStyle w:val="TableGrid"/>
        <w:tblpPr w:leftFromText="180" w:rightFromText="180" w:vertAnchor="text" w:tblpY="1"/>
        <w:tblOverlap w:val="never"/>
        <w:tblW w:w="5124" w:type="pct"/>
        <w:tblLayout w:type="fixed"/>
        <w:tblLook w:val="0620" w:firstRow="1" w:lastRow="0" w:firstColumn="0" w:lastColumn="0" w:noHBand="1" w:noVBand="1"/>
        <w:tblCaption w:val="Table 2"/>
      </w:tblPr>
      <w:tblGrid>
        <w:gridCol w:w="1505"/>
        <w:gridCol w:w="3027"/>
        <w:gridCol w:w="851"/>
        <w:gridCol w:w="851"/>
        <w:gridCol w:w="910"/>
        <w:gridCol w:w="1020"/>
        <w:gridCol w:w="854"/>
        <w:gridCol w:w="849"/>
      </w:tblGrid>
      <w:tr w:rsidR="00AE3767" w:rsidRPr="00FC08D1" w14:paraId="18431859" w14:textId="77777777" w:rsidTr="001F16D5">
        <w:trPr>
          <w:cnfStyle w:val="100000000000" w:firstRow="1" w:lastRow="0" w:firstColumn="0" w:lastColumn="0" w:oddVBand="0" w:evenVBand="0" w:oddHBand="0" w:evenHBand="0" w:firstRowFirstColumn="0" w:firstRowLastColumn="0" w:lastRowFirstColumn="0" w:lastRowLastColumn="0"/>
          <w:trHeight w:hRule="exact" w:val="283"/>
        </w:trPr>
        <w:tc>
          <w:tcPr>
            <w:tcW w:w="763"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069D4A30" w14:textId="77777777" w:rsidR="00EB6106" w:rsidRPr="00FC08D1" w:rsidRDefault="00EB6106" w:rsidP="00252A4D">
            <w:pPr>
              <w:spacing w:before="0" w:after="0"/>
              <w:rPr>
                <w:rFonts w:cstheme="minorHAnsi"/>
                <w:b w:val="0"/>
                <w:sz w:val="16"/>
                <w:szCs w:val="16"/>
              </w:rPr>
            </w:pPr>
          </w:p>
        </w:tc>
        <w:tc>
          <w:tcPr>
            <w:tcW w:w="1534"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5B33BED2" w14:textId="77777777" w:rsidR="00EB6106" w:rsidRPr="00FC08D1" w:rsidRDefault="00EB6106" w:rsidP="00252A4D">
            <w:pPr>
              <w:pStyle w:val="Normal-beforebullets"/>
              <w:rPr>
                <w:rFonts w:cstheme="minorHAnsi"/>
                <w:b w:val="0"/>
                <w:sz w:val="16"/>
                <w:szCs w:val="16"/>
              </w:rPr>
            </w:pPr>
          </w:p>
        </w:tc>
        <w:tc>
          <w:tcPr>
            <w:tcW w:w="2273" w:type="pct"/>
            <w:gridSpan w:val="5"/>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6B2C5EA5" w14:textId="77777777" w:rsidR="00EB6106" w:rsidRPr="00FC08D1" w:rsidRDefault="00EB6106" w:rsidP="00252A4D">
            <w:pPr>
              <w:pStyle w:val="Normal-beforebullets"/>
              <w:jc w:val="center"/>
              <w:rPr>
                <w:rFonts w:cstheme="minorHAnsi"/>
                <w:b w:val="0"/>
                <w:sz w:val="16"/>
                <w:szCs w:val="16"/>
              </w:rPr>
            </w:pPr>
            <w:r w:rsidRPr="00FC08D1">
              <w:rPr>
                <w:rFonts w:cstheme="minorHAnsi"/>
                <w:bCs/>
                <w:sz w:val="16"/>
                <w:szCs w:val="16"/>
              </w:rPr>
              <w:t>Setting</w:t>
            </w:r>
          </w:p>
        </w:tc>
        <w:tc>
          <w:tcPr>
            <w:tcW w:w="430" w:type="pct"/>
            <w:tcBorders>
              <w:top w:val="single" w:sz="4" w:space="0" w:color="auto"/>
              <w:left w:val="single" w:sz="4" w:space="0" w:color="auto"/>
              <w:bottom w:val="nil"/>
              <w:right w:val="single" w:sz="4" w:space="0" w:color="auto"/>
            </w:tcBorders>
            <w:shd w:val="clear" w:color="auto" w:fill="C2E9F8" w:themeFill="background2" w:themeFillTint="33"/>
            <w:vAlign w:val="center"/>
          </w:tcPr>
          <w:p w14:paraId="2037D069" w14:textId="77777777" w:rsidR="00EB6106" w:rsidRPr="00FC08D1" w:rsidRDefault="00EB6106" w:rsidP="00252A4D">
            <w:pPr>
              <w:pStyle w:val="Normal-beforebullets"/>
              <w:rPr>
                <w:rFonts w:cstheme="minorHAnsi"/>
                <w:b w:val="0"/>
                <w:sz w:val="16"/>
                <w:szCs w:val="16"/>
              </w:rPr>
            </w:pPr>
          </w:p>
        </w:tc>
      </w:tr>
      <w:tr w:rsidR="00D1541C" w:rsidRPr="00FC08D1" w14:paraId="104C8C18" w14:textId="77777777" w:rsidTr="001F16D5">
        <w:trPr>
          <w:trHeight w:hRule="exact" w:val="567"/>
        </w:trPr>
        <w:tc>
          <w:tcPr>
            <w:tcW w:w="763"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6109DDC1" w14:textId="77777777" w:rsidR="00EB6106" w:rsidRPr="00FC08D1" w:rsidRDefault="00EB6106" w:rsidP="00252A4D">
            <w:pPr>
              <w:spacing w:before="0" w:after="0"/>
              <w:rPr>
                <w:rFonts w:cstheme="minorHAnsi"/>
                <w:b/>
                <w:sz w:val="16"/>
                <w:szCs w:val="16"/>
              </w:rPr>
            </w:pPr>
            <w:r w:rsidRPr="00FC08D1">
              <w:rPr>
                <w:rFonts w:cstheme="minorHAnsi"/>
                <w:b/>
                <w:sz w:val="16"/>
                <w:szCs w:val="16"/>
              </w:rPr>
              <w:t>Species</w:t>
            </w:r>
          </w:p>
        </w:tc>
        <w:tc>
          <w:tcPr>
            <w:tcW w:w="1534"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528D23A2" w14:textId="77777777" w:rsidR="00EB6106" w:rsidRPr="00FC08D1" w:rsidRDefault="00EB6106" w:rsidP="00252A4D">
            <w:pPr>
              <w:pStyle w:val="Normal-beforebullets"/>
              <w:rPr>
                <w:rFonts w:cstheme="minorHAnsi"/>
                <w:b/>
                <w:sz w:val="16"/>
                <w:szCs w:val="16"/>
              </w:rPr>
            </w:pPr>
            <w:r w:rsidRPr="00FC08D1">
              <w:rPr>
                <w:rFonts w:cstheme="minorHAnsi"/>
                <w:b/>
                <w:sz w:val="16"/>
                <w:szCs w:val="16"/>
              </w:rPr>
              <w:t>Critical resistance</w:t>
            </w:r>
          </w:p>
        </w:tc>
        <w:tc>
          <w:tcPr>
            <w:tcW w:w="431"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0B9CD49F"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Public hospitals</w:t>
            </w:r>
          </w:p>
        </w:tc>
        <w:tc>
          <w:tcPr>
            <w:tcW w:w="431"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1A959847"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Private hospitals</w:t>
            </w:r>
          </w:p>
        </w:tc>
        <w:tc>
          <w:tcPr>
            <w:tcW w:w="461"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77FF9E54"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Aged care homes</w:t>
            </w:r>
          </w:p>
        </w:tc>
        <w:tc>
          <w:tcPr>
            <w:tcW w:w="517"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2469E1BF"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Community</w:t>
            </w:r>
          </w:p>
        </w:tc>
        <w:tc>
          <w:tcPr>
            <w:tcW w:w="431" w:type="pct"/>
            <w:tcBorders>
              <w:top w:val="single" w:sz="4" w:space="0" w:color="auto"/>
              <w:left w:val="single" w:sz="4" w:space="0" w:color="auto"/>
              <w:bottom w:val="single" w:sz="4" w:space="0" w:color="auto"/>
              <w:right w:val="single" w:sz="4" w:space="0" w:color="auto"/>
            </w:tcBorders>
            <w:shd w:val="clear" w:color="auto" w:fill="C2E9F8" w:themeFill="background2" w:themeFillTint="33"/>
            <w:vAlign w:val="center"/>
          </w:tcPr>
          <w:p w14:paraId="0D061F27"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Unknown</w:t>
            </w:r>
          </w:p>
        </w:tc>
        <w:tc>
          <w:tcPr>
            <w:tcW w:w="430" w:type="pct"/>
            <w:tcBorders>
              <w:top w:val="nil"/>
              <w:left w:val="single" w:sz="4" w:space="0" w:color="auto"/>
              <w:bottom w:val="single" w:sz="4" w:space="0" w:color="auto"/>
              <w:right w:val="single" w:sz="4" w:space="0" w:color="auto"/>
            </w:tcBorders>
            <w:shd w:val="clear" w:color="auto" w:fill="C2E9F8" w:themeFill="background2" w:themeFillTint="33"/>
            <w:vAlign w:val="center"/>
          </w:tcPr>
          <w:p w14:paraId="3EE5C893" w14:textId="77777777" w:rsidR="00EB6106" w:rsidRPr="00FC08D1" w:rsidRDefault="00EB6106" w:rsidP="00252A4D">
            <w:pPr>
              <w:pStyle w:val="Normal-beforebullets"/>
              <w:jc w:val="center"/>
              <w:rPr>
                <w:rFonts w:cstheme="minorHAnsi"/>
                <w:b/>
                <w:sz w:val="16"/>
                <w:szCs w:val="16"/>
              </w:rPr>
            </w:pPr>
            <w:r w:rsidRPr="00FC08D1">
              <w:rPr>
                <w:rFonts w:cstheme="minorHAnsi"/>
                <w:b/>
                <w:sz w:val="16"/>
                <w:szCs w:val="16"/>
              </w:rPr>
              <w:t>Total</w:t>
            </w:r>
          </w:p>
        </w:tc>
      </w:tr>
      <w:tr w:rsidR="00AE3767" w:rsidRPr="00FC08D1" w14:paraId="10683955" w14:textId="77777777" w:rsidTr="001F16D5">
        <w:trPr>
          <w:trHeight w:val="227"/>
        </w:trPr>
        <w:tc>
          <w:tcPr>
            <w:tcW w:w="763" w:type="pct"/>
            <w:vMerge w:val="restart"/>
            <w:tcBorders>
              <w:top w:val="single" w:sz="4" w:space="0" w:color="auto"/>
              <w:left w:val="single" w:sz="4" w:space="0" w:color="auto"/>
              <w:right w:val="single" w:sz="4" w:space="0" w:color="auto"/>
            </w:tcBorders>
            <w:vAlign w:val="center"/>
          </w:tcPr>
          <w:p w14:paraId="63A71C47"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Acinetobacter baumannii</w:t>
            </w:r>
            <w:r w:rsidRPr="00FC08D1">
              <w:rPr>
                <w:rFonts w:cstheme="minorHAnsi"/>
                <w:sz w:val="16"/>
                <w:szCs w:val="16"/>
              </w:rPr>
              <w:t xml:space="preserve"> complex</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1CF4CC67" w14:textId="77777777" w:rsidR="00EB6106" w:rsidRPr="00FC08D1" w:rsidRDefault="00EB6106" w:rsidP="00252A4D">
            <w:pPr>
              <w:pStyle w:val="Normal-beforebullets"/>
              <w:rPr>
                <w:rFonts w:cstheme="minorHAnsi"/>
                <w:sz w:val="16"/>
                <w:szCs w:val="16"/>
              </w:rPr>
            </w:pPr>
            <w:r w:rsidRPr="00FC08D1">
              <w:rPr>
                <w:rFonts w:cstheme="minorHAnsi"/>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6524183"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25</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CA84456"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6E5279EC"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6D1C350A"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w:t>
            </w:r>
          </w:p>
        </w:tc>
        <w:tc>
          <w:tcPr>
            <w:tcW w:w="432" w:type="pct"/>
            <w:tcBorders>
              <w:top w:val="single" w:sz="4" w:space="0" w:color="auto"/>
              <w:left w:val="single" w:sz="4" w:space="0" w:color="auto"/>
              <w:bottom w:val="single" w:sz="4" w:space="0" w:color="D9D9D9" w:themeColor="background1" w:themeShade="D9"/>
              <w:right w:val="single" w:sz="4" w:space="0" w:color="auto"/>
            </w:tcBorders>
            <w:vAlign w:val="center"/>
          </w:tcPr>
          <w:p w14:paraId="6E2BA675"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1B9DD104"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27</w:t>
            </w:r>
          </w:p>
        </w:tc>
      </w:tr>
      <w:tr w:rsidR="00AE3767" w:rsidRPr="00FC08D1" w14:paraId="62438A15" w14:textId="77777777" w:rsidTr="001F16D5">
        <w:trPr>
          <w:trHeight w:val="227"/>
        </w:trPr>
        <w:tc>
          <w:tcPr>
            <w:tcW w:w="763" w:type="pct"/>
            <w:vMerge/>
            <w:tcBorders>
              <w:left w:val="single" w:sz="4" w:space="0" w:color="auto"/>
              <w:bottom w:val="single" w:sz="4" w:space="0" w:color="auto"/>
              <w:right w:val="single" w:sz="4" w:space="0" w:color="auto"/>
            </w:tcBorders>
            <w:vAlign w:val="center"/>
          </w:tcPr>
          <w:p w14:paraId="096C322C"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16CD6F9E"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Carbapenemase- and</w:t>
            </w:r>
            <w:r w:rsidRPr="00FC08D1">
              <w:rPr>
                <w:rFonts w:cstheme="minorHAnsi"/>
                <w:sz w:val="16"/>
                <w:szCs w:val="16"/>
              </w:rPr>
              <w:t xml:space="preserve"> ribosomal methyltransferase-producing</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23FCBA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10</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4473A10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22F64717"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5D120F4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D9D9D9" w:themeColor="background1" w:themeShade="D9"/>
              <w:left w:val="single" w:sz="4" w:space="0" w:color="auto"/>
              <w:bottom w:val="single" w:sz="4" w:space="0" w:color="auto"/>
              <w:right w:val="single" w:sz="4" w:space="0" w:color="auto"/>
            </w:tcBorders>
            <w:vAlign w:val="center"/>
          </w:tcPr>
          <w:p w14:paraId="18DFF88C"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634ED4B8"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10</w:t>
            </w:r>
          </w:p>
        </w:tc>
      </w:tr>
      <w:tr w:rsidR="00AE3767" w:rsidRPr="00FC08D1" w14:paraId="01C90771"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54152F67"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Candida auris</w:t>
            </w:r>
          </w:p>
        </w:tc>
        <w:tc>
          <w:tcPr>
            <w:tcW w:w="1534" w:type="pct"/>
            <w:tcBorders>
              <w:top w:val="single" w:sz="4" w:space="0" w:color="auto"/>
              <w:left w:val="single" w:sz="4" w:space="0" w:color="auto"/>
              <w:bottom w:val="single" w:sz="4" w:space="0" w:color="auto"/>
              <w:right w:val="single" w:sz="4" w:space="0" w:color="auto"/>
            </w:tcBorders>
            <w:vAlign w:val="center"/>
          </w:tcPr>
          <w:p w14:paraId="4BC87236" w14:textId="77777777" w:rsidR="00EB6106" w:rsidRPr="00FC08D1" w:rsidRDefault="00EB6106" w:rsidP="00252A4D">
            <w:pPr>
              <w:pStyle w:val="Normal-beforebullets"/>
              <w:rPr>
                <w:rFonts w:cstheme="minorHAnsi"/>
                <w:sz w:val="16"/>
                <w:szCs w:val="16"/>
              </w:rPr>
            </w:pPr>
            <w:r w:rsidRPr="00FC08D1">
              <w:rPr>
                <w:rFonts w:cstheme="minorHAnsi"/>
                <w:sz w:val="16"/>
                <w:szCs w:val="16"/>
              </w:rPr>
              <w:t>–</w:t>
            </w:r>
          </w:p>
        </w:tc>
        <w:tc>
          <w:tcPr>
            <w:tcW w:w="431" w:type="pct"/>
            <w:tcBorders>
              <w:top w:val="single" w:sz="4" w:space="0" w:color="auto"/>
              <w:left w:val="single" w:sz="4" w:space="0" w:color="auto"/>
              <w:bottom w:val="single" w:sz="4" w:space="0" w:color="auto"/>
              <w:right w:val="single" w:sz="4" w:space="0" w:color="auto"/>
            </w:tcBorders>
            <w:vAlign w:val="center"/>
          </w:tcPr>
          <w:p w14:paraId="63D25BC1"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16</w:t>
            </w:r>
          </w:p>
        </w:tc>
        <w:tc>
          <w:tcPr>
            <w:tcW w:w="431" w:type="pct"/>
            <w:tcBorders>
              <w:top w:val="single" w:sz="4" w:space="0" w:color="auto"/>
              <w:left w:val="single" w:sz="4" w:space="0" w:color="auto"/>
              <w:bottom w:val="single" w:sz="4" w:space="0" w:color="auto"/>
              <w:right w:val="single" w:sz="4" w:space="0" w:color="auto"/>
            </w:tcBorders>
            <w:vAlign w:val="center"/>
          </w:tcPr>
          <w:p w14:paraId="1816E8A9"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w:t>
            </w:r>
          </w:p>
        </w:tc>
        <w:tc>
          <w:tcPr>
            <w:tcW w:w="461" w:type="pct"/>
            <w:tcBorders>
              <w:top w:val="single" w:sz="4" w:space="0" w:color="auto"/>
              <w:left w:val="single" w:sz="4" w:space="0" w:color="auto"/>
              <w:bottom w:val="single" w:sz="4" w:space="0" w:color="auto"/>
              <w:right w:val="single" w:sz="4" w:space="0" w:color="auto"/>
            </w:tcBorders>
            <w:vAlign w:val="center"/>
          </w:tcPr>
          <w:p w14:paraId="41E8644D"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0B5CADB3"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auto"/>
              <w:left w:val="single" w:sz="4" w:space="0" w:color="auto"/>
              <w:bottom w:val="single" w:sz="4" w:space="0" w:color="auto"/>
              <w:right w:val="single" w:sz="4" w:space="0" w:color="auto"/>
            </w:tcBorders>
            <w:vAlign w:val="center"/>
          </w:tcPr>
          <w:p w14:paraId="7D8069B1"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426397F2"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17</w:t>
            </w:r>
          </w:p>
        </w:tc>
      </w:tr>
      <w:tr w:rsidR="00AE3767" w:rsidRPr="00FC08D1" w14:paraId="366A0E40" w14:textId="77777777" w:rsidTr="001F16D5">
        <w:trPr>
          <w:trHeight w:val="227"/>
        </w:trPr>
        <w:tc>
          <w:tcPr>
            <w:tcW w:w="763" w:type="pct"/>
            <w:vMerge w:val="restart"/>
            <w:tcBorders>
              <w:top w:val="single" w:sz="4" w:space="0" w:color="auto"/>
              <w:left w:val="single" w:sz="4" w:space="0" w:color="auto"/>
              <w:right w:val="single" w:sz="4" w:space="0" w:color="auto"/>
            </w:tcBorders>
            <w:vAlign w:val="center"/>
          </w:tcPr>
          <w:p w14:paraId="182F3C71" w14:textId="77777777" w:rsidR="00EB6106" w:rsidRPr="00FC08D1" w:rsidRDefault="00EB6106" w:rsidP="00252A4D">
            <w:pPr>
              <w:spacing w:before="0" w:after="0"/>
              <w:rPr>
                <w:rFonts w:cstheme="minorHAnsi"/>
                <w:sz w:val="16"/>
                <w:szCs w:val="16"/>
              </w:rPr>
            </w:pPr>
            <w:r w:rsidRPr="00FC08D1">
              <w:rPr>
                <w:rFonts w:cstheme="minorHAnsi"/>
                <w:i/>
                <w:sz w:val="16"/>
                <w:szCs w:val="16"/>
              </w:rPr>
              <w:t>Enterobacterales</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672E6BFB" w14:textId="77777777" w:rsidR="00EB6106" w:rsidRPr="00FC08D1" w:rsidRDefault="00EB6106" w:rsidP="00252A4D">
            <w:pPr>
              <w:pStyle w:val="Normal-beforebullets"/>
              <w:rPr>
                <w:rFonts w:cstheme="minorHAnsi"/>
                <w:sz w:val="16"/>
                <w:szCs w:val="16"/>
              </w:rPr>
            </w:pPr>
            <w:r w:rsidRPr="00FC08D1">
              <w:rPr>
                <w:rFonts w:cstheme="minorHAnsi"/>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AF15E1D"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879</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18B467E3"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57</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5C0231ED"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7</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5B422F5B"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110</w:t>
            </w:r>
          </w:p>
        </w:tc>
        <w:tc>
          <w:tcPr>
            <w:tcW w:w="432" w:type="pct"/>
            <w:tcBorders>
              <w:top w:val="single" w:sz="4" w:space="0" w:color="auto"/>
              <w:left w:val="single" w:sz="4" w:space="0" w:color="auto"/>
              <w:bottom w:val="single" w:sz="4" w:space="0" w:color="D9D9D9" w:themeColor="background1" w:themeShade="D9"/>
              <w:right w:val="single" w:sz="4" w:space="0" w:color="auto"/>
            </w:tcBorders>
            <w:vAlign w:val="center"/>
          </w:tcPr>
          <w:p w14:paraId="151FA33B"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50</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79C5DADB" w14:textId="77777777" w:rsidR="00EB6106" w:rsidRPr="00FC08D1" w:rsidRDefault="00EB6106" w:rsidP="00252A4D">
            <w:pPr>
              <w:pStyle w:val="Normal-beforebullets"/>
              <w:jc w:val="center"/>
              <w:rPr>
                <w:rFonts w:cstheme="minorHAnsi"/>
                <w:color w:val="auto"/>
                <w:sz w:val="16"/>
                <w:szCs w:val="16"/>
              </w:rPr>
            </w:pPr>
            <w:r w:rsidRPr="00FC08D1">
              <w:rPr>
                <w:rFonts w:cstheme="minorHAnsi"/>
                <w:color w:val="000000"/>
                <w:sz w:val="16"/>
                <w:szCs w:val="16"/>
              </w:rPr>
              <w:t>1,103</w:t>
            </w:r>
          </w:p>
        </w:tc>
      </w:tr>
      <w:tr w:rsidR="00AE3767" w:rsidRPr="00FC08D1" w14:paraId="509BFB73" w14:textId="77777777" w:rsidTr="001F16D5">
        <w:trPr>
          <w:trHeight w:val="227"/>
        </w:trPr>
        <w:tc>
          <w:tcPr>
            <w:tcW w:w="763" w:type="pct"/>
            <w:vMerge/>
            <w:tcBorders>
              <w:left w:val="single" w:sz="4" w:space="0" w:color="auto"/>
              <w:right w:val="single" w:sz="4" w:space="0" w:color="auto"/>
            </w:tcBorders>
            <w:vAlign w:val="center"/>
          </w:tcPr>
          <w:p w14:paraId="1DB18F7C" w14:textId="77777777" w:rsidR="00EB6106" w:rsidRPr="00FC08D1" w:rsidRDefault="00EB6106" w:rsidP="00252A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hideMark/>
          </w:tcPr>
          <w:p w14:paraId="3FDA408B" w14:textId="77777777" w:rsidR="00EB6106" w:rsidRPr="00FC08D1" w:rsidRDefault="00EB6106" w:rsidP="00252A4D">
            <w:pPr>
              <w:spacing w:before="0" w:after="0"/>
              <w:rPr>
                <w:rFonts w:cstheme="minorHAnsi"/>
                <w:sz w:val="16"/>
                <w:szCs w:val="16"/>
              </w:rPr>
            </w:pPr>
            <w:r w:rsidRPr="00FC08D1">
              <w:rPr>
                <w:rFonts w:cstheme="minorHAnsi"/>
                <w:sz w:val="16"/>
                <w:szCs w:val="16"/>
              </w:rPr>
              <w:t xml:space="preserve">Carbapenemase and ribosomal methyltransferase-producing </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2EAECB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71</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86EDC2"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85C12C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F4A2EE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25</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BF5DAAA"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1D26C9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101</w:t>
            </w:r>
          </w:p>
        </w:tc>
      </w:tr>
      <w:tr w:rsidR="00AE3767" w:rsidRPr="00FC08D1" w14:paraId="0DA6318B" w14:textId="77777777" w:rsidTr="001F16D5">
        <w:trPr>
          <w:trHeight w:val="227"/>
        </w:trPr>
        <w:tc>
          <w:tcPr>
            <w:tcW w:w="763" w:type="pct"/>
            <w:vMerge/>
            <w:tcBorders>
              <w:left w:val="single" w:sz="4" w:space="0" w:color="auto"/>
              <w:right w:val="single" w:sz="4" w:space="0" w:color="auto"/>
            </w:tcBorders>
            <w:vAlign w:val="center"/>
          </w:tcPr>
          <w:p w14:paraId="0B0A3F86" w14:textId="77777777" w:rsidR="00EB6106" w:rsidRPr="00FC08D1" w:rsidRDefault="00EB6106" w:rsidP="00252A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333BBDE" w14:textId="77777777" w:rsidR="00EB6106" w:rsidRPr="00FC08D1" w:rsidRDefault="00EB6106" w:rsidP="00252A4D">
            <w:pPr>
              <w:spacing w:before="0" w:after="0"/>
              <w:rPr>
                <w:rFonts w:cstheme="minorHAnsi"/>
                <w:sz w:val="16"/>
                <w:szCs w:val="16"/>
              </w:rPr>
            </w:pPr>
            <w:r w:rsidRPr="00FC08D1">
              <w:rPr>
                <w:rFonts w:cstheme="minorHAnsi"/>
                <w:sz w:val="16"/>
                <w:szCs w:val="16"/>
              </w:rPr>
              <w:t>Carbapenemase-producing and transmissible colistin resistance</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BAF25E"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8F0B4E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558B09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7BBDA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427112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CAA19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r>
      <w:tr w:rsidR="00AE3767" w:rsidRPr="00FC08D1" w14:paraId="1234959C" w14:textId="77777777" w:rsidTr="001F16D5">
        <w:trPr>
          <w:trHeight w:val="227"/>
        </w:trPr>
        <w:tc>
          <w:tcPr>
            <w:tcW w:w="763" w:type="pct"/>
            <w:vMerge/>
            <w:tcBorders>
              <w:left w:val="single" w:sz="4" w:space="0" w:color="auto"/>
              <w:right w:val="single" w:sz="4" w:space="0" w:color="auto"/>
            </w:tcBorders>
            <w:vAlign w:val="center"/>
          </w:tcPr>
          <w:p w14:paraId="3BC7557F" w14:textId="77777777" w:rsidR="00EB6106" w:rsidRPr="00FC08D1" w:rsidRDefault="00EB6106" w:rsidP="00252A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927C539" w14:textId="77777777" w:rsidR="00EB6106" w:rsidRPr="00FC08D1" w:rsidRDefault="00EB6106" w:rsidP="00252A4D">
            <w:pPr>
              <w:spacing w:before="0" w:after="0"/>
              <w:rPr>
                <w:rFonts w:cstheme="minorHAnsi"/>
                <w:sz w:val="16"/>
                <w:szCs w:val="16"/>
              </w:rPr>
            </w:pPr>
            <w:r w:rsidRPr="00FC08D1">
              <w:rPr>
                <w:rFonts w:cstheme="minorHAnsi"/>
                <w:sz w:val="16"/>
                <w:szCs w:val="16"/>
              </w:rPr>
              <w:t>Ribosomal methyltransferase-producing</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5C5FE9D"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12</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7C59DE3" w14:textId="77777777" w:rsidR="00EB6106" w:rsidRPr="00FC08D1" w:rsidRDefault="00EB6106" w:rsidP="00252A4D">
            <w:pPr>
              <w:spacing w:before="0" w:after="0"/>
              <w:jc w:val="center"/>
              <w:rPr>
                <w:rFonts w:cstheme="minorHAnsi"/>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6C091" w14:textId="77777777" w:rsidR="00EB6106" w:rsidRPr="00FC08D1" w:rsidRDefault="00EB6106" w:rsidP="00252A4D">
            <w:pPr>
              <w:spacing w:before="0" w:after="0"/>
              <w:jc w:val="center"/>
              <w:rPr>
                <w:rFonts w:cstheme="minorHAnsi"/>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564FDF"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2</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642E5A4" w14:textId="77777777" w:rsidR="00EB6106" w:rsidRPr="00FC08D1" w:rsidRDefault="00EB6106" w:rsidP="00252A4D">
            <w:pPr>
              <w:spacing w:before="0" w:after="0"/>
              <w:jc w:val="center"/>
              <w:rPr>
                <w:rFonts w:cstheme="minorHAnsi"/>
                <w:sz w:val="16"/>
                <w:szCs w:val="16"/>
              </w:rPr>
            </w:pPr>
            <w:r w:rsidRPr="00FC08D1">
              <w:rPr>
                <w:rFonts w:cstheme="minorHAnsi"/>
                <w:color w:val="000000"/>
                <w:sz w:val="16"/>
                <w:szCs w:val="16"/>
              </w:rPr>
              <w:t>2</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F70B74B"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16</w:t>
            </w:r>
          </w:p>
        </w:tc>
      </w:tr>
      <w:tr w:rsidR="00AE3767" w:rsidRPr="00FC08D1" w14:paraId="1B5343C4" w14:textId="77777777" w:rsidTr="001F16D5">
        <w:trPr>
          <w:trHeight w:val="227"/>
        </w:trPr>
        <w:tc>
          <w:tcPr>
            <w:tcW w:w="763" w:type="pct"/>
            <w:vMerge/>
            <w:tcBorders>
              <w:left w:val="single" w:sz="4" w:space="0" w:color="auto"/>
              <w:bottom w:val="single" w:sz="4" w:space="0" w:color="auto"/>
              <w:right w:val="single" w:sz="4" w:space="0" w:color="auto"/>
            </w:tcBorders>
            <w:vAlign w:val="center"/>
          </w:tcPr>
          <w:p w14:paraId="065C4197" w14:textId="77777777" w:rsidR="00EB6106" w:rsidRPr="00FC08D1" w:rsidRDefault="00EB6106" w:rsidP="00252A4D">
            <w:pPr>
              <w:spacing w:before="0" w:after="0"/>
              <w:rPr>
                <w:rFonts w:cstheme="minorHAnsi"/>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1C4CEF03" w14:textId="77777777" w:rsidR="00EB6106" w:rsidRPr="00FC08D1" w:rsidRDefault="00EB6106" w:rsidP="00252A4D">
            <w:pPr>
              <w:spacing w:before="0" w:after="0"/>
              <w:rPr>
                <w:rFonts w:cstheme="minorHAnsi"/>
                <w:sz w:val="16"/>
                <w:szCs w:val="16"/>
              </w:rPr>
            </w:pPr>
            <w:r w:rsidRPr="00FC08D1">
              <w:rPr>
                <w:rFonts w:cstheme="minorHAnsi"/>
                <w:sz w:val="16"/>
                <w:szCs w:val="16"/>
              </w:rPr>
              <w:t>Transmissible colistin resistance</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4E79FF8F"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394DF70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7F09A3F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2FE473A8"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D9D9D9" w:themeColor="background1" w:themeShade="D9"/>
              <w:left w:val="single" w:sz="4" w:space="0" w:color="auto"/>
              <w:bottom w:val="single" w:sz="4" w:space="0" w:color="auto"/>
              <w:right w:val="single" w:sz="4" w:space="0" w:color="auto"/>
            </w:tcBorders>
            <w:vAlign w:val="center"/>
          </w:tcPr>
          <w:p w14:paraId="6A35B298"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291164C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r>
      <w:tr w:rsidR="00AE3767" w:rsidRPr="00FC08D1" w14:paraId="6EAE9218"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645B6F26" w14:textId="77777777" w:rsidR="00EB6106" w:rsidRPr="00FC08D1" w:rsidRDefault="00EB6106" w:rsidP="00252A4D">
            <w:pPr>
              <w:spacing w:before="0" w:after="0"/>
              <w:rPr>
                <w:rFonts w:cstheme="minorHAnsi"/>
                <w:sz w:val="16"/>
                <w:szCs w:val="16"/>
              </w:rPr>
            </w:pPr>
            <w:r w:rsidRPr="00FC08D1">
              <w:rPr>
                <w:rFonts w:cstheme="minorHAnsi"/>
                <w:i/>
                <w:iCs/>
                <w:sz w:val="16"/>
                <w:szCs w:val="16"/>
              </w:rPr>
              <w:t xml:space="preserve">Enterococcus </w:t>
            </w:r>
            <w:r w:rsidRPr="00FC08D1">
              <w:rPr>
                <w:rFonts w:cstheme="minorHAnsi"/>
                <w:iCs/>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22C3E072" w14:textId="77777777" w:rsidR="00EB6106" w:rsidRPr="00FC08D1" w:rsidRDefault="00EB6106" w:rsidP="00252A4D">
            <w:pPr>
              <w:spacing w:before="0" w:after="0"/>
              <w:rPr>
                <w:rFonts w:cstheme="minorHAnsi"/>
                <w:sz w:val="16"/>
                <w:szCs w:val="16"/>
              </w:rPr>
            </w:pPr>
            <w:r w:rsidRPr="00FC08D1">
              <w:rPr>
                <w:rFonts w:cstheme="minorHAnsi"/>
                <w:sz w:val="16"/>
                <w:szCs w:val="16"/>
              </w:rPr>
              <w:t>Linezolid-resistant</w:t>
            </w:r>
          </w:p>
        </w:tc>
        <w:tc>
          <w:tcPr>
            <w:tcW w:w="431" w:type="pct"/>
            <w:tcBorders>
              <w:top w:val="single" w:sz="4" w:space="0" w:color="auto"/>
              <w:left w:val="single" w:sz="4" w:space="0" w:color="auto"/>
              <w:bottom w:val="single" w:sz="4" w:space="0" w:color="auto"/>
              <w:right w:val="single" w:sz="4" w:space="0" w:color="auto"/>
            </w:tcBorders>
            <w:vAlign w:val="center"/>
          </w:tcPr>
          <w:p w14:paraId="4F862E82"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30</w:t>
            </w:r>
          </w:p>
        </w:tc>
        <w:tc>
          <w:tcPr>
            <w:tcW w:w="431" w:type="pct"/>
            <w:tcBorders>
              <w:top w:val="single" w:sz="4" w:space="0" w:color="auto"/>
              <w:left w:val="single" w:sz="4" w:space="0" w:color="auto"/>
              <w:bottom w:val="single" w:sz="4" w:space="0" w:color="auto"/>
              <w:right w:val="single" w:sz="4" w:space="0" w:color="auto"/>
            </w:tcBorders>
            <w:vAlign w:val="center"/>
          </w:tcPr>
          <w:p w14:paraId="69B31ACC"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61" w:type="pct"/>
            <w:tcBorders>
              <w:top w:val="single" w:sz="4" w:space="0" w:color="auto"/>
              <w:left w:val="single" w:sz="4" w:space="0" w:color="auto"/>
              <w:bottom w:val="single" w:sz="4" w:space="0" w:color="auto"/>
              <w:right w:val="single" w:sz="4" w:space="0" w:color="auto"/>
            </w:tcBorders>
            <w:vAlign w:val="center"/>
          </w:tcPr>
          <w:p w14:paraId="171801B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0F05A74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w:t>
            </w:r>
          </w:p>
        </w:tc>
        <w:tc>
          <w:tcPr>
            <w:tcW w:w="432" w:type="pct"/>
            <w:tcBorders>
              <w:top w:val="single" w:sz="4" w:space="0" w:color="auto"/>
              <w:left w:val="single" w:sz="4" w:space="0" w:color="auto"/>
              <w:bottom w:val="single" w:sz="4" w:space="0" w:color="auto"/>
              <w:right w:val="single" w:sz="4" w:space="0" w:color="auto"/>
            </w:tcBorders>
            <w:vAlign w:val="center"/>
          </w:tcPr>
          <w:p w14:paraId="66EE858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w:t>
            </w:r>
          </w:p>
        </w:tc>
        <w:tc>
          <w:tcPr>
            <w:tcW w:w="430" w:type="pct"/>
            <w:tcBorders>
              <w:top w:val="single" w:sz="4" w:space="0" w:color="auto"/>
              <w:left w:val="single" w:sz="4" w:space="0" w:color="auto"/>
              <w:bottom w:val="single" w:sz="4" w:space="0" w:color="auto"/>
              <w:right w:val="single" w:sz="4" w:space="0" w:color="auto"/>
            </w:tcBorders>
            <w:vAlign w:val="center"/>
          </w:tcPr>
          <w:p w14:paraId="6784DA1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39</w:t>
            </w:r>
          </w:p>
        </w:tc>
      </w:tr>
      <w:tr w:rsidR="00AE3767" w:rsidRPr="00FC08D1" w14:paraId="2C410037"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3A278D58"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Mycobacterium tuberculosis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1A662EBB" w14:textId="77777777" w:rsidR="00EB6106" w:rsidRPr="00FC08D1" w:rsidRDefault="00EB6106" w:rsidP="00252A4D">
            <w:pPr>
              <w:spacing w:before="0" w:after="0"/>
              <w:rPr>
                <w:rFonts w:cstheme="minorHAnsi"/>
                <w:sz w:val="16"/>
                <w:szCs w:val="16"/>
              </w:rPr>
            </w:pPr>
            <w:r w:rsidRPr="00FC08D1">
              <w:rPr>
                <w:rFonts w:cstheme="minorHAnsi"/>
                <w:sz w:val="16"/>
                <w:szCs w:val="16"/>
              </w:rPr>
              <w:t>Multidrug-resistant – at least rifampicin- and isoniazid-resistant</w:t>
            </w:r>
          </w:p>
        </w:tc>
        <w:tc>
          <w:tcPr>
            <w:tcW w:w="431" w:type="pct"/>
            <w:tcBorders>
              <w:top w:val="single" w:sz="4" w:space="0" w:color="auto"/>
              <w:left w:val="single" w:sz="4" w:space="0" w:color="auto"/>
              <w:bottom w:val="single" w:sz="4" w:space="0" w:color="auto"/>
              <w:right w:val="single" w:sz="4" w:space="0" w:color="auto"/>
            </w:tcBorders>
            <w:vAlign w:val="center"/>
          </w:tcPr>
          <w:p w14:paraId="5D1B7387"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10</w:t>
            </w:r>
          </w:p>
        </w:tc>
        <w:tc>
          <w:tcPr>
            <w:tcW w:w="431" w:type="pct"/>
            <w:tcBorders>
              <w:top w:val="single" w:sz="4" w:space="0" w:color="auto"/>
              <w:left w:val="single" w:sz="4" w:space="0" w:color="auto"/>
              <w:bottom w:val="single" w:sz="4" w:space="0" w:color="auto"/>
              <w:right w:val="single" w:sz="4" w:space="0" w:color="auto"/>
            </w:tcBorders>
            <w:vAlign w:val="center"/>
          </w:tcPr>
          <w:p w14:paraId="012BF9B5"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0F174B4E"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0BB0ABCF"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w:t>
            </w:r>
          </w:p>
        </w:tc>
        <w:tc>
          <w:tcPr>
            <w:tcW w:w="432" w:type="pct"/>
            <w:tcBorders>
              <w:top w:val="single" w:sz="4" w:space="0" w:color="auto"/>
              <w:left w:val="single" w:sz="4" w:space="0" w:color="auto"/>
              <w:bottom w:val="single" w:sz="4" w:space="0" w:color="auto"/>
              <w:right w:val="single" w:sz="4" w:space="0" w:color="auto"/>
            </w:tcBorders>
            <w:vAlign w:val="center"/>
          </w:tcPr>
          <w:p w14:paraId="13BBD338"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430" w:type="pct"/>
            <w:tcBorders>
              <w:top w:val="single" w:sz="4" w:space="0" w:color="auto"/>
              <w:left w:val="single" w:sz="4" w:space="0" w:color="auto"/>
              <w:bottom w:val="single" w:sz="4" w:space="0" w:color="auto"/>
              <w:right w:val="single" w:sz="4" w:space="0" w:color="auto"/>
            </w:tcBorders>
            <w:vAlign w:val="center"/>
          </w:tcPr>
          <w:p w14:paraId="27A2D137"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14</w:t>
            </w:r>
          </w:p>
        </w:tc>
      </w:tr>
      <w:tr w:rsidR="00AE3767" w:rsidRPr="00FC08D1" w14:paraId="5E685FE6" w14:textId="77777777" w:rsidTr="001F16D5">
        <w:trPr>
          <w:trHeight w:val="227"/>
        </w:trPr>
        <w:tc>
          <w:tcPr>
            <w:tcW w:w="763" w:type="pct"/>
            <w:vMerge w:val="restart"/>
            <w:tcBorders>
              <w:top w:val="single" w:sz="4" w:space="0" w:color="auto"/>
              <w:left w:val="single" w:sz="4" w:space="0" w:color="auto"/>
              <w:right w:val="single" w:sz="4" w:space="0" w:color="auto"/>
            </w:tcBorders>
            <w:vAlign w:val="center"/>
          </w:tcPr>
          <w:p w14:paraId="54B1F5EA" w14:textId="77777777" w:rsidR="00EB6106" w:rsidRPr="00FC08D1" w:rsidRDefault="00EB6106" w:rsidP="00252A4D">
            <w:pPr>
              <w:spacing w:before="0" w:after="0"/>
              <w:rPr>
                <w:rFonts w:cstheme="minorHAnsi"/>
                <w:bCs/>
                <w:i/>
                <w:iCs/>
                <w:sz w:val="16"/>
                <w:szCs w:val="16"/>
              </w:rPr>
            </w:pPr>
            <w:r w:rsidRPr="00FC08D1">
              <w:rPr>
                <w:rFonts w:cstheme="minorHAnsi"/>
                <w:i/>
                <w:iCs/>
                <w:color w:val="auto"/>
                <w:sz w:val="16"/>
                <w:szCs w:val="16"/>
              </w:rPr>
              <w:t>Neisseria gonorrhoeae</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hideMark/>
          </w:tcPr>
          <w:p w14:paraId="4A33EF7B"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Azithromycin-nonsusceptible (low-level)</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bottom"/>
          </w:tcPr>
          <w:p w14:paraId="45771F32"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36</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bottom"/>
          </w:tcPr>
          <w:p w14:paraId="05F48F05"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bottom"/>
          </w:tcPr>
          <w:p w14:paraId="121F5BB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bottom"/>
          </w:tcPr>
          <w:p w14:paraId="580ECF27" w14:textId="77777777" w:rsidR="00EB6106" w:rsidRPr="00FC08D1" w:rsidRDefault="00EB6106" w:rsidP="00252A4D">
            <w:pPr>
              <w:spacing w:before="0" w:after="0"/>
              <w:jc w:val="center"/>
              <w:rPr>
                <w:rFonts w:cstheme="minorHAnsi"/>
                <w:color w:val="auto"/>
                <w:sz w:val="16"/>
                <w:szCs w:val="16"/>
                <w:highlight w:val="yellow"/>
              </w:rPr>
            </w:pPr>
            <w:r w:rsidRPr="00FC08D1">
              <w:rPr>
                <w:rFonts w:cstheme="minorHAnsi"/>
                <w:color w:val="000000"/>
                <w:sz w:val="16"/>
                <w:szCs w:val="16"/>
              </w:rPr>
              <w:t>423</w:t>
            </w:r>
          </w:p>
        </w:tc>
        <w:tc>
          <w:tcPr>
            <w:tcW w:w="432" w:type="pct"/>
            <w:tcBorders>
              <w:top w:val="single" w:sz="4" w:space="0" w:color="auto"/>
              <w:left w:val="single" w:sz="4" w:space="0" w:color="auto"/>
              <w:bottom w:val="single" w:sz="4" w:space="0" w:color="D9D9D9" w:themeColor="background1" w:themeShade="D9"/>
              <w:right w:val="single" w:sz="4" w:space="0" w:color="auto"/>
            </w:tcBorders>
            <w:vAlign w:val="bottom"/>
          </w:tcPr>
          <w:p w14:paraId="4B2DEA2D" w14:textId="77777777" w:rsidR="00EB6106" w:rsidRPr="00FC08D1" w:rsidRDefault="00EB6106" w:rsidP="00252A4D">
            <w:pPr>
              <w:spacing w:before="0" w:after="0"/>
              <w:jc w:val="center"/>
              <w:rPr>
                <w:rFonts w:cstheme="minorHAnsi"/>
                <w:color w:val="auto"/>
                <w:sz w:val="16"/>
                <w:szCs w:val="16"/>
                <w:highlight w:val="yellow"/>
              </w:rPr>
            </w:pPr>
            <w:r w:rsidRPr="00FC08D1">
              <w:rPr>
                <w:rFonts w:cstheme="minorHAnsi"/>
                <w:color w:val="000000"/>
                <w:sz w:val="16"/>
                <w:szCs w:val="16"/>
              </w:rPr>
              <w:t>208</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bottom"/>
          </w:tcPr>
          <w:p w14:paraId="3B7DA67A"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669</w:t>
            </w:r>
          </w:p>
        </w:tc>
      </w:tr>
      <w:tr w:rsidR="00AE3767" w:rsidRPr="00FC08D1" w14:paraId="75E81D87" w14:textId="77777777" w:rsidTr="001F16D5">
        <w:trPr>
          <w:trHeight w:val="227"/>
        </w:trPr>
        <w:tc>
          <w:tcPr>
            <w:tcW w:w="763" w:type="pct"/>
            <w:vMerge/>
            <w:tcBorders>
              <w:left w:val="single" w:sz="4" w:space="0" w:color="auto"/>
              <w:right w:val="single" w:sz="4" w:space="0" w:color="auto"/>
            </w:tcBorders>
            <w:vAlign w:val="center"/>
          </w:tcPr>
          <w:p w14:paraId="6533E2A1"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8A1FCB"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Azithromycin-nonsusceptible (high-level)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F2786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01D01A"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C99304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BDD6AB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9</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854737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13</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ADE1C15"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22</w:t>
            </w:r>
          </w:p>
        </w:tc>
      </w:tr>
      <w:tr w:rsidR="00AE3767" w:rsidRPr="00FC08D1" w14:paraId="3BD60D6B" w14:textId="77777777" w:rsidTr="001F16D5">
        <w:trPr>
          <w:trHeight w:val="227"/>
        </w:trPr>
        <w:tc>
          <w:tcPr>
            <w:tcW w:w="763" w:type="pct"/>
            <w:vMerge/>
            <w:tcBorders>
              <w:left w:val="single" w:sz="4" w:space="0" w:color="auto"/>
              <w:right w:val="single" w:sz="4" w:space="0" w:color="auto"/>
            </w:tcBorders>
            <w:vAlign w:val="center"/>
          </w:tcPr>
          <w:p w14:paraId="64C1C451" w14:textId="77777777" w:rsidR="00EB6106" w:rsidRPr="00FC08D1" w:rsidRDefault="00EB6106" w:rsidP="00252A4D">
            <w:pPr>
              <w:spacing w:before="0" w:after="0"/>
              <w:rPr>
                <w:rFonts w:cstheme="minorHAnsi"/>
                <w:color w:val="auto"/>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895566D"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 xml:space="preserve">Ceftriaxone-nonsusceptible </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4218F3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680992E"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E81763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7A1FE0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C9AC30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8</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838F32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14</w:t>
            </w:r>
          </w:p>
        </w:tc>
      </w:tr>
      <w:tr w:rsidR="00AE3767" w:rsidRPr="00FC08D1" w14:paraId="4246E36C" w14:textId="77777777" w:rsidTr="001F16D5">
        <w:trPr>
          <w:trHeight w:val="227"/>
        </w:trPr>
        <w:tc>
          <w:tcPr>
            <w:tcW w:w="763" w:type="pct"/>
            <w:vMerge/>
            <w:tcBorders>
              <w:left w:val="single" w:sz="4" w:space="0" w:color="auto"/>
              <w:right w:val="single" w:sz="4" w:space="0" w:color="auto"/>
            </w:tcBorders>
            <w:vAlign w:val="center"/>
          </w:tcPr>
          <w:p w14:paraId="1DCD9651"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30C7019"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Ceftriaxone-nonsusceptible and azithromycin-nonsusceptible (low-level)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F3564A5"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E62E7A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35CF59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0465D2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66F621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A13523E"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w:t>
            </w:r>
          </w:p>
        </w:tc>
      </w:tr>
      <w:tr w:rsidR="00AE3767" w:rsidRPr="00FC08D1" w14:paraId="608E98F5" w14:textId="77777777" w:rsidTr="001F16D5">
        <w:trPr>
          <w:trHeight w:val="227"/>
        </w:trPr>
        <w:tc>
          <w:tcPr>
            <w:tcW w:w="763" w:type="pct"/>
            <w:vMerge/>
            <w:tcBorders>
              <w:left w:val="single" w:sz="4" w:space="0" w:color="auto"/>
              <w:right w:val="single" w:sz="4" w:space="0" w:color="auto"/>
            </w:tcBorders>
            <w:vAlign w:val="center"/>
          </w:tcPr>
          <w:p w14:paraId="348F8A57"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1BAF8DC" w14:textId="77777777" w:rsidR="00EB6106" w:rsidRPr="00FC08D1" w:rsidRDefault="00EB6106" w:rsidP="00252A4D">
            <w:pPr>
              <w:spacing w:before="0" w:after="0"/>
              <w:rPr>
                <w:rFonts w:cstheme="minorHAnsi"/>
                <w:sz w:val="16"/>
                <w:szCs w:val="16"/>
              </w:rPr>
            </w:pPr>
            <w:r w:rsidRPr="00FC08D1">
              <w:rPr>
                <w:rFonts w:cstheme="minorHAnsi"/>
                <w:color w:val="auto"/>
                <w:sz w:val="16"/>
                <w:szCs w:val="16"/>
              </w:rPr>
              <w:t>Ceftriaxone-nonsusceptible and azithromycin-nonsusceptible (high-level)</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CE9CDCF"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0897FC1"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5F6DBC4"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A59C114"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3</w:t>
            </w:r>
          </w:p>
        </w:tc>
        <w:tc>
          <w:tcPr>
            <w:tcW w:w="432"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050CBB2"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2</w:t>
            </w:r>
          </w:p>
        </w:tc>
        <w:tc>
          <w:tcPr>
            <w:tcW w:w="430" w:type="pct"/>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A344AE"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5</w:t>
            </w:r>
          </w:p>
        </w:tc>
      </w:tr>
      <w:tr w:rsidR="00AE3767" w:rsidRPr="00FC08D1" w14:paraId="03900D17" w14:textId="77777777" w:rsidTr="001F16D5">
        <w:trPr>
          <w:trHeight w:val="227"/>
        </w:trPr>
        <w:tc>
          <w:tcPr>
            <w:tcW w:w="763" w:type="pct"/>
            <w:vMerge/>
            <w:tcBorders>
              <w:left w:val="single" w:sz="4" w:space="0" w:color="auto"/>
              <w:bottom w:val="single" w:sz="4" w:space="0" w:color="auto"/>
              <w:right w:val="single" w:sz="4" w:space="0" w:color="auto"/>
            </w:tcBorders>
            <w:vAlign w:val="center"/>
          </w:tcPr>
          <w:p w14:paraId="598ECF5C"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56B5ECE3"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Gentamicin-resistant</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1C4DB2F5"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BD72975"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385E6025"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179B41FD"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2" w:type="pct"/>
            <w:tcBorders>
              <w:top w:val="single" w:sz="4" w:space="0" w:color="D9D9D9" w:themeColor="background1" w:themeShade="D9"/>
              <w:left w:val="single" w:sz="4" w:space="0" w:color="auto"/>
              <w:bottom w:val="single" w:sz="4" w:space="0" w:color="auto"/>
              <w:right w:val="single" w:sz="4" w:space="0" w:color="auto"/>
            </w:tcBorders>
            <w:vAlign w:val="center"/>
          </w:tcPr>
          <w:p w14:paraId="3A3F3285"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2581E738"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r>
      <w:tr w:rsidR="00AE3767" w:rsidRPr="00FC08D1" w14:paraId="1F8F228D"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4852D23E"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Neisseria meningitidis</w:t>
            </w:r>
          </w:p>
        </w:tc>
        <w:tc>
          <w:tcPr>
            <w:tcW w:w="1534" w:type="pct"/>
            <w:tcBorders>
              <w:top w:val="single" w:sz="4" w:space="0" w:color="auto"/>
              <w:left w:val="single" w:sz="4" w:space="0" w:color="auto"/>
              <w:bottom w:val="single" w:sz="4" w:space="0" w:color="auto"/>
              <w:right w:val="single" w:sz="4" w:space="0" w:color="auto"/>
            </w:tcBorders>
            <w:vAlign w:val="center"/>
          </w:tcPr>
          <w:p w14:paraId="2C5878C7"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Ciprofloxacin-nonsusceptible</w:t>
            </w:r>
          </w:p>
        </w:tc>
        <w:tc>
          <w:tcPr>
            <w:tcW w:w="431" w:type="pct"/>
            <w:tcBorders>
              <w:top w:val="single" w:sz="4" w:space="0" w:color="auto"/>
              <w:left w:val="single" w:sz="4" w:space="0" w:color="auto"/>
              <w:bottom w:val="single" w:sz="4" w:space="0" w:color="auto"/>
              <w:right w:val="single" w:sz="4" w:space="0" w:color="auto"/>
            </w:tcBorders>
            <w:vAlign w:val="center"/>
          </w:tcPr>
          <w:p w14:paraId="591E457B"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1" w:type="pct"/>
            <w:tcBorders>
              <w:top w:val="single" w:sz="4" w:space="0" w:color="auto"/>
              <w:left w:val="single" w:sz="4" w:space="0" w:color="auto"/>
              <w:bottom w:val="single" w:sz="4" w:space="0" w:color="auto"/>
              <w:right w:val="single" w:sz="4" w:space="0" w:color="auto"/>
            </w:tcBorders>
            <w:vAlign w:val="center"/>
          </w:tcPr>
          <w:p w14:paraId="795C5BB1"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67369799"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3462C3FD"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4</w:t>
            </w:r>
          </w:p>
        </w:tc>
        <w:tc>
          <w:tcPr>
            <w:tcW w:w="432" w:type="pct"/>
            <w:tcBorders>
              <w:top w:val="single" w:sz="4" w:space="0" w:color="auto"/>
              <w:left w:val="single" w:sz="4" w:space="0" w:color="auto"/>
              <w:bottom w:val="single" w:sz="4" w:space="0" w:color="auto"/>
              <w:right w:val="single" w:sz="4" w:space="0" w:color="auto"/>
            </w:tcBorders>
            <w:vAlign w:val="center"/>
          </w:tcPr>
          <w:p w14:paraId="4C05A0F8"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0EFD1EB1"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4</w:t>
            </w:r>
          </w:p>
        </w:tc>
      </w:tr>
      <w:tr w:rsidR="00AE3767" w:rsidRPr="00FC08D1" w14:paraId="45C29E61" w14:textId="77777777" w:rsidTr="001F16D5">
        <w:trPr>
          <w:trHeight w:val="227"/>
        </w:trPr>
        <w:tc>
          <w:tcPr>
            <w:tcW w:w="763" w:type="pct"/>
            <w:vMerge w:val="restart"/>
            <w:tcBorders>
              <w:top w:val="single" w:sz="4" w:space="0" w:color="auto"/>
              <w:left w:val="single" w:sz="4" w:space="0" w:color="auto"/>
              <w:right w:val="single" w:sz="4" w:space="0" w:color="auto"/>
            </w:tcBorders>
            <w:vAlign w:val="center"/>
          </w:tcPr>
          <w:p w14:paraId="512D422E"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Pseudomonas aeruginosa</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5050B913"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Carbapenemase-producing</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3D8E9F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48</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739571D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473C2FC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6B019877"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12</w:t>
            </w:r>
          </w:p>
        </w:tc>
        <w:tc>
          <w:tcPr>
            <w:tcW w:w="432" w:type="pct"/>
            <w:tcBorders>
              <w:top w:val="single" w:sz="4" w:space="0" w:color="auto"/>
              <w:left w:val="single" w:sz="4" w:space="0" w:color="auto"/>
              <w:bottom w:val="single" w:sz="4" w:space="0" w:color="D9D9D9" w:themeColor="background1" w:themeShade="D9"/>
              <w:right w:val="single" w:sz="4" w:space="0" w:color="auto"/>
            </w:tcBorders>
            <w:vAlign w:val="center"/>
          </w:tcPr>
          <w:p w14:paraId="37430FC2"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22C0492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67</w:t>
            </w:r>
          </w:p>
        </w:tc>
      </w:tr>
      <w:tr w:rsidR="00AE3767" w:rsidRPr="00FC08D1" w14:paraId="6709AC71" w14:textId="77777777" w:rsidTr="001F16D5">
        <w:trPr>
          <w:trHeight w:val="227"/>
        </w:trPr>
        <w:tc>
          <w:tcPr>
            <w:tcW w:w="763" w:type="pct"/>
            <w:vMerge/>
            <w:tcBorders>
              <w:left w:val="single" w:sz="4" w:space="0" w:color="auto"/>
              <w:bottom w:val="single" w:sz="4" w:space="0" w:color="auto"/>
              <w:right w:val="single" w:sz="4" w:space="0" w:color="auto"/>
            </w:tcBorders>
            <w:vAlign w:val="center"/>
          </w:tcPr>
          <w:p w14:paraId="5642C0D6"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59ECA429" w14:textId="77777777" w:rsidR="00EB6106" w:rsidRPr="00FC08D1" w:rsidRDefault="00EB6106" w:rsidP="00252A4D">
            <w:pPr>
              <w:spacing w:before="0" w:after="0"/>
              <w:rPr>
                <w:rFonts w:cstheme="minorHAnsi"/>
                <w:color w:val="auto"/>
                <w:sz w:val="16"/>
                <w:szCs w:val="16"/>
              </w:rPr>
            </w:pPr>
            <w:r w:rsidRPr="00FC08D1">
              <w:rPr>
                <w:rFonts w:cstheme="minorHAnsi"/>
                <w:color w:val="auto"/>
                <w:sz w:val="16"/>
                <w:szCs w:val="16"/>
              </w:rPr>
              <w:t>Carbapenemase- and ribosomal methyltransferase-producing</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6662B19A"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5</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734452AF"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1F24F970"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68820CE2"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2</w:t>
            </w:r>
          </w:p>
        </w:tc>
        <w:tc>
          <w:tcPr>
            <w:tcW w:w="432" w:type="pct"/>
            <w:tcBorders>
              <w:top w:val="single" w:sz="4" w:space="0" w:color="D9D9D9" w:themeColor="background1" w:themeShade="D9"/>
              <w:left w:val="single" w:sz="4" w:space="0" w:color="auto"/>
              <w:bottom w:val="single" w:sz="4" w:space="0" w:color="auto"/>
              <w:right w:val="single" w:sz="4" w:space="0" w:color="auto"/>
            </w:tcBorders>
            <w:vAlign w:val="center"/>
          </w:tcPr>
          <w:p w14:paraId="60353A14"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1</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7501F465" w14:textId="77777777" w:rsidR="00EB6106" w:rsidRPr="00FC08D1" w:rsidRDefault="00EB6106" w:rsidP="00252A4D">
            <w:pPr>
              <w:spacing w:before="0" w:after="0"/>
              <w:jc w:val="center"/>
              <w:rPr>
                <w:rFonts w:cstheme="minorHAnsi"/>
                <w:color w:val="000000"/>
                <w:sz w:val="16"/>
                <w:szCs w:val="16"/>
              </w:rPr>
            </w:pPr>
            <w:r w:rsidRPr="00FC08D1">
              <w:rPr>
                <w:rFonts w:cstheme="minorHAnsi"/>
                <w:color w:val="000000"/>
                <w:sz w:val="16"/>
                <w:szCs w:val="16"/>
              </w:rPr>
              <w:t>8</w:t>
            </w:r>
          </w:p>
        </w:tc>
      </w:tr>
      <w:tr w:rsidR="00AE3767" w:rsidRPr="00FC08D1" w14:paraId="42A37151"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79295EA9" w14:textId="77777777" w:rsidR="00EB6106" w:rsidRPr="00FC08D1" w:rsidRDefault="00EB6106" w:rsidP="00252A4D">
            <w:pPr>
              <w:spacing w:before="0" w:after="0"/>
              <w:rPr>
                <w:rFonts w:cstheme="minorHAnsi"/>
                <w:bCs/>
                <w:i/>
                <w:iCs/>
                <w:sz w:val="16"/>
                <w:szCs w:val="16"/>
              </w:rPr>
            </w:pPr>
            <w:r w:rsidRPr="00FC08D1">
              <w:rPr>
                <w:rFonts w:cstheme="minorHAnsi"/>
                <w:i/>
                <w:iCs/>
                <w:sz w:val="16"/>
                <w:szCs w:val="16"/>
              </w:rPr>
              <w:t xml:space="preserve">Salmonella </w:t>
            </w:r>
            <w:r w:rsidRPr="00FC08D1">
              <w:rPr>
                <w:rFonts w:cstheme="minorHAnsi"/>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43218403" w14:textId="77777777" w:rsidR="00EB6106" w:rsidRPr="00FC08D1" w:rsidRDefault="00EB6106" w:rsidP="00252A4D">
            <w:pPr>
              <w:spacing w:before="0" w:after="0"/>
              <w:rPr>
                <w:rFonts w:cstheme="minorHAnsi"/>
                <w:sz w:val="16"/>
                <w:szCs w:val="16"/>
              </w:rPr>
            </w:pPr>
            <w:r w:rsidRPr="00FC08D1">
              <w:rPr>
                <w:rFonts w:cstheme="minorHAnsi"/>
                <w:sz w:val="16"/>
                <w:szCs w:val="16"/>
              </w:rPr>
              <w:t xml:space="preserve">Ceftriaxone-nonsusceptible </w:t>
            </w:r>
          </w:p>
        </w:tc>
        <w:tc>
          <w:tcPr>
            <w:tcW w:w="431" w:type="pct"/>
            <w:tcBorders>
              <w:top w:val="single" w:sz="4" w:space="0" w:color="auto"/>
              <w:left w:val="single" w:sz="4" w:space="0" w:color="auto"/>
              <w:bottom w:val="single" w:sz="4" w:space="0" w:color="auto"/>
              <w:right w:val="single" w:sz="4" w:space="0" w:color="auto"/>
            </w:tcBorders>
            <w:vAlign w:val="bottom"/>
          </w:tcPr>
          <w:p w14:paraId="77D2426D"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35</w:t>
            </w:r>
          </w:p>
        </w:tc>
        <w:tc>
          <w:tcPr>
            <w:tcW w:w="431" w:type="pct"/>
            <w:tcBorders>
              <w:top w:val="single" w:sz="4" w:space="0" w:color="auto"/>
              <w:left w:val="single" w:sz="4" w:space="0" w:color="auto"/>
              <w:bottom w:val="single" w:sz="4" w:space="0" w:color="auto"/>
              <w:right w:val="single" w:sz="4" w:space="0" w:color="auto"/>
            </w:tcBorders>
            <w:vAlign w:val="bottom"/>
          </w:tcPr>
          <w:p w14:paraId="584B398C"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3</w:t>
            </w:r>
          </w:p>
        </w:tc>
        <w:tc>
          <w:tcPr>
            <w:tcW w:w="461" w:type="pct"/>
            <w:tcBorders>
              <w:top w:val="single" w:sz="4" w:space="0" w:color="auto"/>
              <w:left w:val="single" w:sz="4" w:space="0" w:color="auto"/>
              <w:bottom w:val="single" w:sz="4" w:space="0" w:color="auto"/>
              <w:right w:val="single" w:sz="4" w:space="0" w:color="auto"/>
            </w:tcBorders>
            <w:vAlign w:val="bottom"/>
          </w:tcPr>
          <w:p w14:paraId="58EB83B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bottom"/>
          </w:tcPr>
          <w:p w14:paraId="5E28740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41</w:t>
            </w:r>
          </w:p>
        </w:tc>
        <w:tc>
          <w:tcPr>
            <w:tcW w:w="432" w:type="pct"/>
            <w:tcBorders>
              <w:top w:val="single" w:sz="4" w:space="0" w:color="auto"/>
              <w:left w:val="single" w:sz="4" w:space="0" w:color="auto"/>
              <w:bottom w:val="single" w:sz="4" w:space="0" w:color="auto"/>
              <w:right w:val="single" w:sz="4" w:space="0" w:color="auto"/>
            </w:tcBorders>
            <w:vAlign w:val="bottom"/>
          </w:tcPr>
          <w:p w14:paraId="50F8BA2A"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16</w:t>
            </w:r>
          </w:p>
        </w:tc>
        <w:tc>
          <w:tcPr>
            <w:tcW w:w="430" w:type="pct"/>
            <w:tcBorders>
              <w:top w:val="single" w:sz="4" w:space="0" w:color="auto"/>
              <w:left w:val="single" w:sz="4" w:space="0" w:color="auto"/>
              <w:bottom w:val="single" w:sz="4" w:space="0" w:color="auto"/>
              <w:right w:val="single" w:sz="4" w:space="0" w:color="auto"/>
            </w:tcBorders>
            <w:vAlign w:val="bottom"/>
          </w:tcPr>
          <w:p w14:paraId="710AB3DF"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95</w:t>
            </w:r>
          </w:p>
        </w:tc>
      </w:tr>
      <w:tr w:rsidR="00AE3767" w:rsidRPr="00FC08D1" w14:paraId="46D05488"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133EFB48" w14:textId="77777777" w:rsidR="00EB6106" w:rsidRPr="00FC08D1" w:rsidRDefault="00EB6106" w:rsidP="00252A4D">
            <w:pPr>
              <w:spacing w:before="0" w:after="0"/>
              <w:rPr>
                <w:rFonts w:cstheme="minorHAnsi"/>
                <w:bCs/>
                <w:i/>
                <w:iCs/>
                <w:sz w:val="16"/>
                <w:szCs w:val="16"/>
              </w:rPr>
            </w:pPr>
            <w:r w:rsidRPr="00FC08D1">
              <w:rPr>
                <w:rFonts w:cstheme="minorHAnsi"/>
                <w:i/>
                <w:iCs/>
                <w:sz w:val="16"/>
                <w:szCs w:val="16"/>
              </w:rPr>
              <w:t xml:space="preserve">Shigella </w:t>
            </w:r>
            <w:r w:rsidRPr="00FC08D1">
              <w:rPr>
                <w:rFonts w:cstheme="minorHAnsi"/>
                <w:sz w:val="16"/>
                <w:szCs w:val="16"/>
              </w:rPr>
              <w:t>species</w:t>
            </w:r>
          </w:p>
        </w:tc>
        <w:tc>
          <w:tcPr>
            <w:tcW w:w="1534" w:type="pct"/>
            <w:tcBorders>
              <w:top w:val="single" w:sz="4" w:space="0" w:color="auto"/>
              <w:left w:val="single" w:sz="4" w:space="0" w:color="auto"/>
              <w:bottom w:val="single" w:sz="4" w:space="0" w:color="auto"/>
              <w:right w:val="single" w:sz="4" w:space="0" w:color="auto"/>
            </w:tcBorders>
            <w:vAlign w:val="center"/>
            <w:hideMark/>
          </w:tcPr>
          <w:p w14:paraId="723ABE3D" w14:textId="77777777" w:rsidR="00EB6106" w:rsidRPr="00FC08D1" w:rsidRDefault="00EB6106" w:rsidP="00252A4D">
            <w:pPr>
              <w:spacing w:before="0" w:after="0"/>
              <w:rPr>
                <w:rFonts w:cstheme="minorHAnsi"/>
                <w:sz w:val="16"/>
                <w:szCs w:val="16"/>
              </w:rPr>
            </w:pPr>
            <w:r w:rsidRPr="00FC08D1">
              <w:rPr>
                <w:rFonts w:cstheme="minorHAnsi"/>
                <w:sz w:val="16"/>
                <w:szCs w:val="16"/>
              </w:rPr>
              <w:t>Multidrug-resistant</w:t>
            </w:r>
          </w:p>
        </w:tc>
        <w:tc>
          <w:tcPr>
            <w:tcW w:w="431" w:type="pct"/>
            <w:tcBorders>
              <w:top w:val="single" w:sz="4" w:space="0" w:color="auto"/>
              <w:left w:val="single" w:sz="4" w:space="0" w:color="auto"/>
              <w:bottom w:val="single" w:sz="4" w:space="0" w:color="auto"/>
              <w:right w:val="single" w:sz="4" w:space="0" w:color="auto"/>
            </w:tcBorders>
            <w:vAlign w:val="bottom"/>
          </w:tcPr>
          <w:p w14:paraId="52A11622"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127</w:t>
            </w:r>
          </w:p>
        </w:tc>
        <w:tc>
          <w:tcPr>
            <w:tcW w:w="431" w:type="pct"/>
            <w:tcBorders>
              <w:top w:val="single" w:sz="4" w:space="0" w:color="auto"/>
              <w:left w:val="single" w:sz="4" w:space="0" w:color="auto"/>
              <w:bottom w:val="single" w:sz="4" w:space="0" w:color="auto"/>
              <w:right w:val="single" w:sz="4" w:space="0" w:color="auto"/>
            </w:tcBorders>
            <w:vAlign w:val="bottom"/>
          </w:tcPr>
          <w:p w14:paraId="08DAE67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8</w:t>
            </w:r>
          </w:p>
        </w:tc>
        <w:tc>
          <w:tcPr>
            <w:tcW w:w="461" w:type="pct"/>
            <w:tcBorders>
              <w:top w:val="single" w:sz="4" w:space="0" w:color="auto"/>
              <w:left w:val="single" w:sz="4" w:space="0" w:color="auto"/>
              <w:bottom w:val="single" w:sz="4" w:space="0" w:color="auto"/>
              <w:right w:val="single" w:sz="4" w:space="0" w:color="auto"/>
            </w:tcBorders>
            <w:vAlign w:val="bottom"/>
          </w:tcPr>
          <w:p w14:paraId="50C7AA4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auto"/>
              <w:right w:val="single" w:sz="4" w:space="0" w:color="auto"/>
            </w:tcBorders>
            <w:vAlign w:val="bottom"/>
          </w:tcPr>
          <w:p w14:paraId="16DC8A9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206</w:t>
            </w:r>
          </w:p>
        </w:tc>
        <w:tc>
          <w:tcPr>
            <w:tcW w:w="432" w:type="pct"/>
            <w:tcBorders>
              <w:top w:val="single" w:sz="4" w:space="0" w:color="auto"/>
              <w:left w:val="single" w:sz="4" w:space="0" w:color="auto"/>
              <w:bottom w:val="single" w:sz="4" w:space="0" w:color="auto"/>
              <w:right w:val="single" w:sz="4" w:space="0" w:color="auto"/>
            </w:tcBorders>
            <w:vAlign w:val="bottom"/>
          </w:tcPr>
          <w:p w14:paraId="25BC7A3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128</w:t>
            </w:r>
          </w:p>
        </w:tc>
        <w:tc>
          <w:tcPr>
            <w:tcW w:w="430" w:type="pct"/>
            <w:tcBorders>
              <w:top w:val="single" w:sz="4" w:space="0" w:color="auto"/>
              <w:left w:val="single" w:sz="4" w:space="0" w:color="auto"/>
              <w:bottom w:val="single" w:sz="4" w:space="0" w:color="auto"/>
              <w:right w:val="single" w:sz="4" w:space="0" w:color="auto"/>
            </w:tcBorders>
            <w:vAlign w:val="bottom"/>
          </w:tcPr>
          <w:p w14:paraId="4AA8BFB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469</w:t>
            </w:r>
          </w:p>
        </w:tc>
      </w:tr>
      <w:tr w:rsidR="00AE3767" w:rsidRPr="00FC08D1" w14:paraId="6D590EEF" w14:textId="77777777" w:rsidTr="001F16D5">
        <w:trPr>
          <w:trHeight w:val="227"/>
        </w:trPr>
        <w:tc>
          <w:tcPr>
            <w:tcW w:w="763" w:type="pct"/>
            <w:vMerge w:val="restart"/>
            <w:tcBorders>
              <w:top w:val="single" w:sz="4" w:space="0" w:color="auto"/>
              <w:left w:val="single" w:sz="4" w:space="0" w:color="auto"/>
              <w:right w:val="single" w:sz="4" w:space="0" w:color="auto"/>
            </w:tcBorders>
            <w:vAlign w:val="center"/>
          </w:tcPr>
          <w:p w14:paraId="4147B8F4" w14:textId="77777777" w:rsidR="00EB6106" w:rsidRPr="00FC08D1" w:rsidRDefault="00EB6106" w:rsidP="00252A4D">
            <w:pPr>
              <w:spacing w:before="0" w:after="0"/>
              <w:rPr>
                <w:rFonts w:cstheme="minorHAnsi"/>
                <w:sz w:val="16"/>
                <w:szCs w:val="16"/>
              </w:rPr>
            </w:pPr>
            <w:r w:rsidRPr="00FC08D1">
              <w:rPr>
                <w:rFonts w:cstheme="minorHAnsi"/>
                <w:i/>
                <w:iCs/>
                <w:sz w:val="16"/>
                <w:szCs w:val="16"/>
              </w:rPr>
              <w:t>Staphylococcus aureus</w:t>
            </w:r>
            <w:r w:rsidRPr="00FC08D1">
              <w:rPr>
                <w:rFonts w:cstheme="minorHAnsi"/>
                <w:sz w:val="16"/>
                <w:szCs w:val="16"/>
              </w:rPr>
              <w:t>*</w:t>
            </w:r>
          </w:p>
        </w:tc>
        <w:tc>
          <w:tcPr>
            <w:tcW w:w="1534" w:type="pct"/>
            <w:tcBorders>
              <w:top w:val="single" w:sz="4" w:space="0" w:color="auto"/>
              <w:left w:val="single" w:sz="4" w:space="0" w:color="auto"/>
              <w:bottom w:val="single" w:sz="4" w:space="0" w:color="D9D9D9" w:themeColor="background1" w:themeShade="D9"/>
              <w:right w:val="single" w:sz="4" w:space="0" w:color="auto"/>
            </w:tcBorders>
            <w:vAlign w:val="center"/>
          </w:tcPr>
          <w:p w14:paraId="778F306B" w14:textId="77777777" w:rsidR="00EB6106" w:rsidRPr="00FC08D1" w:rsidRDefault="00EB6106" w:rsidP="00252A4D">
            <w:pPr>
              <w:spacing w:before="0" w:after="0"/>
              <w:rPr>
                <w:rFonts w:cstheme="minorHAnsi"/>
                <w:sz w:val="16"/>
                <w:szCs w:val="16"/>
              </w:rPr>
            </w:pPr>
            <w:r w:rsidRPr="00FC08D1">
              <w:rPr>
                <w:rFonts w:cstheme="minorHAnsi"/>
                <w:sz w:val="16"/>
                <w:szCs w:val="16"/>
              </w:rPr>
              <w:t>Linezolid-nonsusceptible</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4B41798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1" w:type="pct"/>
            <w:tcBorders>
              <w:top w:val="single" w:sz="4" w:space="0" w:color="auto"/>
              <w:left w:val="single" w:sz="4" w:space="0" w:color="auto"/>
              <w:bottom w:val="single" w:sz="4" w:space="0" w:color="D9D9D9" w:themeColor="background1" w:themeShade="D9"/>
              <w:right w:val="single" w:sz="4" w:space="0" w:color="auto"/>
            </w:tcBorders>
            <w:vAlign w:val="center"/>
          </w:tcPr>
          <w:p w14:paraId="29DFDEE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auto"/>
              <w:left w:val="single" w:sz="4" w:space="0" w:color="auto"/>
              <w:bottom w:val="single" w:sz="4" w:space="0" w:color="D9D9D9" w:themeColor="background1" w:themeShade="D9"/>
              <w:right w:val="single" w:sz="4" w:space="0" w:color="auto"/>
            </w:tcBorders>
            <w:vAlign w:val="center"/>
          </w:tcPr>
          <w:p w14:paraId="0C75FF03"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auto"/>
              <w:left w:val="single" w:sz="4" w:space="0" w:color="auto"/>
              <w:bottom w:val="single" w:sz="4" w:space="0" w:color="D9D9D9" w:themeColor="background1" w:themeShade="D9"/>
              <w:right w:val="single" w:sz="4" w:space="0" w:color="auto"/>
            </w:tcBorders>
            <w:vAlign w:val="center"/>
          </w:tcPr>
          <w:p w14:paraId="25C4BC15"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auto"/>
              <w:left w:val="single" w:sz="4" w:space="0" w:color="auto"/>
              <w:bottom w:val="single" w:sz="4" w:space="0" w:color="D9D9D9" w:themeColor="background1" w:themeShade="D9"/>
              <w:right w:val="single" w:sz="4" w:space="0" w:color="auto"/>
            </w:tcBorders>
            <w:vAlign w:val="center"/>
          </w:tcPr>
          <w:p w14:paraId="077028A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auto"/>
              <w:left w:val="single" w:sz="4" w:space="0" w:color="auto"/>
              <w:bottom w:val="single" w:sz="4" w:space="0" w:color="D9D9D9" w:themeColor="background1" w:themeShade="D9"/>
              <w:right w:val="single" w:sz="4" w:space="0" w:color="auto"/>
            </w:tcBorders>
            <w:vAlign w:val="center"/>
          </w:tcPr>
          <w:p w14:paraId="74D3686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r>
      <w:tr w:rsidR="00AE3767" w:rsidRPr="00FC08D1" w14:paraId="5043B375" w14:textId="77777777" w:rsidTr="001F16D5">
        <w:trPr>
          <w:trHeight w:val="227"/>
        </w:trPr>
        <w:tc>
          <w:tcPr>
            <w:tcW w:w="763" w:type="pct"/>
            <w:vMerge/>
            <w:tcBorders>
              <w:left w:val="single" w:sz="4" w:space="0" w:color="auto"/>
              <w:bottom w:val="single" w:sz="4" w:space="0" w:color="auto"/>
              <w:right w:val="single" w:sz="4" w:space="0" w:color="auto"/>
            </w:tcBorders>
            <w:vAlign w:val="center"/>
          </w:tcPr>
          <w:p w14:paraId="0C9EC6A9" w14:textId="77777777" w:rsidR="00EB6106" w:rsidRPr="00FC08D1" w:rsidRDefault="00EB6106" w:rsidP="00252A4D">
            <w:pPr>
              <w:spacing w:before="0" w:after="0"/>
              <w:rPr>
                <w:rFonts w:cstheme="minorHAnsi"/>
                <w:i/>
                <w:iCs/>
                <w:sz w:val="16"/>
                <w:szCs w:val="16"/>
              </w:rPr>
            </w:pPr>
          </w:p>
        </w:tc>
        <w:tc>
          <w:tcPr>
            <w:tcW w:w="1534" w:type="pct"/>
            <w:tcBorders>
              <w:top w:val="single" w:sz="4" w:space="0" w:color="D9D9D9" w:themeColor="background1" w:themeShade="D9"/>
              <w:left w:val="single" w:sz="4" w:space="0" w:color="auto"/>
              <w:bottom w:val="single" w:sz="4" w:space="0" w:color="auto"/>
              <w:right w:val="single" w:sz="4" w:space="0" w:color="auto"/>
            </w:tcBorders>
            <w:vAlign w:val="center"/>
          </w:tcPr>
          <w:p w14:paraId="42380129" w14:textId="77777777" w:rsidR="00EB6106" w:rsidRPr="00FC08D1" w:rsidRDefault="00EB6106" w:rsidP="00252A4D">
            <w:pPr>
              <w:spacing w:before="0" w:after="0"/>
              <w:rPr>
                <w:rFonts w:cstheme="minorHAnsi"/>
                <w:sz w:val="16"/>
                <w:szCs w:val="16"/>
              </w:rPr>
            </w:pPr>
            <w:r w:rsidRPr="00FC08D1">
              <w:rPr>
                <w:rFonts w:cstheme="minorHAnsi"/>
                <w:sz w:val="16"/>
                <w:szCs w:val="16"/>
              </w:rPr>
              <w:t>Vancomycin-nonsusceptible</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79914B7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c>
          <w:tcPr>
            <w:tcW w:w="431" w:type="pct"/>
            <w:tcBorders>
              <w:top w:val="single" w:sz="4" w:space="0" w:color="D9D9D9" w:themeColor="background1" w:themeShade="D9"/>
              <w:left w:val="single" w:sz="4" w:space="0" w:color="auto"/>
              <w:bottom w:val="single" w:sz="4" w:space="0" w:color="auto"/>
              <w:right w:val="single" w:sz="4" w:space="0" w:color="auto"/>
            </w:tcBorders>
            <w:vAlign w:val="center"/>
          </w:tcPr>
          <w:p w14:paraId="56094908"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61" w:type="pct"/>
            <w:tcBorders>
              <w:top w:val="single" w:sz="4" w:space="0" w:color="D9D9D9" w:themeColor="background1" w:themeShade="D9"/>
              <w:left w:val="single" w:sz="4" w:space="0" w:color="auto"/>
              <w:bottom w:val="single" w:sz="4" w:space="0" w:color="auto"/>
              <w:right w:val="single" w:sz="4" w:space="0" w:color="auto"/>
            </w:tcBorders>
            <w:vAlign w:val="center"/>
          </w:tcPr>
          <w:p w14:paraId="3D439D4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517" w:type="pct"/>
            <w:tcBorders>
              <w:top w:val="single" w:sz="4" w:space="0" w:color="D9D9D9" w:themeColor="background1" w:themeShade="D9"/>
              <w:left w:val="single" w:sz="4" w:space="0" w:color="auto"/>
              <w:bottom w:val="single" w:sz="4" w:space="0" w:color="auto"/>
              <w:right w:val="single" w:sz="4" w:space="0" w:color="auto"/>
            </w:tcBorders>
            <w:vAlign w:val="center"/>
          </w:tcPr>
          <w:p w14:paraId="65F5CA24"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2" w:type="pct"/>
            <w:tcBorders>
              <w:top w:val="single" w:sz="4" w:space="0" w:color="D9D9D9" w:themeColor="background1" w:themeShade="D9"/>
              <w:left w:val="single" w:sz="4" w:space="0" w:color="auto"/>
              <w:bottom w:val="single" w:sz="4" w:space="0" w:color="auto"/>
              <w:right w:val="single" w:sz="4" w:space="0" w:color="auto"/>
            </w:tcBorders>
            <w:vAlign w:val="center"/>
          </w:tcPr>
          <w:p w14:paraId="2158B201"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0</w:t>
            </w:r>
          </w:p>
        </w:tc>
        <w:tc>
          <w:tcPr>
            <w:tcW w:w="430" w:type="pct"/>
            <w:tcBorders>
              <w:top w:val="single" w:sz="4" w:space="0" w:color="D9D9D9" w:themeColor="background1" w:themeShade="D9"/>
              <w:left w:val="single" w:sz="4" w:space="0" w:color="auto"/>
              <w:bottom w:val="single" w:sz="4" w:space="0" w:color="auto"/>
              <w:right w:val="single" w:sz="4" w:space="0" w:color="auto"/>
            </w:tcBorders>
            <w:vAlign w:val="center"/>
          </w:tcPr>
          <w:p w14:paraId="62B18B8E" w14:textId="77777777" w:rsidR="00EB6106" w:rsidRPr="00FC08D1" w:rsidRDefault="00EB6106" w:rsidP="00252A4D">
            <w:pPr>
              <w:spacing w:before="0" w:after="0"/>
              <w:jc w:val="center"/>
              <w:rPr>
                <w:rFonts w:cstheme="minorHAnsi"/>
                <w:color w:val="auto"/>
                <w:sz w:val="16"/>
                <w:szCs w:val="16"/>
              </w:rPr>
            </w:pPr>
            <w:r w:rsidRPr="00FC08D1">
              <w:rPr>
                <w:rFonts w:cstheme="minorHAnsi"/>
                <w:color w:val="000000"/>
                <w:sz w:val="16"/>
                <w:szCs w:val="16"/>
              </w:rPr>
              <w:t>1</w:t>
            </w:r>
          </w:p>
        </w:tc>
      </w:tr>
      <w:tr w:rsidR="00AE3767" w:rsidRPr="00FC08D1" w14:paraId="15E842BB" w14:textId="77777777" w:rsidTr="001F16D5">
        <w:trPr>
          <w:trHeight w:val="227"/>
        </w:trPr>
        <w:tc>
          <w:tcPr>
            <w:tcW w:w="763" w:type="pct"/>
            <w:tcBorders>
              <w:top w:val="single" w:sz="4" w:space="0" w:color="auto"/>
              <w:left w:val="single" w:sz="4" w:space="0" w:color="auto"/>
              <w:bottom w:val="single" w:sz="4" w:space="0" w:color="auto"/>
              <w:right w:val="single" w:sz="4" w:space="0" w:color="auto"/>
            </w:tcBorders>
            <w:vAlign w:val="center"/>
          </w:tcPr>
          <w:p w14:paraId="5048666C" w14:textId="77777777" w:rsidR="00EB6106" w:rsidRPr="00FC08D1" w:rsidRDefault="00EB6106" w:rsidP="00252A4D">
            <w:pPr>
              <w:spacing w:before="0" w:after="0"/>
              <w:rPr>
                <w:rFonts w:cstheme="minorHAnsi"/>
                <w:i/>
                <w:iCs/>
                <w:sz w:val="16"/>
                <w:szCs w:val="16"/>
              </w:rPr>
            </w:pPr>
            <w:r w:rsidRPr="00FC08D1">
              <w:rPr>
                <w:rFonts w:cstheme="minorHAnsi"/>
                <w:i/>
                <w:iCs/>
                <w:sz w:val="16"/>
                <w:szCs w:val="16"/>
              </w:rPr>
              <w:t>Streptococcus pyogenes</w:t>
            </w:r>
          </w:p>
        </w:tc>
        <w:tc>
          <w:tcPr>
            <w:tcW w:w="1534" w:type="pct"/>
            <w:tcBorders>
              <w:top w:val="single" w:sz="4" w:space="0" w:color="auto"/>
              <w:left w:val="single" w:sz="4" w:space="0" w:color="auto"/>
              <w:bottom w:val="single" w:sz="4" w:space="0" w:color="auto"/>
              <w:right w:val="single" w:sz="4" w:space="0" w:color="auto"/>
            </w:tcBorders>
            <w:vAlign w:val="center"/>
          </w:tcPr>
          <w:p w14:paraId="048E0BB0" w14:textId="77777777" w:rsidR="00EB6106" w:rsidRPr="00FC08D1" w:rsidRDefault="00EB6106" w:rsidP="00252A4D">
            <w:pPr>
              <w:spacing w:before="0" w:after="0"/>
              <w:rPr>
                <w:rFonts w:cstheme="minorHAnsi"/>
                <w:sz w:val="16"/>
                <w:szCs w:val="16"/>
              </w:rPr>
            </w:pPr>
            <w:r w:rsidRPr="00FC08D1">
              <w:rPr>
                <w:rFonts w:cstheme="minorHAnsi"/>
                <w:sz w:val="16"/>
                <w:szCs w:val="16"/>
              </w:rPr>
              <w:t>Penicillin reduced susceptibility</w:t>
            </w:r>
          </w:p>
        </w:tc>
        <w:tc>
          <w:tcPr>
            <w:tcW w:w="431" w:type="pct"/>
            <w:tcBorders>
              <w:top w:val="single" w:sz="4" w:space="0" w:color="auto"/>
              <w:left w:val="single" w:sz="4" w:space="0" w:color="auto"/>
              <w:bottom w:val="single" w:sz="4" w:space="0" w:color="auto"/>
              <w:right w:val="single" w:sz="4" w:space="0" w:color="auto"/>
            </w:tcBorders>
            <w:vAlign w:val="center"/>
          </w:tcPr>
          <w:p w14:paraId="5863193B"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c>
          <w:tcPr>
            <w:tcW w:w="431" w:type="pct"/>
            <w:tcBorders>
              <w:top w:val="single" w:sz="4" w:space="0" w:color="auto"/>
              <w:left w:val="single" w:sz="4" w:space="0" w:color="auto"/>
              <w:bottom w:val="single" w:sz="4" w:space="0" w:color="auto"/>
              <w:right w:val="single" w:sz="4" w:space="0" w:color="auto"/>
            </w:tcBorders>
            <w:vAlign w:val="center"/>
          </w:tcPr>
          <w:p w14:paraId="6CCBD269"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c>
          <w:tcPr>
            <w:tcW w:w="461" w:type="pct"/>
            <w:tcBorders>
              <w:top w:val="single" w:sz="4" w:space="0" w:color="auto"/>
              <w:left w:val="single" w:sz="4" w:space="0" w:color="auto"/>
              <w:bottom w:val="single" w:sz="4" w:space="0" w:color="auto"/>
              <w:right w:val="single" w:sz="4" w:space="0" w:color="auto"/>
            </w:tcBorders>
            <w:vAlign w:val="center"/>
          </w:tcPr>
          <w:p w14:paraId="6253E826"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c>
          <w:tcPr>
            <w:tcW w:w="517" w:type="pct"/>
            <w:tcBorders>
              <w:top w:val="single" w:sz="4" w:space="0" w:color="auto"/>
              <w:left w:val="single" w:sz="4" w:space="0" w:color="auto"/>
              <w:bottom w:val="single" w:sz="4" w:space="0" w:color="auto"/>
              <w:right w:val="single" w:sz="4" w:space="0" w:color="auto"/>
            </w:tcBorders>
            <w:vAlign w:val="center"/>
          </w:tcPr>
          <w:p w14:paraId="47FDEA1F"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c>
          <w:tcPr>
            <w:tcW w:w="432" w:type="pct"/>
            <w:tcBorders>
              <w:top w:val="single" w:sz="4" w:space="0" w:color="auto"/>
              <w:left w:val="single" w:sz="4" w:space="0" w:color="auto"/>
              <w:bottom w:val="single" w:sz="4" w:space="0" w:color="auto"/>
              <w:right w:val="single" w:sz="4" w:space="0" w:color="auto"/>
            </w:tcBorders>
            <w:vAlign w:val="center"/>
          </w:tcPr>
          <w:p w14:paraId="730B8BD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c>
          <w:tcPr>
            <w:tcW w:w="430" w:type="pct"/>
            <w:tcBorders>
              <w:top w:val="single" w:sz="4" w:space="0" w:color="auto"/>
              <w:left w:val="single" w:sz="4" w:space="0" w:color="auto"/>
              <w:bottom w:val="single" w:sz="4" w:space="0" w:color="auto"/>
              <w:right w:val="single" w:sz="4" w:space="0" w:color="auto"/>
            </w:tcBorders>
            <w:vAlign w:val="center"/>
          </w:tcPr>
          <w:p w14:paraId="1CFFA1A0" w14:textId="77777777" w:rsidR="00EB6106" w:rsidRPr="00FC08D1" w:rsidRDefault="00EB6106" w:rsidP="00252A4D">
            <w:pPr>
              <w:spacing w:before="0" w:after="0"/>
              <w:jc w:val="center"/>
              <w:rPr>
                <w:rFonts w:cstheme="minorHAnsi"/>
                <w:color w:val="auto"/>
                <w:sz w:val="16"/>
                <w:szCs w:val="16"/>
              </w:rPr>
            </w:pPr>
            <w:r w:rsidRPr="00FC08D1">
              <w:rPr>
                <w:rFonts w:cstheme="minorHAnsi"/>
                <w:color w:val="auto"/>
                <w:sz w:val="16"/>
                <w:szCs w:val="16"/>
              </w:rPr>
              <w:t>0</w:t>
            </w:r>
          </w:p>
        </w:tc>
      </w:tr>
      <w:tr w:rsidR="00AE3767" w:rsidRPr="00FC08D1" w14:paraId="772848C3" w14:textId="77777777" w:rsidTr="001F16D5">
        <w:trPr>
          <w:trHeight w:val="227"/>
        </w:trPr>
        <w:tc>
          <w:tcPr>
            <w:tcW w:w="763" w:type="pct"/>
            <w:tcBorders>
              <w:top w:val="single" w:sz="4" w:space="0" w:color="auto"/>
              <w:left w:val="single" w:sz="4" w:space="0" w:color="auto"/>
              <w:bottom w:val="single" w:sz="4" w:space="0" w:color="auto"/>
              <w:right w:val="nil"/>
            </w:tcBorders>
            <w:vAlign w:val="center"/>
          </w:tcPr>
          <w:p w14:paraId="0A54BDFA" w14:textId="77777777" w:rsidR="00EB6106" w:rsidRPr="00FC08D1" w:rsidRDefault="00EB6106" w:rsidP="00252A4D">
            <w:pPr>
              <w:spacing w:before="0" w:after="0"/>
              <w:rPr>
                <w:rFonts w:cstheme="minorHAnsi"/>
                <w:i/>
                <w:iCs/>
                <w:sz w:val="16"/>
                <w:szCs w:val="16"/>
              </w:rPr>
            </w:pPr>
          </w:p>
        </w:tc>
        <w:tc>
          <w:tcPr>
            <w:tcW w:w="1534" w:type="pct"/>
            <w:tcBorders>
              <w:top w:val="single" w:sz="4" w:space="0" w:color="auto"/>
              <w:left w:val="nil"/>
              <w:bottom w:val="single" w:sz="4" w:space="0" w:color="auto"/>
              <w:right w:val="single" w:sz="4" w:space="0" w:color="auto"/>
            </w:tcBorders>
            <w:vAlign w:val="center"/>
          </w:tcPr>
          <w:p w14:paraId="7008E294" w14:textId="25654B0E" w:rsidR="00EB6106" w:rsidRPr="00FC08D1" w:rsidRDefault="00EB6106" w:rsidP="00252A4D">
            <w:pPr>
              <w:spacing w:before="0" w:after="0"/>
              <w:rPr>
                <w:rFonts w:cstheme="minorHAnsi"/>
                <w:sz w:val="16"/>
                <w:szCs w:val="16"/>
              </w:rPr>
            </w:pPr>
            <w:r w:rsidRPr="00FC08D1">
              <w:rPr>
                <w:rFonts w:cstheme="minorHAnsi"/>
                <w:b/>
                <w:bCs/>
                <w:sz w:val="16"/>
                <w:szCs w:val="16"/>
              </w:rPr>
              <w:t>Total (reported by 1 February 2024)</w:t>
            </w:r>
          </w:p>
        </w:tc>
        <w:tc>
          <w:tcPr>
            <w:tcW w:w="431" w:type="pct"/>
            <w:tcBorders>
              <w:top w:val="single" w:sz="4" w:space="0" w:color="auto"/>
              <w:left w:val="single" w:sz="4" w:space="0" w:color="auto"/>
              <w:bottom w:val="single" w:sz="4" w:space="0" w:color="auto"/>
              <w:right w:val="single" w:sz="4" w:space="0" w:color="auto"/>
            </w:tcBorders>
            <w:vAlign w:val="center"/>
          </w:tcPr>
          <w:p w14:paraId="1FE941E7" w14:textId="77777777" w:rsidR="00EB6106" w:rsidRPr="00FC08D1" w:rsidRDefault="00EB6106" w:rsidP="00252A4D">
            <w:pPr>
              <w:spacing w:before="0" w:after="0"/>
              <w:jc w:val="center"/>
              <w:rPr>
                <w:rFonts w:cstheme="minorHAnsi"/>
                <w:b/>
                <w:bCs/>
                <w:sz w:val="16"/>
                <w:szCs w:val="16"/>
              </w:rPr>
            </w:pPr>
            <w:r w:rsidRPr="00FC08D1">
              <w:rPr>
                <w:rFonts w:cstheme="minorHAnsi"/>
                <w:b/>
                <w:bCs/>
                <w:sz w:val="16"/>
                <w:szCs w:val="16"/>
              </w:rPr>
              <w:t>1,308</w:t>
            </w:r>
          </w:p>
        </w:tc>
        <w:tc>
          <w:tcPr>
            <w:tcW w:w="431" w:type="pct"/>
            <w:tcBorders>
              <w:top w:val="single" w:sz="4" w:space="0" w:color="auto"/>
              <w:left w:val="single" w:sz="4" w:space="0" w:color="auto"/>
              <w:bottom w:val="single" w:sz="4" w:space="0" w:color="auto"/>
              <w:right w:val="single" w:sz="4" w:space="0" w:color="auto"/>
            </w:tcBorders>
            <w:vAlign w:val="center"/>
          </w:tcPr>
          <w:p w14:paraId="5291F164" w14:textId="77777777" w:rsidR="00EB6106" w:rsidRPr="00FC08D1" w:rsidRDefault="00EB6106" w:rsidP="00252A4D">
            <w:pPr>
              <w:spacing w:before="0" w:after="0"/>
              <w:jc w:val="center"/>
              <w:rPr>
                <w:rFonts w:cstheme="minorHAnsi"/>
                <w:b/>
                <w:bCs/>
                <w:sz w:val="16"/>
                <w:szCs w:val="16"/>
              </w:rPr>
            </w:pPr>
            <w:r w:rsidRPr="00FC08D1">
              <w:rPr>
                <w:rFonts w:cstheme="minorHAnsi"/>
                <w:b/>
                <w:bCs/>
                <w:color w:val="000000"/>
                <w:sz w:val="16"/>
                <w:szCs w:val="16"/>
              </w:rPr>
              <w:t>79</w:t>
            </w:r>
          </w:p>
        </w:tc>
        <w:tc>
          <w:tcPr>
            <w:tcW w:w="461" w:type="pct"/>
            <w:tcBorders>
              <w:top w:val="single" w:sz="4" w:space="0" w:color="auto"/>
              <w:left w:val="single" w:sz="4" w:space="0" w:color="auto"/>
              <w:bottom w:val="single" w:sz="4" w:space="0" w:color="auto"/>
              <w:right w:val="single" w:sz="4" w:space="0" w:color="auto"/>
            </w:tcBorders>
            <w:vAlign w:val="center"/>
          </w:tcPr>
          <w:p w14:paraId="43E66531" w14:textId="77777777" w:rsidR="00EB6106" w:rsidRPr="00FC08D1" w:rsidRDefault="00EB6106" w:rsidP="00252A4D">
            <w:pPr>
              <w:spacing w:before="0" w:after="0"/>
              <w:jc w:val="center"/>
              <w:rPr>
                <w:rFonts w:cstheme="minorHAnsi"/>
                <w:b/>
                <w:bCs/>
                <w:sz w:val="16"/>
                <w:szCs w:val="16"/>
              </w:rPr>
            </w:pPr>
            <w:r w:rsidRPr="00FC08D1">
              <w:rPr>
                <w:rFonts w:cstheme="minorHAnsi"/>
                <w:b/>
                <w:bCs/>
                <w:color w:val="000000"/>
                <w:sz w:val="16"/>
                <w:szCs w:val="16"/>
              </w:rPr>
              <w:t>8</w:t>
            </w:r>
          </w:p>
        </w:tc>
        <w:tc>
          <w:tcPr>
            <w:tcW w:w="517" w:type="pct"/>
            <w:tcBorders>
              <w:top w:val="single" w:sz="4" w:space="0" w:color="auto"/>
              <w:left w:val="single" w:sz="4" w:space="0" w:color="auto"/>
              <w:bottom w:val="single" w:sz="4" w:space="0" w:color="auto"/>
              <w:right w:val="single" w:sz="4" w:space="0" w:color="auto"/>
            </w:tcBorders>
            <w:vAlign w:val="center"/>
          </w:tcPr>
          <w:p w14:paraId="78C4D6CC" w14:textId="77777777" w:rsidR="00EB6106" w:rsidRPr="00FC08D1" w:rsidRDefault="00EB6106" w:rsidP="00252A4D">
            <w:pPr>
              <w:spacing w:before="0" w:after="0"/>
              <w:jc w:val="center"/>
              <w:rPr>
                <w:rFonts w:cstheme="minorHAnsi"/>
                <w:b/>
                <w:bCs/>
                <w:sz w:val="16"/>
                <w:szCs w:val="16"/>
              </w:rPr>
            </w:pPr>
            <w:r w:rsidRPr="00FC08D1">
              <w:rPr>
                <w:rFonts w:cstheme="minorHAnsi"/>
                <w:b/>
                <w:bCs/>
                <w:color w:val="000000"/>
                <w:sz w:val="16"/>
                <w:szCs w:val="16"/>
              </w:rPr>
              <w:t>849</w:t>
            </w:r>
          </w:p>
        </w:tc>
        <w:tc>
          <w:tcPr>
            <w:tcW w:w="432" w:type="pct"/>
            <w:tcBorders>
              <w:top w:val="single" w:sz="4" w:space="0" w:color="auto"/>
              <w:left w:val="single" w:sz="4" w:space="0" w:color="auto"/>
              <w:bottom w:val="single" w:sz="4" w:space="0" w:color="auto"/>
              <w:right w:val="single" w:sz="4" w:space="0" w:color="auto"/>
            </w:tcBorders>
            <w:vAlign w:val="center"/>
          </w:tcPr>
          <w:p w14:paraId="327153AF" w14:textId="77777777" w:rsidR="00EB6106" w:rsidRPr="00FC08D1" w:rsidRDefault="00EB6106" w:rsidP="00252A4D">
            <w:pPr>
              <w:spacing w:before="0" w:after="0"/>
              <w:jc w:val="center"/>
              <w:rPr>
                <w:rFonts w:cstheme="minorHAnsi"/>
                <w:b/>
                <w:bCs/>
                <w:sz w:val="16"/>
                <w:szCs w:val="16"/>
              </w:rPr>
            </w:pPr>
            <w:r w:rsidRPr="00FC08D1">
              <w:rPr>
                <w:rFonts w:cstheme="minorHAnsi"/>
                <w:b/>
                <w:bCs/>
                <w:color w:val="000000"/>
                <w:sz w:val="16"/>
                <w:szCs w:val="16"/>
              </w:rPr>
              <w:t>442</w:t>
            </w:r>
          </w:p>
        </w:tc>
        <w:tc>
          <w:tcPr>
            <w:tcW w:w="430" w:type="pct"/>
            <w:tcBorders>
              <w:top w:val="single" w:sz="4" w:space="0" w:color="auto"/>
              <w:left w:val="single" w:sz="4" w:space="0" w:color="auto"/>
              <w:bottom w:val="single" w:sz="4" w:space="0" w:color="auto"/>
              <w:right w:val="single" w:sz="4" w:space="0" w:color="auto"/>
            </w:tcBorders>
            <w:vAlign w:val="center"/>
          </w:tcPr>
          <w:p w14:paraId="40A438EA" w14:textId="77777777" w:rsidR="00EB6106" w:rsidRPr="00FC08D1" w:rsidRDefault="00EB6106" w:rsidP="00252A4D">
            <w:pPr>
              <w:spacing w:before="0" w:after="0"/>
              <w:jc w:val="center"/>
              <w:rPr>
                <w:rFonts w:cstheme="minorHAnsi"/>
                <w:b/>
                <w:bCs/>
                <w:color w:val="000000"/>
                <w:sz w:val="16"/>
                <w:szCs w:val="16"/>
              </w:rPr>
            </w:pPr>
            <w:r w:rsidRPr="00FC08D1">
              <w:rPr>
                <w:rFonts w:cstheme="minorHAnsi"/>
                <w:b/>
                <w:bCs/>
                <w:color w:val="000000"/>
                <w:sz w:val="16"/>
                <w:szCs w:val="16"/>
              </w:rPr>
              <w:t>2,686</w:t>
            </w:r>
          </w:p>
        </w:tc>
      </w:tr>
    </w:tbl>
    <w:p w14:paraId="5F7C6649" w14:textId="77777777" w:rsidR="00EB6106" w:rsidRPr="00672088" w:rsidRDefault="00EB6106" w:rsidP="00133846">
      <w:pPr>
        <w:pStyle w:val="Normal-beforebullets"/>
        <w:spacing w:before="120"/>
        <w:rPr>
          <w:rFonts w:cs="Arial"/>
          <w:bCs/>
          <w:iCs/>
          <w:kern w:val="28"/>
          <w:sz w:val="16"/>
          <w:szCs w:val="16"/>
        </w:rPr>
      </w:pPr>
      <w:r w:rsidRPr="00672088">
        <w:rPr>
          <w:rFonts w:cs="Arial"/>
          <w:sz w:val="16"/>
          <w:szCs w:val="16"/>
        </w:rPr>
        <w:t>High-level = azithromycin MIC</w:t>
      </w:r>
      <w:r>
        <w:rPr>
          <w:rFonts w:cs="Arial"/>
          <w:sz w:val="16"/>
          <w:szCs w:val="16"/>
        </w:rPr>
        <w:t xml:space="preserve"> </w:t>
      </w:r>
      <w:r w:rsidRPr="00B32532">
        <w:rPr>
          <w:rFonts w:cs="Arial"/>
          <w:sz w:val="16"/>
          <w:szCs w:val="16"/>
        </w:rPr>
        <w:t xml:space="preserve">≥ </w:t>
      </w:r>
      <w:r w:rsidRPr="00672088">
        <w:rPr>
          <w:rFonts w:cs="Arial"/>
          <w:sz w:val="16"/>
          <w:szCs w:val="16"/>
        </w:rPr>
        <w:t>256 mg/L; Low-level = azithromycin MIC &lt; 256 mg/L</w:t>
      </w:r>
      <w:r>
        <w:rPr>
          <w:rFonts w:cs="Arial"/>
          <w:sz w:val="16"/>
          <w:szCs w:val="16"/>
        </w:rPr>
        <w:t>; MIC = minimum inhibitory concentration</w:t>
      </w:r>
    </w:p>
    <w:p w14:paraId="426CEBB1" w14:textId="77777777" w:rsidR="00EB6106" w:rsidRDefault="00EB6106" w:rsidP="00133846">
      <w:pPr>
        <w:pStyle w:val="Normal-beforebullets"/>
        <w:rPr>
          <w:sz w:val="16"/>
        </w:rPr>
      </w:pPr>
      <w:r>
        <w:rPr>
          <w:sz w:val="16"/>
        </w:rPr>
        <w:t>*</w:t>
      </w:r>
      <w:r w:rsidRPr="008A52BA">
        <w:t xml:space="preserve"> </w:t>
      </w:r>
      <w:r w:rsidRPr="008A52BA">
        <w:rPr>
          <w:sz w:val="16"/>
        </w:rPr>
        <w:t xml:space="preserve">For CARAlert, </w:t>
      </w:r>
      <w:r w:rsidRPr="001422E7">
        <w:rPr>
          <w:i/>
          <w:iCs/>
          <w:sz w:val="16"/>
        </w:rPr>
        <w:t>S</w:t>
      </w:r>
      <w:r>
        <w:rPr>
          <w:i/>
          <w:iCs/>
          <w:sz w:val="16"/>
        </w:rPr>
        <w:t>. </w:t>
      </w:r>
      <w:r w:rsidRPr="001422E7">
        <w:rPr>
          <w:i/>
          <w:iCs/>
          <w:sz w:val="16"/>
        </w:rPr>
        <w:t>aureus</w:t>
      </w:r>
      <w:r w:rsidRPr="008A52BA">
        <w:rPr>
          <w:sz w:val="16"/>
        </w:rPr>
        <w:t xml:space="preserve"> complex includes </w:t>
      </w:r>
      <w:r w:rsidRPr="001422E7">
        <w:rPr>
          <w:i/>
          <w:iCs/>
          <w:sz w:val="16"/>
        </w:rPr>
        <w:t>S.</w:t>
      </w:r>
      <w:r>
        <w:rPr>
          <w:i/>
          <w:iCs/>
          <w:sz w:val="16"/>
        </w:rPr>
        <w:t> </w:t>
      </w:r>
      <w:r w:rsidRPr="001422E7">
        <w:rPr>
          <w:i/>
          <w:iCs/>
          <w:sz w:val="16"/>
        </w:rPr>
        <w:t>argenteus</w:t>
      </w:r>
      <w:r w:rsidRPr="008A52BA">
        <w:rPr>
          <w:sz w:val="16"/>
        </w:rPr>
        <w:t xml:space="preserve"> and </w:t>
      </w:r>
      <w:r w:rsidRPr="001422E7">
        <w:rPr>
          <w:i/>
          <w:iCs/>
          <w:sz w:val="16"/>
        </w:rPr>
        <w:t>S.</w:t>
      </w:r>
      <w:r>
        <w:rPr>
          <w:i/>
          <w:iCs/>
          <w:sz w:val="16"/>
        </w:rPr>
        <w:t> </w:t>
      </w:r>
      <w:proofErr w:type="spellStart"/>
      <w:r w:rsidRPr="001422E7">
        <w:rPr>
          <w:i/>
          <w:iCs/>
          <w:sz w:val="16"/>
        </w:rPr>
        <w:t>schweitzeri</w:t>
      </w:r>
      <w:proofErr w:type="spellEnd"/>
    </w:p>
    <w:p w14:paraId="679AB1BA" w14:textId="77777777" w:rsidR="00EB6106" w:rsidRDefault="00EB6106" w:rsidP="00133846">
      <w:pPr>
        <w:pStyle w:val="Normal-beforebullets"/>
      </w:pPr>
      <w:r>
        <w:rPr>
          <w:sz w:val="16"/>
        </w:rPr>
        <w:t xml:space="preserve">Note: </w:t>
      </w:r>
      <w:r w:rsidRPr="00665F9B">
        <w:rPr>
          <w:sz w:val="16"/>
        </w:rPr>
        <w:t xml:space="preserve">Information on setting for </w:t>
      </w:r>
      <w:r w:rsidRPr="00665F9B">
        <w:rPr>
          <w:i/>
          <w:iCs/>
          <w:sz w:val="16"/>
        </w:rPr>
        <w:t>N</w:t>
      </w:r>
      <w:r>
        <w:rPr>
          <w:i/>
          <w:iCs/>
          <w:sz w:val="16"/>
        </w:rPr>
        <w:t>. </w:t>
      </w:r>
      <w:r w:rsidRPr="00665F9B">
        <w:rPr>
          <w:i/>
          <w:iCs/>
          <w:sz w:val="16"/>
        </w:rPr>
        <w:t>gonorrhoeae</w:t>
      </w:r>
      <w:r w:rsidRPr="00665F9B">
        <w:rPr>
          <w:sz w:val="16"/>
        </w:rPr>
        <w:t xml:space="preserve"> is often not available</w:t>
      </w:r>
      <w:r>
        <w:rPr>
          <w:sz w:val="16"/>
        </w:rPr>
        <w:t>.</w:t>
      </w:r>
      <w:r>
        <w:br w:type="page"/>
      </w:r>
    </w:p>
    <w:p w14:paraId="34A110E6" w14:textId="6BA17DAA" w:rsidR="00EB6106" w:rsidRPr="004D4994" w:rsidRDefault="00EB6106" w:rsidP="00EB6106">
      <w:pPr>
        <w:rPr>
          <w:rFonts w:eastAsiaTheme="minorEastAsia"/>
          <w:lang w:val="en-GB"/>
        </w:rPr>
      </w:pPr>
      <w:r w:rsidRPr="004D4994">
        <w:rPr>
          <w:rFonts w:eastAsiaTheme="minorEastAsia"/>
          <w:lang w:val="en-GB"/>
        </w:rPr>
        <w:lastRenderedPageBreak/>
        <w:t xml:space="preserve">CPE accounted </w:t>
      </w:r>
      <w:r w:rsidRPr="00F15F0B">
        <w:rPr>
          <w:rFonts w:eastAsiaTheme="minorEastAsia"/>
          <w:lang w:val="en-GB"/>
        </w:rPr>
        <w:t xml:space="preserve">for a </w:t>
      </w:r>
      <w:r w:rsidR="009E44CB">
        <w:rPr>
          <w:rFonts w:eastAsiaTheme="minorEastAsia"/>
          <w:lang w:val="en-GB"/>
        </w:rPr>
        <w:t>just</w:t>
      </w:r>
      <w:r w:rsidRPr="00F15F0B">
        <w:rPr>
          <w:rFonts w:eastAsiaTheme="minorEastAsia"/>
          <w:lang w:val="en-GB"/>
        </w:rPr>
        <w:t xml:space="preserve"> over two-thirds</w:t>
      </w:r>
      <w:r w:rsidRPr="004D4994">
        <w:rPr>
          <w:rFonts w:eastAsiaTheme="minorEastAsia"/>
          <w:lang w:val="en-GB"/>
        </w:rPr>
        <w:t xml:space="preserve"> of all reports from hospitals (1,009/1,3</w:t>
      </w:r>
      <w:r>
        <w:rPr>
          <w:rFonts w:eastAsiaTheme="minorEastAsia"/>
          <w:lang w:val="en-GB"/>
        </w:rPr>
        <w:t>87</w:t>
      </w:r>
      <w:r w:rsidRPr="004D4994">
        <w:rPr>
          <w:rFonts w:eastAsiaTheme="minorEastAsia"/>
          <w:lang w:val="en-GB"/>
        </w:rPr>
        <w:t>, 7</w:t>
      </w:r>
      <w:r>
        <w:rPr>
          <w:rFonts w:eastAsiaTheme="minorEastAsia"/>
          <w:lang w:val="en-GB"/>
        </w:rPr>
        <w:t>2</w:t>
      </w:r>
      <w:r w:rsidRPr="004D4994">
        <w:rPr>
          <w:rFonts w:eastAsiaTheme="minorEastAsia"/>
          <w:lang w:val="en-GB"/>
        </w:rPr>
        <w:t>.</w:t>
      </w:r>
      <w:r>
        <w:rPr>
          <w:rFonts w:eastAsiaTheme="minorEastAsia"/>
          <w:lang w:val="en-GB"/>
        </w:rPr>
        <w:t>7</w:t>
      </w:r>
      <w:r w:rsidRPr="004D4994">
        <w:rPr>
          <w:rFonts w:eastAsiaTheme="minorEastAsia"/>
          <w:lang w:val="en-GB"/>
        </w:rPr>
        <w:t xml:space="preserve">%). In the community, </w:t>
      </w:r>
      <w:r>
        <w:rPr>
          <w:rFonts w:eastAsiaTheme="minorEastAsia"/>
          <w:lang w:val="en-GB"/>
        </w:rPr>
        <w:t>a vast majority</w:t>
      </w:r>
      <w:r w:rsidRPr="004D4994">
        <w:rPr>
          <w:rFonts w:eastAsiaTheme="minorEastAsia"/>
          <w:lang w:val="en-GB"/>
        </w:rPr>
        <w:t xml:space="preserve"> of reports were ceftriaxone and/or azithromycin-nonsusceptible </w:t>
      </w:r>
      <w:r w:rsidRPr="004D4994">
        <w:rPr>
          <w:rFonts w:eastAsiaTheme="minorEastAsia"/>
          <w:i/>
          <w:iCs/>
          <w:lang w:val="en-GB"/>
        </w:rPr>
        <w:t>N. gonorrhoeae</w:t>
      </w:r>
      <w:r w:rsidRPr="004D4994">
        <w:rPr>
          <w:rFonts w:eastAsiaTheme="minorEastAsia"/>
          <w:lang w:val="en-GB"/>
        </w:rPr>
        <w:t xml:space="preserve"> (4</w:t>
      </w:r>
      <w:r>
        <w:rPr>
          <w:rFonts w:eastAsiaTheme="minorEastAsia"/>
          <w:lang w:val="en-GB"/>
        </w:rPr>
        <w:t>40</w:t>
      </w:r>
      <w:r w:rsidRPr="004D4994">
        <w:rPr>
          <w:rFonts w:eastAsiaTheme="minorEastAsia"/>
          <w:lang w:val="en-GB"/>
        </w:rPr>
        <w:t>/84</w:t>
      </w:r>
      <w:r>
        <w:rPr>
          <w:rFonts w:eastAsiaTheme="minorEastAsia"/>
          <w:lang w:val="en-GB"/>
        </w:rPr>
        <w:t>9</w:t>
      </w:r>
      <w:r w:rsidRPr="004D4994">
        <w:rPr>
          <w:rFonts w:eastAsiaTheme="minorEastAsia"/>
          <w:lang w:val="en-GB"/>
        </w:rPr>
        <w:t xml:space="preserve">, </w:t>
      </w:r>
      <w:r>
        <w:rPr>
          <w:rFonts w:eastAsiaTheme="minorEastAsia"/>
          <w:lang w:val="en-GB"/>
        </w:rPr>
        <w:t>51</w:t>
      </w:r>
      <w:r w:rsidRPr="004D4994">
        <w:rPr>
          <w:rFonts w:eastAsiaTheme="minorEastAsia"/>
          <w:lang w:val="en-GB"/>
        </w:rPr>
        <w:t>.</w:t>
      </w:r>
      <w:r>
        <w:rPr>
          <w:rFonts w:eastAsiaTheme="minorEastAsia"/>
          <w:lang w:val="en-GB"/>
        </w:rPr>
        <w:t>8</w:t>
      </w:r>
      <w:r w:rsidRPr="004D4994">
        <w:rPr>
          <w:rFonts w:eastAsiaTheme="minorEastAsia"/>
          <w:lang w:val="en-GB"/>
        </w:rPr>
        <w:t xml:space="preserve">%), </w:t>
      </w:r>
      <w:r w:rsidR="00FC08D1" w:rsidRPr="004D4994">
        <w:rPr>
          <w:rFonts w:eastAsiaTheme="minorEastAsia"/>
          <w:lang w:val="en-GB"/>
        </w:rPr>
        <w:t xml:space="preserve">MDR </w:t>
      </w:r>
      <w:r w:rsidR="00FC08D1" w:rsidRPr="00F004DD">
        <w:rPr>
          <w:rFonts w:eastAsiaTheme="minorEastAsia"/>
          <w:i/>
          <w:iCs/>
          <w:lang w:val="en-GB"/>
        </w:rPr>
        <w:t>Shigella</w:t>
      </w:r>
      <w:r w:rsidR="00FC08D1" w:rsidRPr="004D4994">
        <w:rPr>
          <w:rFonts w:eastAsiaTheme="minorEastAsia"/>
          <w:lang w:val="en-GB"/>
        </w:rPr>
        <w:t xml:space="preserve"> species (206/84</w:t>
      </w:r>
      <w:r w:rsidR="00FC08D1">
        <w:rPr>
          <w:rFonts w:eastAsiaTheme="minorEastAsia"/>
          <w:lang w:val="en-GB"/>
        </w:rPr>
        <w:t>9</w:t>
      </w:r>
      <w:r w:rsidR="00FC08D1" w:rsidRPr="004D4994">
        <w:rPr>
          <w:rFonts w:eastAsiaTheme="minorEastAsia"/>
          <w:lang w:val="en-GB"/>
        </w:rPr>
        <w:t xml:space="preserve">, </w:t>
      </w:r>
      <w:r w:rsidR="00FC08D1">
        <w:rPr>
          <w:rFonts w:eastAsiaTheme="minorEastAsia"/>
          <w:lang w:val="en-GB"/>
        </w:rPr>
        <w:t>24.3</w:t>
      </w:r>
      <w:r w:rsidR="00FC08D1" w:rsidRPr="004D4994">
        <w:rPr>
          <w:rFonts w:eastAsiaTheme="minorEastAsia"/>
          <w:lang w:val="en-GB"/>
        </w:rPr>
        <w:t>%)</w:t>
      </w:r>
      <w:r w:rsidR="00FC08D1">
        <w:rPr>
          <w:rFonts w:eastAsiaTheme="minorEastAsia"/>
          <w:lang w:val="en-GB"/>
        </w:rPr>
        <w:t xml:space="preserve"> or </w:t>
      </w:r>
      <w:r w:rsidRPr="004D4994">
        <w:rPr>
          <w:rFonts w:eastAsiaTheme="minorEastAsia"/>
          <w:lang w:val="en-GB"/>
        </w:rPr>
        <w:t>CPE (135/84</w:t>
      </w:r>
      <w:r>
        <w:rPr>
          <w:rFonts w:eastAsiaTheme="minorEastAsia"/>
          <w:lang w:val="en-GB"/>
        </w:rPr>
        <w:t>9</w:t>
      </w:r>
      <w:r w:rsidRPr="004D4994">
        <w:rPr>
          <w:rFonts w:eastAsiaTheme="minorEastAsia"/>
          <w:lang w:val="en-GB"/>
        </w:rPr>
        <w:t xml:space="preserve">, </w:t>
      </w:r>
      <w:r>
        <w:rPr>
          <w:rFonts w:eastAsiaTheme="minorEastAsia"/>
          <w:lang w:val="en-GB"/>
        </w:rPr>
        <w:t>15.9</w:t>
      </w:r>
      <w:r w:rsidRPr="004D4994">
        <w:rPr>
          <w:rFonts w:eastAsiaTheme="minorEastAsia"/>
          <w:lang w:val="en-GB"/>
        </w:rPr>
        <w:t xml:space="preserve">%). There were eight reports from aged care homes, all </w:t>
      </w:r>
      <w:r w:rsidR="009E44CB">
        <w:rPr>
          <w:rFonts w:eastAsiaTheme="minorEastAsia"/>
          <w:lang w:val="en-GB"/>
        </w:rPr>
        <w:t xml:space="preserve">of which </w:t>
      </w:r>
      <w:r w:rsidRPr="004D4994">
        <w:rPr>
          <w:rFonts w:eastAsiaTheme="minorEastAsia"/>
          <w:lang w:val="en-GB"/>
        </w:rPr>
        <w:t>were CPE.</w:t>
      </w:r>
    </w:p>
    <w:p w14:paraId="221229B7" w14:textId="77777777" w:rsidR="00EB6106" w:rsidRDefault="00EB6106" w:rsidP="00EB6106">
      <w:pPr>
        <w:pStyle w:val="Heading3"/>
      </w:pPr>
      <w:bookmarkStart w:id="10" w:name="_Toc166585572"/>
      <w:r>
        <w:t>Critical antimicrobial resistances by specimen type</w:t>
      </w:r>
      <w:bookmarkEnd w:id="10"/>
    </w:p>
    <w:p w14:paraId="2DD70302" w14:textId="77777777" w:rsidR="00EB6106" w:rsidRPr="006422AF" w:rsidRDefault="00EB6106" w:rsidP="00EB6106">
      <w:r w:rsidRPr="006422AF">
        <w:t xml:space="preserve">A little over one-half of all CARs reported in 2023 were from clinical specimens (1,563/2,686, 58.2%), which are specimens collected for diagnostic purposes, rather than for screening. </w:t>
      </w:r>
      <w:proofErr w:type="gramStart"/>
      <w:r w:rsidRPr="006422AF">
        <w:t>These included urine (</w:t>
      </w:r>
      <w:r w:rsidRPr="006422AF">
        <w:rPr>
          <w:i/>
          <w:iCs/>
        </w:rPr>
        <w:t>n</w:t>
      </w:r>
      <w:r w:rsidRPr="006422AF">
        <w:t> = 420)</w:t>
      </w:r>
      <w:proofErr w:type="gramEnd"/>
      <w:r w:rsidRPr="006422AF">
        <w:t>, wound (</w:t>
      </w:r>
      <w:r w:rsidRPr="006422AF">
        <w:rPr>
          <w:i/>
          <w:iCs/>
        </w:rPr>
        <w:t>n</w:t>
      </w:r>
      <w:r w:rsidRPr="006422AF">
        <w:t> = 64), blood (</w:t>
      </w:r>
      <w:r w:rsidRPr="006422AF">
        <w:rPr>
          <w:i/>
          <w:iCs/>
        </w:rPr>
        <w:t>n</w:t>
      </w:r>
      <w:r w:rsidRPr="006422AF">
        <w:t> = 60) and other (</w:t>
      </w:r>
      <w:r w:rsidRPr="006422AF">
        <w:rPr>
          <w:i/>
          <w:iCs/>
        </w:rPr>
        <w:t>n</w:t>
      </w:r>
      <w:r w:rsidRPr="006422AF">
        <w:t> = 1,019) such as genital or respiratory specimens (Figure 2).</w:t>
      </w:r>
    </w:p>
    <w:p w14:paraId="2C9B400A" w14:textId="77777777" w:rsidR="00EB6106" w:rsidRPr="008C77FD" w:rsidRDefault="00EB6106" w:rsidP="00EB6106">
      <w:r w:rsidRPr="006422AF">
        <w:t xml:space="preserve">Of CPE reports, 57.6% (694/1,205) were from clinical specimens. Of CPE isolates from clinical specimens, 51.4% (357/694) were from urine – an important specimen for </w:t>
      </w:r>
      <w:r w:rsidRPr="006422AF">
        <w:rPr>
          <w:i/>
        </w:rPr>
        <w:t>Enterobacterales</w:t>
      </w:r>
      <w:r w:rsidRPr="006422AF">
        <w:t xml:space="preserve"> as the urinary tract is a common site of infection. Almost 1 in 15 (49/694, 7.1%) CPE from clinical </w:t>
      </w:r>
      <w:r w:rsidRPr="008C77FD">
        <w:t>specimens were from blood cultures. CPE comprised 81.7% (49/60) of all CARs confirmed from blood specimens.</w:t>
      </w:r>
    </w:p>
    <w:p w14:paraId="5AF49114" w14:textId="77777777" w:rsidR="00EB6106" w:rsidRPr="008C77FD" w:rsidRDefault="00EB6106" w:rsidP="00EB6106">
      <w:r w:rsidRPr="008C77FD">
        <w:t xml:space="preserve">Five other CARs were also reported from blood cultures in 2023: ceftriaxone-nonsusceptible </w:t>
      </w:r>
      <w:r w:rsidRPr="008C77FD">
        <w:rPr>
          <w:i/>
          <w:iCs/>
        </w:rPr>
        <w:t>Salmonella</w:t>
      </w:r>
      <w:r w:rsidRPr="008C77FD">
        <w:t xml:space="preserve"> species (</w:t>
      </w:r>
      <w:r w:rsidRPr="008C77FD">
        <w:rPr>
          <w:i/>
          <w:iCs/>
        </w:rPr>
        <w:t>n</w:t>
      </w:r>
      <w:r w:rsidRPr="008C77FD">
        <w:t xml:space="preserve"> = 6), ribosomal methyltransferase-producing </w:t>
      </w:r>
      <w:r w:rsidRPr="008C77FD">
        <w:rPr>
          <w:i/>
          <w:iCs/>
        </w:rPr>
        <w:t>Enterobacterales</w:t>
      </w:r>
      <w:r w:rsidRPr="008C77FD">
        <w:t xml:space="preserve"> (</w:t>
      </w:r>
      <w:r w:rsidRPr="008C77FD">
        <w:rPr>
          <w:i/>
          <w:iCs/>
        </w:rPr>
        <w:t>n</w:t>
      </w:r>
      <w:r w:rsidRPr="008C77FD">
        <w:t xml:space="preserve"> = 2), carbapenemase-producing </w:t>
      </w:r>
      <w:r w:rsidRPr="008C77FD">
        <w:rPr>
          <w:i/>
          <w:iCs/>
        </w:rPr>
        <w:t>P. aeruginosa</w:t>
      </w:r>
      <w:r w:rsidRPr="008C77FD">
        <w:t xml:space="preserve"> (</w:t>
      </w:r>
      <w:r w:rsidRPr="008C77FD">
        <w:rPr>
          <w:i/>
          <w:iCs/>
        </w:rPr>
        <w:t>n</w:t>
      </w:r>
      <w:r w:rsidRPr="008C77FD">
        <w:t xml:space="preserve"> = 1), carbapenemase-producing </w:t>
      </w:r>
      <w:r w:rsidRPr="008C77FD">
        <w:rPr>
          <w:i/>
          <w:iCs/>
        </w:rPr>
        <w:t>Acinetobacter baumannii</w:t>
      </w:r>
      <w:r w:rsidRPr="008C77FD">
        <w:t xml:space="preserve"> complex (</w:t>
      </w:r>
      <w:r w:rsidRPr="008C77FD">
        <w:rPr>
          <w:i/>
          <w:iCs/>
        </w:rPr>
        <w:t>n</w:t>
      </w:r>
      <w:r w:rsidRPr="008C77FD">
        <w:t> = 1),</w:t>
      </w:r>
      <w:r>
        <w:t xml:space="preserve"> </w:t>
      </w:r>
      <w:r w:rsidRPr="008C77FD">
        <w:t xml:space="preserve">and linezolid-resistant </w:t>
      </w:r>
      <w:r w:rsidRPr="008C77FD">
        <w:rPr>
          <w:i/>
          <w:iCs/>
        </w:rPr>
        <w:t>Enterococcus</w:t>
      </w:r>
      <w:r w:rsidRPr="008C77FD">
        <w:t xml:space="preserve"> species (</w:t>
      </w:r>
      <w:r w:rsidRPr="008C77FD">
        <w:rPr>
          <w:i/>
          <w:iCs/>
        </w:rPr>
        <w:t>n </w:t>
      </w:r>
      <w:r w:rsidRPr="008C77FD">
        <w:t>= 1).</w:t>
      </w:r>
    </w:p>
    <w:p w14:paraId="17600B81" w14:textId="56AAD8BD" w:rsidR="00AE3767" w:rsidRDefault="00EB6106" w:rsidP="00AE3767">
      <w:pPr>
        <w:rPr>
          <w:bCs/>
        </w:rPr>
      </w:pPr>
      <w:r w:rsidRPr="00772C72">
        <w:rPr>
          <w:b/>
          <w:bCs/>
        </w:rPr>
        <w:t xml:space="preserve">Figure 2: </w:t>
      </w:r>
      <w:r w:rsidRPr="00772C72">
        <w:rPr>
          <w:bCs/>
        </w:rPr>
        <w:t>Critical antimicrobial resistances</w:t>
      </w:r>
      <w:r w:rsidRPr="00772C72">
        <w:t xml:space="preserve"> reported </w:t>
      </w:r>
      <w:r w:rsidRPr="00772C72">
        <w:rPr>
          <w:bCs/>
        </w:rPr>
        <w:t xml:space="preserve">to CARAlert, by specimen type, </w:t>
      </w:r>
      <w:proofErr w:type="gramStart"/>
      <w:r w:rsidRPr="00772C72">
        <w:rPr>
          <w:bCs/>
        </w:rPr>
        <w:t>2023</w:t>
      </w:r>
      <w:proofErr w:type="gramEnd"/>
    </w:p>
    <w:p w14:paraId="74A80E1F" w14:textId="6D2BFA35" w:rsidR="00EB6106" w:rsidRPr="005E60FC" w:rsidRDefault="008D26F1" w:rsidP="00AE3767">
      <w:pPr>
        <w:spacing w:before="0" w:after="0"/>
        <w:rPr>
          <w:rFonts w:cs="Arial"/>
          <w:kern w:val="28"/>
        </w:rPr>
      </w:pPr>
      <w:r>
        <w:rPr>
          <w:noProof/>
        </w:rPr>
        <w:drawing>
          <wp:inline distT="0" distB="0" distL="0" distR="0" wp14:anchorId="4B2AC687" wp14:editId="4B0A9123">
            <wp:extent cx="6120130" cy="4965700"/>
            <wp:effectExtent l="0" t="0" r="0" b="6350"/>
            <wp:docPr id="18" name="Picture 1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pic:cNvPicPr/>
                  </pic:nvPicPr>
                  <pic:blipFill>
                    <a:blip r:embed="rId29"/>
                    <a:stretch>
                      <a:fillRect/>
                    </a:stretch>
                  </pic:blipFill>
                  <pic:spPr>
                    <a:xfrm>
                      <a:off x="0" y="0"/>
                      <a:ext cx="6120130" cy="4965700"/>
                    </a:xfrm>
                    <a:prstGeom prst="rect">
                      <a:avLst/>
                    </a:prstGeom>
                  </pic:spPr>
                </pic:pic>
              </a:graphicData>
            </a:graphic>
          </wp:inline>
        </w:drawing>
      </w:r>
      <w:r w:rsidR="00EB6106">
        <w:rPr>
          <w:sz w:val="16"/>
          <w:szCs w:val="16"/>
        </w:rPr>
        <w:t xml:space="preserve">Note: </w:t>
      </w:r>
      <w:r w:rsidR="00EB6106" w:rsidRPr="00144F7A">
        <w:rPr>
          <w:sz w:val="16"/>
          <w:szCs w:val="16"/>
        </w:rPr>
        <w:t>'Other’ refers to specimen types other than urine, wound or blood, such as genital, faecal or respiratory tract.</w:t>
      </w:r>
      <w:r w:rsidR="00EB6106" w:rsidRPr="005E60FC">
        <w:br w:type="page"/>
      </w:r>
    </w:p>
    <w:p w14:paraId="6E32AC53" w14:textId="77777777" w:rsidR="00EB6106" w:rsidRDefault="00EB6106" w:rsidP="00EB6106">
      <w:pPr>
        <w:pStyle w:val="Heading2"/>
      </w:pPr>
      <w:bookmarkStart w:id="11" w:name="_Toc166585573"/>
      <w:r>
        <w:lastRenderedPageBreak/>
        <w:t xml:space="preserve">Summary by CAR, with trend data for </w:t>
      </w:r>
      <w:r w:rsidRPr="00183FF7">
        <w:t>2017–202</w:t>
      </w:r>
      <w:r>
        <w:t>3</w:t>
      </w:r>
      <w:bookmarkEnd w:id="11"/>
    </w:p>
    <w:p w14:paraId="2909F01A" w14:textId="77777777" w:rsidR="00EB6106" w:rsidRDefault="00EB6106" w:rsidP="00EB6106">
      <w:r w:rsidRPr="00183FF7">
        <w:t>Data for each CAR for 202</w:t>
      </w:r>
      <w:r>
        <w:t>3</w:t>
      </w:r>
      <w:r w:rsidRPr="00183FF7">
        <w:t xml:space="preserve">, nationally and by state and territory, are shown in </w:t>
      </w:r>
      <w:r w:rsidRPr="000514CD">
        <w:t>Figures 3 to 29.</w:t>
      </w:r>
      <w:r w:rsidRPr="00183FF7">
        <w:t xml:space="preserve"> Trend data for 2017 to 202</w:t>
      </w:r>
      <w:r>
        <w:t>3</w:t>
      </w:r>
      <w:r w:rsidRPr="00183FF7">
        <w:t xml:space="preserve"> are also presented, where applicable.</w:t>
      </w:r>
    </w:p>
    <w:p w14:paraId="7D4CEA56" w14:textId="2DBA61A9" w:rsidR="00EB6106" w:rsidRDefault="00EB6106" w:rsidP="00EB6106">
      <w:pPr>
        <w:pStyle w:val="Heading3"/>
      </w:pPr>
      <w:bookmarkStart w:id="12" w:name="_Toc23230182"/>
      <w:bookmarkStart w:id="13" w:name="_Toc166585574"/>
      <w:r w:rsidRPr="00201BC7">
        <w:rPr>
          <w:i/>
          <w:iCs w:val="0"/>
        </w:rPr>
        <w:t>Acinetobacter baumannii</w:t>
      </w:r>
      <w:r w:rsidRPr="00201BC7">
        <w:t xml:space="preserve"> complex</w:t>
      </w:r>
      <w:bookmarkEnd w:id="12"/>
      <w:bookmarkEnd w:id="13"/>
    </w:p>
    <w:p w14:paraId="0AC6DDBB" w14:textId="33C9C36E" w:rsidR="00EB6106" w:rsidRPr="00515F53" w:rsidRDefault="00EB6106" w:rsidP="00EB6106">
      <w:pPr>
        <w:rPr>
          <w:lang w:eastAsia="en-US"/>
        </w:rPr>
      </w:pPr>
      <w:r w:rsidRPr="00515F53">
        <w:rPr>
          <w:i/>
          <w:iCs/>
        </w:rPr>
        <w:t>A</w:t>
      </w:r>
      <w:r w:rsidR="00187CBB">
        <w:rPr>
          <w:i/>
          <w:iCs/>
        </w:rPr>
        <w:t>. </w:t>
      </w:r>
      <w:r w:rsidRPr="00515F53">
        <w:rPr>
          <w:i/>
          <w:iCs/>
        </w:rPr>
        <w:t>baumannii</w:t>
      </w:r>
      <w:r w:rsidRPr="00515F53">
        <w:t xml:space="preserve"> complex is a group of environmental organisms that have caused prolonged outbreaks in hospital settings, such as intensive care and severe burns units. </w:t>
      </w:r>
      <w:r w:rsidRPr="00515F53">
        <w:rPr>
          <w:i/>
          <w:iCs/>
        </w:rPr>
        <w:t xml:space="preserve">A. baumannii </w:t>
      </w:r>
      <w:r w:rsidRPr="00515F53">
        <w:t>infections are associated with patients with compromised physical barriers and immunity, most commonly in hospital. The most common infections caused by this species complex are ventilator-associated pneumonia and severe burn infections. Reporting of c</w:t>
      </w:r>
      <w:r w:rsidRPr="00515F53">
        <w:rPr>
          <w:lang w:eastAsia="en-US"/>
        </w:rPr>
        <w:t xml:space="preserve">arbapenemase-producing </w:t>
      </w:r>
      <w:r w:rsidRPr="00515F53">
        <w:rPr>
          <w:i/>
          <w:lang w:eastAsia="en-US"/>
        </w:rPr>
        <w:t>A</w:t>
      </w:r>
      <w:r w:rsidRPr="00515F53">
        <w:rPr>
          <w:i/>
        </w:rPr>
        <w:t>. </w:t>
      </w:r>
      <w:r w:rsidRPr="00515F53">
        <w:rPr>
          <w:i/>
          <w:lang w:eastAsia="en-US"/>
        </w:rPr>
        <w:t>baumannii</w:t>
      </w:r>
      <w:r w:rsidRPr="00515F53">
        <w:rPr>
          <w:lang w:eastAsia="en-US"/>
        </w:rPr>
        <w:t xml:space="preserve"> complex to CARAlert began in July 2019.</w:t>
      </w:r>
    </w:p>
    <w:p w14:paraId="0A350569" w14:textId="42AC5AB4" w:rsidR="00EB6106" w:rsidRPr="00DD0B65" w:rsidRDefault="00EB6106" w:rsidP="00EB6106">
      <w:r w:rsidRPr="004F65D8">
        <w:t xml:space="preserve">There were 37 reports of </w:t>
      </w:r>
      <w:r w:rsidRPr="00535009">
        <w:t xml:space="preserve">carbapenemase-producing </w:t>
      </w:r>
      <w:r w:rsidRPr="00535009">
        <w:rPr>
          <w:i/>
          <w:iCs/>
        </w:rPr>
        <w:t xml:space="preserve">A. baumannii </w:t>
      </w:r>
      <w:r w:rsidRPr="00535009">
        <w:t>complex in 2023, from all states and territories except SA, Tasmania and the NT (Figures 3 and 4). OXA-23-like types were dominant (</w:t>
      </w:r>
      <w:r w:rsidRPr="00535009">
        <w:rPr>
          <w:i/>
          <w:iCs/>
        </w:rPr>
        <w:t>n </w:t>
      </w:r>
      <w:r w:rsidRPr="00535009">
        <w:t>= </w:t>
      </w:r>
      <w:r w:rsidR="008F7D27" w:rsidRPr="00535009">
        <w:t xml:space="preserve">30; </w:t>
      </w:r>
      <w:r w:rsidR="00DD0B65">
        <w:t>a</w:t>
      </w:r>
      <w:r w:rsidRPr="00535009">
        <w:t>lone</w:t>
      </w:r>
      <w:r w:rsidR="008F7D27" w:rsidRPr="00535009">
        <w:t xml:space="preserve">, </w:t>
      </w:r>
      <w:r w:rsidR="008F7D27" w:rsidRPr="00535009">
        <w:rPr>
          <w:i/>
          <w:iCs/>
        </w:rPr>
        <w:t>n</w:t>
      </w:r>
      <w:r w:rsidR="008F7D27" w:rsidRPr="00535009">
        <w:t> = 22</w:t>
      </w:r>
      <w:r w:rsidRPr="00535009">
        <w:t xml:space="preserve">). </w:t>
      </w:r>
      <w:r w:rsidR="008F7D27" w:rsidRPr="00535009">
        <w:t xml:space="preserve">Five </w:t>
      </w:r>
      <w:r w:rsidRPr="00535009">
        <w:t xml:space="preserve">NDM types in combination with OXA-23-like </w:t>
      </w:r>
      <w:r w:rsidR="00854E1A">
        <w:t>and one NDM in combination with GIM were reported</w:t>
      </w:r>
      <w:r w:rsidR="00DD0B65">
        <w:t>. Five</w:t>
      </w:r>
      <w:r w:rsidR="008F7D27" w:rsidRPr="00535009">
        <w:t xml:space="preserve"> </w:t>
      </w:r>
      <w:r w:rsidRPr="00535009">
        <w:t>OXA-24/40-like type</w:t>
      </w:r>
      <w:r w:rsidR="00DD0B65">
        <w:t>s</w:t>
      </w:r>
      <w:r w:rsidRPr="00535009">
        <w:t xml:space="preserve"> </w:t>
      </w:r>
      <w:r w:rsidR="008F7D27" w:rsidRPr="00535009">
        <w:t xml:space="preserve">were </w:t>
      </w:r>
      <w:r w:rsidRPr="00535009">
        <w:t>also reported</w:t>
      </w:r>
      <w:r w:rsidR="008F7D27" w:rsidRPr="00535009">
        <w:t xml:space="preserve"> (alone [</w:t>
      </w:r>
      <w:r w:rsidR="00DD0B65">
        <w:t>4</w:t>
      </w:r>
      <w:r w:rsidR="008F7D27" w:rsidRPr="00535009">
        <w:t xml:space="preserve">], </w:t>
      </w:r>
      <w:r w:rsidR="00DD0B65" w:rsidRPr="00DD0B65">
        <w:t xml:space="preserve">and </w:t>
      </w:r>
      <w:r w:rsidR="008F7D27" w:rsidRPr="00DD0B65">
        <w:t>in combination with OXA-23-like [1])</w:t>
      </w:r>
      <w:r w:rsidRPr="00DD0B65">
        <w:t>.</w:t>
      </w:r>
      <w:r w:rsidR="00DD0B65" w:rsidRPr="00DD0B65">
        <w:t xml:space="preserve"> </w:t>
      </w:r>
      <w:r w:rsidRPr="00DD0B65">
        <w:t xml:space="preserve"> </w:t>
      </w:r>
    </w:p>
    <w:p w14:paraId="2F1D42A5" w14:textId="77777777" w:rsidR="00EB6106" w:rsidRPr="004F65D8" w:rsidRDefault="00EB6106" w:rsidP="00EB6106">
      <w:pPr>
        <w:rPr>
          <w:b/>
        </w:rPr>
      </w:pPr>
      <w:r w:rsidRPr="004F65D8">
        <w:t xml:space="preserve">Almost all (36/37, 97.3%) of carbapenemase-producing </w:t>
      </w:r>
      <w:r w:rsidRPr="004F65D8">
        <w:rPr>
          <w:bCs/>
          <w:i/>
          <w:iCs/>
        </w:rPr>
        <w:t>A. baumannii</w:t>
      </w:r>
      <w:r w:rsidRPr="004F65D8">
        <w:rPr>
          <w:bCs/>
        </w:rPr>
        <w:t xml:space="preserve"> complex</w:t>
      </w:r>
      <w:r w:rsidRPr="004F65D8">
        <w:t xml:space="preserve"> were reported from hospitals (Table 3).</w:t>
      </w:r>
    </w:p>
    <w:p w14:paraId="3A2EFDEC" w14:textId="2607762E" w:rsidR="00D24D35" w:rsidRDefault="00EB6106" w:rsidP="00DB03BF">
      <w:pPr>
        <w:spacing w:before="0" w:after="0"/>
        <w:rPr>
          <w:bCs/>
        </w:rPr>
      </w:pPr>
      <w:r w:rsidRPr="00E65FD9">
        <w:rPr>
          <w:b/>
        </w:rPr>
        <w:t>Figure 3:</w:t>
      </w:r>
      <w:r>
        <w:rPr>
          <w:b/>
        </w:rPr>
        <w:t xml:space="preserve"> </w:t>
      </w:r>
      <w:r w:rsidRPr="003E626A">
        <w:rPr>
          <w:bCs/>
        </w:rPr>
        <w:t xml:space="preserve">Carbapenemase-producing </w:t>
      </w:r>
      <w:r w:rsidRPr="003E626A">
        <w:rPr>
          <w:bCs/>
          <w:i/>
          <w:iCs/>
        </w:rPr>
        <w:t>Acinetobacter baumannii</w:t>
      </w:r>
      <w:r w:rsidRPr="003E626A">
        <w:rPr>
          <w:bCs/>
        </w:rPr>
        <w:t xml:space="preserve"> complex, number reported </w:t>
      </w:r>
      <w:r>
        <w:rPr>
          <w:bCs/>
        </w:rPr>
        <w:t xml:space="preserve">to CARAlert </w:t>
      </w:r>
      <w:r w:rsidRPr="003E626A">
        <w:rPr>
          <w:bCs/>
        </w:rPr>
        <w:t>by specimen type</w:t>
      </w:r>
      <w:r>
        <w:rPr>
          <w:bCs/>
        </w:rPr>
        <w:t xml:space="preserve">, national, </w:t>
      </w:r>
      <w:r w:rsidRPr="00113706">
        <w:rPr>
          <w:bCs/>
        </w:rPr>
        <w:t>2019</w:t>
      </w:r>
      <w:r w:rsidRPr="00735580">
        <w:rPr>
          <w:bCs/>
        </w:rPr>
        <w:t>–202</w:t>
      </w:r>
      <w:r>
        <w:rPr>
          <w:bCs/>
        </w:rPr>
        <w:t>3</w:t>
      </w:r>
      <w:r w:rsidR="008175BD">
        <w:rPr>
          <w:bCs/>
          <w:noProof/>
        </w:rPr>
        <w:drawing>
          <wp:inline distT="0" distB="0" distL="0" distR="0" wp14:anchorId="074D7F2F" wp14:editId="069134DE">
            <wp:extent cx="6118227" cy="3239224"/>
            <wp:effectExtent l="0" t="0" r="0" b="0"/>
            <wp:docPr id="19" name="Picture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pic:cNvPicPr/>
                  </pic:nvPicPr>
                  <pic:blipFill>
                    <a:blip r:embed="rId30"/>
                    <a:stretch>
                      <a:fillRect/>
                    </a:stretch>
                  </pic:blipFill>
                  <pic:spPr>
                    <a:xfrm>
                      <a:off x="0" y="0"/>
                      <a:ext cx="6118227" cy="3239224"/>
                    </a:xfrm>
                    <a:prstGeom prst="rect">
                      <a:avLst/>
                    </a:prstGeom>
                  </pic:spPr>
                </pic:pic>
              </a:graphicData>
            </a:graphic>
          </wp:inline>
        </w:drawing>
      </w:r>
    </w:p>
    <w:p w14:paraId="109281F2" w14:textId="7E7C6430" w:rsidR="00EB6106" w:rsidRPr="00D24D35" w:rsidRDefault="00D24D35" w:rsidP="00DB03BF">
      <w:pPr>
        <w:spacing w:before="0" w:after="0"/>
        <w:rPr>
          <w:b/>
        </w:rPr>
      </w:pPr>
      <w:r w:rsidRPr="00D24D35">
        <w:rPr>
          <w:bCs/>
          <w:sz w:val="16"/>
          <w:szCs w:val="16"/>
        </w:rPr>
        <w:t>Note</w:t>
      </w:r>
      <w:r>
        <w:rPr>
          <w:bCs/>
          <w:sz w:val="16"/>
          <w:szCs w:val="16"/>
        </w:rPr>
        <w:t>: Reported from July 2019.</w:t>
      </w:r>
      <w:r w:rsidR="00EB6106" w:rsidRPr="00D24D35">
        <w:rPr>
          <w:b/>
        </w:rPr>
        <w:br w:type="page"/>
      </w:r>
    </w:p>
    <w:p w14:paraId="5F8FD7C3" w14:textId="3EAB524C" w:rsidR="00EB6106" w:rsidRDefault="00EB6106" w:rsidP="00DB03BF">
      <w:pPr>
        <w:pStyle w:val="FigureTitle"/>
        <w:spacing w:after="0"/>
        <w:rPr>
          <w:b w:val="0"/>
          <w:bCs/>
        </w:rPr>
      </w:pPr>
      <w:r w:rsidRPr="00E65FD9">
        <w:lastRenderedPageBreak/>
        <w:t>Figure 4</w:t>
      </w:r>
      <w:r w:rsidRPr="00436633">
        <w:t>:</w:t>
      </w:r>
      <w:r>
        <w:t xml:space="preserve"> </w:t>
      </w:r>
      <w:r w:rsidRPr="00DA02F0">
        <w:rPr>
          <w:b w:val="0"/>
          <w:bCs/>
        </w:rPr>
        <w:t xml:space="preserve">Carbapenemase-producing </w:t>
      </w:r>
      <w:r w:rsidRPr="00DA02F0">
        <w:rPr>
          <w:b w:val="0"/>
          <w:bCs/>
          <w:i/>
          <w:iCs/>
        </w:rPr>
        <w:t>Acinetobacter baumannii</w:t>
      </w:r>
      <w:r w:rsidRPr="00DA02F0">
        <w:rPr>
          <w:b w:val="0"/>
          <w:bCs/>
        </w:rPr>
        <w:t xml:space="preserve"> complex, number reported</w:t>
      </w:r>
      <w:r w:rsidRPr="005D0B96">
        <w:rPr>
          <w:b w:val="0"/>
          <w:bCs/>
        </w:rPr>
        <w:t xml:space="preserve"> to CARAlert </w:t>
      </w:r>
      <w:r w:rsidRPr="00DA02F0">
        <w:rPr>
          <w:b w:val="0"/>
          <w:bCs/>
        </w:rPr>
        <w:t xml:space="preserve">by carbapenemase type and specimen type, state and territory, </w:t>
      </w:r>
      <w:r w:rsidRPr="00E13387">
        <w:rPr>
          <w:b w:val="0"/>
          <w:bCs/>
        </w:rPr>
        <w:t>202</w:t>
      </w:r>
      <w:r>
        <w:rPr>
          <w:b w:val="0"/>
          <w:bCs/>
        </w:rPr>
        <w:t>3</w:t>
      </w:r>
      <w:r w:rsidR="008175BD">
        <w:rPr>
          <w:b w:val="0"/>
          <w:bCs/>
          <w:noProof/>
        </w:rPr>
        <w:drawing>
          <wp:inline distT="0" distB="0" distL="0" distR="0" wp14:anchorId="4D80F3F7" wp14:editId="73BDB5BF">
            <wp:extent cx="6118227" cy="3713054"/>
            <wp:effectExtent l="0" t="0" r="0" b="1905"/>
            <wp:docPr id="23" name="Picture 2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4"/>
                    <pic:cNvPicPr/>
                  </pic:nvPicPr>
                  <pic:blipFill>
                    <a:blip r:embed="rId31"/>
                    <a:stretch>
                      <a:fillRect/>
                    </a:stretch>
                  </pic:blipFill>
                  <pic:spPr>
                    <a:xfrm>
                      <a:off x="0" y="0"/>
                      <a:ext cx="6118227" cy="3713054"/>
                    </a:xfrm>
                    <a:prstGeom prst="rect">
                      <a:avLst/>
                    </a:prstGeom>
                  </pic:spPr>
                </pic:pic>
              </a:graphicData>
            </a:graphic>
          </wp:inline>
        </w:drawing>
      </w:r>
    </w:p>
    <w:p w14:paraId="2C552C2F" w14:textId="77777777" w:rsidR="00EB6106" w:rsidRPr="00DF6D7C" w:rsidRDefault="00EB6106" w:rsidP="00EB6106">
      <w:pPr>
        <w:pStyle w:val="FigureTitle"/>
      </w:pPr>
    </w:p>
    <w:p w14:paraId="5A8CC078" w14:textId="77777777" w:rsidR="00EB6106" w:rsidRPr="00F03DF3" w:rsidRDefault="00EB6106" w:rsidP="00EB6106">
      <w:pPr>
        <w:pStyle w:val="FigureTitle"/>
        <w:rPr>
          <w:rStyle w:val="IntenseReference"/>
          <w:b/>
          <w:bCs w:val="0"/>
          <w:i w:val="0"/>
          <w:smallCaps w:val="0"/>
        </w:rPr>
      </w:pPr>
      <w:r w:rsidRPr="0027438E">
        <w:t>Table 3:</w:t>
      </w:r>
      <w:r>
        <w:t xml:space="preserve"> </w:t>
      </w:r>
      <w:r w:rsidRPr="00F03DF3">
        <w:rPr>
          <w:b w:val="0"/>
          <w:bCs/>
        </w:rPr>
        <w:t xml:space="preserve">Carbapenemase-producing </w:t>
      </w:r>
      <w:r w:rsidRPr="00F03DF3">
        <w:rPr>
          <w:b w:val="0"/>
          <w:bCs/>
          <w:i/>
          <w:iCs/>
        </w:rPr>
        <w:t>Acinetobacter baumannii</w:t>
      </w:r>
      <w:r w:rsidRPr="00F03DF3">
        <w:rPr>
          <w:b w:val="0"/>
          <w:bCs/>
        </w:rPr>
        <w:t xml:space="preserve"> complex, number reported</w:t>
      </w:r>
      <w:r w:rsidRPr="005D0B96">
        <w:rPr>
          <w:b w:val="0"/>
          <w:bCs/>
        </w:rPr>
        <w:t xml:space="preserve"> to CARAlert </w:t>
      </w:r>
      <w:r w:rsidRPr="00F03DF3">
        <w:rPr>
          <w:b w:val="0"/>
          <w:bCs/>
        </w:rPr>
        <w:t xml:space="preserve">by setting, state and territory, </w:t>
      </w:r>
      <w:proofErr w:type="gramStart"/>
      <w:r w:rsidRPr="00975E69">
        <w:rPr>
          <w:b w:val="0"/>
          <w:bCs/>
        </w:rPr>
        <w:t>202</w:t>
      </w:r>
      <w:r>
        <w:rPr>
          <w:b w:val="0"/>
          <w:bCs/>
        </w:rPr>
        <w:t>3</w:t>
      </w:r>
      <w:proofErr w:type="gramEnd"/>
    </w:p>
    <w:tbl>
      <w:tblPr>
        <w:tblStyle w:val="TableGrid"/>
        <w:tblpPr w:leftFromText="180" w:rightFromText="180" w:vertAnchor="text" w:tblpY="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620" w:firstRow="1" w:lastRow="0" w:firstColumn="0" w:lastColumn="0" w:noHBand="1" w:noVBand="1"/>
        <w:tblCaption w:val="Table 3"/>
      </w:tblPr>
      <w:tblGrid>
        <w:gridCol w:w="1802"/>
        <w:gridCol w:w="869"/>
        <w:gridCol w:w="869"/>
        <w:gridCol w:w="861"/>
        <w:gridCol w:w="861"/>
        <w:gridCol w:w="850"/>
        <w:gridCol w:w="850"/>
        <w:gridCol w:w="850"/>
        <w:gridCol w:w="911"/>
        <w:gridCol w:w="909"/>
      </w:tblGrid>
      <w:tr w:rsidR="00EB6106" w:rsidRPr="00DD2BB0" w14:paraId="0809CCF7" w14:textId="77777777" w:rsidTr="009A6169">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left w:val="single" w:sz="2" w:space="0" w:color="auto"/>
              <w:bottom w:val="nil"/>
              <w:right w:val="single" w:sz="2" w:space="0" w:color="auto"/>
            </w:tcBorders>
            <w:shd w:val="clear" w:color="auto" w:fill="86D3F2" w:themeFill="background2" w:themeFillTint="66"/>
          </w:tcPr>
          <w:p w14:paraId="64C09AAD" w14:textId="77777777" w:rsidR="00EB6106" w:rsidRDefault="00EB6106" w:rsidP="000E7D5C">
            <w:pPr>
              <w:pStyle w:val="Normal-beforebullets"/>
              <w:rPr>
                <w:rFonts w:cstheme="minorHAnsi"/>
                <w:b w:val="0"/>
                <w:szCs w:val="18"/>
              </w:rPr>
            </w:pPr>
          </w:p>
        </w:tc>
        <w:tc>
          <w:tcPr>
            <w:tcW w:w="3592" w:type="pct"/>
            <w:gridSpan w:val="8"/>
            <w:tcBorders>
              <w:left w:val="single" w:sz="2" w:space="0" w:color="auto"/>
              <w:right w:val="single" w:sz="2" w:space="0" w:color="auto"/>
            </w:tcBorders>
            <w:shd w:val="clear" w:color="auto" w:fill="86D3F2" w:themeFill="background2" w:themeFillTint="66"/>
          </w:tcPr>
          <w:p w14:paraId="4BFACBF1" w14:textId="77777777" w:rsidR="00EB6106" w:rsidRPr="00DD2BB0" w:rsidRDefault="00EB6106" w:rsidP="00FF4C6D">
            <w:pPr>
              <w:pStyle w:val="Normal-beforebullets"/>
              <w:jc w:val="center"/>
              <w:rPr>
                <w:rFonts w:cstheme="minorHAnsi"/>
                <w:b w:val="0"/>
                <w:szCs w:val="18"/>
              </w:rPr>
            </w:pPr>
            <w:r w:rsidRPr="00DD2BB0">
              <w:rPr>
                <w:rFonts w:cstheme="minorHAnsi"/>
                <w:szCs w:val="18"/>
              </w:rPr>
              <w:t>State or territ</w:t>
            </w:r>
            <w:r>
              <w:rPr>
                <w:rFonts w:cstheme="minorHAnsi"/>
                <w:szCs w:val="18"/>
              </w:rPr>
              <w:t>or</w:t>
            </w:r>
            <w:r w:rsidRPr="00DD2BB0">
              <w:rPr>
                <w:rFonts w:cstheme="minorHAnsi"/>
                <w:szCs w:val="18"/>
              </w:rPr>
              <w:t>y</w:t>
            </w:r>
          </w:p>
        </w:tc>
        <w:tc>
          <w:tcPr>
            <w:tcW w:w="472" w:type="pct"/>
            <w:tcBorders>
              <w:left w:val="single" w:sz="2" w:space="0" w:color="auto"/>
              <w:bottom w:val="nil"/>
              <w:right w:val="single" w:sz="2" w:space="0" w:color="auto"/>
            </w:tcBorders>
            <w:shd w:val="clear" w:color="auto" w:fill="86D3F2" w:themeFill="background2" w:themeFillTint="66"/>
          </w:tcPr>
          <w:p w14:paraId="6F6EC85F" w14:textId="77777777" w:rsidR="00EB6106" w:rsidRPr="00DD2BB0" w:rsidRDefault="00EB6106" w:rsidP="000E7D5C">
            <w:pPr>
              <w:pStyle w:val="Normal-beforebullets"/>
              <w:rPr>
                <w:rFonts w:cstheme="minorHAnsi"/>
                <w:b w:val="0"/>
                <w:szCs w:val="18"/>
              </w:rPr>
            </w:pPr>
          </w:p>
        </w:tc>
      </w:tr>
      <w:tr w:rsidR="009A6169" w:rsidRPr="00DD2BB0" w14:paraId="389B72B5" w14:textId="77777777" w:rsidTr="009A6169">
        <w:trPr>
          <w:trHeight w:hRule="exact" w:val="340"/>
        </w:trPr>
        <w:tc>
          <w:tcPr>
            <w:tcW w:w="936" w:type="pct"/>
            <w:tcBorders>
              <w:top w:val="nil"/>
              <w:left w:val="single" w:sz="2" w:space="0" w:color="auto"/>
              <w:right w:val="single" w:sz="2" w:space="0" w:color="auto"/>
            </w:tcBorders>
            <w:shd w:val="clear" w:color="auto" w:fill="86D3F2" w:themeFill="background2" w:themeFillTint="66"/>
          </w:tcPr>
          <w:p w14:paraId="7B08DB4C" w14:textId="77777777" w:rsidR="00EB6106" w:rsidRPr="00DD2BB0" w:rsidRDefault="00EB6106" w:rsidP="000E7D5C">
            <w:pPr>
              <w:pStyle w:val="Normal-beforebullets"/>
              <w:rPr>
                <w:rFonts w:cstheme="minorHAnsi"/>
                <w:b/>
                <w:szCs w:val="18"/>
              </w:rPr>
            </w:pPr>
            <w:r>
              <w:rPr>
                <w:rFonts w:cstheme="minorHAnsi"/>
                <w:b/>
                <w:szCs w:val="18"/>
              </w:rPr>
              <w:t>Setting</w:t>
            </w:r>
          </w:p>
        </w:tc>
        <w:tc>
          <w:tcPr>
            <w:tcW w:w="451" w:type="pct"/>
            <w:tcBorders>
              <w:left w:val="single" w:sz="2" w:space="0" w:color="auto"/>
            </w:tcBorders>
            <w:shd w:val="clear" w:color="auto" w:fill="86D3F2" w:themeFill="background2" w:themeFillTint="66"/>
          </w:tcPr>
          <w:p w14:paraId="1DD1DBF6" w14:textId="77777777" w:rsidR="00EB6106" w:rsidRPr="00DD2BB0" w:rsidRDefault="00EB6106" w:rsidP="000E7D5C">
            <w:pPr>
              <w:pStyle w:val="Normal-beforebullets"/>
              <w:jc w:val="center"/>
              <w:rPr>
                <w:rFonts w:cstheme="minorHAnsi"/>
                <w:b/>
                <w:szCs w:val="18"/>
              </w:rPr>
            </w:pPr>
            <w:r w:rsidRPr="00DD2BB0">
              <w:rPr>
                <w:rFonts w:cstheme="minorHAnsi"/>
                <w:b/>
                <w:szCs w:val="18"/>
              </w:rPr>
              <w:t>NSW</w:t>
            </w:r>
          </w:p>
        </w:tc>
        <w:tc>
          <w:tcPr>
            <w:tcW w:w="451" w:type="pct"/>
            <w:shd w:val="clear" w:color="auto" w:fill="86D3F2" w:themeFill="background2" w:themeFillTint="66"/>
          </w:tcPr>
          <w:p w14:paraId="16F02ED5" w14:textId="77777777" w:rsidR="00EB6106" w:rsidRPr="00DD2BB0" w:rsidRDefault="00EB6106" w:rsidP="000E7D5C">
            <w:pPr>
              <w:pStyle w:val="Normal-beforebullets"/>
              <w:jc w:val="center"/>
              <w:rPr>
                <w:rFonts w:cstheme="minorHAnsi"/>
                <w:b/>
                <w:szCs w:val="18"/>
              </w:rPr>
            </w:pPr>
            <w:r w:rsidRPr="00DD2BB0">
              <w:rPr>
                <w:rFonts w:cstheme="minorHAnsi"/>
                <w:b/>
                <w:szCs w:val="18"/>
              </w:rPr>
              <w:t>Vic</w:t>
            </w:r>
          </w:p>
        </w:tc>
        <w:tc>
          <w:tcPr>
            <w:tcW w:w="447" w:type="pct"/>
            <w:shd w:val="clear" w:color="auto" w:fill="86D3F2" w:themeFill="background2" w:themeFillTint="66"/>
          </w:tcPr>
          <w:p w14:paraId="17415947" w14:textId="77777777" w:rsidR="00EB6106" w:rsidRPr="00DD2BB0" w:rsidRDefault="00EB6106" w:rsidP="000E7D5C">
            <w:pPr>
              <w:pStyle w:val="Normal-beforebullets"/>
              <w:jc w:val="center"/>
              <w:rPr>
                <w:rFonts w:cstheme="minorHAnsi"/>
                <w:b/>
                <w:szCs w:val="18"/>
              </w:rPr>
            </w:pPr>
            <w:r w:rsidRPr="00DD2BB0">
              <w:rPr>
                <w:rFonts w:cstheme="minorHAnsi"/>
                <w:b/>
                <w:szCs w:val="18"/>
              </w:rPr>
              <w:t>Qld</w:t>
            </w:r>
          </w:p>
        </w:tc>
        <w:tc>
          <w:tcPr>
            <w:tcW w:w="447" w:type="pct"/>
            <w:shd w:val="clear" w:color="auto" w:fill="86D3F2" w:themeFill="background2" w:themeFillTint="66"/>
          </w:tcPr>
          <w:p w14:paraId="410ABF9A" w14:textId="77777777" w:rsidR="00EB6106" w:rsidRPr="00DD2BB0" w:rsidRDefault="00EB6106" w:rsidP="000E7D5C">
            <w:pPr>
              <w:pStyle w:val="Normal-beforebullets"/>
              <w:jc w:val="center"/>
              <w:rPr>
                <w:rFonts w:cstheme="minorHAnsi"/>
                <w:b/>
                <w:szCs w:val="18"/>
              </w:rPr>
            </w:pPr>
            <w:r w:rsidRPr="00DD2BB0">
              <w:rPr>
                <w:rFonts w:cstheme="minorHAnsi"/>
                <w:b/>
                <w:szCs w:val="18"/>
              </w:rPr>
              <w:t>SA</w:t>
            </w:r>
          </w:p>
        </w:tc>
        <w:tc>
          <w:tcPr>
            <w:tcW w:w="441" w:type="pct"/>
            <w:shd w:val="clear" w:color="auto" w:fill="86D3F2" w:themeFill="background2" w:themeFillTint="66"/>
          </w:tcPr>
          <w:p w14:paraId="5465435F" w14:textId="77777777" w:rsidR="00EB6106" w:rsidRPr="00DD2BB0" w:rsidRDefault="00EB6106" w:rsidP="000E7D5C">
            <w:pPr>
              <w:pStyle w:val="Normal-beforebullets"/>
              <w:jc w:val="center"/>
              <w:rPr>
                <w:rFonts w:cstheme="minorHAnsi"/>
                <w:b/>
                <w:szCs w:val="18"/>
              </w:rPr>
            </w:pPr>
            <w:r w:rsidRPr="00DD2BB0">
              <w:rPr>
                <w:rFonts w:cstheme="minorHAnsi"/>
                <w:b/>
                <w:szCs w:val="18"/>
              </w:rPr>
              <w:t>WA</w:t>
            </w:r>
          </w:p>
        </w:tc>
        <w:tc>
          <w:tcPr>
            <w:tcW w:w="441" w:type="pct"/>
            <w:shd w:val="clear" w:color="auto" w:fill="86D3F2" w:themeFill="background2" w:themeFillTint="66"/>
          </w:tcPr>
          <w:p w14:paraId="4BD677D7" w14:textId="77777777" w:rsidR="00EB6106" w:rsidRPr="00DD2BB0" w:rsidRDefault="00EB6106" w:rsidP="000E7D5C">
            <w:pPr>
              <w:pStyle w:val="Normal-beforebullets"/>
              <w:jc w:val="center"/>
              <w:rPr>
                <w:rFonts w:cstheme="minorHAnsi"/>
                <w:b/>
                <w:szCs w:val="18"/>
              </w:rPr>
            </w:pPr>
            <w:r w:rsidRPr="00DD2BB0">
              <w:rPr>
                <w:rFonts w:cstheme="minorHAnsi"/>
                <w:b/>
                <w:szCs w:val="18"/>
              </w:rPr>
              <w:t>Tas</w:t>
            </w:r>
          </w:p>
        </w:tc>
        <w:tc>
          <w:tcPr>
            <w:tcW w:w="441" w:type="pct"/>
            <w:shd w:val="clear" w:color="auto" w:fill="86D3F2" w:themeFill="background2" w:themeFillTint="66"/>
          </w:tcPr>
          <w:p w14:paraId="7DC05542" w14:textId="77777777" w:rsidR="00EB6106" w:rsidRPr="00DD2BB0" w:rsidRDefault="00EB6106" w:rsidP="000E7D5C">
            <w:pPr>
              <w:pStyle w:val="Normal-beforebullets"/>
              <w:jc w:val="center"/>
              <w:rPr>
                <w:rFonts w:cstheme="minorHAnsi"/>
                <w:b/>
                <w:szCs w:val="18"/>
              </w:rPr>
            </w:pPr>
            <w:r w:rsidRPr="00DD2BB0">
              <w:rPr>
                <w:rFonts w:cstheme="minorHAnsi"/>
                <w:b/>
                <w:szCs w:val="18"/>
              </w:rPr>
              <w:t>NT</w:t>
            </w:r>
          </w:p>
        </w:tc>
        <w:tc>
          <w:tcPr>
            <w:tcW w:w="473" w:type="pct"/>
            <w:tcBorders>
              <w:right w:val="single" w:sz="2" w:space="0" w:color="auto"/>
            </w:tcBorders>
            <w:shd w:val="clear" w:color="auto" w:fill="86D3F2" w:themeFill="background2" w:themeFillTint="66"/>
          </w:tcPr>
          <w:p w14:paraId="5693C33B" w14:textId="77777777" w:rsidR="00EB6106" w:rsidRPr="00DD2BB0" w:rsidRDefault="00EB6106" w:rsidP="000E7D5C">
            <w:pPr>
              <w:pStyle w:val="Normal-beforebullets"/>
              <w:jc w:val="center"/>
              <w:rPr>
                <w:rFonts w:cstheme="minorHAnsi"/>
                <w:b/>
                <w:szCs w:val="18"/>
              </w:rPr>
            </w:pPr>
            <w:r w:rsidRPr="00DD2BB0">
              <w:rPr>
                <w:rFonts w:cstheme="minorHAnsi"/>
                <w:b/>
                <w:szCs w:val="18"/>
              </w:rPr>
              <w:t>ACT</w:t>
            </w:r>
          </w:p>
        </w:tc>
        <w:tc>
          <w:tcPr>
            <w:tcW w:w="472" w:type="pct"/>
            <w:tcBorders>
              <w:top w:val="nil"/>
              <w:left w:val="single" w:sz="2" w:space="0" w:color="auto"/>
              <w:right w:val="single" w:sz="2" w:space="0" w:color="auto"/>
            </w:tcBorders>
            <w:shd w:val="clear" w:color="auto" w:fill="86D3F2" w:themeFill="background2" w:themeFillTint="66"/>
          </w:tcPr>
          <w:p w14:paraId="7DB58AD1" w14:textId="77777777" w:rsidR="00EB6106" w:rsidRPr="00DD2BB0" w:rsidRDefault="00EB6106" w:rsidP="000E7D5C">
            <w:pPr>
              <w:pStyle w:val="Normal-beforebullets"/>
              <w:jc w:val="center"/>
              <w:rPr>
                <w:rFonts w:cstheme="minorHAnsi"/>
                <w:b/>
                <w:szCs w:val="18"/>
              </w:rPr>
            </w:pPr>
            <w:r>
              <w:rPr>
                <w:rFonts w:cstheme="minorHAnsi"/>
                <w:b/>
                <w:szCs w:val="18"/>
              </w:rPr>
              <w:t>Total</w:t>
            </w:r>
          </w:p>
        </w:tc>
      </w:tr>
      <w:tr w:rsidR="009A6169" w:rsidRPr="00DD2BB0" w14:paraId="041B864D" w14:textId="77777777" w:rsidTr="009A6169">
        <w:trPr>
          <w:trHeight w:val="227"/>
        </w:trPr>
        <w:tc>
          <w:tcPr>
            <w:tcW w:w="936" w:type="pct"/>
            <w:tcBorders>
              <w:left w:val="single" w:sz="2" w:space="0" w:color="auto"/>
              <w:right w:val="single" w:sz="2" w:space="0" w:color="auto"/>
            </w:tcBorders>
            <w:shd w:val="clear" w:color="auto" w:fill="C2E9F8" w:themeFill="background2" w:themeFillTint="33"/>
          </w:tcPr>
          <w:p w14:paraId="3E8C4A1E" w14:textId="77777777" w:rsidR="00EB6106" w:rsidRPr="00AD220F" w:rsidRDefault="00EB6106" w:rsidP="000E7D5C">
            <w:pPr>
              <w:spacing w:after="0"/>
              <w:contextualSpacing/>
              <w:rPr>
                <w:rFonts w:cstheme="minorHAnsi"/>
                <w:b/>
                <w:color w:val="000000"/>
                <w:szCs w:val="18"/>
              </w:rPr>
            </w:pPr>
            <w:r w:rsidRPr="00AD220F">
              <w:rPr>
                <w:rFonts w:cstheme="minorHAnsi"/>
                <w:b/>
                <w:color w:val="000000"/>
                <w:szCs w:val="18"/>
              </w:rPr>
              <w:t>Total</w:t>
            </w:r>
          </w:p>
        </w:tc>
        <w:tc>
          <w:tcPr>
            <w:tcW w:w="451" w:type="pct"/>
            <w:tcBorders>
              <w:left w:val="single" w:sz="2" w:space="0" w:color="auto"/>
            </w:tcBorders>
            <w:shd w:val="clear" w:color="auto" w:fill="C2E9F8" w:themeFill="background2" w:themeFillTint="33"/>
            <w:vAlign w:val="center"/>
          </w:tcPr>
          <w:p w14:paraId="27043BDD"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14</w:t>
            </w:r>
          </w:p>
        </w:tc>
        <w:tc>
          <w:tcPr>
            <w:tcW w:w="451" w:type="pct"/>
            <w:shd w:val="clear" w:color="auto" w:fill="C2E9F8" w:themeFill="background2" w:themeFillTint="33"/>
            <w:vAlign w:val="center"/>
          </w:tcPr>
          <w:p w14:paraId="68795464"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12</w:t>
            </w:r>
          </w:p>
        </w:tc>
        <w:tc>
          <w:tcPr>
            <w:tcW w:w="447" w:type="pct"/>
            <w:shd w:val="clear" w:color="auto" w:fill="C2E9F8" w:themeFill="background2" w:themeFillTint="33"/>
            <w:vAlign w:val="center"/>
          </w:tcPr>
          <w:p w14:paraId="11A768A2"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4</w:t>
            </w:r>
          </w:p>
        </w:tc>
        <w:tc>
          <w:tcPr>
            <w:tcW w:w="447" w:type="pct"/>
            <w:shd w:val="clear" w:color="auto" w:fill="C2E9F8" w:themeFill="background2" w:themeFillTint="33"/>
            <w:vAlign w:val="center"/>
          </w:tcPr>
          <w:p w14:paraId="5E65BC55"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0</w:t>
            </w:r>
          </w:p>
        </w:tc>
        <w:tc>
          <w:tcPr>
            <w:tcW w:w="441" w:type="pct"/>
            <w:shd w:val="clear" w:color="auto" w:fill="C2E9F8" w:themeFill="background2" w:themeFillTint="33"/>
            <w:vAlign w:val="center"/>
          </w:tcPr>
          <w:p w14:paraId="7FF6EC88"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6</w:t>
            </w:r>
          </w:p>
        </w:tc>
        <w:tc>
          <w:tcPr>
            <w:tcW w:w="441" w:type="pct"/>
            <w:shd w:val="clear" w:color="auto" w:fill="C2E9F8" w:themeFill="background2" w:themeFillTint="33"/>
            <w:vAlign w:val="center"/>
          </w:tcPr>
          <w:p w14:paraId="3EDD0D93"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0</w:t>
            </w:r>
          </w:p>
        </w:tc>
        <w:tc>
          <w:tcPr>
            <w:tcW w:w="441" w:type="pct"/>
            <w:shd w:val="clear" w:color="auto" w:fill="C2E9F8" w:themeFill="background2" w:themeFillTint="33"/>
            <w:vAlign w:val="center"/>
          </w:tcPr>
          <w:p w14:paraId="415E9718"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0</w:t>
            </w:r>
          </w:p>
        </w:tc>
        <w:tc>
          <w:tcPr>
            <w:tcW w:w="473" w:type="pct"/>
            <w:tcBorders>
              <w:right w:val="single" w:sz="2" w:space="0" w:color="auto"/>
            </w:tcBorders>
            <w:shd w:val="clear" w:color="auto" w:fill="C2E9F8" w:themeFill="background2" w:themeFillTint="33"/>
            <w:vAlign w:val="center"/>
          </w:tcPr>
          <w:p w14:paraId="64D753A0"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1</w:t>
            </w:r>
          </w:p>
        </w:tc>
        <w:tc>
          <w:tcPr>
            <w:tcW w:w="472" w:type="pct"/>
            <w:tcBorders>
              <w:left w:val="single" w:sz="2" w:space="0" w:color="auto"/>
              <w:right w:val="single" w:sz="2" w:space="0" w:color="auto"/>
            </w:tcBorders>
            <w:shd w:val="clear" w:color="auto" w:fill="C2E9F8" w:themeFill="background2" w:themeFillTint="33"/>
            <w:vAlign w:val="center"/>
          </w:tcPr>
          <w:p w14:paraId="33B00E26" w14:textId="77777777" w:rsidR="00EB6106" w:rsidRPr="0027438E" w:rsidRDefault="00EB6106" w:rsidP="000E7D5C">
            <w:pPr>
              <w:spacing w:after="0"/>
              <w:contextualSpacing/>
              <w:jc w:val="center"/>
              <w:rPr>
                <w:rFonts w:cs="Arial"/>
                <w:b/>
                <w:bCs/>
                <w:color w:val="auto"/>
                <w:szCs w:val="18"/>
              </w:rPr>
            </w:pPr>
            <w:r w:rsidRPr="0027438E">
              <w:rPr>
                <w:rFonts w:cs="Arial"/>
                <w:b/>
                <w:bCs/>
                <w:color w:val="auto"/>
                <w:szCs w:val="18"/>
              </w:rPr>
              <w:t>37</w:t>
            </w:r>
          </w:p>
        </w:tc>
      </w:tr>
      <w:tr w:rsidR="00EB6106" w:rsidRPr="00DD2BB0" w14:paraId="16C2A87E" w14:textId="77777777" w:rsidTr="00965BD6">
        <w:trPr>
          <w:trHeight w:val="227"/>
        </w:trPr>
        <w:tc>
          <w:tcPr>
            <w:tcW w:w="936" w:type="pct"/>
            <w:tcBorders>
              <w:left w:val="single" w:sz="2" w:space="0" w:color="auto"/>
              <w:right w:val="single" w:sz="2" w:space="0" w:color="auto"/>
            </w:tcBorders>
          </w:tcPr>
          <w:p w14:paraId="2EFBD7D2" w14:textId="77777777" w:rsidR="00EB6106" w:rsidRPr="00BD10A4" w:rsidRDefault="00EB6106" w:rsidP="000E7D5C">
            <w:pPr>
              <w:spacing w:after="0"/>
              <w:contextualSpacing/>
              <w:rPr>
                <w:rFonts w:cstheme="minorHAnsi"/>
                <w:color w:val="000000"/>
                <w:szCs w:val="18"/>
              </w:rPr>
            </w:pPr>
            <w:r w:rsidRPr="00DD2BB0">
              <w:rPr>
                <w:rFonts w:cstheme="minorHAnsi"/>
                <w:szCs w:val="18"/>
              </w:rPr>
              <w:t>Public hospital</w:t>
            </w:r>
          </w:p>
        </w:tc>
        <w:tc>
          <w:tcPr>
            <w:tcW w:w="451" w:type="pct"/>
            <w:tcBorders>
              <w:left w:val="single" w:sz="2" w:space="0" w:color="auto"/>
            </w:tcBorders>
            <w:vAlign w:val="center"/>
          </w:tcPr>
          <w:p w14:paraId="0E934E56"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14</w:t>
            </w:r>
          </w:p>
        </w:tc>
        <w:tc>
          <w:tcPr>
            <w:tcW w:w="451" w:type="pct"/>
            <w:vAlign w:val="center"/>
          </w:tcPr>
          <w:p w14:paraId="4430F1D0"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11</w:t>
            </w:r>
          </w:p>
        </w:tc>
        <w:tc>
          <w:tcPr>
            <w:tcW w:w="447" w:type="pct"/>
            <w:vAlign w:val="center"/>
          </w:tcPr>
          <w:p w14:paraId="24B997B9"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4</w:t>
            </w:r>
          </w:p>
        </w:tc>
        <w:tc>
          <w:tcPr>
            <w:tcW w:w="447" w:type="pct"/>
            <w:vAlign w:val="center"/>
          </w:tcPr>
          <w:p w14:paraId="7EFE61E7"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7FFEE8FA"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5</w:t>
            </w:r>
          </w:p>
        </w:tc>
        <w:tc>
          <w:tcPr>
            <w:tcW w:w="441" w:type="pct"/>
            <w:vAlign w:val="center"/>
          </w:tcPr>
          <w:p w14:paraId="713CCE01"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44B80110"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3" w:type="pct"/>
            <w:tcBorders>
              <w:right w:val="single" w:sz="2" w:space="0" w:color="auto"/>
            </w:tcBorders>
            <w:vAlign w:val="center"/>
          </w:tcPr>
          <w:p w14:paraId="620D90A9"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w:t>
            </w:r>
          </w:p>
        </w:tc>
        <w:tc>
          <w:tcPr>
            <w:tcW w:w="472" w:type="pct"/>
            <w:tcBorders>
              <w:left w:val="single" w:sz="2" w:space="0" w:color="auto"/>
              <w:right w:val="single" w:sz="2" w:space="0" w:color="auto"/>
            </w:tcBorders>
            <w:vAlign w:val="center"/>
          </w:tcPr>
          <w:p w14:paraId="3D739908"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35</w:t>
            </w:r>
          </w:p>
        </w:tc>
      </w:tr>
      <w:tr w:rsidR="00EB6106" w:rsidRPr="00DD2BB0" w14:paraId="48348783" w14:textId="77777777" w:rsidTr="00965BD6">
        <w:trPr>
          <w:trHeight w:val="227"/>
        </w:trPr>
        <w:tc>
          <w:tcPr>
            <w:tcW w:w="936" w:type="pct"/>
            <w:tcBorders>
              <w:left w:val="single" w:sz="2" w:space="0" w:color="auto"/>
              <w:right w:val="single" w:sz="2" w:space="0" w:color="auto"/>
            </w:tcBorders>
          </w:tcPr>
          <w:p w14:paraId="44C6A26B" w14:textId="77777777" w:rsidR="00EB6106" w:rsidRPr="00BD10A4" w:rsidRDefault="00EB6106" w:rsidP="000E7D5C">
            <w:pPr>
              <w:spacing w:after="0"/>
              <w:contextualSpacing/>
              <w:rPr>
                <w:rFonts w:cstheme="minorHAnsi"/>
                <w:color w:val="000000"/>
                <w:szCs w:val="18"/>
              </w:rPr>
            </w:pPr>
            <w:r w:rsidRPr="00DD2BB0">
              <w:rPr>
                <w:rFonts w:cstheme="minorHAnsi"/>
                <w:szCs w:val="18"/>
              </w:rPr>
              <w:t>Private hospital</w:t>
            </w:r>
          </w:p>
        </w:tc>
        <w:tc>
          <w:tcPr>
            <w:tcW w:w="451" w:type="pct"/>
            <w:tcBorders>
              <w:left w:val="single" w:sz="2" w:space="0" w:color="auto"/>
            </w:tcBorders>
            <w:vAlign w:val="center"/>
          </w:tcPr>
          <w:p w14:paraId="1351C900"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51" w:type="pct"/>
            <w:vAlign w:val="center"/>
          </w:tcPr>
          <w:p w14:paraId="4398CE94"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7" w:type="pct"/>
            <w:vAlign w:val="center"/>
          </w:tcPr>
          <w:p w14:paraId="5839EBD7"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7" w:type="pct"/>
            <w:vAlign w:val="center"/>
          </w:tcPr>
          <w:p w14:paraId="41197C69"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09C691CD"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w:t>
            </w:r>
          </w:p>
        </w:tc>
        <w:tc>
          <w:tcPr>
            <w:tcW w:w="441" w:type="pct"/>
            <w:vAlign w:val="center"/>
          </w:tcPr>
          <w:p w14:paraId="21D42E28"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63FB6F59"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3" w:type="pct"/>
            <w:tcBorders>
              <w:right w:val="single" w:sz="2" w:space="0" w:color="auto"/>
            </w:tcBorders>
            <w:vAlign w:val="center"/>
          </w:tcPr>
          <w:p w14:paraId="3FEB99BA"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2" w:type="pct"/>
            <w:tcBorders>
              <w:left w:val="single" w:sz="2" w:space="0" w:color="auto"/>
              <w:right w:val="single" w:sz="2" w:space="0" w:color="auto"/>
            </w:tcBorders>
            <w:vAlign w:val="center"/>
          </w:tcPr>
          <w:p w14:paraId="4C7539BB"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w:t>
            </w:r>
          </w:p>
        </w:tc>
      </w:tr>
      <w:tr w:rsidR="00EB6106" w:rsidRPr="00DD2BB0" w14:paraId="737199E3" w14:textId="77777777" w:rsidTr="00965BD6">
        <w:trPr>
          <w:trHeight w:val="227"/>
        </w:trPr>
        <w:tc>
          <w:tcPr>
            <w:tcW w:w="936" w:type="pct"/>
            <w:tcBorders>
              <w:left w:val="single" w:sz="2" w:space="0" w:color="auto"/>
              <w:right w:val="single" w:sz="2" w:space="0" w:color="auto"/>
            </w:tcBorders>
          </w:tcPr>
          <w:p w14:paraId="223F787F" w14:textId="77777777" w:rsidR="00EB6106" w:rsidRPr="00DD2BB0" w:rsidRDefault="00EB6106" w:rsidP="000E7D5C">
            <w:pPr>
              <w:spacing w:after="0"/>
              <w:contextualSpacing/>
              <w:rPr>
                <w:rFonts w:cstheme="minorHAnsi"/>
                <w:color w:val="000000"/>
                <w:szCs w:val="18"/>
              </w:rPr>
            </w:pPr>
            <w:r w:rsidRPr="00DD2BB0">
              <w:rPr>
                <w:rFonts w:cstheme="minorHAnsi"/>
                <w:szCs w:val="18"/>
              </w:rPr>
              <w:t>Aged care home</w:t>
            </w:r>
          </w:p>
        </w:tc>
        <w:tc>
          <w:tcPr>
            <w:tcW w:w="451" w:type="pct"/>
            <w:tcBorders>
              <w:left w:val="single" w:sz="2" w:space="0" w:color="auto"/>
            </w:tcBorders>
            <w:vAlign w:val="center"/>
          </w:tcPr>
          <w:p w14:paraId="77FE53AF"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51" w:type="pct"/>
            <w:vAlign w:val="center"/>
          </w:tcPr>
          <w:p w14:paraId="72DD5F93"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7" w:type="pct"/>
            <w:vAlign w:val="center"/>
          </w:tcPr>
          <w:p w14:paraId="31A8861C"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7" w:type="pct"/>
            <w:vAlign w:val="center"/>
          </w:tcPr>
          <w:p w14:paraId="292DB5D1"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59A4DE01"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24E5A65B"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192BAA4E"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3" w:type="pct"/>
            <w:tcBorders>
              <w:right w:val="single" w:sz="2" w:space="0" w:color="auto"/>
            </w:tcBorders>
            <w:vAlign w:val="center"/>
          </w:tcPr>
          <w:p w14:paraId="3B31437C"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2" w:type="pct"/>
            <w:tcBorders>
              <w:left w:val="single" w:sz="2" w:space="0" w:color="auto"/>
              <w:right w:val="single" w:sz="2" w:space="0" w:color="auto"/>
            </w:tcBorders>
            <w:vAlign w:val="center"/>
          </w:tcPr>
          <w:p w14:paraId="6BF6BB05"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r>
      <w:tr w:rsidR="00EB6106" w:rsidRPr="00DD2BB0" w14:paraId="326D4016" w14:textId="77777777" w:rsidTr="00965BD6">
        <w:trPr>
          <w:trHeight w:val="227"/>
        </w:trPr>
        <w:tc>
          <w:tcPr>
            <w:tcW w:w="936" w:type="pct"/>
            <w:tcBorders>
              <w:left w:val="single" w:sz="2" w:space="0" w:color="auto"/>
              <w:right w:val="single" w:sz="2" w:space="0" w:color="auto"/>
            </w:tcBorders>
          </w:tcPr>
          <w:p w14:paraId="68298908" w14:textId="77777777" w:rsidR="00EB6106" w:rsidRPr="00DD2BB0" w:rsidRDefault="00EB6106" w:rsidP="000E7D5C">
            <w:pPr>
              <w:spacing w:after="0"/>
              <w:contextualSpacing/>
              <w:rPr>
                <w:rFonts w:cstheme="minorHAnsi"/>
                <w:color w:val="000000"/>
                <w:szCs w:val="18"/>
              </w:rPr>
            </w:pPr>
            <w:r w:rsidRPr="00DD2BB0">
              <w:rPr>
                <w:rFonts w:cstheme="minorHAnsi"/>
                <w:szCs w:val="18"/>
              </w:rPr>
              <w:t>Community</w:t>
            </w:r>
          </w:p>
        </w:tc>
        <w:tc>
          <w:tcPr>
            <w:tcW w:w="451" w:type="pct"/>
            <w:tcBorders>
              <w:left w:val="single" w:sz="2" w:space="0" w:color="auto"/>
            </w:tcBorders>
            <w:vAlign w:val="center"/>
          </w:tcPr>
          <w:p w14:paraId="1C7AE395"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51" w:type="pct"/>
            <w:vAlign w:val="center"/>
          </w:tcPr>
          <w:p w14:paraId="31797F48"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w:t>
            </w:r>
          </w:p>
        </w:tc>
        <w:tc>
          <w:tcPr>
            <w:tcW w:w="447" w:type="pct"/>
            <w:vAlign w:val="center"/>
          </w:tcPr>
          <w:p w14:paraId="1D14B0D2"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7" w:type="pct"/>
            <w:vAlign w:val="center"/>
          </w:tcPr>
          <w:p w14:paraId="3DD01C97"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73E59E73"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4AFC9A90"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41" w:type="pct"/>
            <w:vAlign w:val="center"/>
          </w:tcPr>
          <w:p w14:paraId="57C258A8"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3" w:type="pct"/>
            <w:tcBorders>
              <w:right w:val="single" w:sz="2" w:space="0" w:color="auto"/>
            </w:tcBorders>
            <w:vAlign w:val="center"/>
          </w:tcPr>
          <w:p w14:paraId="55D016C5"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0</w:t>
            </w:r>
          </w:p>
        </w:tc>
        <w:tc>
          <w:tcPr>
            <w:tcW w:w="472" w:type="pct"/>
            <w:tcBorders>
              <w:left w:val="single" w:sz="2" w:space="0" w:color="auto"/>
              <w:right w:val="single" w:sz="2" w:space="0" w:color="auto"/>
            </w:tcBorders>
            <w:vAlign w:val="center"/>
          </w:tcPr>
          <w:p w14:paraId="2B06796E" w14:textId="77777777" w:rsidR="00EB6106" w:rsidRPr="0027438E" w:rsidRDefault="00EB6106" w:rsidP="000E7D5C">
            <w:pPr>
              <w:spacing w:after="0"/>
              <w:contextualSpacing/>
              <w:jc w:val="center"/>
              <w:rPr>
                <w:rFonts w:cs="Arial"/>
                <w:color w:val="auto"/>
                <w:szCs w:val="18"/>
              </w:rPr>
            </w:pPr>
            <w:r w:rsidRPr="0027438E">
              <w:rPr>
                <w:rFonts w:cs="Arial"/>
                <w:color w:val="auto"/>
                <w:szCs w:val="18"/>
              </w:rPr>
              <w:t>1</w:t>
            </w:r>
          </w:p>
        </w:tc>
      </w:tr>
    </w:tbl>
    <w:p w14:paraId="547B7A77" w14:textId="77777777" w:rsidR="00EB6106" w:rsidRPr="00201BC7" w:rsidRDefault="00EB6106" w:rsidP="00EB6106">
      <w:pPr>
        <w:pStyle w:val="Heading3"/>
        <w:rPr>
          <w:i/>
        </w:rPr>
      </w:pPr>
      <w:bookmarkStart w:id="14" w:name="_Toc166585575"/>
      <w:r w:rsidRPr="00201BC7">
        <w:rPr>
          <w:i/>
          <w:iCs w:val="0"/>
        </w:rPr>
        <w:t>Candida auris</w:t>
      </w:r>
      <w:bookmarkEnd w:id="14"/>
    </w:p>
    <w:p w14:paraId="20160C9C" w14:textId="1DDDAB71" w:rsidR="00EB6106" w:rsidRPr="007C2F6C" w:rsidRDefault="00EB6106" w:rsidP="00EB6106">
      <w:pPr>
        <w:pStyle w:val="Bulletlist"/>
        <w:ind w:left="0" w:firstLine="0"/>
        <w:rPr>
          <w:color w:val="auto"/>
        </w:rPr>
      </w:pPr>
      <w:r w:rsidRPr="007C2F6C">
        <w:rPr>
          <w:i/>
          <w:iCs/>
          <w:color w:val="auto"/>
        </w:rPr>
        <w:t>C. auris</w:t>
      </w:r>
      <w:r w:rsidRPr="007C2F6C">
        <w:rPr>
          <w:color w:val="auto"/>
        </w:rPr>
        <w:t xml:space="preserve"> is an emerging MDR </w:t>
      </w:r>
      <w:r w:rsidRPr="007C2F6C">
        <w:rPr>
          <w:i/>
          <w:iCs/>
          <w:color w:val="auto"/>
        </w:rPr>
        <w:t>Candida</w:t>
      </w:r>
      <w:r w:rsidRPr="007C2F6C">
        <w:rPr>
          <w:color w:val="auto"/>
        </w:rPr>
        <w:t xml:space="preserve"> species that has been associated with international outbreaks of invasive infections in healthcare facilities. Reporting to CARAlert for </w:t>
      </w:r>
      <w:r w:rsidRPr="007C2F6C">
        <w:rPr>
          <w:i/>
          <w:iCs/>
          <w:color w:val="auto"/>
        </w:rPr>
        <w:t>C. auris</w:t>
      </w:r>
      <w:r w:rsidRPr="007C2F6C">
        <w:rPr>
          <w:color w:val="auto"/>
        </w:rPr>
        <w:t xml:space="preserve"> began in July 2019.</w:t>
      </w:r>
    </w:p>
    <w:p w14:paraId="08EE8D4C" w14:textId="14394B56" w:rsidR="00EB6106" w:rsidRPr="004B52E4" w:rsidRDefault="00EB6106" w:rsidP="00EB6106">
      <w:pPr>
        <w:pStyle w:val="Bulletlist"/>
        <w:ind w:left="0" w:firstLine="0"/>
        <w:rPr>
          <w:color w:val="auto"/>
        </w:rPr>
      </w:pPr>
      <w:r w:rsidRPr="007C2F6C">
        <w:rPr>
          <w:color w:val="auto"/>
        </w:rPr>
        <w:t>In 202</w:t>
      </w:r>
      <w:r>
        <w:rPr>
          <w:color w:val="auto"/>
        </w:rPr>
        <w:t>3</w:t>
      </w:r>
      <w:r w:rsidRPr="007C2F6C">
        <w:rPr>
          <w:color w:val="auto"/>
        </w:rPr>
        <w:t xml:space="preserve">, </w:t>
      </w:r>
      <w:r w:rsidRPr="003C65F6">
        <w:t xml:space="preserve">reports of </w:t>
      </w:r>
      <w:r w:rsidRPr="004B52E4">
        <w:rPr>
          <w:i/>
          <w:iCs/>
        </w:rPr>
        <w:t>C. </w:t>
      </w:r>
      <w:r w:rsidRPr="004B52E4">
        <w:rPr>
          <w:i/>
          <w:iCs/>
          <w:color w:val="auto"/>
        </w:rPr>
        <w:t xml:space="preserve">auris </w:t>
      </w:r>
      <w:r w:rsidRPr="004B52E4">
        <w:rPr>
          <w:color w:val="auto"/>
        </w:rPr>
        <w:t>(</w:t>
      </w:r>
      <w:r w:rsidRPr="004B52E4">
        <w:rPr>
          <w:i/>
          <w:iCs/>
          <w:color w:val="auto"/>
        </w:rPr>
        <w:t>n </w:t>
      </w:r>
      <w:r w:rsidRPr="004B52E4">
        <w:rPr>
          <w:color w:val="auto"/>
        </w:rPr>
        <w:t>= 17)</w:t>
      </w:r>
      <w:r w:rsidRPr="004B52E4">
        <w:rPr>
          <w:i/>
          <w:iCs/>
          <w:color w:val="auto"/>
        </w:rPr>
        <w:t xml:space="preserve"> </w:t>
      </w:r>
      <w:r w:rsidRPr="004B52E4">
        <w:rPr>
          <w:color w:val="auto"/>
        </w:rPr>
        <w:t xml:space="preserve">increased by 88.9% compared to </w:t>
      </w:r>
      <w:r w:rsidR="005752A5" w:rsidRPr="004B52E4">
        <w:rPr>
          <w:color w:val="auto"/>
        </w:rPr>
        <w:t>202</w:t>
      </w:r>
      <w:r w:rsidR="005752A5">
        <w:rPr>
          <w:color w:val="auto"/>
        </w:rPr>
        <w:t>2</w:t>
      </w:r>
      <w:r w:rsidR="005752A5" w:rsidRPr="004B52E4">
        <w:rPr>
          <w:color w:val="auto"/>
        </w:rPr>
        <w:t xml:space="preserve"> </w:t>
      </w:r>
      <w:r w:rsidRPr="004B52E4">
        <w:rPr>
          <w:color w:val="auto"/>
        </w:rPr>
        <w:t>(</w:t>
      </w:r>
      <w:r w:rsidRPr="004B52E4">
        <w:rPr>
          <w:i/>
          <w:iCs/>
          <w:color w:val="auto"/>
        </w:rPr>
        <w:t>n </w:t>
      </w:r>
      <w:r w:rsidRPr="004B52E4">
        <w:rPr>
          <w:color w:val="auto"/>
        </w:rPr>
        <w:t>= 9) (Figure 5).</w:t>
      </w:r>
    </w:p>
    <w:p w14:paraId="5D2F902D" w14:textId="65F77E29" w:rsidR="00EB6106" w:rsidRDefault="00EB6106" w:rsidP="00DB03BF">
      <w:pPr>
        <w:pStyle w:val="Bulletlist"/>
        <w:ind w:left="0" w:firstLine="0"/>
        <w:rPr>
          <w:b/>
        </w:rPr>
      </w:pPr>
      <w:r w:rsidRPr="007C2F6C">
        <w:rPr>
          <w:i/>
          <w:iCs/>
          <w:color w:val="auto"/>
        </w:rPr>
        <w:t>C. auris</w:t>
      </w:r>
      <w:r w:rsidRPr="007C2F6C">
        <w:rPr>
          <w:color w:val="auto"/>
        </w:rPr>
        <w:t xml:space="preserve"> were </w:t>
      </w:r>
      <w:r w:rsidRPr="000F4F36">
        <w:rPr>
          <w:color w:val="auto"/>
        </w:rPr>
        <w:t xml:space="preserve">reported from all states except Tasmania: nine reports from WA, four reports from SA, two reports from Victoria, and one report each from NSW and Queensland. There </w:t>
      </w:r>
      <w:r w:rsidR="005752A5">
        <w:rPr>
          <w:color w:val="auto"/>
        </w:rPr>
        <w:t>were</w:t>
      </w:r>
      <w:r w:rsidRPr="000F4F36">
        <w:rPr>
          <w:color w:val="auto"/>
        </w:rPr>
        <w:t xml:space="preserve"> no reports from the ACT or the NT</w:t>
      </w:r>
      <w:r>
        <w:rPr>
          <w:color w:val="auto"/>
        </w:rPr>
        <w:t xml:space="preserve"> (Figure 6)</w:t>
      </w:r>
      <w:r w:rsidRPr="000F4F36">
        <w:rPr>
          <w:color w:val="auto"/>
        </w:rPr>
        <w:t>.</w:t>
      </w:r>
      <w:r>
        <w:br w:type="page"/>
      </w:r>
    </w:p>
    <w:p w14:paraId="04BAFB39" w14:textId="179D6ECB" w:rsidR="00EB6106" w:rsidRDefault="00EB6106" w:rsidP="00DB03BF">
      <w:pPr>
        <w:pStyle w:val="FigureTitle"/>
        <w:spacing w:after="0"/>
        <w:rPr>
          <w:b w:val="0"/>
          <w:bCs/>
        </w:rPr>
      </w:pPr>
      <w:r w:rsidRPr="00955DF9">
        <w:lastRenderedPageBreak/>
        <w:t>Figure 5:</w:t>
      </w:r>
      <w:r w:rsidRPr="004B52E4">
        <w:t xml:space="preserve"> </w:t>
      </w:r>
      <w:r w:rsidRPr="004B52E4">
        <w:rPr>
          <w:b w:val="0"/>
          <w:bCs/>
          <w:i/>
          <w:iCs/>
        </w:rPr>
        <w:t>Candida auris</w:t>
      </w:r>
      <w:r w:rsidRPr="004B52E4">
        <w:rPr>
          <w:b w:val="0"/>
          <w:bCs/>
          <w:i/>
        </w:rPr>
        <w:t>,</w:t>
      </w:r>
      <w:r w:rsidRPr="004D20C2">
        <w:rPr>
          <w:b w:val="0"/>
          <w:bCs/>
          <w:i/>
        </w:rPr>
        <w:t xml:space="preserve"> </w:t>
      </w:r>
      <w:r w:rsidRPr="004D20C2">
        <w:rPr>
          <w:b w:val="0"/>
          <w:bCs/>
        </w:rPr>
        <w:t xml:space="preserve">number reported to CARAlert by month, </w:t>
      </w:r>
      <w:r>
        <w:rPr>
          <w:b w:val="0"/>
          <w:bCs/>
        </w:rPr>
        <w:t xml:space="preserve">national, </w:t>
      </w:r>
      <w:r w:rsidRPr="004D20C2">
        <w:rPr>
          <w:b w:val="0"/>
          <w:bCs/>
        </w:rPr>
        <w:t>201</w:t>
      </w:r>
      <w:r>
        <w:rPr>
          <w:b w:val="0"/>
          <w:bCs/>
        </w:rPr>
        <w:t>9</w:t>
      </w:r>
      <w:r w:rsidRPr="004D20C2">
        <w:rPr>
          <w:b w:val="0"/>
          <w:bCs/>
        </w:rPr>
        <w:t>–202</w:t>
      </w:r>
      <w:r>
        <w:rPr>
          <w:b w:val="0"/>
          <w:bCs/>
        </w:rPr>
        <w:t>3</w:t>
      </w:r>
      <w:r w:rsidR="00500D72">
        <w:rPr>
          <w:b w:val="0"/>
          <w:bCs/>
          <w:noProof/>
        </w:rPr>
        <w:drawing>
          <wp:inline distT="0" distB="0" distL="0" distR="0" wp14:anchorId="0DB026AF" wp14:editId="619BE97A">
            <wp:extent cx="6118227" cy="3239224"/>
            <wp:effectExtent l="0" t="0" r="0" b="0"/>
            <wp:docPr id="24" name="Picture 2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pic:cNvPicPr/>
                  </pic:nvPicPr>
                  <pic:blipFill>
                    <a:blip r:embed="rId32"/>
                    <a:stretch>
                      <a:fillRect/>
                    </a:stretch>
                  </pic:blipFill>
                  <pic:spPr>
                    <a:xfrm>
                      <a:off x="0" y="0"/>
                      <a:ext cx="6118227" cy="3239224"/>
                    </a:xfrm>
                    <a:prstGeom prst="rect">
                      <a:avLst/>
                    </a:prstGeom>
                  </pic:spPr>
                </pic:pic>
              </a:graphicData>
            </a:graphic>
          </wp:inline>
        </w:drawing>
      </w:r>
    </w:p>
    <w:p w14:paraId="24225B96" w14:textId="15D8CE40" w:rsidR="00D24D35" w:rsidRPr="00D24D35" w:rsidRDefault="00D24D35" w:rsidP="00DB03BF">
      <w:pPr>
        <w:pStyle w:val="FigureTitle"/>
        <w:spacing w:after="0"/>
        <w:rPr>
          <w:b w:val="0"/>
        </w:rPr>
      </w:pPr>
      <w:r w:rsidRPr="00D24D35">
        <w:rPr>
          <w:b w:val="0"/>
          <w:sz w:val="16"/>
          <w:szCs w:val="16"/>
        </w:rPr>
        <w:t>Note: Reported from July 2019.</w:t>
      </w:r>
    </w:p>
    <w:p w14:paraId="314BC5C4" w14:textId="77777777" w:rsidR="00DB03BF" w:rsidRDefault="00DB03BF" w:rsidP="00EB6106">
      <w:pPr>
        <w:pStyle w:val="FigureTitle"/>
        <w:rPr>
          <w:b w:val="0"/>
          <w:bCs/>
        </w:rPr>
      </w:pPr>
    </w:p>
    <w:p w14:paraId="1FAD5ACB" w14:textId="3361B211" w:rsidR="00EB6106" w:rsidRDefault="00EB6106" w:rsidP="00EB6106">
      <w:pPr>
        <w:pStyle w:val="FigureTitle"/>
        <w:spacing w:after="0"/>
        <w:rPr>
          <w:b w:val="0"/>
          <w:bCs/>
          <w:iCs/>
        </w:rPr>
      </w:pPr>
      <w:r w:rsidRPr="004B52E4">
        <w:t xml:space="preserve">Figure 6: </w:t>
      </w:r>
      <w:r w:rsidRPr="004B52E4">
        <w:rPr>
          <w:b w:val="0"/>
          <w:bCs/>
          <w:i/>
          <w:iCs/>
        </w:rPr>
        <w:t>Candida auris</w:t>
      </w:r>
      <w:r w:rsidRPr="005750B3">
        <w:rPr>
          <w:b w:val="0"/>
          <w:bCs/>
          <w:iCs/>
        </w:rPr>
        <w:t>, number</w:t>
      </w:r>
      <w:r w:rsidRPr="005750B3">
        <w:rPr>
          <w:b w:val="0"/>
          <w:bCs/>
          <w:i/>
        </w:rPr>
        <w:t xml:space="preserve"> </w:t>
      </w:r>
      <w:r w:rsidRPr="005750B3">
        <w:rPr>
          <w:b w:val="0"/>
          <w:bCs/>
          <w:iCs/>
        </w:rPr>
        <w:t>reported</w:t>
      </w:r>
      <w:r w:rsidRPr="00E961B6">
        <w:rPr>
          <w:b w:val="0"/>
          <w:bCs/>
          <w:iCs/>
        </w:rPr>
        <w:t xml:space="preserve"> to CARAlert </w:t>
      </w:r>
      <w:r w:rsidRPr="005750B3">
        <w:rPr>
          <w:b w:val="0"/>
          <w:bCs/>
          <w:iCs/>
        </w:rPr>
        <w:t xml:space="preserve">by state and territory, </w:t>
      </w:r>
      <w:r w:rsidRPr="00D103A0">
        <w:rPr>
          <w:b w:val="0"/>
          <w:bCs/>
          <w:iCs/>
        </w:rPr>
        <w:t>201</w:t>
      </w:r>
      <w:r>
        <w:rPr>
          <w:b w:val="0"/>
          <w:bCs/>
          <w:iCs/>
        </w:rPr>
        <w:t>9</w:t>
      </w:r>
      <w:r w:rsidRPr="006C2F8C">
        <w:rPr>
          <w:b w:val="0"/>
          <w:bCs/>
          <w:iCs/>
        </w:rPr>
        <w:t>–</w:t>
      </w:r>
      <w:proofErr w:type="gramStart"/>
      <w:r w:rsidRPr="006C2F8C">
        <w:rPr>
          <w:b w:val="0"/>
          <w:bCs/>
          <w:iCs/>
        </w:rPr>
        <w:t>202</w:t>
      </w:r>
      <w:r>
        <w:rPr>
          <w:b w:val="0"/>
          <w:bCs/>
          <w:iCs/>
        </w:rPr>
        <w:t>3</w:t>
      </w:r>
      <w:proofErr w:type="gramEnd"/>
    </w:p>
    <w:p w14:paraId="5B9C4F12" w14:textId="246763E2" w:rsidR="00874087" w:rsidRDefault="00874087" w:rsidP="00EB6106">
      <w:pPr>
        <w:pStyle w:val="FigureTitle"/>
        <w:spacing w:after="0"/>
        <w:rPr>
          <w:b w:val="0"/>
          <w:bCs/>
          <w:iCs/>
        </w:rPr>
      </w:pPr>
      <w:r>
        <w:rPr>
          <w:b w:val="0"/>
          <w:bCs/>
          <w:iCs/>
          <w:noProof/>
        </w:rPr>
        <w:drawing>
          <wp:inline distT="0" distB="0" distL="0" distR="0" wp14:anchorId="5E2505AE" wp14:editId="45BA3EE7">
            <wp:extent cx="6120765" cy="3237230"/>
            <wp:effectExtent l="0" t="0" r="0" b="1270"/>
            <wp:docPr id="2" name="Picture 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237230"/>
                    </a:xfrm>
                    <a:prstGeom prst="rect">
                      <a:avLst/>
                    </a:prstGeom>
                    <a:noFill/>
                  </pic:spPr>
                </pic:pic>
              </a:graphicData>
            </a:graphic>
          </wp:inline>
        </w:drawing>
      </w:r>
    </w:p>
    <w:p w14:paraId="2361AAA9" w14:textId="77777777" w:rsidR="00D24D35" w:rsidRDefault="00EB6106" w:rsidP="00107A6E">
      <w:pPr>
        <w:spacing w:after="0"/>
        <w:rPr>
          <w:rStyle w:val="IntenseReference"/>
          <w:rFonts w:cs="Arial"/>
          <w:b w:val="0"/>
          <w:bCs w:val="0"/>
          <w:i w:val="0"/>
          <w:iCs/>
          <w:smallCaps w:val="0"/>
          <w:color w:val="auto"/>
          <w:sz w:val="16"/>
          <w:szCs w:val="16"/>
        </w:rPr>
      </w:pPr>
      <w:r w:rsidRPr="00107A6E">
        <w:rPr>
          <w:rStyle w:val="IntenseReference"/>
          <w:rFonts w:cs="Arial"/>
          <w:b w:val="0"/>
          <w:bCs w:val="0"/>
          <w:i w:val="0"/>
          <w:iCs/>
          <w:smallCaps w:val="0"/>
          <w:color w:val="auto"/>
          <w:sz w:val="16"/>
          <w:szCs w:val="16"/>
        </w:rPr>
        <w:t>Note</w:t>
      </w:r>
      <w:r w:rsidR="00D24D35">
        <w:rPr>
          <w:rStyle w:val="IntenseReference"/>
          <w:rFonts w:cs="Arial"/>
          <w:b w:val="0"/>
          <w:bCs w:val="0"/>
          <w:i w:val="0"/>
          <w:iCs/>
          <w:smallCaps w:val="0"/>
          <w:color w:val="auto"/>
          <w:sz w:val="16"/>
          <w:szCs w:val="16"/>
        </w:rPr>
        <w:t>s</w:t>
      </w:r>
      <w:r w:rsidRPr="00107A6E">
        <w:rPr>
          <w:rStyle w:val="IntenseReference"/>
          <w:rFonts w:cs="Arial"/>
          <w:b w:val="0"/>
          <w:bCs w:val="0"/>
          <w:i w:val="0"/>
          <w:iCs/>
          <w:smallCaps w:val="0"/>
          <w:color w:val="auto"/>
          <w:sz w:val="16"/>
          <w:szCs w:val="16"/>
        </w:rPr>
        <w:t>:</w:t>
      </w:r>
    </w:p>
    <w:p w14:paraId="65652373" w14:textId="04AFC3F0" w:rsidR="00D24D35" w:rsidRPr="00D24D35" w:rsidRDefault="00D24D35" w:rsidP="00D24D35">
      <w:pPr>
        <w:pStyle w:val="ListParagraph"/>
        <w:numPr>
          <w:ilvl w:val="0"/>
          <w:numId w:val="17"/>
        </w:numPr>
        <w:spacing w:before="0" w:after="0"/>
        <w:ind w:left="360"/>
        <w:rPr>
          <w:rStyle w:val="IntenseReference"/>
          <w:rFonts w:cs="Arial"/>
          <w:iCs/>
          <w:color w:val="auto"/>
          <w:sz w:val="16"/>
          <w:szCs w:val="16"/>
        </w:rPr>
      </w:pPr>
      <w:r>
        <w:rPr>
          <w:bCs/>
          <w:sz w:val="16"/>
          <w:szCs w:val="16"/>
        </w:rPr>
        <w:t>Reported from July 2019.</w:t>
      </w:r>
    </w:p>
    <w:p w14:paraId="5880D80A" w14:textId="5BF28412" w:rsidR="00EB6106" w:rsidRPr="00D24D35" w:rsidRDefault="00EB6106" w:rsidP="00D24D35">
      <w:pPr>
        <w:pStyle w:val="ListParagraph"/>
        <w:numPr>
          <w:ilvl w:val="0"/>
          <w:numId w:val="17"/>
        </w:numPr>
        <w:spacing w:before="0" w:after="0"/>
        <w:ind w:left="360"/>
        <w:rPr>
          <w:rFonts w:cs="Arial"/>
          <w:b/>
          <w:bCs/>
          <w:i/>
          <w:iCs/>
          <w:smallCaps/>
          <w:spacing w:val="5"/>
          <w:sz w:val="16"/>
          <w:szCs w:val="16"/>
        </w:rPr>
      </w:pPr>
      <w:r w:rsidRPr="00D24D35">
        <w:rPr>
          <w:rStyle w:val="IntenseReference"/>
          <w:rFonts w:cs="Arial"/>
          <w:b w:val="0"/>
          <w:bCs w:val="0"/>
          <w:i w:val="0"/>
          <w:iCs/>
          <w:smallCaps w:val="0"/>
          <w:color w:val="auto"/>
          <w:sz w:val="16"/>
          <w:szCs w:val="16"/>
        </w:rPr>
        <w:t>Dark bars indicate values for 2023.</w:t>
      </w:r>
    </w:p>
    <w:p w14:paraId="61ECDD9C" w14:textId="77777777" w:rsidR="00EB6106" w:rsidRPr="00201BC7" w:rsidRDefault="00EB6106" w:rsidP="00EB6106">
      <w:pPr>
        <w:pStyle w:val="Heading3"/>
      </w:pPr>
      <w:bookmarkStart w:id="15" w:name="_Toc166585576"/>
      <w:r w:rsidRPr="00201BC7">
        <w:rPr>
          <w:i/>
        </w:rPr>
        <w:t>Enterobacterales</w:t>
      </w:r>
      <w:bookmarkEnd w:id="15"/>
    </w:p>
    <w:p w14:paraId="56FE8BAD" w14:textId="1F90181A" w:rsidR="00EB6106" w:rsidRPr="00D61E75" w:rsidRDefault="00EB6106" w:rsidP="00EB6106">
      <w:r w:rsidRPr="00F004DD">
        <w:rPr>
          <w:iCs/>
        </w:rPr>
        <w:t xml:space="preserve">Infections of the urinary tract, biliary tract, intra-abdomen, and bloodstream are commonly </w:t>
      </w:r>
      <w:r w:rsidRPr="002B4227">
        <w:rPr>
          <w:iCs/>
        </w:rPr>
        <w:t xml:space="preserve">associated with </w:t>
      </w:r>
      <w:r w:rsidRPr="002B4227">
        <w:rPr>
          <w:i/>
        </w:rPr>
        <w:t>Enterobacterales</w:t>
      </w:r>
      <w:r w:rsidRPr="002B4227">
        <w:t xml:space="preserve">. </w:t>
      </w:r>
      <w:r w:rsidR="00F9754A" w:rsidRPr="002B4227">
        <w:t xml:space="preserve">Following a gradual decline from </w:t>
      </w:r>
      <w:r w:rsidRPr="002B4227">
        <w:t>2019 to 2021</w:t>
      </w:r>
      <w:r w:rsidR="00F9754A" w:rsidRPr="002B4227">
        <w:t>,</w:t>
      </w:r>
      <w:r w:rsidRPr="002B4227">
        <w:t xml:space="preserve"> there was an increase in the number of reports of carbapenemase- and/or ribosomal methyltransferase-producing </w:t>
      </w:r>
      <w:r w:rsidRPr="002B4227">
        <w:rPr>
          <w:i/>
        </w:rPr>
        <w:t>Enterobacterales</w:t>
      </w:r>
      <w:r w:rsidRPr="002B4227">
        <w:t xml:space="preserve"> </w:t>
      </w:r>
      <w:r w:rsidR="00F9754A" w:rsidRPr="002B4227">
        <w:t xml:space="preserve">in 2022, which continued into 2023 </w:t>
      </w:r>
      <w:r w:rsidRPr="002B4227">
        <w:t>(Figures 7 and 8). The</w:t>
      </w:r>
      <w:r w:rsidR="005932B6">
        <w:t>re were 1,205</w:t>
      </w:r>
      <w:r w:rsidRPr="002B4227">
        <w:t xml:space="preserve"> overall </w:t>
      </w:r>
      <w:r w:rsidR="005932B6">
        <w:t>reports</w:t>
      </w:r>
      <w:r w:rsidR="005932B6" w:rsidRPr="002B4227">
        <w:t xml:space="preserve"> </w:t>
      </w:r>
      <w:r w:rsidRPr="002B4227">
        <w:t xml:space="preserve">of CPE </w:t>
      </w:r>
      <w:r w:rsidR="00180170">
        <w:t xml:space="preserve">in </w:t>
      </w:r>
      <w:r w:rsidRPr="002B4227">
        <w:t>202</w:t>
      </w:r>
      <w:r w:rsidR="00F9754A" w:rsidRPr="002B4227">
        <w:t>3</w:t>
      </w:r>
      <w:r w:rsidR="00F169C8">
        <w:t>, which was an increase of 45.4%</w:t>
      </w:r>
      <w:r w:rsidRPr="002B4227">
        <w:t xml:space="preserve"> compared to 202</w:t>
      </w:r>
      <w:r w:rsidR="002B4227" w:rsidRPr="002B4227">
        <w:t>2</w:t>
      </w:r>
      <w:r w:rsidRPr="002B4227">
        <w:t xml:space="preserve"> </w:t>
      </w:r>
      <w:r w:rsidRPr="002B4227">
        <w:lastRenderedPageBreak/>
        <w:t>(</w:t>
      </w:r>
      <w:r w:rsidRPr="002B4227">
        <w:rPr>
          <w:i/>
          <w:iCs/>
        </w:rPr>
        <w:t>n</w:t>
      </w:r>
      <w:r w:rsidRPr="002B4227">
        <w:t> = </w:t>
      </w:r>
      <w:r w:rsidR="00F169C8">
        <w:t>82</w:t>
      </w:r>
      <w:r w:rsidR="003D052A">
        <w:t>9</w:t>
      </w:r>
      <w:r w:rsidRPr="002B4227">
        <w:t xml:space="preserve">); there were </w:t>
      </w:r>
      <w:r w:rsidR="002B4227" w:rsidRPr="002B4227">
        <w:t>60</w:t>
      </w:r>
      <w:r w:rsidR="007B6D81">
        <w:t>0</w:t>
      </w:r>
      <w:r w:rsidRPr="002B4227">
        <w:t xml:space="preserve"> reports in 20</w:t>
      </w:r>
      <w:r w:rsidR="002B4227" w:rsidRPr="002B4227">
        <w:t>21</w:t>
      </w:r>
      <w:r w:rsidRPr="002B4227">
        <w:t>. Reports from all states and territories increased or remained stable in 202</w:t>
      </w:r>
      <w:r w:rsidR="002B4227" w:rsidRPr="002B4227">
        <w:t>3</w:t>
      </w:r>
      <w:r w:rsidRPr="002B4227">
        <w:t xml:space="preserve"> (Figure </w:t>
      </w:r>
      <w:r w:rsidR="000B5A0A">
        <w:t>11</w:t>
      </w:r>
      <w:r w:rsidRPr="002B4227">
        <w:t>).</w:t>
      </w:r>
    </w:p>
    <w:p w14:paraId="7E415C29" w14:textId="3693D6D9" w:rsidR="00EB6106" w:rsidRPr="005E502B" w:rsidRDefault="00EB6106" w:rsidP="00EB6106">
      <w:pPr>
        <w:rPr>
          <w:lang w:val="en-GB"/>
        </w:rPr>
      </w:pPr>
      <w:r w:rsidRPr="005E502B">
        <w:rPr>
          <w:lang w:val="en-GB"/>
        </w:rPr>
        <w:t>Carbapenemases were found in 2</w:t>
      </w:r>
      <w:r w:rsidR="005E502B" w:rsidRPr="005E502B">
        <w:rPr>
          <w:lang w:val="en-GB"/>
        </w:rPr>
        <w:t>5</w:t>
      </w:r>
      <w:r w:rsidRPr="005E502B">
        <w:rPr>
          <w:lang w:val="en-GB"/>
        </w:rPr>
        <w:t xml:space="preserve"> species (1</w:t>
      </w:r>
      <w:r w:rsidR="005E502B" w:rsidRPr="005E502B">
        <w:rPr>
          <w:lang w:val="en-GB"/>
        </w:rPr>
        <w:t>2</w:t>
      </w:r>
      <w:r w:rsidRPr="005E502B">
        <w:rPr>
          <w:lang w:val="en-GB"/>
        </w:rPr>
        <w:t xml:space="preserve"> genera) of </w:t>
      </w:r>
      <w:r w:rsidRPr="005E502B">
        <w:rPr>
          <w:i/>
          <w:iCs/>
          <w:lang w:val="en-GB"/>
        </w:rPr>
        <w:t>Enterobacterales</w:t>
      </w:r>
      <w:r w:rsidRPr="005E502B">
        <w:rPr>
          <w:lang w:val="en-GB"/>
        </w:rPr>
        <w:t>, with eight carbapenemase types reported (Figure 9). Three carbapenemase types – IMP (4</w:t>
      </w:r>
      <w:r w:rsidR="005E502B" w:rsidRPr="005E502B">
        <w:rPr>
          <w:lang w:val="en-GB"/>
        </w:rPr>
        <w:t>61</w:t>
      </w:r>
      <w:r w:rsidRPr="005E502B">
        <w:rPr>
          <w:lang w:val="en-GB"/>
        </w:rPr>
        <w:t>/</w:t>
      </w:r>
      <w:r w:rsidR="005E502B" w:rsidRPr="005E502B">
        <w:rPr>
          <w:lang w:val="en-GB"/>
        </w:rPr>
        <w:t>1,205</w:t>
      </w:r>
      <w:r w:rsidRPr="005E502B">
        <w:rPr>
          <w:lang w:val="en-GB"/>
        </w:rPr>
        <w:t xml:space="preserve">, </w:t>
      </w:r>
      <w:r w:rsidR="000359B9">
        <w:rPr>
          <w:lang w:val="en-GB"/>
        </w:rPr>
        <w:t>38.3</w:t>
      </w:r>
      <w:r w:rsidRPr="005E502B">
        <w:rPr>
          <w:lang w:val="en-GB"/>
        </w:rPr>
        <w:t>%), NDM (</w:t>
      </w:r>
      <w:r w:rsidR="005E502B">
        <w:rPr>
          <w:lang w:val="en-GB"/>
        </w:rPr>
        <w:t>420</w:t>
      </w:r>
      <w:r w:rsidRPr="005E502B">
        <w:rPr>
          <w:lang w:val="en-GB"/>
        </w:rPr>
        <w:t>/</w:t>
      </w:r>
      <w:r w:rsidR="005E502B" w:rsidRPr="005E502B">
        <w:rPr>
          <w:lang w:val="en-GB"/>
        </w:rPr>
        <w:t>1,205</w:t>
      </w:r>
      <w:r w:rsidRPr="005E502B">
        <w:rPr>
          <w:lang w:val="en-GB"/>
        </w:rPr>
        <w:t xml:space="preserve">, </w:t>
      </w:r>
      <w:r w:rsidR="00913C3D">
        <w:rPr>
          <w:lang w:val="en-GB"/>
        </w:rPr>
        <w:t>3</w:t>
      </w:r>
      <w:r w:rsidR="000359B9">
        <w:rPr>
          <w:lang w:val="en-GB"/>
        </w:rPr>
        <w:t>4.9</w:t>
      </w:r>
      <w:r w:rsidRPr="005E502B">
        <w:rPr>
          <w:lang w:val="en-GB"/>
        </w:rPr>
        <w:t>%) and OXA-48-like (</w:t>
      </w:r>
      <w:r w:rsidR="005E502B">
        <w:rPr>
          <w:lang w:val="en-GB"/>
        </w:rPr>
        <w:t>1</w:t>
      </w:r>
      <w:r w:rsidR="00913C3D">
        <w:rPr>
          <w:lang w:val="en-GB"/>
        </w:rPr>
        <w:t>97</w:t>
      </w:r>
      <w:r w:rsidRPr="005E502B">
        <w:rPr>
          <w:lang w:val="en-GB"/>
        </w:rPr>
        <w:t>/</w:t>
      </w:r>
      <w:r w:rsidR="005E502B" w:rsidRPr="005E502B">
        <w:rPr>
          <w:lang w:val="en-GB"/>
        </w:rPr>
        <w:t>1,205</w:t>
      </w:r>
      <w:r w:rsidRPr="005E502B">
        <w:rPr>
          <w:lang w:val="en-GB"/>
        </w:rPr>
        <w:t xml:space="preserve">, </w:t>
      </w:r>
      <w:r w:rsidR="000359B9">
        <w:rPr>
          <w:lang w:val="en-GB"/>
        </w:rPr>
        <w:t>16.3</w:t>
      </w:r>
      <w:r w:rsidRPr="005E502B">
        <w:rPr>
          <w:lang w:val="en-GB"/>
        </w:rPr>
        <w:t xml:space="preserve">%) – when produced alone, accounted for </w:t>
      </w:r>
      <w:r w:rsidR="000359B9">
        <w:rPr>
          <w:lang w:val="en-GB"/>
        </w:rPr>
        <w:t>89</w:t>
      </w:r>
      <w:r w:rsidR="00913C3D">
        <w:rPr>
          <w:lang w:val="en-GB"/>
        </w:rPr>
        <w:t>.5</w:t>
      </w:r>
      <w:r w:rsidRPr="005E502B">
        <w:rPr>
          <w:lang w:val="en-GB"/>
        </w:rPr>
        <w:t>% (</w:t>
      </w:r>
      <w:r w:rsidR="00913C3D">
        <w:rPr>
          <w:lang w:val="en-GB"/>
        </w:rPr>
        <w:t>1,078</w:t>
      </w:r>
      <w:r w:rsidRPr="005E502B">
        <w:rPr>
          <w:lang w:val="en-GB"/>
        </w:rPr>
        <w:t>/</w:t>
      </w:r>
      <w:r w:rsidR="005E502B" w:rsidRPr="005E502B">
        <w:rPr>
          <w:lang w:val="en-GB"/>
        </w:rPr>
        <w:t>1,205</w:t>
      </w:r>
      <w:r w:rsidRPr="005E502B">
        <w:rPr>
          <w:lang w:val="en-GB"/>
        </w:rPr>
        <w:t xml:space="preserve">) of all </w:t>
      </w:r>
      <w:r w:rsidRPr="005E502B">
        <w:rPr>
          <w:i/>
          <w:iCs/>
          <w:lang w:val="en-GB"/>
        </w:rPr>
        <w:t>Enterobacterales</w:t>
      </w:r>
      <w:r w:rsidRPr="005E502B">
        <w:rPr>
          <w:lang w:val="en-GB"/>
        </w:rPr>
        <w:t xml:space="preserve"> with a confirmed carbapenemase.</w:t>
      </w:r>
    </w:p>
    <w:p w14:paraId="2C799BD0" w14:textId="5682A32C" w:rsidR="00EB6106" w:rsidRPr="00B67E80" w:rsidRDefault="00EB6106" w:rsidP="00EB6106">
      <w:pPr>
        <w:rPr>
          <w:lang w:val="en-GB"/>
        </w:rPr>
      </w:pPr>
      <w:r w:rsidRPr="00B67E80">
        <w:rPr>
          <w:lang w:val="en-GB"/>
        </w:rPr>
        <w:t xml:space="preserve">IMP types alone accounted for </w:t>
      </w:r>
      <w:r w:rsidR="000B5A0A" w:rsidRPr="00B67E80">
        <w:rPr>
          <w:lang w:val="en-GB"/>
        </w:rPr>
        <w:t>38.3</w:t>
      </w:r>
      <w:r w:rsidRPr="00B67E80">
        <w:rPr>
          <w:lang w:val="en-GB"/>
        </w:rPr>
        <w:t>% (</w:t>
      </w:r>
      <w:r w:rsidR="000B5A0A" w:rsidRPr="00B67E80">
        <w:rPr>
          <w:lang w:val="en-GB"/>
        </w:rPr>
        <w:t>461</w:t>
      </w:r>
      <w:r w:rsidRPr="00B67E80">
        <w:rPr>
          <w:lang w:val="en-GB"/>
        </w:rPr>
        <w:t>/</w:t>
      </w:r>
      <w:r w:rsidR="000B5A0A" w:rsidRPr="00B67E80">
        <w:rPr>
          <w:lang w:val="en-GB"/>
        </w:rPr>
        <w:t>1,205</w:t>
      </w:r>
      <w:r w:rsidRPr="00B67E80">
        <w:rPr>
          <w:lang w:val="en-GB"/>
        </w:rPr>
        <w:t xml:space="preserve">) of all </w:t>
      </w:r>
      <w:proofErr w:type="spellStart"/>
      <w:r w:rsidRPr="00B67E80">
        <w:rPr>
          <w:lang w:val="en-GB"/>
        </w:rPr>
        <w:t>carbapenemases</w:t>
      </w:r>
      <w:proofErr w:type="spellEnd"/>
      <w:r w:rsidRPr="00B67E80">
        <w:rPr>
          <w:lang w:val="en-GB"/>
        </w:rPr>
        <w:t>; they were found in 2</w:t>
      </w:r>
      <w:r w:rsidR="002042BE" w:rsidRPr="00B67E80">
        <w:rPr>
          <w:lang w:val="en-GB"/>
        </w:rPr>
        <w:t>2</w:t>
      </w:r>
      <w:r w:rsidRPr="00B67E80">
        <w:rPr>
          <w:lang w:val="en-GB"/>
        </w:rPr>
        <w:t xml:space="preserve"> different species (Figure 9). </w:t>
      </w:r>
      <w:r w:rsidRPr="00B67E80">
        <w:rPr>
          <w:rStyle w:val="Emphasis"/>
          <w:rFonts w:eastAsiaTheme="majorEastAsia"/>
          <w:lang w:val="en-GB"/>
        </w:rPr>
        <w:t>Enterobacter cloacae</w:t>
      </w:r>
      <w:r w:rsidRPr="00B67E80">
        <w:rPr>
          <w:lang w:val="en-GB"/>
        </w:rPr>
        <w:t xml:space="preserve"> complex accounted for </w:t>
      </w:r>
      <w:r w:rsidR="002042BE" w:rsidRPr="00B67E80">
        <w:rPr>
          <w:lang w:val="en-GB"/>
        </w:rPr>
        <w:t>48.2</w:t>
      </w:r>
      <w:r w:rsidRPr="00B67E80">
        <w:rPr>
          <w:lang w:val="en-GB"/>
        </w:rPr>
        <w:t>% (</w:t>
      </w:r>
      <w:r w:rsidR="00B67E80" w:rsidRPr="00B67E80">
        <w:rPr>
          <w:lang w:val="en-GB"/>
        </w:rPr>
        <w:t>222</w:t>
      </w:r>
      <w:r w:rsidRPr="00B67E80">
        <w:rPr>
          <w:lang w:val="en-GB"/>
        </w:rPr>
        <w:t>/</w:t>
      </w:r>
      <w:r w:rsidR="00B67E80" w:rsidRPr="00B67E80">
        <w:rPr>
          <w:lang w:val="en-GB"/>
        </w:rPr>
        <w:t>461</w:t>
      </w:r>
      <w:r w:rsidRPr="00B67E80">
        <w:rPr>
          <w:lang w:val="en-GB"/>
        </w:rPr>
        <w:t xml:space="preserve">) of all IMP types and </w:t>
      </w:r>
      <w:r w:rsidR="00B67E80" w:rsidRPr="00B67E80">
        <w:rPr>
          <w:lang w:val="en-GB"/>
        </w:rPr>
        <w:t>18.4</w:t>
      </w:r>
      <w:r w:rsidRPr="00B67E80">
        <w:rPr>
          <w:lang w:val="en-GB"/>
        </w:rPr>
        <w:t>% (</w:t>
      </w:r>
      <w:r w:rsidR="00B67E80" w:rsidRPr="00B67E80">
        <w:rPr>
          <w:lang w:val="en-GB"/>
        </w:rPr>
        <w:t>222</w:t>
      </w:r>
      <w:r w:rsidRPr="00B67E80">
        <w:rPr>
          <w:lang w:val="en-GB"/>
        </w:rPr>
        <w:t>/</w:t>
      </w:r>
      <w:r w:rsidR="00B67E80" w:rsidRPr="00B67E80">
        <w:rPr>
          <w:lang w:val="en-GB"/>
        </w:rPr>
        <w:t>1,205</w:t>
      </w:r>
      <w:r w:rsidRPr="00B67E80">
        <w:rPr>
          <w:lang w:val="en-GB"/>
        </w:rPr>
        <w:t>) of all CPE.</w:t>
      </w:r>
    </w:p>
    <w:p w14:paraId="505B4B69" w14:textId="25080B78" w:rsidR="00EB6106" w:rsidRPr="00F46AC5" w:rsidRDefault="00EB6106" w:rsidP="00340CF2">
      <w:pPr>
        <w:spacing w:before="0"/>
        <w:rPr>
          <w:lang w:val="en-GB"/>
        </w:rPr>
      </w:pPr>
      <w:r w:rsidRPr="00F46AC5">
        <w:rPr>
          <w:lang w:val="en-GB"/>
        </w:rPr>
        <w:t xml:space="preserve">NDM carbapenemase types were found mainly in </w:t>
      </w:r>
      <w:r w:rsidRPr="00F46AC5">
        <w:rPr>
          <w:i/>
          <w:iCs/>
          <w:lang w:val="en-GB"/>
        </w:rPr>
        <w:t>Escherichia</w:t>
      </w:r>
      <w:r w:rsidRPr="00F46AC5">
        <w:rPr>
          <w:lang w:val="en-GB"/>
        </w:rPr>
        <w:t xml:space="preserve"> </w:t>
      </w:r>
      <w:r w:rsidRPr="00F46AC5">
        <w:rPr>
          <w:rStyle w:val="Emphasis"/>
          <w:rFonts w:eastAsiaTheme="majorEastAsia"/>
          <w:lang w:val="en-GB"/>
        </w:rPr>
        <w:t>coli</w:t>
      </w:r>
      <w:r w:rsidRPr="00F46AC5">
        <w:rPr>
          <w:lang w:val="en-GB"/>
        </w:rPr>
        <w:t xml:space="preserve"> (</w:t>
      </w:r>
      <w:r w:rsidR="003257CA" w:rsidRPr="00F46AC5">
        <w:rPr>
          <w:lang w:val="en-GB"/>
        </w:rPr>
        <w:t>267</w:t>
      </w:r>
      <w:r w:rsidRPr="00F46AC5">
        <w:rPr>
          <w:lang w:val="en-GB"/>
        </w:rPr>
        <w:t>/</w:t>
      </w:r>
      <w:r w:rsidR="003257CA" w:rsidRPr="00F46AC5">
        <w:rPr>
          <w:lang w:val="en-GB"/>
        </w:rPr>
        <w:t>420</w:t>
      </w:r>
      <w:r w:rsidRPr="00F46AC5">
        <w:rPr>
          <w:lang w:val="en-GB"/>
        </w:rPr>
        <w:t xml:space="preserve">, </w:t>
      </w:r>
      <w:r w:rsidR="00F46AC5" w:rsidRPr="00F46AC5">
        <w:rPr>
          <w:lang w:val="en-GB"/>
        </w:rPr>
        <w:t>63.6</w:t>
      </w:r>
      <w:r w:rsidRPr="00F46AC5">
        <w:rPr>
          <w:lang w:val="en-GB"/>
        </w:rPr>
        <w:t xml:space="preserve">%), and OXA-48-like types in </w:t>
      </w:r>
      <w:r w:rsidRPr="00F46AC5">
        <w:rPr>
          <w:rStyle w:val="Emphasis"/>
          <w:rFonts w:eastAsiaTheme="majorEastAsia"/>
          <w:lang w:val="en-GB"/>
        </w:rPr>
        <w:t>E. </w:t>
      </w:r>
      <w:r w:rsidRPr="00F46AC5">
        <w:rPr>
          <w:i/>
          <w:iCs/>
          <w:lang w:val="en-GB"/>
        </w:rPr>
        <w:t>coli</w:t>
      </w:r>
      <w:r w:rsidRPr="00F46AC5">
        <w:rPr>
          <w:lang w:val="en-GB"/>
        </w:rPr>
        <w:t xml:space="preserve"> (</w:t>
      </w:r>
      <w:r w:rsidR="00F46AC5" w:rsidRPr="00F46AC5">
        <w:rPr>
          <w:lang w:val="en-GB"/>
        </w:rPr>
        <w:t>103</w:t>
      </w:r>
      <w:r w:rsidRPr="00F46AC5">
        <w:rPr>
          <w:lang w:val="en-GB"/>
        </w:rPr>
        <w:t>/</w:t>
      </w:r>
      <w:r w:rsidR="00F46AC5" w:rsidRPr="00F46AC5">
        <w:rPr>
          <w:lang w:val="en-GB"/>
        </w:rPr>
        <w:t>197</w:t>
      </w:r>
      <w:r w:rsidRPr="00F46AC5">
        <w:rPr>
          <w:lang w:val="en-GB"/>
        </w:rPr>
        <w:t xml:space="preserve">, </w:t>
      </w:r>
      <w:r w:rsidR="00F46AC5" w:rsidRPr="00F46AC5">
        <w:rPr>
          <w:lang w:val="en-GB"/>
        </w:rPr>
        <w:t>52.3</w:t>
      </w:r>
      <w:r w:rsidRPr="00F46AC5">
        <w:rPr>
          <w:lang w:val="en-GB"/>
        </w:rPr>
        <w:t xml:space="preserve">%) and </w:t>
      </w:r>
      <w:r w:rsidRPr="00F46AC5">
        <w:rPr>
          <w:i/>
          <w:iCs/>
          <w:lang w:val="en-GB"/>
        </w:rPr>
        <w:t>Klebsiella pneumoniae</w:t>
      </w:r>
      <w:r w:rsidRPr="00F46AC5">
        <w:rPr>
          <w:lang w:val="en-GB"/>
        </w:rPr>
        <w:t xml:space="preserve"> (</w:t>
      </w:r>
      <w:r w:rsidR="00F46AC5" w:rsidRPr="00F46AC5">
        <w:rPr>
          <w:lang w:val="en-GB"/>
        </w:rPr>
        <w:t>79</w:t>
      </w:r>
      <w:r w:rsidRPr="00F46AC5">
        <w:rPr>
          <w:lang w:val="en-GB"/>
        </w:rPr>
        <w:t>/</w:t>
      </w:r>
      <w:r w:rsidR="00F46AC5" w:rsidRPr="00F46AC5">
        <w:rPr>
          <w:lang w:val="en-GB"/>
        </w:rPr>
        <w:t>197</w:t>
      </w:r>
      <w:r w:rsidRPr="00F46AC5">
        <w:rPr>
          <w:lang w:val="en-GB"/>
        </w:rPr>
        <w:t xml:space="preserve">, </w:t>
      </w:r>
      <w:r w:rsidR="00F46AC5" w:rsidRPr="00F46AC5">
        <w:rPr>
          <w:lang w:val="en-GB"/>
        </w:rPr>
        <w:t>40.1</w:t>
      </w:r>
      <w:r w:rsidRPr="00F46AC5">
        <w:rPr>
          <w:lang w:val="en-GB"/>
        </w:rPr>
        <w:t>%).</w:t>
      </w:r>
    </w:p>
    <w:p w14:paraId="5968D49C" w14:textId="2D04EC65" w:rsidR="00EB6106" w:rsidRPr="000359B9" w:rsidRDefault="00EB6106" w:rsidP="00EB6106">
      <w:r w:rsidRPr="000359B9">
        <w:t>Monthly trends for the top five carbapenemase types (IMP, NDM, OXA-48-like, NDM-OXA-48-like</w:t>
      </w:r>
      <w:r w:rsidR="000359B9" w:rsidRPr="000359B9">
        <w:t>, and</w:t>
      </w:r>
      <w:r w:rsidRPr="000359B9">
        <w:t xml:space="preserve"> </w:t>
      </w:r>
      <w:r w:rsidR="000359B9" w:rsidRPr="000359B9">
        <w:t xml:space="preserve">KPC) </w:t>
      </w:r>
      <w:r w:rsidRPr="000359B9">
        <w:t>reported over five years are shown in Figure 10 (national). Three-year trends by state and territory are shown in Figure 12.</w:t>
      </w:r>
    </w:p>
    <w:p w14:paraId="25B139DE" w14:textId="0EED1113" w:rsidR="00EB6106" w:rsidRPr="00151D93" w:rsidRDefault="00EB6106" w:rsidP="00EB6106">
      <w:pPr>
        <w:rPr>
          <w:lang w:val="en-GB"/>
        </w:rPr>
      </w:pPr>
      <w:r w:rsidRPr="00EB32CF">
        <w:rPr>
          <w:lang w:val="en-GB"/>
        </w:rPr>
        <w:t>The number of IMP types (alone or co-produced with other types) reported in 202</w:t>
      </w:r>
      <w:r w:rsidR="00361C39" w:rsidRPr="00EB32CF">
        <w:rPr>
          <w:lang w:val="en-GB"/>
        </w:rPr>
        <w:t>3</w:t>
      </w:r>
      <w:r w:rsidRPr="00EB32CF">
        <w:rPr>
          <w:lang w:val="en-GB"/>
        </w:rPr>
        <w:t xml:space="preserve"> (</w:t>
      </w:r>
      <w:r w:rsidRPr="00EB32CF">
        <w:rPr>
          <w:i/>
          <w:iCs/>
          <w:lang w:val="en-GB"/>
        </w:rPr>
        <w:t>n </w:t>
      </w:r>
      <w:r w:rsidRPr="00EB32CF">
        <w:rPr>
          <w:lang w:val="en-GB"/>
        </w:rPr>
        <w:t>= 4</w:t>
      </w:r>
      <w:r w:rsidR="00361C39" w:rsidRPr="00EB32CF">
        <w:rPr>
          <w:lang w:val="en-GB"/>
        </w:rPr>
        <w:t>72</w:t>
      </w:r>
      <w:r w:rsidRPr="00EB32CF">
        <w:rPr>
          <w:lang w:val="en-GB"/>
        </w:rPr>
        <w:t xml:space="preserve">), increased by </w:t>
      </w:r>
      <w:r w:rsidR="00361C39" w:rsidRPr="00EB32CF">
        <w:rPr>
          <w:lang w:val="en-GB"/>
        </w:rPr>
        <w:t>7.8</w:t>
      </w:r>
      <w:r w:rsidRPr="00EB32CF">
        <w:rPr>
          <w:lang w:val="en-GB"/>
        </w:rPr>
        <w:t>% compared to 202</w:t>
      </w:r>
      <w:r w:rsidR="00361C39" w:rsidRPr="00EB32CF">
        <w:rPr>
          <w:lang w:val="en-GB"/>
        </w:rPr>
        <w:t>2</w:t>
      </w:r>
      <w:r w:rsidRPr="00EB32CF">
        <w:rPr>
          <w:lang w:val="en-GB"/>
        </w:rPr>
        <w:t xml:space="preserve"> (</w:t>
      </w:r>
      <w:r w:rsidRPr="00EB32CF">
        <w:rPr>
          <w:i/>
          <w:iCs/>
          <w:lang w:val="en-GB"/>
        </w:rPr>
        <w:t>n</w:t>
      </w:r>
      <w:r w:rsidRPr="00EB32CF">
        <w:rPr>
          <w:lang w:val="en-GB"/>
        </w:rPr>
        <w:t> = </w:t>
      </w:r>
      <w:r w:rsidR="00361C39" w:rsidRPr="00EB32CF">
        <w:rPr>
          <w:lang w:val="en-GB"/>
        </w:rPr>
        <w:t>438</w:t>
      </w:r>
      <w:r w:rsidRPr="00EB32CF">
        <w:rPr>
          <w:lang w:val="en-GB"/>
        </w:rPr>
        <w:t xml:space="preserve">). IMP-types accounted for </w:t>
      </w:r>
      <w:r w:rsidR="00A22856">
        <w:rPr>
          <w:lang w:val="en-GB"/>
        </w:rPr>
        <w:t xml:space="preserve">a little </w:t>
      </w:r>
      <w:r w:rsidR="00EB32CF" w:rsidRPr="00EB32CF">
        <w:rPr>
          <w:lang w:val="en-GB"/>
        </w:rPr>
        <w:t xml:space="preserve">over one-half </w:t>
      </w:r>
      <w:r w:rsidRPr="00EB32CF">
        <w:rPr>
          <w:lang w:val="en-GB"/>
        </w:rPr>
        <w:t>of all CPE reported from Queensland</w:t>
      </w:r>
      <w:r w:rsidR="00EB32CF" w:rsidRPr="00EB32CF">
        <w:rPr>
          <w:lang w:val="en-GB"/>
        </w:rPr>
        <w:t xml:space="preserve"> (115/192, 59.9%) and NSW (289/524</w:t>
      </w:r>
      <w:r w:rsidRPr="00EB32CF">
        <w:rPr>
          <w:lang w:val="en-GB"/>
        </w:rPr>
        <w:t xml:space="preserve">, </w:t>
      </w:r>
      <w:r w:rsidR="00EB32CF" w:rsidRPr="00EB32CF">
        <w:rPr>
          <w:lang w:val="en-GB"/>
        </w:rPr>
        <w:t>55.2</w:t>
      </w:r>
      <w:r w:rsidRPr="00EB32CF">
        <w:rPr>
          <w:lang w:val="en-GB"/>
        </w:rPr>
        <w:t>%</w:t>
      </w:r>
      <w:r w:rsidR="00EB32CF">
        <w:rPr>
          <w:lang w:val="en-GB"/>
        </w:rPr>
        <w:t>)</w:t>
      </w:r>
      <w:r w:rsidRPr="00EB32CF">
        <w:rPr>
          <w:lang w:val="en-GB"/>
        </w:rPr>
        <w:t xml:space="preserve">, and </w:t>
      </w:r>
      <w:r w:rsidR="00EB32CF" w:rsidRPr="00EB32CF">
        <w:rPr>
          <w:lang w:val="en-GB"/>
        </w:rPr>
        <w:t>39.</w:t>
      </w:r>
      <w:r w:rsidR="00A22856">
        <w:rPr>
          <w:lang w:val="en-GB"/>
        </w:rPr>
        <w:t>0</w:t>
      </w:r>
      <w:r w:rsidRPr="00EB32CF">
        <w:rPr>
          <w:lang w:val="en-GB"/>
        </w:rPr>
        <w:t>% (</w:t>
      </w:r>
      <w:r w:rsidR="00EB32CF" w:rsidRPr="00EB32CF">
        <w:rPr>
          <w:lang w:val="en-GB"/>
        </w:rPr>
        <w:t>23</w:t>
      </w:r>
      <w:r w:rsidRPr="00EB32CF">
        <w:rPr>
          <w:lang w:val="en-GB"/>
        </w:rPr>
        <w:t>/</w:t>
      </w:r>
      <w:r w:rsidR="00EB32CF" w:rsidRPr="00EB32CF">
        <w:rPr>
          <w:lang w:val="en-GB"/>
        </w:rPr>
        <w:t>59</w:t>
      </w:r>
      <w:r w:rsidRPr="00EB32CF">
        <w:rPr>
          <w:lang w:val="en-GB"/>
        </w:rPr>
        <w:t xml:space="preserve">) from WA. </w:t>
      </w:r>
      <w:r w:rsidR="00EB32CF">
        <w:rPr>
          <w:lang w:val="en-GB"/>
        </w:rPr>
        <w:t>In Victoria, 11.0% (39/356) of all CPE were IMP-types, down from 26.0% (52/200) in 2022. O</w:t>
      </w:r>
      <w:r w:rsidRPr="00EB32CF">
        <w:rPr>
          <w:lang w:val="en-GB"/>
        </w:rPr>
        <w:t xml:space="preserve">nly </w:t>
      </w:r>
      <w:r w:rsidR="00EB32CF" w:rsidRPr="00EB32CF">
        <w:rPr>
          <w:lang w:val="en-GB"/>
        </w:rPr>
        <w:t>1.9</w:t>
      </w:r>
      <w:r w:rsidRPr="00EB32CF">
        <w:rPr>
          <w:lang w:val="en-GB"/>
        </w:rPr>
        <w:t>% (1/</w:t>
      </w:r>
      <w:r w:rsidR="00EB32CF" w:rsidRPr="00EB32CF">
        <w:rPr>
          <w:lang w:val="en-GB"/>
        </w:rPr>
        <w:t>52</w:t>
      </w:r>
      <w:r w:rsidRPr="00EB32CF">
        <w:rPr>
          <w:lang w:val="en-GB"/>
        </w:rPr>
        <w:t xml:space="preserve">) of CPE from SA were IMP-types. </w:t>
      </w:r>
      <w:r w:rsidR="00EB32CF">
        <w:rPr>
          <w:lang w:val="en-GB"/>
        </w:rPr>
        <w:t xml:space="preserve">In Victoria, </w:t>
      </w:r>
      <w:r w:rsidR="00A22856">
        <w:rPr>
          <w:lang w:val="en-GB"/>
        </w:rPr>
        <w:t>a</w:t>
      </w:r>
      <w:r w:rsidRPr="00EB32CF">
        <w:rPr>
          <w:lang w:val="en-GB"/>
        </w:rPr>
        <w:t xml:space="preserve">ll </w:t>
      </w:r>
      <w:r w:rsidRPr="00151D93">
        <w:rPr>
          <w:lang w:val="en-GB"/>
        </w:rPr>
        <w:t>the strains that have been genetically sequenced to date (</w:t>
      </w:r>
      <w:r w:rsidR="00151D93" w:rsidRPr="00151D93">
        <w:rPr>
          <w:lang w:val="en-GB"/>
        </w:rPr>
        <w:t>283</w:t>
      </w:r>
      <w:r w:rsidRPr="00151D93">
        <w:rPr>
          <w:lang w:val="en-GB"/>
        </w:rPr>
        <w:t>/4</w:t>
      </w:r>
      <w:r w:rsidR="00151D93" w:rsidRPr="00151D93">
        <w:rPr>
          <w:lang w:val="en-GB"/>
        </w:rPr>
        <w:t>72</w:t>
      </w:r>
      <w:r w:rsidRPr="00151D93">
        <w:rPr>
          <w:lang w:val="en-GB"/>
        </w:rPr>
        <w:t xml:space="preserve">, </w:t>
      </w:r>
      <w:r w:rsidR="00151D93" w:rsidRPr="00151D93">
        <w:rPr>
          <w:lang w:val="en-GB"/>
        </w:rPr>
        <w:t>60.0</w:t>
      </w:r>
      <w:r w:rsidRPr="00151D93">
        <w:rPr>
          <w:lang w:val="en-GB"/>
        </w:rPr>
        <w:t xml:space="preserve">%) were either </w:t>
      </w:r>
      <w:r w:rsidRPr="00151D93">
        <w:rPr>
          <w:rStyle w:val="Emphasis"/>
          <w:rFonts w:eastAsiaTheme="majorEastAsia" w:cs="Arial"/>
          <w:lang w:val="en-GB"/>
        </w:rPr>
        <w:t>bla</w:t>
      </w:r>
      <w:r w:rsidRPr="00151D93">
        <w:rPr>
          <w:vertAlign w:val="subscript"/>
          <w:lang w:val="en-GB"/>
        </w:rPr>
        <w:t>IMP</w:t>
      </w:r>
      <w:r w:rsidRPr="00151D93">
        <w:rPr>
          <w:vertAlign w:val="subscript"/>
          <w:lang w:val="en-GB"/>
        </w:rPr>
        <w:noBreakHyphen/>
        <w:t>4</w:t>
      </w:r>
      <w:r w:rsidRPr="00151D93">
        <w:rPr>
          <w:lang w:val="en-GB"/>
        </w:rPr>
        <w:t xml:space="preserve"> (</w:t>
      </w:r>
      <w:r w:rsidRPr="00151D93">
        <w:rPr>
          <w:i/>
          <w:iCs/>
          <w:lang w:val="en-GB"/>
        </w:rPr>
        <w:t>n</w:t>
      </w:r>
      <w:r w:rsidRPr="00151D93">
        <w:rPr>
          <w:lang w:val="en-GB"/>
        </w:rPr>
        <w:t> = </w:t>
      </w:r>
      <w:r w:rsidR="00151D93">
        <w:rPr>
          <w:lang w:val="en-GB"/>
        </w:rPr>
        <w:t>241</w:t>
      </w:r>
      <w:r w:rsidRPr="00151D93">
        <w:rPr>
          <w:lang w:val="en-GB"/>
        </w:rPr>
        <w:t xml:space="preserve">), </w:t>
      </w:r>
      <w:r w:rsidR="00151D93" w:rsidRPr="00151D93">
        <w:rPr>
          <w:lang w:val="en-GB"/>
        </w:rPr>
        <w:t>IMP-4-like (</w:t>
      </w:r>
      <w:r w:rsidR="00151D93" w:rsidRPr="00151D93">
        <w:rPr>
          <w:i/>
          <w:iCs/>
          <w:lang w:val="en-GB"/>
        </w:rPr>
        <w:t>n</w:t>
      </w:r>
      <w:r w:rsidR="00151D93" w:rsidRPr="00151D93">
        <w:rPr>
          <w:lang w:val="en-GB"/>
        </w:rPr>
        <w:t> = </w:t>
      </w:r>
      <w:r w:rsidR="00151D93">
        <w:rPr>
          <w:lang w:val="en-GB"/>
        </w:rPr>
        <w:t>41</w:t>
      </w:r>
      <w:r w:rsidR="00151D93" w:rsidRPr="00151D93">
        <w:rPr>
          <w:lang w:val="en-GB"/>
        </w:rPr>
        <w:t>)</w:t>
      </w:r>
      <w:r w:rsidR="00151D93">
        <w:rPr>
          <w:lang w:val="en-GB"/>
        </w:rPr>
        <w:t xml:space="preserve">, or </w:t>
      </w:r>
      <w:r w:rsidRPr="00151D93">
        <w:rPr>
          <w:rStyle w:val="Emphasis"/>
          <w:rFonts w:eastAsiaTheme="majorEastAsia" w:cs="Arial"/>
          <w:lang w:val="en-GB"/>
        </w:rPr>
        <w:t>bla</w:t>
      </w:r>
      <w:r w:rsidRPr="00151D93">
        <w:rPr>
          <w:vertAlign w:val="subscript"/>
          <w:lang w:val="en-GB"/>
        </w:rPr>
        <w:t>IMP</w:t>
      </w:r>
      <w:r w:rsidRPr="00151D93">
        <w:rPr>
          <w:vertAlign w:val="subscript"/>
          <w:lang w:val="en-GB"/>
        </w:rPr>
        <w:noBreakHyphen/>
        <w:t>1</w:t>
      </w:r>
      <w:r w:rsidRPr="00151D93">
        <w:rPr>
          <w:lang w:val="en-GB"/>
        </w:rPr>
        <w:t xml:space="preserve"> (</w:t>
      </w:r>
      <w:r w:rsidRPr="00151D93">
        <w:rPr>
          <w:i/>
          <w:iCs/>
          <w:lang w:val="en-GB"/>
        </w:rPr>
        <w:t>n</w:t>
      </w:r>
      <w:r w:rsidRPr="00151D93">
        <w:rPr>
          <w:lang w:val="en-GB"/>
        </w:rPr>
        <w:t> = 1)</w:t>
      </w:r>
      <w:r w:rsidR="00151D93">
        <w:rPr>
          <w:lang w:val="en-GB"/>
        </w:rPr>
        <w:t>.</w:t>
      </w:r>
    </w:p>
    <w:p w14:paraId="1B05C148" w14:textId="1062DBDE" w:rsidR="00EB6106" w:rsidRPr="00680E85" w:rsidRDefault="00EB6106" w:rsidP="00EB6106">
      <w:pPr>
        <w:rPr>
          <w:lang w:val="en-GB"/>
        </w:rPr>
      </w:pPr>
      <w:r w:rsidRPr="00361C39">
        <w:rPr>
          <w:lang w:val="en-GB"/>
        </w:rPr>
        <w:t>The number of NDM types reported in 202</w:t>
      </w:r>
      <w:r w:rsidR="00361C39" w:rsidRPr="00361C39">
        <w:rPr>
          <w:lang w:val="en-GB"/>
        </w:rPr>
        <w:t>3</w:t>
      </w:r>
      <w:r w:rsidRPr="00361C39">
        <w:rPr>
          <w:lang w:val="en-GB"/>
        </w:rPr>
        <w:t xml:space="preserve"> (alone or co-produced with other types) </w:t>
      </w:r>
      <w:r w:rsidR="00361C39" w:rsidRPr="00361C39">
        <w:rPr>
          <w:lang w:val="en-GB"/>
        </w:rPr>
        <w:t>continued to</w:t>
      </w:r>
      <w:r w:rsidRPr="00361C39">
        <w:rPr>
          <w:lang w:val="en-GB"/>
        </w:rPr>
        <w:t xml:space="preserve"> increase (</w:t>
      </w:r>
      <w:r w:rsidRPr="00361C39">
        <w:rPr>
          <w:i/>
          <w:iCs/>
          <w:lang w:val="en-GB"/>
        </w:rPr>
        <w:t>n</w:t>
      </w:r>
      <w:r w:rsidRPr="00361C39">
        <w:rPr>
          <w:lang w:val="en-GB"/>
        </w:rPr>
        <w:t> = </w:t>
      </w:r>
      <w:r w:rsidR="00361C39" w:rsidRPr="00361C39">
        <w:rPr>
          <w:lang w:val="en-GB"/>
        </w:rPr>
        <w:t>505</w:t>
      </w:r>
      <w:r w:rsidRPr="00361C39">
        <w:rPr>
          <w:lang w:val="en-GB"/>
        </w:rPr>
        <w:t xml:space="preserve"> in 202</w:t>
      </w:r>
      <w:r w:rsidR="00361C39" w:rsidRPr="00361C39">
        <w:rPr>
          <w:lang w:val="en-GB"/>
        </w:rPr>
        <w:t>3</w:t>
      </w:r>
      <w:r w:rsidRPr="00361C39">
        <w:rPr>
          <w:lang w:val="en-GB"/>
        </w:rPr>
        <w:t xml:space="preserve">; </w:t>
      </w:r>
      <w:r w:rsidRPr="00361C39">
        <w:rPr>
          <w:i/>
          <w:iCs/>
          <w:lang w:val="en-GB"/>
        </w:rPr>
        <w:t>n</w:t>
      </w:r>
      <w:r w:rsidRPr="00361C39">
        <w:rPr>
          <w:lang w:val="en-GB"/>
        </w:rPr>
        <w:t> = </w:t>
      </w:r>
      <w:r w:rsidR="00361C39" w:rsidRPr="00361C39">
        <w:rPr>
          <w:lang w:val="en-GB"/>
        </w:rPr>
        <w:t>295</w:t>
      </w:r>
      <w:r w:rsidRPr="00361C39">
        <w:rPr>
          <w:lang w:val="en-GB"/>
        </w:rPr>
        <w:t xml:space="preserve"> in 202</w:t>
      </w:r>
      <w:r w:rsidR="00361C39" w:rsidRPr="00361C39">
        <w:rPr>
          <w:lang w:val="en-GB"/>
        </w:rPr>
        <w:t>2</w:t>
      </w:r>
      <w:r w:rsidRPr="00361C39">
        <w:rPr>
          <w:lang w:val="en-GB"/>
        </w:rPr>
        <w:t xml:space="preserve">, up </w:t>
      </w:r>
      <w:r w:rsidR="00361C39" w:rsidRPr="00361C39">
        <w:rPr>
          <w:lang w:val="en-GB"/>
        </w:rPr>
        <w:t>71.2</w:t>
      </w:r>
      <w:r w:rsidRPr="00361C39">
        <w:rPr>
          <w:lang w:val="en-GB"/>
        </w:rPr>
        <w:t>%). NDM types, either alone or in combination, were found in all states and territor</w:t>
      </w:r>
      <w:r w:rsidRPr="00A86D66">
        <w:rPr>
          <w:lang w:val="en-GB"/>
        </w:rPr>
        <w:t>ies</w:t>
      </w:r>
      <w:r w:rsidR="00361C39" w:rsidRPr="00A86D66">
        <w:rPr>
          <w:lang w:val="en-GB"/>
        </w:rPr>
        <w:t xml:space="preserve">. </w:t>
      </w:r>
      <w:r w:rsidRPr="0081035D">
        <w:rPr>
          <w:lang w:val="en-GB"/>
        </w:rPr>
        <w:t>In SA, NDM types accounted for three-quarters (3</w:t>
      </w:r>
      <w:r w:rsidR="00A86D66" w:rsidRPr="0081035D">
        <w:rPr>
          <w:lang w:val="en-GB"/>
        </w:rPr>
        <w:t>4</w:t>
      </w:r>
      <w:r w:rsidRPr="0081035D">
        <w:rPr>
          <w:lang w:val="en-GB"/>
        </w:rPr>
        <w:t>/</w:t>
      </w:r>
      <w:r w:rsidR="00A86D66" w:rsidRPr="0081035D">
        <w:rPr>
          <w:lang w:val="en-GB"/>
        </w:rPr>
        <w:t>52</w:t>
      </w:r>
      <w:r w:rsidRPr="0081035D">
        <w:rPr>
          <w:lang w:val="en-GB"/>
        </w:rPr>
        <w:t xml:space="preserve">, </w:t>
      </w:r>
      <w:r w:rsidR="00A86D66" w:rsidRPr="0081035D">
        <w:rPr>
          <w:lang w:val="en-GB"/>
        </w:rPr>
        <w:t>65.4</w:t>
      </w:r>
      <w:r w:rsidRPr="0081035D">
        <w:rPr>
          <w:lang w:val="en-GB"/>
        </w:rPr>
        <w:t>%) of all CPE reported</w:t>
      </w:r>
      <w:r w:rsidR="00A86D66">
        <w:rPr>
          <w:lang w:val="en-GB"/>
        </w:rPr>
        <w:t>, down from 75.6% (31/41) in 2022</w:t>
      </w:r>
      <w:r w:rsidRPr="00EB32CF">
        <w:rPr>
          <w:lang w:val="en-GB"/>
        </w:rPr>
        <w:t xml:space="preserve">. In </w:t>
      </w:r>
      <w:r w:rsidR="00A86D66" w:rsidRPr="00EB32CF">
        <w:rPr>
          <w:lang w:val="en-GB"/>
        </w:rPr>
        <w:t>Queensland</w:t>
      </w:r>
      <w:r w:rsidRPr="00EB32CF">
        <w:rPr>
          <w:lang w:val="en-GB"/>
        </w:rPr>
        <w:t xml:space="preserve">, NDM types accounted for </w:t>
      </w:r>
      <w:r w:rsidR="00A86D66" w:rsidRPr="00EB32CF">
        <w:rPr>
          <w:lang w:val="en-GB"/>
        </w:rPr>
        <w:t>31.3</w:t>
      </w:r>
      <w:r w:rsidRPr="00EB32CF">
        <w:rPr>
          <w:lang w:val="en-GB"/>
        </w:rPr>
        <w:t>% (</w:t>
      </w:r>
      <w:r w:rsidR="00A86D66" w:rsidRPr="00EB32CF">
        <w:rPr>
          <w:lang w:val="en-GB"/>
        </w:rPr>
        <w:t>60</w:t>
      </w:r>
      <w:r w:rsidRPr="00EB32CF">
        <w:rPr>
          <w:lang w:val="en-GB"/>
        </w:rPr>
        <w:t>/</w:t>
      </w:r>
      <w:r w:rsidR="00A86D66" w:rsidRPr="00EB32CF">
        <w:rPr>
          <w:lang w:val="en-GB"/>
        </w:rPr>
        <w:t>192</w:t>
      </w:r>
      <w:r w:rsidRPr="00EB32CF">
        <w:rPr>
          <w:lang w:val="en-GB"/>
        </w:rPr>
        <w:t xml:space="preserve">) of all CPE reported, up from </w:t>
      </w:r>
      <w:r w:rsidR="00A86D66" w:rsidRPr="00EB32CF">
        <w:rPr>
          <w:lang w:val="en-GB"/>
        </w:rPr>
        <w:t>22.0</w:t>
      </w:r>
      <w:r w:rsidRPr="00EB32CF">
        <w:rPr>
          <w:lang w:val="en-GB"/>
        </w:rPr>
        <w:t>% (</w:t>
      </w:r>
      <w:r w:rsidR="00A86D66" w:rsidRPr="00EB32CF">
        <w:rPr>
          <w:lang w:val="en-GB"/>
        </w:rPr>
        <w:t>51</w:t>
      </w:r>
      <w:r w:rsidRPr="00EB32CF">
        <w:rPr>
          <w:lang w:val="en-GB"/>
        </w:rPr>
        <w:t>/</w:t>
      </w:r>
      <w:r w:rsidR="00A86D66" w:rsidRPr="00EB32CF">
        <w:rPr>
          <w:lang w:val="en-GB"/>
        </w:rPr>
        <w:t>232</w:t>
      </w:r>
      <w:r w:rsidRPr="00EB32CF">
        <w:rPr>
          <w:lang w:val="en-GB"/>
        </w:rPr>
        <w:t>) in 202</w:t>
      </w:r>
      <w:r w:rsidR="00A86D66" w:rsidRPr="00EB32CF">
        <w:rPr>
          <w:lang w:val="en-GB"/>
        </w:rPr>
        <w:t>2</w:t>
      </w:r>
      <w:r w:rsidRPr="00EB32CF">
        <w:rPr>
          <w:lang w:val="en-GB"/>
        </w:rPr>
        <w:t xml:space="preserve">. </w:t>
      </w:r>
      <w:r w:rsidR="00680E85">
        <w:rPr>
          <w:lang w:val="en-GB"/>
        </w:rPr>
        <w:t>Five</w:t>
      </w:r>
      <w:r w:rsidR="00680E85" w:rsidRPr="00680E85">
        <w:rPr>
          <w:lang w:val="en-GB"/>
        </w:rPr>
        <w:t xml:space="preserve"> </w:t>
      </w:r>
      <w:r w:rsidRPr="00680E85">
        <w:rPr>
          <w:lang w:val="en-GB"/>
        </w:rPr>
        <w:t>different genes were found in the isolates sequenced (</w:t>
      </w:r>
      <w:r w:rsidR="00680E85">
        <w:rPr>
          <w:lang w:val="en-GB"/>
        </w:rPr>
        <w:t>384/505</w:t>
      </w:r>
      <w:r w:rsidRPr="00680E85">
        <w:rPr>
          <w:lang w:val="en-GB"/>
        </w:rPr>
        <w:t xml:space="preserve">, </w:t>
      </w:r>
      <w:r w:rsidR="00680E85">
        <w:rPr>
          <w:lang w:val="en-GB"/>
        </w:rPr>
        <w:t>76.0</w:t>
      </w:r>
      <w:r w:rsidRPr="00680E85">
        <w:rPr>
          <w:lang w:val="en-GB"/>
        </w:rPr>
        <w:t xml:space="preserve">%): </w:t>
      </w:r>
      <w:r w:rsidRPr="00680E85">
        <w:rPr>
          <w:rStyle w:val="Emphasis"/>
          <w:rFonts w:eastAsiaTheme="majorEastAsia" w:cs="Arial"/>
          <w:lang w:val="en-GB"/>
        </w:rPr>
        <w:t>bla</w:t>
      </w:r>
      <w:r w:rsidRPr="00680E85">
        <w:rPr>
          <w:rStyle w:val="Emphasis"/>
          <w:rFonts w:eastAsiaTheme="majorEastAsia" w:cs="Arial"/>
          <w:i w:val="0"/>
          <w:iCs w:val="0"/>
          <w:vertAlign w:val="subscript"/>
          <w:lang w:val="en-GB"/>
        </w:rPr>
        <w:t>NDM-5</w:t>
      </w:r>
      <w:r w:rsidRPr="00680E85">
        <w:rPr>
          <w:lang w:val="en-GB"/>
        </w:rPr>
        <w:t xml:space="preserve"> (</w:t>
      </w:r>
      <w:r w:rsidR="00680E85">
        <w:rPr>
          <w:lang w:val="en-GB"/>
        </w:rPr>
        <w:t>244</w:t>
      </w:r>
      <w:r w:rsidRPr="00680E85">
        <w:rPr>
          <w:lang w:val="en-GB"/>
        </w:rPr>
        <w:t>/</w:t>
      </w:r>
      <w:r w:rsidR="00A86D66">
        <w:rPr>
          <w:lang w:val="en-GB"/>
        </w:rPr>
        <w:t>384</w:t>
      </w:r>
      <w:r w:rsidRPr="00680E85">
        <w:rPr>
          <w:lang w:val="en-GB"/>
        </w:rPr>
        <w:t xml:space="preserve">; </w:t>
      </w:r>
      <w:r w:rsidR="00A86D66">
        <w:rPr>
          <w:lang w:val="en-GB"/>
        </w:rPr>
        <w:t>63.5</w:t>
      </w:r>
      <w:r w:rsidRPr="00680E85">
        <w:rPr>
          <w:lang w:val="en-GB"/>
        </w:rPr>
        <w:t xml:space="preserve">%), </w:t>
      </w:r>
      <w:r w:rsidRPr="00680E85">
        <w:rPr>
          <w:rStyle w:val="Emphasis"/>
          <w:rFonts w:eastAsiaTheme="majorEastAsia" w:cs="Arial"/>
          <w:lang w:val="en-GB"/>
        </w:rPr>
        <w:t>bla</w:t>
      </w:r>
      <w:r w:rsidRPr="00680E85">
        <w:rPr>
          <w:rStyle w:val="Emphasis"/>
          <w:rFonts w:eastAsiaTheme="majorEastAsia" w:cs="Arial"/>
          <w:i w:val="0"/>
          <w:iCs w:val="0"/>
          <w:vertAlign w:val="subscript"/>
          <w:lang w:val="en-GB"/>
        </w:rPr>
        <w:t>NDM-1</w:t>
      </w:r>
      <w:r w:rsidRPr="00680E85">
        <w:rPr>
          <w:i/>
          <w:iCs/>
          <w:lang w:val="en-GB"/>
        </w:rPr>
        <w:t xml:space="preserve"> </w:t>
      </w:r>
      <w:r w:rsidRPr="00680E85">
        <w:rPr>
          <w:lang w:val="en-GB"/>
        </w:rPr>
        <w:t>(</w:t>
      </w:r>
      <w:r w:rsidR="00680E85">
        <w:rPr>
          <w:lang w:val="en-GB"/>
        </w:rPr>
        <w:t>108</w:t>
      </w:r>
      <w:r w:rsidRPr="00680E85">
        <w:rPr>
          <w:lang w:val="en-GB"/>
        </w:rPr>
        <w:t>/</w:t>
      </w:r>
      <w:r w:rsidR="00A86D66">
        <w:rPr>
          <w:lang w:val="en-GB"/>
        </w:rPr>
        <w:t>384</w:t>
      </w:r>
      <w:r w:rsidRPr="00680E85">
        <w:rPr>
          <w:lang w:val="en-GB"/>
        </w:rPr>
        <w:t xml:space="preserve">; </w:t>
      </w:r>
      <w:r w:rsidR="00A86D66">
        <w:rPr>
          <w:lang w:val="en-GB"/>
        </w:rPr>
        <w:t>28.1</w:t>
      </w:r>
      <w:r w:rsidRPr="00680E85">
        <w:rPr>
          <w:lang w:val="en-GB"/>
        </w:rPr>
        <w:t xml:space="preserve">%), </w:t>
      </w:r>
      <w:r w:rsidRPr="00680E85">
        <w:rPr>
          <w:rStyle w:val="Emphasis"/>
          <w:rFonts w:eastAsiaTheme="majorEastAsia" w:cs="Arial"/>
          <w:lang w:val="en-GB"/>
        </w:rPr>
        <w:t>bla</w:t>
      </w:r>
      <w:r w:rsidRPr="00680E85">
        <w:rPr>
          <w:rStyle w:val="Emphasis"/>
          <w:rFonts w:eastAsiaTheme="majorEastAsia" w:cs="Arial"/>
          <w:i w:val="0"/>
          <w:iCs w:val="0"/>
          <w:vertAlign w:val="subscript"/>
          <w:lang w:val="en-GB"/>
        </w:rPr>
        <w:t>NDM-7</w:t>
      </w:r>
      <w:r w:rsidRPr="00680E85">
        <w:rPr>
          <w:i/>
          <w:iCs/>
          <w:lang w:val="en-GB"/>
        </w:rPr>
        <w:t xml:space="preserve"> </w:t>
      </w:r>
      <w:r w:rsidRPr="00680E85">
        <w:rPr>
          <w:lang w:val="en-GB"/>
        </w:rPr>
        <w:t>(</w:t>
      </w:r>
      <w:r w:rsidR="00680E85">
        <w:rPr>
          <w:lang w:val="en-GB"/>
        </w:rPr>
        <w:t>21</w:t>
      </w:r>
      <w:r w:rsidRPr="00680E85">
        <w:rPr>
          <w:lang w:val="en-GB"/>
        </w:rPr>
        <w:t>/</w:t>
      </w:r>
      <w:r w:rsidR="00A86D66">
        <w:rPr>
          <w:lang w:val="en-GB"/>
        </w:rPr>
        <w:t>384</w:t>
      </w:r>
      <w:r w:rsidRPr="00680E85">
        <w:rPr>
          <w:lang w:val="en-GB"/>
        </w:rPr>
        <w:t xml:space="preserve">; </w:t>
      </w:r>
      <w:r w:rsidR="00A86D66">
        <w:rPr>
          <w:lang w:val="en-GB"/>
        </w:rPr>
        <w:t>5.5</w:t>
      </w:r>
      <w:r w:rsidRPr="00680E85">
        <w:rPr>
          <w:lang w:val="en-GB"/>
        </w:rPr>
        <w:t xml:space="preserve">%), </w:t>
      </w:r>
      <w:r w:rsidRPr="00680E85">
        <w:rPr>
          <w:rStyle w:val="Emphasis"/>
          <w:rFonts w:eastAsiaTheme="majorEastAsia" w:cs="Arial"/>
          <w:lang w:val="en-GB"/>
        </w:rPr>
        <w:t>bla</w:t>
      </w:r>
      <w:r w:rsidRPr="00680E85">
        <w:rPr>
          <w:rStyle w:val="Emphasis"/>
          <w:rFonts w:eastAsiaTheme="majorEastAsia" w:cs="Arial"/>
          <w:i w:val="0"/>
          <w:iCs w:val="0"/>
          <w:vertAlign w:val="subscript"/>
          <w:lang w:val="en-GB"/>
        </w:rPr>
        <w:t>NDM</w:t>
      </w:r>
      <w:r w:rsidRPr="00680E85">
        <w:rPr>
          <w:rStyle w:val="Emphasis"/>
          <w:rFonts w:eastAsiaTheme="majorEastAsia" w:cs="Arial"/>
          <w:i w:val="0"/>
          <w:iCs w:val="0"/>
          <w:vertAlign w:val="subscript"/>
          <w:lang w:val="en-GB"/>
        </w:rPr>
        <w:noBreakHyphen/>
        <w:t>4</w:t>
      </w:r>
      <w:r w:rsidRPr="00680E85">
        <w:rPr>
          <w:i/>
          <w:iCs/>
          <w:lang w:val="en-GB"/>
        </w:rPr>
        <w:t xml:space="preserve"> </w:t>
      </w:r>
      <w:r w:rsidRPr="00680E85">
        <w:rPr>
          <w:lang w:val="en-GB"/>
        </w:rPr>
        <w:t>(</w:t>
      </w:r>
      <w:r w:rsidR="00680E85">
        <w:rPr>
          <w:lang w:val="en-GB"/>
        </w:rPr>
        <w:t>10</w:t>
      </w:r>
      <w:r w:rsidRPr="00680E85">
        <w:rPr>
          <w:lang w:val="en-GB"/>
        </w:rPr>
        <w:t>/</w:t>
      </w:r>
      <w:r w:rsidR="00A86D66">
        <w:rPr>
          <w:lang w:val="en-GB"/>
        </w:rPr>
        <w:t>384</w:t>
      </w:r>
      <w:r w:rsidRPr="00680E85">
        <w:rPr>
          <w:lang w:val="en-GB"/>
        </w:rPr>
        <w:t xml:space="preserve">; </w:t>
      </w:r>
      <w:r w:rsidR="00A86D66">
        <w:rPr>
          <w:lang w:val="en-GB"/>
        </w:rPr>
        <w:t>2.6</w:t>
      </w:r>
      <w:r w:rsidRPr="00680E85">
        <w:rPr>
          <w:lang w:val="en-GB"/>
        </w:rPr>
        <w:t xml:space="preserve">%), and </w:t>
      </w:r>
      <w:r w:rsidRPr="00680E85">
        <w:rPr>
          <w:i/>
          <w:iCs/>
          <w:lang w:val="en-GB"/>
        </w:rPr>
        <w:t>bla</w:t>
      </w:r>
      <w:r w:rsidRPr="00680E85">
        <w:rPr>
          <w:vertAlign w:val="subscript"/>
          <w:lang w:val="en-GB"/>
        </w:rPr>
        <w:t>NDM-19</w:t>
      </w:r>
      <w:r w:rsidRPr="00680E85">
        <w:rPr>
          <w:lang w:val="en-GB"/>
        </w:rPr>
        <w:t xml:space="preserve"> (</w:t>
      </w:r>
      <w:r w:rsidRPr="00680E85">
        <w:rPr>
          <w:i/>
          <w:iCs/>
          <w:lang w:val="en-GB"/>
        </w:rPr>
        <w:t>n</w:t>
      </w:r>
      <w:r w:rsidRPr="00680E85">
        <w:rPr>
          <w:lang w:val="en-GB"/>
        </w:rPr>
        <w:t> = 1).</w:t>
      </w:r>
    </w:p>
    <w:p w14:paraId="46D4B382" w14:textId="0E8759E4" w:rsidR="00EB6106" w:rsidRPr="00CD2887" w:rsidRDefault="00EB6106" w:rsidP="00EB6106">
      <w:pPr>
        <w:rPr>
          <w:lang w:val="en-GB"/>
        </w:rPr>
      </w:pPr>
      <w:r w:rsidRPr="00DB1672">
        <w:rPr>
          <w:lang w:val="en-GB"/>
        </w:rPr>
        <w:t xml:space="preserve">Reports of OXA-48-like CPE (alone or co-produced) increased by </w:t>
      </w:r>
      <w:r w:rsidR="00DB1672" w:rsidRPr="00DB1672">
        <w:rPr>
          <w:lang w:val="en-GB"/>
        </w:rPr>
        <w:t>141</w:t>
      </w:r>
      <w:r w:rsidRPr="00DB1672">
        <w:rPr>
          <w:lang w:val="en-GB"/>
        </w:rPr>
        <w:t>% in 202</w:t>
      </w:r>
      <w:r w:rsidR="00DB1672" w:rsidRPr="00DB1672">
        <w:rPr>
          <w:lang w:val="en-GB"/>
        </w:rPr>
        <w:t>3</w:t>
      </w:r>
      <w:r w:rsidRPr="00DB1672">
        <w:rPr>
          <w:lang w:val="en-GB"/>
        </w:rPr>
        <w:t xml:space="preserve"> (</w:t>
      </w:r>
      <w:r w:rsidRPr="00DB1672">
        <w:rPr>
          <w:i/>
          <w:iCs/>
          <w:lang w:val="en-GB"/>
        </w:rPr>
        <w:t>n</w:t>
      </w:r>
      <w:r w:rsidRPr="00DB1672">
        <w:rPr>
          <w:lang w:val="en-GB"/>
        </w:rPr>
        <w:t> = </w:t>
      </w:r>
      <w:r w:rsidR="00DB1672" w:rsidRPr="00DB1672">
        <w:rPr>
          <w:lang w:val="en-GB"/>
        </w:rPr>
        <w:t>270</w:t>
      </w:r>
      <w:r w:rsidRPr="00DB1672">
        <w:rPr>
          <w:lang w:val="en-GB"/>
        </w:rPr>
        <w:t xml:space="preserve">) </w:t>
      </w:r>
      <w:r w:rsidRPr="00151ABD">
        <w:rPr>
          <w:lang w:val="en-GB"/>
        </w:rPr>
        <w:t>compared with 202</w:t>
      </w:r>
      <w:r w:rsidR="00DB1672" w:rsidRPr="00151ABD">
        <w:rPr>
          <w:lang w:val="en-GB"/>
        </w:rPr>
        <w:t>2</w:t>
      </w:r>
      <w:r w:rsidRPr="00151ABD">
        <w:rPr>
          <w:lang w:val="en-GB"/>
        </w:rPr>
        <w:t xml:space="preserve"> (</w:t>
      </w:r>
      <w:r w:rsidRPr="00151ABD">
        <w:rPr>
          <w:i/>
          <w:iCs/>
          <w:lang w:val="en-GB"/>
        </w:rPr>
        <w:t>n</w:t>
      </w:r>
      <w:r w:rsidRPr="00151ABD">
        <w:rPr>
          <w:lang w:val="en-GB"/>
        </w:rPr>
        <w:t> = </w:t>
      </w:r>
      <w:r w:rsidR="00DB1672" w:rsidRPr="00151ABD">
        <w:rPr>
          <w:lang w:val="en-GB"/>
        </w:rPr>
        <w:t>112</w:t>
      </w:r>
      <w:r w:rsidRPr="00151ABD">
        <w:rPr>
          <w:lang w:val="en-GB"/>
        </w:rPr>
        <w:t xml:space="preserve">). </w:t>
      </w:r>
      <w:r w:rsidR="00DB1672" w:rsidRPr="00151ABD">
        <w:rPr>
          <w:lang w:val="en-GB"/>
        </w:rPr>
        <w:t xml:space="preserve">The increase was over 3-fold in both Victoria and SA. </w:t>
      </w:r>
      <w:r w:rsidR="00151ABD" w:rsidRPr="00151ABD">
        <w:rPr>
          <w:lang w:val="en-GB"/>
        </w:rPr>
        <w:t>Seven</w:t>
      </w:r>
      <w:r w:rsidRPr="00151ABD">
        <w:rPr>
          <w:lang w:val="en-GB"/>
        </w:rPr>
        <w:t xml:space="preserve"> genes were detected in the isolates that were sequenced (</w:t>
      </w:r>
      <w:r w:rsidR="00151ABD" w:rsidRPr="00151ABD">
        <w:rPr>
          <w:lang w:val="en-GB"/>
        </w:rPr>
        <w:t>207</w:t>
      </w:r>
      <w:r w:rsidRPr="00151ABD">
        <w:rPr>
          <w:lang w:val="en-GB"/>
        </w:rPr>
        <w:t>/</w:t>
      </w:r>
      <w:r w:rsidR="00151ABD" w:rsidRPr="00151ABD">
        <w:rPr>
          <w:lang w:val="en-GB"/>
        </w:rPr>
        <w:t>270</w:t>
      </w:r>
      <w:r w:rsidRPr="00151ABD">
        <w:rPr>
          <w:lang w:val="en-GB"/>
        </w:rPr>
        <w:t xml:space="preserve">, </w:t>
      </w:r>
      <w:r w:rsidR="00151ABD" w:rsidRPr="00151ABD">
        <w:rPr>
          <w:lang w:val="en-GB"/>
        </w:rPr>
        <w:t>76.7</w:t>
      </w:r>
      <w:r w:rsidRPr="00151ABD">
        <w:rPr>
          <w:lang w:val="en-GB"/>
        </w:rPr>
        <w:t xml:space="preserve">%); the most common </w:t>
      </w:r>
      <w:r w:rsidR="00151ABD" w:rsidRPr="00151ABD">
        <w:rPr>
          <w:lang w:val="en-GB"/>
        </w:rPr>
        <w:t xml:space="preserve">types </w:t>
      </w:r>
      <w:r w:rsidRPr="00151ABD">
        <w:rPr>
          <w:lang w:val="en-GB"/>
        </w:rPr>
        <w:t>w</w:t>
      </w:r>
      <w:r w:rsidR="00151ABD" w:rsidRPr="00151ABD">
        <w:rPr>
          <w:lang w:val="en-GB"/>
        </w:rPr>
        <w:t>ere</w:t>
      </w:r>
      <w:r w:rsidRPr="00151ABD">
        <w:rPr>
          <w:lang w:val="en-GB"/>
        </w:rPr>
        <w:t xml:space="preserve"> </w:t>
      </w:r>
      <w:r w:rsidRPr="00151ABD">
        <w:rPr>
          <w:i/>
          <w:iCs/>
          <w:lang w:val="en-GB"/>
        </w:rPr>
        <w:t>bla</w:t>
      </w:r>
      <w:r w:rsidRPr="00151ABD">
        <w:rPr>
          <w:vertAlign w:val="subscript"/>
          <w:lang w:val="en-GB"/>
        </w:rPr>
        <w:t>OXA-181</w:t>
      </w:r>
      <w:r w:rsidRPr="00151ABD">
        <w:rPr>
          <w:lang w:val="en-GB"/>
        </w:rPr>
        <w:t xml:space="preserve"> (</w:t>
      </w:r>
      <w:r w:rsidR="00151ABD" w:rsidRPr="00151ABD">
        <w:rPr>
          <w:lang w:val="en-GB"/>
        </w:rPr>
        <w:t>112</w:t>
      </w:r>
      <w:r w:rsidRPr="00151ABD">
        <w:rPr>
          <w:lang w:val="en-GB"/>
        </w:rPr>
        <w:t>/</w:t>
      </w:r>
      <w:r w:rsidR="00151ABD">
        <w:rPr>
          <w:lang w:val="en-GB"/>
        </w:rPr>
        <w:t>207</w:t>
      </w:r>
      <w:r w:rsidRPr="00151ABD">
        <w:rPr>
          <w:lang w:val="en-GB"/>
        </w:rPr>
        <w:t>, 5</w:t>
      </w:r>
      <w:r w:rsidR="00151ABD" w:rsidRPr="00151ABD">
        <w:rPr>
          <w:lang w:val="en-GB"/>
        </w:rPr>
        <w:t>4.1</w:t>
      </w:r>
      <w:r w:rsidRPr="00151ABD">
        <w:rPr>
          <w:lang w:val="en-GB"/>
        </w:rPr>
        <w:t xml:space="preserve">%), </w:t>
      </w:r>
      <w:r w:rsidRPr="00151ABD">
        <w:rPr>
          <w:i/>
          <w:iCs/>
          <w:lang w:val="en-GB"/>
        </w:rPr>
        <w:t>bla</w:t>
      </w:r>
      <w:r w:rsidRPr="00151ABD">
        <w:rPr>
          <w:vertAlign w:val="subscript"/>
          <w:lang w:val="en-GB"/>
        </w:rPr>
        <w:t>OXA-48</w:t>
      </w:r>
      <w:r w:rsidRPr="00151ABD">
        <w:rPr>
          <w:lang w:val="en-GB"/>
        </w:rPr>
        <w:t xml:space="preserve"> (</w:t>
      </w:r>
      <w:r w:rsidR="00151ABD" w:rsidRPr="00151ABD">
        <w:rPr>
          <w:lang w:val="en-GB"/>
        </w:rPr>
        <w:t>36</w:t>
      </w:r>
      <w:r w:rsidRPr="00151ABD">
        <w:rPr>
          <w:lang w:val="en-GB"/>
        </w:rPr>
        <w:t>/</w:t>
      </w:r>
      <w:r w:rsidR="00151ABD">
        <w:rPr>
          <w:lang w:val="en-GB"/>
        </w:rPr>
        <w:t>207</w:t>
      </w:r>
      <w:r w:rsidRPr="00151ABD">
        <w:rPr>
          <w:lang w:val="en-GB"/>
        </w:rPr>
        <w:t xml:space="preserve">, </w:t>
      </w:r>
      <w:r w:rsidR="00151ABD" w:rsidRPr="00151ABD">
        <w:rPr>
          <w:lang w:val="en-GB"/>
        </w:rPr>
        <w:t>17.4</w:t>
      </w:r>
      <w:r w:rsidRPr="00151ABD">
        <w:rPr>
          <w:lang w:val="en-GB"/>
        </w:rPr>
        <w:t>%),</w:t>
      </w:r>
      <w:r w:rsidR="00151ABD" w:rsidRPr="00151ABD">
        <w:rPr>
          <w:lang w:val="en-GB"/>
        </w:rPr>
        <w:t xml:space="preserve"> </w:t>
      </w:r>
      <w:r w:rsidRPr="00151ABD">
        <w:rPr>
          <w:i/>
          <w:iCs/>
          <w:lang w:val="en-GB"/>
        </w:rPr>
        <w:t>bla</w:t>
      </w:r>
      <w:r w:rsidRPr="00151ABD">
        <w:rPr>
          <w:vertAlign w:val="subscript"/>
          <w:lang w:val="en-GB"/>
        </w:rPr>
        <w:t>OXA</w:t>
      </w:r>
      <w:r w:rsidRPr="00151ABD">
        <w:rPr>
          <w:vertAlign w:val="subscript"/>
          <w:lang w:val="en-GB"/>
        </w:rPr>
        <w:noBreakHyphen/>
        <w:t>232</w:t>
      </w:r>
      <w:r w:rsidRPr="00151ABD">
        <w:rPr>
          <w:lang w:val="en-GB"/>
        </w:rPr>
        <w:t xml:space="preserve"> (</w:t>
      </w:r>
      <w:r w:rsidR="00151ABD">
        <w:rPr>
          <w:lang w:val="en-GB"/>
        </w:rPr>
        <w:t>29</w:t>
      </w:r>
      <w:r w:rsidRPr="00151ABD">
        <w:rPr>
          <w:lang w:val="en-GB"/>
        </w:rPr>
        <w:t>/</w:t>
      </w:r>
      <w:r w:rsidR="00151ABD">
        <w:rPr>
          <w:lang w:val="en-GB"/>
        </w:rPr>
        <w:t>207</w:t>
      </w:r>
      <w:r w:rsidRPr="00151ABD">
        <w:rPr>
          <w:lang w:val="en-GB"/>
        </w:rPr>
        <w:t xml:space="preserve">, </w:t>
      </w:r>
      <w:r w:rsidR="00151ABD" w:rsidRPr="00151ABD">
        <w:rPr>
          <w:lang w:val="en-GB"/>
        </w:rPr>
        <w:t>14.0</w:t>
      </w:r>
      <w:r w:rsidRPr="00151ABD">
        <w:rPr>
          <w:lang w:val="en-GB"/>
        </w:rPr>
        <w:t>%),</w:t>
      </w:r>
      <w:r w:rsidR="00151ABD" w:rsidRPr="00151ABD">
        <w:rPr>
          <w:lang w:val="en-GB"/>
        </w:rPr>
        <w:t xml:space="preserve"> and</w:t>
      </w:r>
      <w:r w:rsidRPr="00151ABD">
        <w:rPr>
          <w:lang w:val="en-GB"/>
        </w:rPr>
        <w:t xml:space="preserve"> </w:t>
      </w:r>
      <w:r w:rsidRPr="00151ABD">
        <w:rPr>
          <w:i/>
          <w:iCs/>
          <w:lang w:val="en-GB"/>
        </w:rPr>
        <w:t>bla</w:t>
      </w:r>
      <w:r w:rsidRPr="00151ABD">
        <w:rPr>
          <w:vertAlign w:val="subscript"/>
          <w:lang w:val="en-GB"/>
        </w:rPr>
        <w:t>OXA</w:t>
      </w:r>
      <w:r w:rsidRPr="00151ABD">
        <w:rPr>
          <w:vertAlign w:val="subscript"/>
          <w:lang w:val="en-GB"/>
        </w:rPr>
        <w:noBreakHyphen/>
        <w:t>484</w:t>
      </w:r>
      <w:r w:rsidRPr="00151ABD">
        <w:rPr>
          <w:lang w:val="en-GB"/>
        </w:rPr>
        <w:t xml:space="preserve"> (</w:t>
      </w:r>
      <w:r w:rsidR="00151ABD" w:rsidRPr="00151ABD">
        <w:rPr>
          <w:lang w:val="en-GB"/>
        </w:rPr>
        <w:t>19</w:t>
      </w:r>
      <w:r w:rsidRPr="00151ABD">
        <w:rPr>
          <w:lang w:val="en-GB"/>
        </w:rPr>
        <w:t>/</w:t>
      </w:r>
      <w:r w:rsidR="00151ABD">
        <w:rPr>
          <w:lang w:val="en-GB"/>
        </w:rPr>
        <w:t>207</w:t>
      </w:r>
      <w:r w:rsidRPr="00151ABD">
        <w:rPr>
          <w:lang w:val="en-GB"/>
        </w:rPr>
        <w:t xml:space="preserve">, </w:t>
      </w:r>
      <w:r w:rsidR="00151ABD" w:rsidRPr="00151ABD">
        <w:rPr>
          <w:lang w:val="en-GB"/>
        </w:rPr>
        <w:t>9.2</w:t>
      </w:r>
      <w:r w:rsidRPr="00151ABD">
        <w:rPr>
          <w:lang w:val="en-GB"/>
        </w:rPr>
        <w:t>%)</w:t>
      </w:r>
      <w:r w:rsidR="00151ABD" w:rsidRPr="00151ABD">
        <w:rPr>
          <w:lang w:val="en-GB"/>
        </w:rPr>
        <w:t>.</w:t>
      </w:r>
    </w:p>
    <w:p w14:paraId="68F75F96" w14:textId="25AE7BFD" w:rsidR="00EB6106" w:rsidRPr="00CD2887" w:rsidRDefault="00EB6106" w:rsidP="00EB6106">
      <w:r w:rsidRPr="00CD2887">
        <w:t xml:space="preserve">Reports of KPC-producing </w:t>
      </w:r>
      <w:r w:rsidRPr="00CD2887">
        <w:rPr>
          <w:i/>
        </w:rPr>
        <w:t>Enterobacterales</w:t>
      </w:r>
      <w:r w:rsidRPr="00CD2887">
        <w:t xml:space="preserve"> increased in 202</w:t>
      </w:r>
      <w:r w:rsidR="00151ABD" w:rsidRPr="00CD2887">
        <w:t>3</w:t>
      </w:r>
      <w:r w:rsidRPr="00CD2887">
        <w:t xml:space="preserve"> compared to 202</w:t>
      </w:r>
      <w:r w:rsidR="00151ABD" w:rsidRPr="00CD2887">
        <w:t>2</w:t>
      </w:r>
      <w:r w:rsidRPr="00CD2887">
        <w:t xml:space="preserve"> (</w:t>
      </w:r>
      <w:r w:rsidRPr="00CD2887">
        <w:rPr>
          <w:i/>
          <w:iCs/>
        </w:rPr>
        <w:t>n</w:t>
      </w:r>
      <w:r w:rsidRPr="00CD2887">
        <w:t> = </w:t>
      </w:r>
      <w:r w:rsidR="00151ABD" w:rsidRPr="00CD2887">
        <w:t>27</w:t>
      </w:r>
      <w:r w:rsidRPr="00CD2887">
        <w:t xml:space="preserve"> in 202</w:t>
      </w:r>
      <w:r w:rsidR="00151ABD" w:rsidRPr="00CD2887">
        <w:t>3</w:t>
      </w:r>
      <w:r w:rsidRPr="00CD2887">
        <w:t xml:space="preserve">; </w:t>
      </w:r>
      <w:r w:rsidRPr="00CD2887">
        <w:rPr>
          <w:i/>
          <w:iCs/>
        </w:rPr>
        <w:t>n</w:t>
      </w:r>
      <w:r w:rsidRPr="00CD2887">
        <w:t> = </w:t>
      </w:r>
      <w:r w:rsidR="00151ABD" w:rsidRPr="00CD2887">
        <w:t>14</w:t>
      </w:r>
      <w:r w:rsidRPr="00CD2887">
        <w:t xml:space="preserve"> in 202</w:t>
      </w:r>
      <w:r w:rsidR="00151ABD" w:rsidRPr="00CD2887">
        <w:t>2</w:t>
      </w:r>
      <w:r w:rsidRPr="00CD2887">
        <w:t>). KPC types were predominantly reported from Victoria (</w:t>
      </w:r>
      <w:r w:rsidRPr="00CD2887">
        <w:rPr>
          <w:i/>
          <w:iCs/>
        </w:rPr>
        <w:t>n </w:t>
      </w:r>
      <w:r w:rsidRPr="00CD2887">
        <w:t>= 1</w:t>
      </w:r>
      <w:r w:rsidR="00D559CE" w:rsidRPr="00CD2887">
        <w:t>1</w:t>
      </w:r>
      <w:r w:rsidRPr="00CD2887">
        <w:t>)</w:t>
      </w:r>
      <w:r w:rsidR="00D559CE" w:rsidRPr="00CD2887">
        <w:t xml:space="preserve"> and NSW (</w:t>
      </w:r>
      <w:r w:rsidR="00D559CE" w:rsidRPr="00CD2887">
        <w:rPr>
          <w:i/>
          <w:iCs/>
        </w:rPr>
        <w:t>n</w:t>
      </w:r>
      <w:r w:rsidR="00D559CE" w:rsidRPr="00CD2887">
        <w:t> = 10)</w:t>
      </w:r>
      <w:r w:rsidRPr="00CD2887">
        <w:t xml:space="preserve"> mostly from different hospitals. T</w:t>
      </w:r>
      <w:r w:rsidR="00D559CE" w:rsidRPr="00CD2887">
        <w:t>wo</w:t>
      </w:r>
      <w:r w:rsidRPr="00CD2887">
        <w:t xml:space="preserve"> other states reported cases (Queensland [</w:t>
      </w:r>
      <w:r w:rsidR="00D559CE" w:rsidRPr="00CD2887">
        <w:t>5</w:t>
      </w:r>
      <w:r w:rsidRPr="00CD2887">
        <w:t xml:space="preserve">] and </w:t>
      </w:r>
      <w:r w:rsidR="00D559CE" w:rsidRPr="00CD2887">
        <w:t>S</w:t>
      </w:r>
      <w:r w:rsidRPr="00CD2887">
        <w:t>A [1]). Three KPC variants were detected from the 1</w:t>
      </w:r>
      <w:r w:rsidR="00D559CE" w:rsidRPr="00CD2887">
        <w:t>7</w:t>
      </w:r>
      <w:r w:rsidRPr="00CD2887">
        <w:t xml:space="preserve"> isolates that were sequenced: </w:t>
      </w:r>
      <w:r w:rsidRPr="00CD2887">
        <w:rPr>
          <w:i/>
          <w:iCs/>
          <w:lang w:val="en-GB"/>
        </w:rPr>
        <w:t>bla</w:t>
      </w:r>
      <w:r w:rsidRPr="00CD2887">
        <w:rPr>
          <w:vertAlign w:val="subscript"/>
          <w:lang w:val="en-GB"/>
        </w:rPr>
        <w:t>KPC-2</w:t>
      </w:r>
      <w:r w:rsidRPr="00CD2887">
        <w:t xml:space="preserve"> </w:t>
      </w:r>
      <w:r w:rsidRPr="00CD2887">
        <w:rPr>
          <w:lang w:val="en-GB"/>
        </w:rPr>
        <w:t>(</w:t>
      </w:r>
      <w:r w:rsidRPr="00CD2887">
        <w:rPr>
          <w:i/>
          <w:iCs/>
          <w:lang w:val="en-GB"/>
        </w:rPr>
        <w:t>n </w:t>
      </w:r>
      <w:r w:rsidRPr="00CD2887">
        <w:rPr>
          <w:lang w:val="en-GB"/>
        </w:rPr>
        <w:t>= </w:t>
      </w:r>
      <w:r w:rsidR="00D559CE" w:rsidRPr="00CD2887">
        <w:t>11</w:t>
      </w:r>
      <w:r w:rsidRPr="00CD2887">
        <w:t>), bla</w:t>
      </w:r>
      <w:r w:rsidRPr="00CD2887">
        <w:rPr>
          <w:vertAlign w:val="subscript"/>
        </w:rPr>
        <w:t>KPC-3</w:t>
      </w:r>
      <w:r w:rsidRPr="00CD2887">
        <w:t xml:space="preserve"> </w:t>
      </w:r>
      <w:r w:rsidRPr="00CD2887">
        <w:rPr>
          <w:lang w:val="en-GB"/>
        </w:rPr>
        <w:t>(</w:t>
      </w:r>
      <w:r w:rsidRPr="00CD2887">
        <w:rPr>
          <w:i/>
          <w:iCs/>
          <w:lang w:val="en-GB"/>
        </w:rPr>
        <w:t>n </w:t>
      </w:r>
      <w:r w:rsidRPr="00CD2887">
        <w:rPr>
          <w:lang w:val="en-GB"/>
        </w:rPr>
        <w:t>= </w:t>
      </w:r>
      <w:r w:rsidR="00D559CE" w:rsidRPr="00CD2887">
        <w:t>5</w:t>
      </w:r>
      <w:r w:rsidRPr="00CD2887">
        <w:t xml:space="preserve">) and </w:t>
      </w:r>
      <w:r w:rsidRPr="00CD2887">
        <w:rPr>
          <w:i/>
          <w:iCs/>
          <w:lang w:val="en-GB"/>
        </w:rPr>
        <w:t>bla</w:t>
      </w:r>
      <w:r w:rsidRPr="00CD2887">
        <w:rPr>
          <w:vertAlign w:val="subscript"/>
          <w:lang w:val="en-GB"/>
        </w:rPr>
        <w:t>KPC-</w:t>
      </w:r>
      <w:r w:rsidR="00D559CE" w:rsidRPr="00CD2887">
        <w:rPr>
          <w:vertAlign w:val="subscript"/>
          <w:lang w:val="en-GB"/>
        </w:rPr>
        <w:t>4</w:t>
      </w:r>
      <w:r w:rsidRPr="00CD2887">
        <w:rPr>
          <w:lang w:val="en-GB"/>
        </w:rPr>
        <w:t xml:space="preserve"> (</w:t>
      </w:r>
      <w:r w:rsidRPr="00CD2887">
        <w:rPr>
          <w:i/>
          <w:iCs/>
          <w:lang w:val="en-GB"/>
        </w:rPr>
        <w:t>n </w:t>
      </w:r>
      <w:r w:rsidRPr="00CD2887">
        <w:rPr>
          <w:lang w:val="en-GB"/>
        </w:rPr>
        <w:t>= </w:t>
      </w:r>
      <w:r w:rsidRPr="00CD2887">
        <w:t>1).</w:t>
      </w:r>
      <w:r w:rsidR="00840E37" w:rsidRPr="00CD2887">
        <w:t xml:space="preserve"> Five</w:t>
      </w:r>
      <w:r w:rsidRPr="00CD2887">
        <w:t xml:space="preserve"> KPC-producing </w:t>
      </w:r>
      <w:r w:rsidRPr="00CD2887">
        <w:rPr>
          <w:i/>
          <w:iCs/>
        </w:rPr>
        <w:t>K. pneumoniae</w:t>
      </w:r>
      <w:r w:rsidRPr="00CD2887">
        <w:t xml:space="preserve"> isolate</w:t>
      </w:r>
      <w:r w:rsidR="00840E37" w:rsidRPr="00CD2887">
        <w:t>s co-produced KPC+NDM+OXA-48-like [NSW [4, from one patient with multiple episodes], Victoria [1]) and two isolates from Victoria co-produced KPC+NDM.</w:t>
      </w:r>
    </w:p>
    <w:p w14:paraId="751AE3C4" w14:textId="314FC58C" w:rsidR="00EB6106" w:rsidRPr="00CD2887" w:rsidRDefault="00EB6106" w:rsidP="00EB6106">
      <w:r w:rsidRPr="00CD2887">
        <w:t>Other carbapenemase types reported were OXA-23-like (</w:t>
      </w:r>
      <w:r w:rsidRPr="00CD2887">
        <w:rPr>
          <w:i/>
          <w:iCs/>
        </w:rPr>
        <w:t>n</w:t>
      </w:r>
      <w:r w:rsidRPr="00CD2887">
        <w:t> = </w:t>
      </w:r>
      <w:r w:rsidR="006477A7" w:rsidRPr="00CD2887">
        <w:t>7</w:t>
      </w:r>
      <w:r w:rsidRPr="00CD2887">
        <w:t xml:space="preserve">), </w:t>
      </w:r>
      <w:r w:rsidR="006477A7" w:rsidRPr="00CD2887">
        <w:t>IMI (</w:t>
      </w:r>
      <w:r w:rsidR="006477A7" w:rsidRPr="00CD2887">
        <w:rPr>
          <w:i/>
          <w:iCs/>
        </w:rPr>
        <w:t>n</w:t>
      </w:r>
      <w:r w:rsidR="006477A7" w:rsidRPr="00CD2887">
        <w:t xml:space="preserve"> = 6), </w:t>
      </w:r>
      <w:r w:rsidRPr="00CD2887">
        <w:t>VIM (</w:t>
      </w:r>
      <w:r w:rsidRPr="00CD2887">
        <w:rPr>
          <w:i/>
          <w:iCs/>
        </w:rPr>
        <w:t>n</w:t>
      </w:r>
      <w:r w:rsidRPr="00CD2887">
        <w:t> = </w:t>
      </w:r>
      <w:r w:rsidR="006477A7" w:rsidRPr="00CD2887">
        <w:t>5</w:t>
      </w:r>
      <w:r w:rsidRPr="00CD2887">
        <w:t>) and SME (</w:t>
      </w:r>
      <w:r w:rsidRPr="00CD2887">
        <w:rPr>
          <w:i/>
          <w:iCs/>
        </w:rPr>
        <w:t>n</w:t>
      </w:r>
      <w:r w:rsidRPr="00CD2887">
        <w:t> = </w:t>
      </w:r>
      <w:r w:rsidR="006477A7" w:rsidRPr="00CD2887">
        <w:t>2</w:t>
      </w:r>
      <w:r w:rsidRPr="00CD2887">
        <w:t>).</w:t>
      </w:r>
    </w:p>
    <w:p w14:paraId="23A0D416" w14:textId="54A94FBC" w:rsidR="00EB6106" w:rsidRPr="00CD2887" w:rsidRDefault="00EB6106" w:rsidP="00EB6106">
      <w:pPr>
        <w:rPr>
          <w:lang w:val="en-GB"/>
        </w:rPr>
      </w:pPr>
      <w:r w:rsidRPr="00CD2887">
        <w:rPr>
          <w:rFonts w:cs="Arial"/>
          <w:lang w:val="en-GB"/>
        </w:rPr>
        <w:t>Co-production of carbapenemase</w:t>
      </w:r>
      <w:r w:rsidR="006477A7" w:rsidRPr="00CD2887">
        <w:rPr>
          <w:rFonts w:cs="Arial"/>
          <w:lang w:val="en-GB"/>
        </w:rPr>
        <w:t xml:space="preserve"> increased to 7.2% in 2023</w:t>
      </w:r>
      <w:r w:rsidR="00CD2887">
        <w:rPr>
          <w:rFonts w:cs="Arial"/>
          <w:lang w:val="en-GB"/>
        </w:rPr>
        <w:t xml:space="preserve"> </w:t>
      </w:r>
      <w:r w:rsidRPr="00CD2887">
        <w:rPr>
          <w:rFonts w:cs="Arial"/>
          <w:lang w:val="en-GB"/>
        </w:rPr>
        <w:t>(</w:t>
      </w:r>
      <w:r w:rsidR="006477A7" w:rsidRPr="00CD2887">
        <w:rPr>
          <w:rFonts w:cs="Arial"/>
          <w:lang w:val="en-GB"/>
        </w:rPr>
        <w:t>87/1,205</w:t>
      </w:r>
      <w:r w:rsidRPr="00CD2887">
        <w:rPr>
          <w:lang w:val="en-GB"/>
        </w:rPr>
        <w:t>)</w:t>
      </w:r>
      <w:r w:rsidR="006477A7" w:rsidRPr="00CD2887">
        <w:rPr>
          <w:lang w:val="en-GB"/>
        </w:rPr>
        <w:t>, up from 5.1% in 202</w:t>
      </w:r>
      <w:r w:rsidR="001458E8">
        <w:rPr>
          <w:lang w:val="en-GB"/>
        </w:rPr>
        <w:t>2</w:t>
      </w:r>
      <w:r w:rsidR="006477A7" w:rsidRPr="00CD2887">
        <w:rPr>
          <w:lang w:val="en-GB"/>
        </w:rPr>
        <w:t xml:space="preserve"> (42/829)</w:t>
      </w:r>
      <w:r w:rsidRPr="00CD2887">
        <w:rPr>
          <w:lang w:val="en-GB"/>
        </w:rPr>
        <w:t xml:space="preserve">. </w:t>
      </w:r>
      <w:proofErr w:type="gramStart"/>
      <w:r w:rsidRPr="00CD2887">
        <w:rPr>
          <w:lang w:val="en-GB"/>
        </w:rPr>
        <w:t>The</w:t>
      </w:r>
      <w:r w:rsidR="006477A7" w:rsidRPr="00CD2887">
        <w:rPr>
          <w:lang w:val="en-GB"/>
        </w:rPr>
        <w:t xml:space="preserve"> majority of</w:t>
      </w:r>
      <w:proofErr w:type="gramEnd"/>
      <w:r w:rsidR="006477A7" w:rsidRPr="00CD2887">
        <w:rPr>
          <w:lang w:val="en-GB"/>
        </w:rPr>
        <w:t xml:space="preserve"> </w:t>
      </w:r>
      <w:r w:rsidRPr="00CD2887">
        <w:rPr>
          <w:lang w:val="en-GB"/>
        </w:rPr>
        <w:t>co-produced genes in 202</w:t>
      </w:r>
      <w:r w:rsidR="006477A7" w:rsidRPr="00CD2887">
        <w:rPr>
          <w:lang w:val="en-GB"/>
        </w:rPr>
        <w:t>3</w:t>
      </w:r>
      <w:r w:rsidRPr="00CD2887">
        <w:rPr>
          <w:lang w:val="en-GB"/>
        </w:rPr>
        <w:t xml:space="preserve"> were NDM+OXA-48-like (</w:t>
      </w:r>
      <w:r w:rsidRPr="00CD2887">
        <w:rPr>
          <w:i/>
          <w:iCs/>
          <w:lang w:val="en-GB"/>
        </w:rPr>
        <w:t>n</w:t>
      </w:r>
      <w:r w:rsidRPr="00CD2887">
        <w:rPr>
          <w:lang w:val="en-GB"/>
        </w:rPr>
        <w:t> = </w:t>
      </w:r>
      <w:r w:rsidR="006477A7" w:rsidRPr="00CD2887">
        <w:rPr>
          <w:lang w:val="en-GB"/>
        </w:rPr>
        <w:t>67</w:t>
      </w:r>
      <w:r w:rsidRPr="00CD2887">
        <w:rPr>
          <w:lang w:val="en-GB"/>
        </w:rPr>
        <w:t xml:space="preserve">, up from </w:t>
      </w:r>
      <w:r w:rsidRPr="00CD2887">
        <w:rPr>
          <w:i/>
          <w:iCs/>
          <w:lang w:val="en-GB"/>
        </w:rPr>
        <w:t>n</w:t>
      </w:r>
      <w:r w:rsidRPr="00CD2887">
        <w:rPr>
          <w:lang w:val="en-GB"/>
        </w:rPr>
        <w:t> = </w:t>
      </w:r>
      <w:r w:rsidR="006477A7" w:rsidRPr="00CD2887">
        <w:rPr>
          <w:lang w:val="en-GB"/>
        </w:rPr>
        <w:t xml:space="preserve">37 </w:t>
      </w:r>
      <w:r w:rsidRPr="00CD2887">
        <w:rPr>
          <w:lang w:val="en-GB"/>
        </w:rPr>
        <w:t>in 202</w:t>
      </w:r>
      <w:r w:rsidR="006477A7" w:rsidRPr="00CD2887">
        <w:rPr>
          <w:lang w:val="en-GB"/>
        </w:rPr>
        <w:t>2</w:t>
      </w:r>
      <w:r w:rsidRPr="00CD2887">
        <w:rPr>
          <w:lang w:val="en-GB"/>
        </w:rPr>
        <w:t>) and IMP+NDM (</w:t>
      </w:r>
      <w:r w:rsidRPr="00CD2887">
        <w:rPr>
          <w:i/>
          <w:iCs/>
          <w:lang w:val="en-GB"/>
        </w:rPr>
        <w:t>n</w:t>
      </w:r>
      <w:r w:rsidRPr="00CD2887">
        <w:rPr>
          <w:lang w:val="en-GB"/>
        </w:rPr>
        <w:t> = </w:t>
      </w:r>
      <w:r w:rsidR="007E1AF0" w:rsidRPr="00CD2887">
        <w:rPr>
          <w:lang w:val="en-GB"/>
        </w:rPr>
        <w:t xml:space="preserve">9, up from </w:t>
      </w:r>
      <w:r w:rsidR="007E1AF0" w:rsidRPr="00CD2887">
        <w:rPr>
          <w:i/>
          <w:iCs/>
          <w:lang w:val="en-GB"/>
        </w:rPr>
        <w:t>n</w:t>
      </w:r>
      <w:r w:rsidR="007E1AF0" w:rsidRPr="00CD2887">
        <w:rPr>
          <w:lang w:val="en-GB"/>
        </w:rPr>
        <w:t> = 5 in 2022</w:t>
      </w:r>
      <w:r w:rsidRPr="00CD2887">
        <w:rPr>
          <w:lang w:val="en-GB"/>
        </w:rPr>
        <w:t>).</w:t>
      </w:r>
    </w:p>
    <w:p w14:paraId="6BF50976" w14:textId="74C38108" w:rsidR="00EB6106" w:rsidRPr="00D139E9" w:rsidRDefault="00EB6106" w:rsidP="00EB6106">
      <w:r w:rsidRPr="00D139E9">
        <w:t>In 202</w:t>
      </w:r>
      <w:r w:rsidR="00D139E9" w:rsidRPr="00D139E9">
        <w:t>3</w:t>
      </w:r>
      <w:r w:rsidRPr="00D139E9">
        <w:t>, there was variation in the proportion of isolates reported from clinical and screening specimens by state and territory (Figure 13). This may be due to differences in local infection prevention and control policies or in response to local outbreaks. Relatively fewer reports from screening specimens were identified in WA and Victoria.</w:t>
      </w:r>
    </w:p>
    <w:p w14:paraId="3278D9EC" w14:textId="77777777" w:rsidR="00EB6106" w:rsidRDefault="00EB6106" w:rsidP="00EB6106">
      <w:pPr>
        <w:rPr>
          <w:lang w:val="en-GB"/>
        </w:rPr>
      </w:pPr>
      <w:r w:rsidRPr="00D139E9">
        <w:rPr>
          <w:lang w:val="en-GB"/>
        </w:rPr>
        <w:lastRenderedPageBreak/>
        <w:t xml:space="preserve">There were notable regional differences in the distribution of the top five </w:t>
      </w:r>
      <w:proofErr w:type="spellStart"/>
      <w:r w:rsidRPr="00D139E9">
        <w:rPr>
          <w:lang w:val="en-GB"/>
        </w:rPr>
        <w:t>carbapenemases</w:t>
      </w:r>
      <w:proofErr w:type="spellEnd"/>
      <w:r w:rsidRPr="00D139E9">
        <w:rPr>
          <w:lang w:val="en-GB"/>
        </w:rPr>
        <w:t xml:space="preserve"> by specimen type (Figure 14) and by setting </w:t>
      </w:r>
      <w:r w:rsidRPr="000514CD">
        <w:rPr>
          <w:lang w:val="en-GB"/>
        </w:rPr>
        <w:t>(Table 4</w:t>
      </w:r>
      <w:r w:rsidRPr="000B5A0A">
        <w:rPr>
          <w:lang w:val="en-GB"/>
        </w:rPr>
        <w:t>).</w:t>
      </w:r>
    </w:p>
    <w:p w14:paraId="093FF095" w14:textId="23E4A449" w:rsidR="0083039B" w:rsidRPr="000B5A0A" w:rsidRDefault="0083039B" w:rsidP="00EB6106">
      <w:pPr>
        <w:rPr>
          <w:lang w:val="en-GB"/>
        </w:rPr>
      </w:pPr>
      <w:r>
        <w:rPr>
          <w:lang w:val="en-GB"/>
        </w:rPr>
        <w:t xml:space="preserve">The CPE crude rate (clinical isolates) </w:t>
      </w:r>
      <w:r w:rsidR="00772C72">
        <w:rPr>
          <w:lang w:val="en-GB"/>
        </w:rPr>
        <w:t>per</w:t>
      </w:r>
      <w:r>
        <w:rPr>
          <w:lang w:val="en-GB"/>
        </w:rPr>
        <w:t xml:space="preserve"> 100,000 population has increased in Victoria, NSW, </w:t>
      </w:r>
      <w:proofErr w:type="gramStart"/>
      <w:r>
        <w:rPr>
          <w:lang w:val="en-GB"/>
        </w:rPr>
        <w:t>WA</w:t>
      </w:r>
      <w:proofErr w:type="gramEnd"/>
      <w:r>
        <w:rPr>
          <w:lang w:val="en-GB"/>
        </w:rPr>
        <w:t xml:space="preserve"> and SA (Figure 15). There was a decrease in the crude rate in the ACT, while the rate in Queensland remained stable.</w:t>
      </w:r>
    </w:p>
    <w:p w14:paraId="614CF57E" w14:textId="19A26EA0" w:rsidR="00EB6106" w:rsidRPr="007307E4" w:rsidRDefault="00EB6106" w:rsidP="00EB6106">
      <w:pPr>
        <w:rPr>
          <w:rFonts w:eastAsiaTheme="minorEastAsia"/>
          <w:lang w:val="en-GB"/>
        </w:rPr>
      </w:pPr>
      <w:r w:rsidRPr="007307E4">
        <w:rPr>
          <w:lang w:val="en-GB"/>
        </w:rPr>
        <w:t>The clinical impact of each of the CPE types, and the potential impact of co-infection, are not well understoo</w:t>
      </w:r>
      <w:r w:rsidRPr="005B55E8">
        <w:rPr>
          <w:lang w:val="en-GB"/>
        </w:rPr>
        <w:t>d.</w:t>
      </w:r>
      <w:r w:rsidRPr="005B55E8">
        <w:rPr>
          <w:lang w:val="en-GB"/>
        </w:rPr>
        <w:fldChar w:fldCharType="begin">
          <w:fldData xml:space="preserve">PEVuZE5vdGU+PENpdGU+PEF1dGhvcj5Bc3NpczwvQXV0aG9yPjxZZWFyPjIwMjE8L1llYXI+PFJl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</w:fldData>
        </w:fldChar>
      </w:r>
      <w:r w:rsidR="00B17B22" w:rsidRPr="005B55E8">
        <w:rPr>
          <w:lang w:val="en-GB"/>
        </w:rPr>
        <w:instrText xml:space="preserve"> ADDIN EN.CITE </w:instrText>
      </w:r>
      <w:r w:rsidR="00B17B22" w:rsidRPr="005B55E8">
        <w:rPr>
          <w:lang w:val="en-GB"/>
        </w:rPr>
        <w:fldChar w:fldCharType="begin">
          <w:fldData xml:space="preserve">PEVuZE5vdGU+PENpdGU+PEF1dGhvcj5Bc3NpczwvQXV0aG9yPjxZZWFyPjIwMjE8L1llYXI+PFJl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</w:fldData>
        </w:fldChar>
      </w:r>
      <w:r w:rsidR="00B17B22" w:rsidRPr="005B55E8">
        <w:rPr>
          <w:lang w:val="en-GB"/>
        </w:rPr>
        <w:instrText xml:space="preserve"> ADDIN EN.CITE.DATA </w:instrText>
      </w:r>
      <w:r w:rsidR="00B17B22" w:rsidRPr="005B55E8">
        <w:rPr>
          <w:lang w:val="en-GB"/>
        </w:rPr>
      </w:r>
      <w:r w:rsidR="00B17B22" w:rsidRPr="005B55E8">
        <w:rPr>
          <w:lang w:val="en-GB"/>
        </w:rPr>
        <w:fldChar w:fldCharType="end"/>
      </w:r>
      <w:r w:rsidRPr="005B55E8">
        <w:rPr>
          <w:lang w:val="en-GB"/>
        </w:rPr>
      </w:r>
      <w:r w:rsidRPr="005B55E8">
        <w:rPr>
          <w:lang w:val="en-GB"/>
        </w:rPr>
        <w:fldChar w:fldCharType="separate"/>
      </w:r>
      <w:r w:rsidRPr="005B55E8">
        <w:rPr>
          <w:noProof/>
          <w:vertAlign w:val="superscript"/>
          <w:lang w:val="en-GB"/>
        </w:rPr>
        <w:t>7</w:t>
      </w:r>
      <w:r w:rsidRPr="005B55E8">
        <w:rPr>
          <w:lang w:val="en-GB"/>
        </w:rPr>
        <w:fldChar w:fldCharType="end"/>
      </w:r>
      <w:r w:rsidRPr="007307E4">
        <w:rPr>
          <w:lang w:val="en-GB"/>
        </w:rPr>
        <w:t xml:space="preserve"> This aspect of the data provided by CARAlert will be monitored.</w:t>
      </w:r>
    </w:p>
    <w:p w14:paraId="6072DCE8" w14:textId="56A60466" w:rsidR="00EB6106" w:rsidRPr="005B55E8" w:rsidRDefault="00EB6106" w:rsidP="00EB6106">
      <w:r w:rsidRPr="005B55E8">
        <w:t xml:space="preserve">Since 2016, </w:t>
      </w:r>
      <w:r w:rsidR="005B55E8" w:rsidRPr="005B55E8">
        <w:t>290</w:t>
      </w:r>
      <w:r w:rsidRPr="005B55E8">
        <w:t xml:space="preserve"> hospitals have reported at least one CPE. CPE were reported from 13</w:t>
      </w:r>
      <w:r w:rsidR="005B55E8" w:rsidRPr="005B55E8">
        <w:t>3</w:t>
      </w:r>
      <w:r w:rsidRPr="005B55E8">
        <w:t xml:space="preserve"> hospitals during 202</w:t>
      </w:r>
      <w:r w:rsidR="005B55E8" w:rsidRPr="005B55E8">
        <w:t>3</w:t>
      </w:r>
      <w:r w:rsidRPr="005B55E8">
        <w:t>. One-eighth (17/13</w:t>
      </w:r>
      <w:r w:rsidR="005B55E8" w:rsidRPr="005B55E8">
        <w:t>3</w:t>
      </w:r>
      <w:r w:rsidRPr="005B55E8">
        <w:t>) of these hospitals did not report a CPE during the period 2016 to 202</w:t>
      </w:r>
      <w:r w:rsidR="005B55E8" w:rsidRPr="005B55E8">
        <w:t>2</w:t>
      </w:r>
      <w:r w:rsidRPr="005B55E8">
        <w:t>. Of the hospitals that reported CPE prior to 2022, 1</w:t>
      </w:r>
      <w:r w:rsidR="005B55E8" w:rsidRPr="005B55E8">
        <w:t>57</w:t>
      </w:r>
      <w:r w:rsidRPr="005B55E8">
        <w:t xml:space="preserve"> did not have any reports in 202</w:t>
      </w:r>
      <w:r w:rsidR="005B55E8" w:rsidRPr="005B55E8">
        <w:t>3</w:t>
      </w:r>
      <w:r w:rsidRPr="005B55E8">
        <w:t>.</w:t>
      </w:r>
    </w:p>
    <w:p w14:paraId="722D249F" w14:textId="70729D1A" w:rsidR="005B55E8" w:rsidRPr="005B55E8" w:rsidRDefault="005B55E8" w:rsidP="005B55E8">
      <w:pPr>
        <w:rPr>
          <w:rFonts w:ascii="Arial" w:hAnsi="Arial" w:cs="Arial"/>
          <w:lang w:val="en-GB"/>
        </w:rPr>
      </w:pPr>
      <w:r w:rsidRPr="005B55E8">
        <w:rPr>
          <w:rFonts w:ascii="Arial" w:hAnsi="Arial" w:cs="Arial"/>
          <w:lang w:val="en-GB"/>
        </w:rPr>
        <w:t xml:space="preserve">In 2023, ribosomal methyltransferases were detected in 117 isolates of </w:t>
      </w:r>
      <w:r w:rsidRPr="005B55E8">
        <w:rPr>
          <w:rFonts w:ascii="Arial" w:hAnsi="Arial" w:cs="Arial"/>
          <w:i/>
          <w:iCs/>
          <w:lang w:val="en-GB"/>
        </w:rPr>
        <w:t>Enterobacterales</w:t>
      </w:r>
      <w:r w:rsidRPr="005B55E8">
        <w:rPr>
          <w:rFonts w:ascii="Arial" w:hAnsi="Arial" w:cs="Arial"/>
          <w:lang w:val="en-GB"/>
        </w:rPr>
        <w:t xml:space="preserve">, representing 10 species; 86.3% (101/117) of these also had a carbapenemase. The ribosomal methyltransferases were mostly found among </w:t>
      </w:r>
      <w:r w:rsidRPr="005B55E8">
        <w:rPr>
          <w:rFonts w:ascii="Arial" w:hAnsi="Arial" w:cs="Arial"/>
          <w:i/>
          <w:iCs/>
          <w:lang w:val="en-GB"/>
        </w:rPr>
        <w:t>K. pneumoniae</w:t>
      </w:r>
      <w:r w:rsidRPr="005B55E8">
        <w:rPr>
          <w:rFonts w:ascii="Arial" w:hAnsi="Arial" w:cs="Arial"/>
          <w:lang w:val="en-GB"/>
        </w:rPr>
        <w:t xml:space="preserve"> (60/117, 51.3%) and </w:t>
      </w:r>
      <w:r w:rsidRPr="005B55E8">
        <w:rPr>
          <w:rStyle w:val="Emphasis"/>
          <w:rFonts w:ascii="Arial" w:eastAsiaTheme="majorEastAsia" w:hAnsi="Arial" w:cs="Arial"/>
          <w:lang w:val="en-GB"/>
        </w:rPr>
        <w:t xml:space="preserve">E. coli </w:t>
      </w:r>
      <w:r w:rsidRPr="005B55E8">
        <w:rPr>
          <w:rFonts w:ascii="Arial" w:hAnsi="Arial" w:cs="Arial"/>
          <w:lang w:val="en-GB"/>
        </w:rPr>
        <w:t xml:space="preserve">(46/117, 39.3%). Four ribosomal methyltransferase genes were found in the isolates sequenced: </w:t>
      </w:r>
      <w:proofErr w:type="spellStart"/>
      <w:r w:rsidRPr="005B55E8">
        <w:rPr>
          <w:rStyle w:val="Emphasis"/>
          <w:rFonts w:ascii="Arial" w:eastAsiaTheme="majorEastAsia" w:hAnsi="Arial" w:cs="Arial"/>
          <w:lang w:val="en-GB"/>
        </w:rPr>
        <w:t>rmtB</w:t>
      </w:r>
      <w:proofErr w:type="spellEnd"/>
      <w:r w:rsidRPr="005B55E8">
        <w:rPr>
          <w:rFonts w:ascii="Arial" w:hAnsi="Arial" w:cs="Arial"/>
          <w:lang w:val="en-GB"/>
        </w:rPr>
        <w:t xml:space="preserve"> (68/107, 63.6%), </w:t>
      </w:r>
      <w:proofErr w:type="spellStart"/>
      <w:r w:rsidRPr="005B55E8">
        <w:rPr>
          <w:rStyle w:val="Emphasis"/>
          <w:rFonts w:ascii="Arial" w:eastAsiaTheme="majorEastAsia" w:hAnsi="Arial" w:cs="Arial"/>
          <w:lang w:val="en-GB"/>
        </w:rPr>
        <w:t>armA</w:t>
      </w:r>
      <w:proofErr w:type="spellEnd"/>
      <w:r w:rsidRPr="005B55E8">
        <w:rPr>
          <w:rFonts w:ascii="Arial" w:hAnsi="Arial" w:cs="Arial"/>
          <w:lang w:val="en-GB"/>
        </w:rPr>
        <w:t xml:space="preserve"> (17/107, 15.9%), </w:t>
      </w:r>
      <w:proofErr w:type="spellStart"/>
      <w:r w:rsidRPr="005B55E8">
        <w:rPr>
          <w:rFonts w:ascii="Arial" w:hAnsi="Arial" w:cs="Arial"/>
          <w:i/>
          <w:iCs/>
          <w:lang w:val="en-GB"/>
        </w:rPr>
        <w:t>rmtF</w:t>
      </w:r>
      <w:proofErr w:type="spellEnd"/>
      <w:r w:rsidRPr="005B55E8">
        <w:rPr>
          <w:rFonts w:ascii="Arial" w:hAnsi="Arial" w:cs="Arial"/>
          <w:lang w:val="en-GB"/>
        </w:rPr>
        <w:t xml:space="preserve"> (10/107, 9.3%), </w:t>
      </w:r>
      <w:proofErr w:type="spellStart"/>
      <w:r w:rsidRPr="005B55E8">
        <w:rPr>
          <w:rStyle w:val="Emphasis"/>
          <w:rFonts w:ascii="Arial" w:eastAsiaTheme="majorEastAsia" w:hAnsi="Arial" w:cs="Arial"/>
          <w:lang w:val="en-GB"/>
        </w:rPr>
        <w:t>rmtC</w:t>
      </w:r>
      <w:proofErr w:type="spellEnd"/>
      <w:r w:rsidRPr="005B55E8">
        <w:rPr>
          <w:rFonts w:ascii="Arial" w:hAnsi="Arial" w:cs="Arial"/>
          <w:lang w:val="en-GB"/>
        </w:rPr>
        <w:t xml:space="preserve"> (</w:t>
      </w:r>
      <w:r w:rsidRPr="005B55E8">
        <w:rPr>
          <w:rFonts w:ascii="Arial" w:hAnsi="Arial" w:cs="Arial"/>
          <w:i/>
          <w:iCs/>
          <w:lang w:val="en-GB"/>
        </w:rPr>
        <w:t>n </w:t>
      </w:r>
      <w:r w:rsidRPr="005B55E8">
        <w:rPr>
          <w:rFonts w:ascii="Arial" w:hAnsi="Arial" w:cs="Arial"/>
          <w:lang w:val="en-GB"/>
        </w:rPr>
        <w:t xml:space="preserve">= 7), </w:t>
      </w:r>
      <w:proofErr w:type="spellStart"/>
      <w:r w:rsidRPr="005B55E8">
        <w:rPr>
          <w:rFonts w:ascii="Arial" w:hAnsi="Arial" w:cs="Arial"/>
          <w:i/>
          <w:iCs/>
          <w:lang w:val="en-GB"/>
        </w:rPr>
        <w:t>rmtB</w:t>
      </w:r>
      <w:r w:rsidRPr="005B55E8">
        <w:rPr>
          <w:rFonts w:ascii="Arial" w:hAnsi="Arial" w:cs="Arial"/>
          <w:lang w:val="en-GB"/>
        </w:rPr>
        <w:t>+</w:t>
      </w:r>
      <w:r w:rsidRPr="005B55E8">
        <w:rPr>
          <w:rFonts w:ascii="Arial" w:hAnsi="Arial" w:cs="Arial"/>
          <w:i/>
          <w:iCs/>
          <w:lang w:val="en-GB"/>
        </w:rPr>
        <w:t>rmtF</w:t>
      </w:r>
      <w:proofErr w:type="spellEnd"/>
      <w:r w:rsidRPr="005B55E8">
        <w:rPr>
          <w:rFonts w:ascii="Arial" w:hAnsi="Arial" w:cs="Arial"/>
          <w:lang w:val="en-GB"/>
        </w:rPr>
        <w:t xml:space="preserve"> (</w:t>
      </w:r>
      <w:r w:rsidRPr="005B55E8">
        <w:rPr>
          <w:rFonts w:ascii="Arial" w:hAnsi="Arial" w:cs="Arial"/>
          <w:i/>
          <w:iCs/>
          <w:lang w:val="en-GB"/>
        </w:rPr>
        <w:t>n </w:t>
      </w:r>
      <w:r w:rsidRPr="005B55E8">
        <w:rPr>
          <w:rFonts w:ascii="Arial" w:hAnsi="Arial" w:cs="Arial"/>
          <w:lang w:val="en-GB"/>
        </w:rPr>
        <w:t xml:space="preserve">= 4), and </w:t>
      </w:r>
      <w:proofErr w:type="spellStart"/>
      <w:r w:rsidRPr="005B55E8">
        <w:rPr>
          <w:rFonts w:ascii="Arial" w:hAnsi="Arial" w:cs="Arial"/>
          <w:i/>
          <w:iCs/>
          <w:lang w:val="en-GB"/>
        </w:rPr>
        <w:t>armA</w:t>
      </w:r>
      <w:r w:rsidRPr="005B55E8">
        <w:rPr>
          <w:rFonts w:ascii="Arial" w:hAnsi="Arial" w:cs="Arial"/>
          <w:lang w:val="en-GB"/>
        </w:rPr>
        <w:t>+</w:t>
      </w:r>
      <w:r w:rsidRPr="005B55E8">
        <w:rPr>
          <w:rFonts w:ascii="Arial" w:hAnsi="Arial" w:cs="Arial"/>
          <w:i/>
          <w:iCs/>
          <w:lang w:val="en-GB"/>
        </w:rPr>
        <w:t>rmtF</w:t>
      </w:r>
      <w:proofErr w:type="spellEnd"/>
      <w:r w:rsidRPr="005B55E8">
        <w:rPr>
          <w:rFonts w:ascii="Arial" w:hAnsi="Arial" w:cs="Arial"/>
          <w:lang w:val="en-GB"/>
        </w:rPr>
        <w:t xml:space="preserve"> (</w:t>
      </w:r>
      <w:r w:rsidRPr="005B55E8">
        <w:rPr>
          <w:rFonts w:ascii="Arial" w:hAnsi="Arial" w:cs="Arial"/>
          <w:i/>
          <w:iCs/>
          <w:lang w:val="en-GB"/>
        </w:rPr>
        <w:t>n </w:t>
      </w:r>
      <w:r w:rsidRPr="005B55E8">
        <w:rPr>
          <w:rFonts w:ascii="Arial" w:hAnsi="Arial" w:cs="Arial"/>
          <w:lang w:val="en-GB"/>
        </w:rPr>
        <w:t>= 1).</w:t>
      </w:r>
    </w:p>
    <w:p w14:paraId="1D3C122A" w14:textId="47727D67" w:rsidR="00374F69" w:rsidRDefault="00EB6106" w:rsidP="005B55E8">
      <w:pPr>
        <w:rPr>
          <w:lang w:eastAsia="en-US"/>
        </w:rPr>
      </w:pPr>
      <w:r w:rsidRPr="005B55E8">
        <w:rPr>
          <w:rStyle w:val="cf01"/>
          <w:rFonts w:ascii="Arial" w:hAnsi="Arial" w:cs="Arial"/>
          <w:sz w:val="22"/>
          <w:szCs w:val="22"/>
        </w:rPr>
        <w:t xml:space="preserve">Transmissible resistance to colistin refers to the presence of </w:t>
      </w:r>
      <w:proofErr w:type="spellStart"/>
      <w:r w:rsidRPr="005B55E8">
        <w:rPr>
          <w:rStyle w:val="cf11"/>
          <w:rFonts w:ascii="Arial" w:eastAsiaTheme="majorEastAsia" w:hAnsi="Arial" w:cs="Arial"/>
          <w:sz w:val="22"/>
          <w:szCs w:val="22"/>
        </w:rPr>
        <w:t>mcr</w:t>
      </w:r>
      <w:proofErr w:type="spellEnd"/>
      <w:r w:rsidRPr="005B55E8">
        <w:rPr>
          <w:rStyle w:val="cf01"/>
          <w:rFonts w:ascii="Arial" w:hAnsi="Arial" w:cs="Arial"/>
          <w:sz w:val="22"/>
          <w:szCs w:val="22"/>
        </w:rPr>
        <w:t xml:space="preserve"> genes other than </w:t>
      </w:r>
      <w:r w:rsidRPr="005B55E8">
        <w:rPr>
          <w:rStyle w:val="cf11"/>
          <w:rFonts w:ascii="Arial" w:eastAsiaTheme="majorEastAsia" w:hAnsi="Arial" w:cs="Arial"/>
          <w:sz w:val="22"/>
          <w:szCs w:val="22"/>
        </w:rPr>
        <w:t>mcr</w:t>
      </w:r>
      <w:r w:rsidRPr="005B55E8">
        <w:rPr>
          <w:rStyle w:val="cf11"/>
          <w:rFonts w:ascii="Arial" w:eastAsiaTheme="majorEastAsia" w:hAnsi="Arial" w:cs="Arial"/>
          <w:sz w:val="22"/>
          <w:szCs w:val="22"/>
        </w:rPr>
        <w:noBreakHyphen/>
        <w:t>9</w:t>
      </w:r>
      <w:r w:rsidRPr="005B55E8">
        <w:rPr>
          <w:rStyle w:val="cf01"/>
          <w:rFonts w:ascii="Arial" w:hAnsi="Arial" w:cs="Arial"/>
          <w:sz w:val="22"/>
          <w:szCs w:val="22"/>
        </w:rPr>
        <w:t xml:space="preserve">. This variant is not associated with a colistin-resistant phenotype but is typically found on HI2 plasmids which may carry </w:t>
      </w:r>
      <w:r w:rsidRPr="005B55E8">
        <w:rPr>
          <w:rStyle w:val="cf01"/>
          <w:rFonts w:ascii="Arial" w:hAnsi="Arial" w:cs="Arial"/>
          <w:iCs/>
          <w:sz w:val="22"/>
          <w:szCs w:val="22"/>
        </w:rPr>
        <w:t>bla</w:t>
      </w:r>
      <w:r w:rsidRPr="005B55E8">
        <w:rPr>
          <w:rStyle w:val="cf01"/>
          <w:rFonts w:ascii="Arial" w:hAnsi="Arial" w:cs="Arial"/>
          <w:sz w:val="22"/>
          <w:szCs w:val="22"/>
          <w:vertAlign w:val="subscript"/>
        </w:rPr>
        <w:t>IMP-4</w:t>
      </w:r>
      <w:r w:rsidRPr="005B55E8">
        <w:rPr>
          <w:rStyle w:val="cf01"/>
          <w:rFonts w:ascii="Arial" w:hAnsi="Arial" w:cs="Arial"/>
          <w:sz w:val="22"/>
          <w:szCs w:val="22"/>
        </w:rPr>
        <w:t>.</w:t>
      </w:r>
      <w:r w:rsidRPr="005B55E8">
        <w:rPr>
          <w:rStyle w:val="cf01"/>
          <w:rFonts w:ascii="Arial" w:hAnsi="Arial" w:cs="Arial"/>
          <w:sz w:val="22"/>
          <w:szCs w:val="22"/>
        </w:rPr>
        <w:fldChar w:fldCharType="begin">
          <w:fldData xml:space="preserve">PEVuZE5vdGU+PENpdGU+PEF1dGhvcj5UeXNvbjwvQXV0aG9yPjxZZWFyPjIwMjA8L1llYXI+PFJl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=
</w:fldData>
        </w:fldChar>
      </w:r>
      <w:r w:rsidRPr="005B55E8">
        <w:rPr>
          <w:rStyle w:val="cf01"/>
          <w:rFonts w:ascii="Arial" w:hAnsi="Arial" w:cs="Arial"/>
          <w:sz w:val="22"/>
          <w:szCs w:val="22"/>
        </w:rPr>
        <w:instrText xml:space="preserve"> ADDIN EN.CITE </w:instrText>
      </w:r>
      <w:r w:rsidRPr="005B55E8">
        <w:rPr>
          <w:rStyle w:val="cf01"/>
          <w:rFonts w:ascii="Arial" w:hAnsi="Arial" w:cs="Arial"/>
          <w:sz w:val="22"/>
          <w:szCs w:val="22"/>
        </w:rPr>
        <w:fldChar w:fldCharType="begin">
          <w:fldData xml:space="preserve">PEVuZE5vdGU+PENpdGU+PEF1dGhvcj5UeXNvbjwvQXV0aG9yPjxZZWFyPjIwMjA8L1llYXI+PFJl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=
</w:fldData>
        </w:fldChar>
      </w:r>
      <w:r w:rsidRPr="005B55E8">
        <w:rPr>
          <w:rStyle w:val="cf01"/>
          <w:rFonts w:ascii="Arial" w:hAnsi="Arial" w:cs="Arial"/>
          <w:sz w:val="22"/>
          <w:szCs w:val="22"/>
        </w:rPr>
        <w:instrText xml:space="preserve"> ADDIN EN.CITE.DATA </w:instrText>
      </w:r>
      <w:r w:rsidRPr="005B55E8">
        <w:rPr>
          <w:rStyle w:val="cf01"/>
          <w:rFonts w:ascii="Arial" w:hAnsi="Arial" w:cs="Arial"/>
          <w:sz w:val="22"/>
          <w:szCs w:val="22"/>
        </w:rPr>
      </w:r>
      <w:r w:rsidRPr="005B55E8">
        <w:rPr>
          <w:rStyle w:val="cf01"/>
          <w:rFonts w:ascii="Arial" w:hAnsi="Arial" w:cs="Arial"/>
          <w:sz w:val="22"/>
          <w:szCs w:val="22"/>
        </w:rPr>
        <w:fldChar w:fldCharType="end"/>
      </w:r>
      <w:r w:rsidRPr="005B55E8">
        <w:rPr>
          <w:rStyle w:val="cf01"/>
          <w:rFonts w:ascii="Arial" w:hAnsi="Arial" w:cs="Arial"/>
          <w:sz w:val="22"/>
          <w:szCs w:val="22"/>
        </w:rPr>
      </w:r>
      <w:r w:rsidRPr="005B55E8">
        <w:rPr>
          <w:rStyle w:val="cf01"/>
          <w:rFonts w:ascii="Arial" w:hAnsi="Arial" w:cs="Arial"/>
          <w:sz w:val="22"/>
          <w:szCs w:val="22"/>
        </w:rPr>
        <w:fldChar w:fldCharType="separate"/>
      </w:r>
      <w:r w:rsidRPr="005B55E8">
        <w:rPr>
          <w:rStyle w:val="cf01"/>
          <w:rFonts w:ascii="Arial" w:hAnsi="Arial" w:cs="Arial"/>
          <w:noProof/>
          <w:sz w:val="22"/>
          <w:szCs w:val="22"/>
          <w:vertAlign w:val="superscript"/>
        </w:rPr>
        <w:t>8</w:t>
      </w:r>
      <w:r w:rsidRPr="005B55E8">
        <w:rPr>
          <w:rStyle w:val="cf01"/>
          <w:rFonts w:ascii="Arial" w:hAnsi="Arial" w:cs="Arial"/>
          <w:sz w:val="22"/>
          <w:szCs w:val="22"/>
        </w:rPr>
        <w:fldChar w:fldCharType="end"/>
      </w:r>
      <w:r w:rsidRPr="005B55E8">
        <w:rPr>
          <w:rStyle w:val="cf01"/>
          <w:rFonts w:ascii="Arial" w:hAnsi="Arial" w:cs="Arial"/>
          <w:sz w:val="22"/>
          <w:szCs w:val="22"/>
        </w:rPr>
        <w:t xml:space="preserve"> </w:t>
      </w:r>
      <w:r w:rsidR="005B55E8" w:rsidRPr="005B55E8">
        <w:rPr>
          <w:rFonts w:cs="Arial"/>
        </w:rPr>
        <w:t xml:space="preserve">Two </w:t>
      </w:r>
      <w:r w:rsidR="005B55E8" w:rsidRPr="005B55E8">
        <w:rPr>
          <w:rFonts w:cs="Arial"/>
          <w:i/>
          <w:iCs/>
        </w:rPr>
        <w:t>E.</w:t>
      </w:r>
      <w:r w:rsidR="005B55E8">
        <w:rPr>
          <w:rFonts w:cs="Arial"/>
          <w:i/>
          <w:iCs/>
        </w:rPr>
        <w:t> </w:t>
      </w:r>
      <w:r w:rsidR="005B55E8" w:rsidRPr="005B55E8">
        <w:rPr>
          <w:rFonts w:cs="Arial"/>
          <w:i/>
          <w:iCs/>
        </w:rPr>
        <w:t>coli</w:t>
      </w:r>
      <w:r w:rsidR="005B55E8" w:rsidRPr="005B55E8">
        <w:rPr>
          <w:rFonts w:cs="Arial"/>
        </w:rPr>
        <w:t xml:space="preserve"> isolates with </w:t>
      </w:r>
      <w:r w:rsidR="005B55E8" w:rsidRPr="005B55E8">
        <w:rPr>
          <w:rFonts w:cs="Arial"/>
          <w:i/>
          <w:iCs/>
        </w:rPr>
        <w:t>mcr-1.1</w:t>
      </w:r>
      <w:r w:rsidR="005B55E8" w:rsidRPr="005B55E8">
        <w:rPr>
          <w:rFonts w:cs="Arial"/>
        </w:rPr>
        <w:t xml:space="preserve"> were reported from Victoria and SA in 2023. The isolate from Victoria also harboured </w:t>
      </w:r>
      <w:r w:rsidR="005B55E8" w:rsidRPr="005B55E8">
        <w:rPr>
          <w:rFonts w:cs="Arial"/>
          <w:i/>
          <w:iCs/>
          <w:lang w:val="en-GB"/>
        </w:rPr>
        <w:t>bla</w:t>
      </w:r>
      <w:r w:rsidR="005B55E8" w:rsidRPr="005B55E8">
        <w:rPr>
          <w:rFonts w:cs="Arial"/>
          <w:vertAlign w:val="subscript"/>
          <w:lang w:val="en-GB"/>
        </w:rPr>
        <w:t>NDM-1</w:t>
      </w:r>
      <w:r w:rsidR="005B55E8" w:rsidRPr="005B55E8">
        <w:rPr>
          <w:rFonts w:cs="Arial"/>
          <w:lang w:val="en-GB"/>
        </w:rPr>
        <w:t xml:space="preserve">. </w:t>
      </w:r>
      <w:r w:rsidR="005B55E8" w:rsidRPr="005B55E8">
        <w:t xml:space="preserve">This CAR has been reported </w:t>
      </w:r>
      <w:r w:rsidR="005B55E8" w:rsidRPr="005B55E8">
        <w:rPr>
          <w:lang w:eastAsia="en-US"/>
        </w:rPr>
        <w:t>to CARAlert since July 2019.</w:t>
      </w:r>
    </w:p>
    <w:p w14:paraId="0E41ADC4" w14:textId="77777777" w:rsidR="00374F69" w:rsidRDefault="00374F69">
      <w:pPr>
        <w:spacing w:before="0" w:after="80"/>
        <w:rPr>
          <w:lang w:eastAsia="en-US"/>
        </w:rPr>
      </w:pPr>
      <w:r>
        <w:rPr>
          <w:lang w:eastAsia="en-US"/>
        </w:rPr>
        <w:br w:type="page"/>
      </w:r>
    </w:p>
    <w:p w14:paraId="3AA79A0F" w14:textId="24919553" w:rsidR="00EB6106" w:rsidRDefault="00EB6106" w:rsidP="00F112E3">
      <w:pPr>
        <w:pStyle w:val="Heading4"/>
      </w:pPr>
      <w:r>
        <w:lastRenderedPageBreak/>
        <w:t>National data</w:t>
      </w:r>
    </w:p>
    <w:p w14:paraId="01661E66" w14:textId="29A42C54" w:rsidR="007A0CBC" w:rsidRPr="007B6D81" w:rsidRDefault="00EB6106" w:rsidP="007A0CBC">
      <w:pPr>
        <w:pStyle w:val="FigureTitle"/>
        <w:spacing w:after="0"/>
        <w:rPr>
          <w:rFonts w:ascii="Arial" w:hAnsi="Arial" w:cs="Arial"/>
          <w:spacing w:val="5"/>
          <w:sz w:val="18"/>
        </w:rPr>
      </w:pPr>
      <w:bookmarkStart w:id="16" w:name="_Hlk32474333"/>
      <w:bookmarkStart w:id="17" w:name="_Toc491785924"/>
      <w:bookmarkStart w:id="18" w:name="_Hlk517226691"/>
      <w:r w:rsidRPr="0091543F">
        <w:t xml:space="preserve">Figure </w:t>
      </w:r>
      <w:r>
        <w:t>7</w:t>
      </w:r>
      <w:r w:rsidRPr="0091543F">
        <w:t>:</w:t>
      </w:r>
      <w:r w:rsidRPr="007E1471">
        <w:t xml:space="preserve"> </w:t>
      </w:r>
      <w:r w:rsidRPr="007E1471">
        <w:rPr>
          <w:b w:val="0"/>
          <w:bCs/>
        </w:rPr>
        <w:t xml:space="preserve">Carbapenemase-producing </w:t>
      </w:r>
      <w:r w:rsidRPr="007E1471">
        <w:rPr>
          <w:b w:val="0"/>
          <w:bCs/>
          <w:i/>
        </w:rPr>
        <w:t>Enterobacterales</w:t>
      </w:r>
      <w:r w:rsidRPr="007E1471">
        <w:rPr>
          <w:b w:val="0"/>
          <w:bCs/>
        </w:rPr>
        <w:t xml:space="preserve">, number reported to CARAlert by month and specimen type, </w:t>
      </w:r>
      <w:r>
        <w:rPr>
          <w:b w:val="0"/>
          <w:bCs/>
        </w:rPr>
        <w:t xml:space="preserve">national, </w:t>
      </w:r>
      <w:r w:rsidRPr="007E1471">
        <w:rPr>
          <w:b w:val="0"/>
          <w:bCs/>
        </w:rPr>
        <w:t>2017</w:t>
      </w:r>
      <w:r w:rsidRPr="00F67768">
        <w:rPr>
          <w:b w:val="0"/>
          <w:bCs/>
        </w:rPr>
        <w:t>–202</w:t>
      </w:r>
      <w:bookmarkEnd w:id="16"/>
      <w:r>
        <w:rPr>
          <w:b w:val="0"/>
          <w:bCs/>
        </w:rPr>
        <w:t>3</w:t>
      </w:r>
      <w:r w:rsidR="00500D72">
        <w:rPr>
          <w:rFonts w:ascii="Arial" w:hAnsi="Arial" w:cs="Arial"/>
          <w:noProof/>
          <w:spacing w:val="5"/>
          <w:sz w:val="18"/>
        </w:rPr>
        <w:drawing>
          <wp:inline distT="0" distB="0" distL="0" distR="0" wp14:anchorId="1A4549D1" wp14:editId="0544C3DE">
            <wp:extent cx="6118227" cy="3239224"/>
            <wp:effectExtent l="0" t="0" r="0" b="0"/>
            <wp:docPr id="30" name="Picture 3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7"/>
                    <pic:cNvPicPr/>
                  </pic:nvPicPr>
                  <pic:blipFill>
                    <a:blip r:embed="rId34"/>
                    <a:stretch>
                      <a:fillRect/>
                    </a:stretch>
                  </pic:blipFill>
                  <pic:spPr>
                    <a:xfrm>
                      <a:off x="0" y="0"/>
                      <a:ext cx="6118227" cy="3239224"/>
                    </a:xfrm>
                    <a:prstGeom prst="rect">
                      <a:avLst/>
                    </a:prstGeom>
                  </pic:spPr>
                </pic:pic>
              </a:graphicData>
            </a:graphic>
          </wp:inline>
        </w:drawing>
      </w:r>
    </w:p>
    <w:p w14:paraId="2846AA4C" w14:textId="47CBAB0C" w:rsidR="00374F69" w:rsidRPr="00374F69" w:rsidRDefault="006852C3" w:rsidP="00E15B51">
      <w:pPr>
        <w:pStyle w:val="FigureTitle"/>
        <w:spacing w:before="120" w:after="0"/>
        <w:rPr>
          <w:rStyle w:val="IntenseReference"/>
          <w:rFonts w:ascii="Arial" w:hAnsi="Arial" w:cs="Arial"/>
          <w:bCs w:val="0"/>
          <w:i w:val="0"/>
          <w:iCs/>
          <w:smallCaps w:val="0"/>
          <w:color w:val="auto"/>
          <w:sz w:val="16"/>
          <w:szCs w:val="20"/>
        </w:rPr>
      </w:pPr>
      <w:r w:rsidRPr="007B6D81">
        <w:rPr>
          <w:rFonts w:ascii="Arial" w:hAnsi="Arial" w:cs="Arial"/>
          <w:b w:val="0"/>
          <w:iCs/>
          <w:spacing w:val="5"/>
          <w:sz w:val="16"/>
          <w:szCs w:val="20"/>
        </w:rPr>
        <w:t xml:space="preserve">Note: </w:t>
      </w:r>
      <w:r w:rsidRPr="007B6D81">
        <w:rPr>
          <w:rFonts w:ascii="Arial" w:hAnsi="Arial" w:cs="Arial"/>
          <w:b w:val="0"/>
          <w:iCs/>
          <w:sz w:val="16"/>
          <w:szCs w:val="20"/>
        </w:rPr>
        <w:t xml:space="preserve">Carbapenemase-producing </w:t>
      </w:r>
      <w:r w:rsidRPr="007B6D81">
        <w:rPr>
          <w:rFonts w:ascii="Arial" w:hAnsi="Arial" w:cs="Arial"/>
          <w:b w:val="0"/>
          <w:i/>
          <w:sz w:val="16"/>
          <w:szCs w:val="20"/>
        </w:rPr>
        <w:t>Enterobacterales</w:t>
      </w:r>
      <w:r w:rsidRPr="007B6D81">
        <w:rPr>
          <w:rFonts w:ascii="Arial" w:hAnsi="Arial" w:cs="Arial"/>
          <w:b w:val="0"/>
          <w:iCs/>
          <w:spacing w:val="5"/>
          <w:sz w:val="16"/>
          <w:szCs w:val="20"/>
        </w:rPr>
        <w:t>, includ</w:t>
      </w:r>
      <w:r w:rsidR="00FC02CE">
        <w:rPr>
          <w:rFonts w:ascii="Arial" w:hAnsi="Arial" w:cs="Arial"/>
          <w:b w:val="0"/>
          <w:iCs/>
          <w:spacing w:val="5"/>
          <w:sz w:val="16"/>
          <w:szCs w:val="20"/>
        </w:rPr>
        <w:t>es</w:t>
      </w:r>
      <w:r w:rsidRPr="007B6D81">
        <w:rPr>
          <w:rFonts w:ascii="Arial" w:hAnsi="Arial" w:cs="Arial"/>
          <w:b w:val="0"/>
          <w:iCs/>
          <w:spacing w:val="5"/>
          <w:sz w:val="16"/>
          <w:szCs w:val="20"/>
        </w:rPr>
        <w:t xml:space="preserve"> those co-producing ribosomal methyltransferase and/or </w:t>
      </w:r>
      <w:r w:rsidRPr="006852C3">
        <w:rPr>
          <w:rFonts w:ascii="Arial" w:hAnsi="Arial" w:cs="Arial"/>
          <w:b w:val="0"/>
          <w:iCs/>
          <w:spacing w:val="5"/>
          <w:sz w:val="16"/>
          <w:szCs w:val="20"/>
        </w:rPr>
        <w:t>transmissible colistin resistance</w:t>
      </w:r>
      <w:r w:rsidR="007A0CBC" w:rsidRPr="006852C3">
        <w:rPr>
          <w:rFonts w:ascii="Arial" w:hAnsi="Arial" w:cs="Arial"/>
          <w:b w:val="0"/>
          <w:iCs/>
          <w:spacing w:val="5"/>
          <w:sz w:val="16"/>
          <w:szCs w:val="20"/>
        </w:rPr>
        <w:t>.</w:t>
      </w:r>
    </w:p>
    <w:p w14:paraId="2FF63BE7" w14:textId="77777777" w:rsidR="00374F69" w:rsidRDefault="00374F69" w:rsidP="00EB6106">
      <w:pPr>
        <w:pStyle w:val="FigureTitle"/>
        <w:spacing w:after="0"/>
      </w:pPr>
    </w:p>
    <w:p w14:paraId="7D09BCC0" w14:textId="77777777" w:rsidR="00374F69" w:rsidRDefault="00374F69" w:rsidP="00EB6106">
      <w:pPr>
        <w:pStyle w:val="FigureTitle"/>
        <w:spacing w:after="0"/>
      </w:pPr>
    </w:p>
    <w:p w14:paraId="21C78627" w14:textId="4944A31F" w:rsidR="00EB6106" w:rsidRPr="007B6D81" w:rsidRDefault="00EB6106" w:rsidP="00EB6106">
      <w:pPr>
        <w:pStyle w:val="FigureTitle"/>
        <w:spacing w:after="0"/>
        <w:rPr>
          <w:rStyle w:val="IntenseReference"/>
          <w:rFonts w:cs="Arial"/>
          <w:b/>
          <w:bCs w:val="0"/>
          <w:i w:val="0"/>
          <w:smallCaps w:val="0"/>
          <w:color w:val="auto"/>
          <w:sz w:val="16"/>
          <w:szCs w:val="20"/>
        </w:rPr>
      </w:pPr>
      <w:r w:rsidRPr="00991BE8">
        <w:t>Figure 8:</w:t>
      </w:r>
      <w:r w:rsidRPr="00875CE2">
        <w:t xml:space="preserve"> </w:t>
      </w:r>
      <w:r w:rsidRPr="00875CE2">
        <w:rPr>
          <w:b w:val="0"/>
          <w:bCs/>
        </w:rPr>
        <w:t xml:space="preserve">Ribosomal methyltransferase-producing </w:t>
      </w:r>
      <w:r w:rsidRPr="00875CE2">
        <w:rPr>
          <w:b w:val="0"/>
          <w:bCs/>
          <w:i/>
        </w:rPr>
        <w:t>Enterobacterales</w:t>
      </w:r>
      <w:r w:rsidRPr="00875CE2">
        <w:rPr>
          <w:b w:val="0"/>
          <w:bCs/>
        </w:rPr>
        <w:t xml:space="preserve">, number reported to CARAlert by month, </w:t>
      </w:r>
      <w:r>
        <w:rPr>
          <w:b w:val="0"/>
          <w:bCs/>
        </w:rPr>
        <w:t xml:space="preserve">national, </w:t>
      </w:r>
      <w:r w:rsidRPr="00875CE2">
        <w:rPr>
          <w:b w:val="0"/>
          <w:bCs/>
        </w:rPr>
        <w:t>2017</w:t>
      </w:r>
      <w:r w:rsidRPr="001A550D">
        <w:rPr>
          <w:b w:val="0"/>
          <w:bCs/>
        </w:rPr>
        <w:t>–202</w:t>
      </w:r>
      <w:r>
        <w:rPr>
          <w:b w:val="0"/>
          <w:bCs/>
        </w:rPr>
        <w:t>3</w:t>
      </w:r>
      <w:r w:rsidR="00500D72">
        <w:rPr>
          <w:rFonts w:cs="Arial"/>
          <w:noProof/>
          <w:spacing w:val="5"/>
          <w:sz w:val="16"/>
          <w:szCs w:val="20"/>
        </w:rPr>
        <w:drawing>
          <wp:inline distT="0" distB="0" distL="0" distR="0" wp14:anchorId="6932BBDE" wp14:editId="09A7C621">
            <wp:extent cx="6118227" cy="3494150"/>
            <wp:effectExtent l="0" t="0" r="0" b="0"/>
            <wp:docPr id="31" name="Picture 3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pic:cNvPicPr/>
                  </pic:nvPicPr>
                  <pic:blipFill>
                    <a:blip r:embed="rId35"/>
                    <a:stretch>
                      <a:fillRect/>
                    </a:stretch>
                  </pic:blipFill>
                  <pic:spPr>
                    <a:xfrm>
                      <a:off x="0" y="0"/>
                      <a:ext cx="6118227" cy="3494150"/>
                    </a:xfrm>
                    <a:prstGeom prst="rect">
                      <a:avLst/>
                    </a:prstGeom>
                  </pic:spPr>
                </pic:pic>
              </a:graphicData>
            </a:graphic>
          </wp:inline>
        </w:drawing>
      </w:r>
    </w:p>
    <w:p w14:paraId="7E723B24" w14:textId="612DEA67" w:rsidR="00EB6106" w:rsidRPr="007B6D81" w:rsidRDefault="00EB6106" w:rsidP="00B0432B">
      <w:pPr>
        <w:spacing w:after="0"/>
        <w:ind w:left="284" w:hanging="284"/>
        <w:rPr>
          <w:b/>
          <w:i/>
          <w:smallCaps/>
          <w:sz w:val="16"/>
        </w:rPr>
      </w:pPr>
      <w:r w:rsidRPr="007B6D81">
        <w:rPr>
          <w:rStyle w:val="IntenseReference"/>
          <w:rFonts w:cs="Arial"/>
          <w:b w:val="0"/>
          <w:i w:val="0"/>
          <w:smallCaps w:val="0"/>
          <w:color w:val="auto"/>
          <w:sz w:val="16"/>
        </w:rPr>
        <w:t xml:space="preserve">Note: Ribosomal methyltransferase-producing </w:t>
      </w:r>
      <w:r w:rsidRPr="007B6D81">
        <w:rPr>
          <w:rStyle w:val="IntenseReference"/>
          <w:rFonts w:cs="Arial"/>
          <w:b w:val="0"/>
          <w:iCs/>
          <w:smallCaps w:val="0"/>
          <w:color w:val="auto"/>
          <w:sz w:val="16"/>
        </w:rPr>
        <w:t>Enterobacterales</w:t>
      </w:r>
      <w:r w:rsidRPr="007B6D81">
        <w:rPr>
          <w:rStyle w:val="IntenseReference"/>
          <w:rFonts w:cs="Arial"/>
          <w:b w:val="0"/>
          <w:i w:val="0"/>
          <w:smallCaps w:val="0"/>
          <w:color w:val="auto"/>
          <w:sz w:val="16"/>
        </w:rPr>
        <w:t>, includ</w:t>
      </w:r>
      <w:r w:rsidR="00FC02CE">
        <w:rPr>
          <w:rStyle w:val="IntenseReference"/>
          <w:rFonts w:cs="Arial"/>
          <w:b w:val="0"/>
          <w:i w:val="0"/>
          <w:smallCaps w:val="0"/>
          <w:color w:val="auto"/>
          <w:sz w:val="16"/>
        </w:rPr>
        <w:t>es</w:t>
      </w:r>
      <w:r w:rsidRPr="007B6D81">
        <w:rPr>
          <w:rStyle w:val="IntenseReference"/>
          <w:rFonts w:cs="Arial"/>
          <w:b w:val="0"/>
          <w:i w:val="0"/>
          <w:smallCaps w:val="0"/>
          <w:color w:val="auto"/>
          <w:sz w:val="16"/>
        </w:rPr>
        <w:t xml:space="preserve"> those that also produced </w:t>
      </w:r>
      <w:bookmarkStart w:id="19" w:name="_Toc491785926"/>
      <w:bookmarkEnd w:id="17"/>
      <w:bookmarkEnd w:id="18"/>
      <w:r w:rsidRPr="007B6D81">
        <w:rPr>
          <w:rStyle w:val="IntenseReference"/>
          <w:rFonts w:cs="Arial"/>
          <w:b w:val="0"/>
          <w:i w:val="0"/>
          <w:smallCaps w:val="0"/>
          <w:color w:val="auto"/>
          <w:sz w:val="16"/>
        </w:rPr>
        <w:t>carbapenemase.</w:t>
      </w:r>
    </w:p>
    <w:p w14:paraId="7F53BE06" w14:textId="77777777" w:rsidR="00EB6106" w:rsidRDefault="00EB6106" w:rsidP="00EB6106">
      <w:pPr>
        <w:spacing w:after="80"/>
        <w:rPr>
          <w:b/>
          <w:highlight w:val="yellow"/>
        </w:rPr>
      </w:pPr>
      <w:r>
        <w:rPr>
          <w:b/>
          <w:highlight w:val="yellow"/>
        </w:rPr>
        <w:br w:type="page"/>
      </w:r>
    </w:p>
    <w:p w14:paraId="4AADE663" w14:textId="77777777" w:rsidR="00EB6106" w:rsidRDefault="00EB6106" w:rsidP="00EB6106">
      <w:pPr>
        <w:spacing w:after="60"/>
        <w:rPr>
          <w:bCs/>
        </w:rPr>
      </w:pPr>
      <w:r w:rsidRPr="00515912">
        <w:rPr>
          <w:b/>
        </w:rPr>
        <w:lastRenderedPageBreak/>
        <w:t>Figure 9:</w:t>
      </w:r>
      <w:r>
        <w:rPr>
          <w:b/>
        </w:rPr>
        <w:t xml:space="preserve"> </w:t>
      </w:r>
      <w:r w:rsidRPr="00504D7D">
        <w:rPr>
          <w:bCs/>
        </w:rPr>
        <w:t xml:space="preserve">Carbapenemase-producing </w:t>
      </w:r>
      <w:r w:rsidRPr="00B23D3A">
        <w:rPr>
          <w:bCs/>
          <w:i/>
        </w:rPr>
        <w:t>Enterobacterales</w:t>
      </w:r>
      <w:r w:rsidRPr="00504D7D">
        <w:rPr>
          <w:bCs/>
        </w:rPr>
        <w:t>*, number reported</w:t>
      </w:r>
      <w:r w:rsidRPr="00953D69">
        <w:rPr>
          <w:bCs/>
        </w:rPr>
        <w:t xml:space="preserve"> to CARAlert </w:t>
      </w:r>
      <w:r w:rsidRPr="00504D7D">
        <w:rPr>
          <w:bCs/>
        </w:rPr>
        <w:t>by species and carbapenemase type</w:t>
      </w:r>
      <w:r w:rsidRPr="00FC3E15">
        <w:rPr>
          <w:bCs/>
        </w:rPr>
        <w:t xml:space="preserve">, </w:t>
      </w:r>
      <w:bookmarkEnd w:id="19"/>
      <w:r>
        <w:rPr>
          <w:bCs/>
        </w:rPr>
        <w:t xml:space="preserve">national, </w:t>
      </w:r>
      <w:proofErr w:type="gramStart"/>
      <w:r w:rsidRPr="00FC3E15">
        <w:rPr>
          <w:bCs/>
        </w:rPr>
        <w:t>202</w:t>
      </w:r>
      <w:r>
        <w:rPr>
          <w:bCs/>
        </w:rPr>
        <w:t>3</w:t>
      </w:r>
      <w:proofErr w:type="gramEnd"/>
    </w:p>
    <w:p w14:paraId="7F72C32E" w14:textId="63DF8DC9" w:rsidR="00EB6106" w:rsidRDefault="00C70C8E" w:rsidP="00DB7A6B">
      <w:pPr>
        <w:spacing w:before="0" w:after="0"/>
        <w:jc w:val="both"/>
        <w:rPr>
          <w:bCs/>
        </w:rPr>
      </w:pPr>
      <w:r>
        <w:rPr>
          <w:noProof/>
        </w:rPr>
        <w:drawing>
          <wp:inline distT="0" distB="0" distL="0" distR="0" wp14:anchorId="7F3EF8D1" wp14:editId="406C6A92">
            <wp:extent cx="6118227" cy="4106527"/>
            <wp:effectExtent l="0" t="0" r="0" b="8890"/>
            <wp:docPr id="32" name="Picture 3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9"/>
                    <pic:cNvPicPr/>
                  </pic:nvPicPr>
                  <pic:blipFill>
                    <a:blip r:embed="rId36"/>
                    <a:stretch>
                      <a:fillRect/>
                    </a:stretch>
                  </pic:blipFill>
                  <pic:spPr>
                    <a:xfrm>
                      <a:off x="0" y="0"/>
                      <a:ext cx="6118227" cy="4106527"/>
                    </a:xfrm>
                    <a:prstGeom prst="rect">
                      <a:avLst/>
                    </a:prstGeom>
                  </pic:spPr>
                </pic:pic>
              </a:graphicData>
            </a:graphic>
          </wp:inline>
        </w:drawing>
      </w:r>
      <w:r>
        <w:rPr>
          <w:bCs/>
          <w:noProof/>
        </w:rPr>
        <w:drawing>
          <wp:inline distT="0" distB="0" distL="0" distR="0" wp14:anchorId="124F4438" wp14:editId="02B0B5C2">
            <wp:extent cx="6118227" cy="4089902"/>
            <wp:effectExtent l="0" t="0" r="0" b="6350"/>
            <wp:docPr id="33" name="Picture 33"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9"/>
                    <pic:cNvPicPr/>
                  </pic:nvPicPr>
                  <pic:blipFill>
                    <a:blip r:embed="rId37"/>
                    <a:stretch>
                      <a:fillRect/>
                    </a:stretch>
                  </pic:blipFill>
                  <pic:spPr>
                    <a:xfrm>
                      <a:off x="0" y="0"/>
                      <a:ext cx="6118227" cy="4089902"/>
                    </a:xfrm>
                    <a:prstGeom prst="rect">
                      <a:avLst/>
                    </a:prstGeom>
                  </pic:spPr>
                </pic:pic>
              </a:graphicData>
            </a:graphic>
          </wp:inline>
        </w:drawing>
      </w:r>
    </w:p>
    <w:p w14:paraId="2D3FB296" w14:textId="3398F752" w:rsidR="00EB6106" w:rsidRDefault="00EB6106" w:rsidP="00DB7A6B">
      <w:pPr>
        <w:pStyle w:val="Bulletlist"/>
        <w:spacing w:before="120" w:after="0"/>
        <w:ind w:left="142" w:hanging="142"/>
        <w:rPr>
          <w:bCs/>
        </w:rPr>
      </w:pPr>
      <w:r w:rsidRPr="00B0432B">
        <w:rPr>
          <w:rStyle w:val="IntenseReference"/>
          <w:rFonts w:cs="Arial"/>
          <w:b w:val="0"/>
          <w:i w:val="0"/>
          <w:smallCaps w:val="0"/>
          <w:color w:val="auto"/>
          <w:sz w:val="16"/>
        </w:rPr>
        <w:t>*</w:t>
      </w:r>
      <w:r w:rsidR="00AD43AD">
        <w:rPr>
          <w:rStyle w:val="IntenseReference"/>
          <w:rFonts w:cs="Arial"/>
          <w:b w:val="0"/>
          <w:i w:val="0"/>
          <w:smallCaps w:val="0"/>
          <w:color w:val="auto"/>
          <w:sz w:val="16"/>
        </w:rPr>
        <w:tab/>
      </w:r>
      <w:r w:rsidRPr="00B0432B">
        <w:rPr>
          <w:rStyle w:val="IntenseReference"/>
          <w:rFonts w:cs="Arial"/>
          <w:b w:val="0"/>
          <w:i w:val="0"/>
          <w:smallCaps w:val="0"/>
          <w:color w:val="auto"/>
          <w:sz w:val="16"/>
        </w:rPr>
        <w:t>Carbapenemase-producing (n = 1,103), carbapenemase- and ribosomal methyltransferase-producing (n = 101), carbapenemase-producing plus transmissible colistin resistance (</w:t>
      </w:r>
      <w:r w:rsidRPr="00B0432B">
        <w:rPr>
          <w:rStyle w:val="IntenseReference"/>
          <w:rFonts w:cs="Arial"/>
          <w:b w:val="0"/>
          <w:i w:val="0"/>
          <w:iCs/>
          <w:smallCaps w:val="0"/>
          <w:color w:val="auto"/>
          <w:sz w:val="16"/>
        </w:rPr>
        <w:t>n</w:t>
      </w:r>
      <w:r w:rsidRPr="00B0432B">
        <w:rPr>
          <w:rStyle w:val="IntenseReference"/>
          <w:rFonts w:cs="Arial"/>
          <w:b w:val="0"/>
          <w:i w:val="0"/>
          <w:smallCaps w:val="0"/>
          <w:color w:val="auto"/>
          <w:sz w:val="16"/>
        </w:rPr>
        <w:t> = 1)</w:t>
      </w:r>
      <w:r>
        <w:rPr>
          <w:bCs/>
        </w:rPr>
        <w:br w:type="page"/>
      </w:r>
    </w:p>
    <w:p w14:paraId="7FB2F470" w14:textId="0E4EC342" w:rsidR="00EB6106" w:rsidRDefault="00EB6106" w:rsidP="00EB6106">
      <w:pPr>
        <w:pStyle w:val="FigureTitle"/>
        <w:spacing w:after="0"/>
      </w:pPr>
      <w:r w:rsidRPr="00C8303E">
        <w:lastRenderedPageBreak/>
        <w:t>Figure 10:</w:t>
      </w:r>
      <w:r>
        <w:t xml:space="preserve"> </w:t>
      </w:r>
      <w:r w:rsidRPr="005A01E4">
        <w:rPr>
          <w:b w:val="0"/>
          <w:bCs/>
        </w:rPr>
        <w:t>Trend for the t</w:t>
      </w:r>
      <w:r w:rsidRPr="00C8303E">
        <w:rPr>
          <w:b w:val="0"/>
          <w:bCs/>
        </w:rPr>
        <w:t xml:space="preserve">op five </w:t>
      </w:r>
      <w:r w:rsidRPr="005A01E4">
        <w:rPr>
          <w:b w:val="0"/>
          <w:bCs/>
        </w:rPr>
        <w:t>carbapenemase types*</w:t>
      </w:r>
      <w:r w:rsidRPr="00953D69">
        <w:t xml:space="preserve"> </w:t>
      </w:r>
      <w:r w:rsidRPr="00953D69">
        <w:rPr>
          <w:b w:val="0"/>
          <w:bCs/>
        </w:rPr>
        <w:t>reported to CARAlert</w:t>
      </w:r>
      <w:r w:rsidRPr="005A01E4">
        <w:rPr>
          <w:b w:val="0"/>
          <w:bCs/>
        </w:rPr>
        <w:t xml:space="preserve">, by </w:t>
      </w:r>
      <w:r w:rsidRPr="009C4A70">
        <w:rPr>
          <w:b w:val="0"/>
          <w:bCs/>
        </w:rPr>
        <w:t xml:space="preserve">month, </w:t>
      </w:r>
      <w:r>
        <w:rPr>
          <w:b w:val="0"/>
          <w:bCs/>
        </w:rPr>
        <w:t xml:space="preserve">national, </w:t>
      </w:r>
      <w:r w:rsidRPr="009C4A70">
        <w:rPr>
          <w:b w:val="0"/>
          <w:bCs/>
        </w:rPr>
        <w:t>2017–</w:t>
      </w:r>
      <w:r w:rsidRPr="00131CE3">
        <w:rPr>
          <w:b w:val="0"/>
          <w:bCs/>
        </w:rPr>
        <w:t>202</w:t>
      </w:r>
      <w:r>
        <w:rPr>
          <w:b w:val="0"/>
          <w:bCs/>
        </w:rPr>
        <w:t>3</w:t>
      </w:r>
      <w:r w:rsidR="00C70C8E">
        <w:rPr>
          <w:noProof/>
        </w:rPr>
        <w:drawing>
          <wp:inline distT="0" distB="0" distL="0" distR="0" wp14:anchorId="7EA575DE" wp14:editId="7BCDDAD2">
            <wp:extent cx="6118227" cy="3239224"/>
            <wp:effectExtent l="0" t="0" r="0" b="0"/>
            <wp:docPr id="34" name="Picture 34"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0"/>
                    <pic:cNvPicPr/>
                  </pic:nvPicPr>
                  <pic:blipFill>
                    <a:blip r:embed="rId38"/>
                    <a:stretch>
                      <a:fillRect/>
                    </a:stretch>
                  </pic:blipFill>
                  <pic:spPr>
                    <a:xfrm>
                      <a:off x="0" y="0"/>
                      <a:ext cx="6118227" cy="3239224"/>
                    </a:xfrm>
                    <a:prstGeom prst="rect">
                      <a:avLst/>
                    </a:prstGeom>
                  </pic:spPr>
                </pic:pic>
              </a:graphicData>
            </a:graphic>
          </wp:inline>
        </w:drawing>
      </w:r>
    </w:p>
    <w:p w14:paraId="0F5865A0" w14:textId="17AE6054" w:rsidR="00EB6106" w:rsidRDefault="00EB6106" w:rsidP="001E618F">
      <w:pPr>
        <w:spacing w:after="0"/>
        <w:ind w:left="142" w:hanging="142"/>
        <w:rPr>
          <w:sz w:val="16"/>
          <w:szCs w:val="16"/>
        </w:rPr>
      </w:pPr>
      <w:r w:rsidRPr="007E3FD0">
        <w:rPr>
          <w:sz w:val="16"/>
          <w:szCs w:val="16"/>
        </w:rPr>
        <w:t>*</w:t>
      </w:r>
      <w:r w:rsidR="001E618F">
        <w:rPr>
          <w:sz w:val="16"/>
          <w:szCs w:val="16"/>
        </w:rPr>
        <w:tab/>
      </w:r>
      <w:r w:rsidRPr="007E3FD0">
        <w:rPr>
          <w:sz w:val="16"/>
          <w:szCs w:val="16"/>
        </w:rPr>
        <w:t>Alone or in combination with another type for the reporting period indicated</w:t>
      </w:r>
    </w:p>
    <w:p w14:paraId="4BE19CD6" w14:textId="77777777" w:rsidR="00374F69" w:rsidRPr="007E3FD0" w:rsidRDefault="00374F69" w:rsidP="001E618F">
      <w:pPr>
        <w:spacing w:after="0"/>
        <w:ind w:left="142" w:hanging="142"/>
        <w:rPr>
          <w:sz w:val="16"/>
          <w:szCs w:val="16"/>
        </w:rPr>
      </w:pPr>
    </w:p>
    <w:p w14:paraId="141A003D" w14:textId="77777777" w:rsidR="00EB6106" w:rsidRDefault="00EB6106" w:rsidP="00EB6106">
      <w:pPr>
        <w:pStyle w:val="Heading4"/>
      </w:pPr>
      <w:r w:rsidRPr="0072102E">
        <w:t>State and territory</w:t>
      </w:r>
      <w:r>
        <w:t xml:space="preserve"> data</w:t>
      </w:r>
    </w:p>
    <w:p w14:paraId="4487EC2B" w14:textId="3188D771" w:rsidR="00EB6106" w:rsidRDefault="00EB6106" w:rsidP="00EB6106">
      <w:pPr>
        <w:pStyle w:val="FigureTitle"/>
        <w:spacing w:after="0"/>
        <w:rPr>
          <w:rStyle w:val="IntenseReference"/>
          <w:rFonts w:cs="Arial"/>
          <w:b/>
          <w:bCs w:val="0"/>
          <w:i w:val="0"/>
          <w:smallCaps w:val="0"/>
          <w:sz w:val="18"/>
        </w:rPr>
      </w:pPr>
      <w:bookmarkStart w:id="20" w:name="_Toc491785925"/>
      <w:r w:rsidRPr="00C8303E">
        <w:t>Figure 11:</w:t>
      </w:r>
      <w:r>
        <w:t xml:space="preserve"> </w:t>
      </w:r>
      <w:r w:rsidRPr="000024A4">
        <w:rPr>
          <w:b w:val="0"/>
          <w:bCs/>
        </w:rPr>
        <w:t xml:space="preserve">Carbapenemase-producing </w:t>
      </w:r>
      <w:r w:rsidRPr="00B23D3A">
        <w:rPr>
          <w:b w:val="0"/>
          <w:bCs/>
          <w:i/>
        </w:rPr>
        <w:t>Enterobacterales</w:t>
      </w:r>
      <w:r w:rsidRPr="000024A4">
        <w:rPr>
          <w:b w:val="0"/>
          <w:bCs/>
          <w:i/>
        </w:rPr>
        <w:t xml:space="preserve">, </w:t>
      </w:r>
      <w:r w:rsidRPr="000024A4">
        <w:rPr>
          <w:b w:val="0"/>
          <w:bCs/>
        </w:rPr>
        <w:t>number reported</w:t>
      </w:r>
      <w:r w:rsidRPr="00953D69">
        <w:rPr>
          <w:b w:val="0"/>
          <w:bCs/>
        </w:rPr>
        <w:t xml:space="preserve"> to CARAlert </w:t>
      </w:r>
      <w:r w:rsidRPr="000024A4">
        <w:rPr>
          <w:b w:val="0"/>
          <w:bCs/>
        </w:rPr>
        <w:t xml:space="preserve">by state and territory, </w:t>
      </w:r>
      <w:r w:rsidRPr="00EC68BD">
        <w:rPr>
          <w:b w:val="0"/>
          <w:bCs/>
        </w:rPr>
        <w:t>2017</w:t>
      </w:r>
      <w:r w:rsidRPr="00D12785">
        <w:rPr>
          <w:b w:val="0"/>
          <w:bCs/>
        </w:rPr>
        <w:t>–202</w:t>
      </w:r>
      <w:r>
        <w:rPr>
          <w:b w:val="0"/>
          <w:bCs/>
        </w:rPr>
        <w:t>3</w:t>
      </w:r>
      <w:r w:rsidR="00C70C8E">
        <w:rPr>
          <w:rFonts w:cs="Arial"/>
          <w:noProof/>
          <w:color w:val="E6F1F8" w:themeColor="accent2"/>
          <w:spacing w:val="5"/>
          <w:sz w:val="18"/>
        </w:rPr>
        <w:drawing>
          <wp:inline distT="0" distB="0" distL="0" distR="0" wp14:anchorId="69BDE131" wp14:editId="3AEDCE8E">
            <wp:extent cx="6118227" cy="3239224"/>
            <wp:effectExtent l="0" t="0" r="0" b="0"/>
            <wp:docPr id="38" name="Picture 3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1"/>
                    <pic:cNvPicPr/>
                  </pic:nvPicPr>
                  <pic:blipFill>
                    <a:blip r:embed="rId39"/>
                    <a:stretch>
                      <a:fillRect/>
                    </a:stretch>
                  </pic:blipFill>
                  <pic:spPr>
                    <a:xfrm>
                      <a:off x="0" y="0"/>
                      <a:ext cx="6118227" cy="3239224"/>
                    </a:xfrm>
                    <a:prstGeom prst="rect">
                      <a:avLst/>
                    </a:prstGeom>
                  </pic:spPr>
                </pic:pic>
              </a:graphicData>
            </a:graphic>
          </wp:inline>
        </w:drawing>
      </w:r>
    </w:p>
    <w:p w14:paraId="2D7BF674" w14:textId="77777777" w:rsidR="00EB6106" w:rsidRPr="007E3FD0" w:rsidRDefault="00EB6106" w:rsidP="007E3FD0">
      <w:pPr>
        <w:spacing w:after="0"/>
        <w:rPr>
          <w:b/>
          <w:bCs/>
          <w:i/>
          <w:iCs/>
          <w:smallCaps/>
          <w:sz w:val="20"/>
          <w:szCs w:val="20"/>
        </w:rPr>
      </w:pPr>
      <w:r w:rsidRPr="007E3FD0">
        <w:rPr>
          <w:rStyle w:val="IntenseReference"/>
          <w:rFonts w:cs="Arial"/>
          <w:b w:val="0"/>
          <w:bCs w:val="0"/>
          <w:i w:val="0"/>
          <w:iCs/>
          <w:smallCaps w:val="0"/>
          <w:color w:val="auto"/>
          <w:sz w:val="16"/>
          <w:szCs w:val="20"/>
        </w:rPr>
        <w:t>Note: Transmissible colistin resistance reported from July 2019.</w:t>
      </w:r>
      <w:bookmarkEnd w:id="20"/>
      <w:r w:rsidRPr="007E3FD0">
        <w:rPr>
          <w:b/>
          <w:bCs/>
          <w:i/>
          <w:iCs/>
          <w:smallCaps/>
          <w:sz w:val="20"/>
          <w:szCs w:val="20"/>
        </w:rPr>
        <w:br w:type="page"/>
      </w:r>
    </w:p>
    <w:p w14:paraId="07AA88E6" w14:textId="77777777" w:rsidR="00EB6106" w:rsidRDefault="00EB6106" w:rsidP="00EB6106">
      <w:pPr>
        <w:rPr>
          <w:b/>
        </w:rPr>
      </w:pPr>
      <w:r w:rsidRPr="00CE504C">
        <w:rPr>
          <w:b/>
        </w:rPr>
        <w:lastRenderedPageBreak/>
        <w:t>Figure 12:</w:t>
      </w:r>
      <w:r>
        <w:rPr>
          <w:b/>
        </w:rPr>
        <w:t xml:space="preserve"> </w:t>
      </w:r>
      <w:r w:rsidRPr="008B58EE">
        <w:rPr>
          <w:bCs/>
        </w:rPr>
        <w:t xml:space="preserve">Three-year trend for the </w:t>
      </w:r>
      <w:r w:rsidRPr="0040415B">
        <w:rPr>
          <w:bCs/>
        </w:rPr>
        <w:t>top f</w:t>
      </w:r>
      <w:r>
        <w:rPr>
          <w:bCs/>
        </w:rPr>
        <w:t>ive</w:t>
      </w:r>
      <w:r w:rsidRPr="008B58EE">
        <w:rPr>
          <w:bCs/>
        </w:rPr>
        <w:t xml:space="preserve"> carbapenemase types from </w:t>
      </w:r>
      <w:r w:rsidRPr="00B23D3A">
        <w:rPr>
          <w:bCs/>
          <w:i/>
        </w:rPr>
        <w:t>Enterobacterales</w:t>
      </w:r>
      <w:r w:rsidRPr="00953D69">
        <w:t xml:space="preserve"> </w:t>
      </w:r>
      <w:r>
        <w:t xml:space="preserve">reported </w:t>
      </w:r>
      <w:r w:rsidRPr="005D0B96">
        <w:rPr>
          <w:bCs/>
        </w:rPr>
        <w:t>to CARAlert</w:t>
      </w:r>
      <w:r w:rsidRPr="008B58EE">
        <w:rPr>
          <w:bCs/>
        </w:rPr>
        <w:t>, by state and territory and</w:t>
      </w:r>
      <w:r w:rsidRPr="008B58EE">
        <w:rPr>
          <w:bCs/>
          <w:i/>
        </w:rPr>
        <w:t xml:space="preserve"> </w:t>
      </w:r>
      <w:r w:rsidRPr="008B58EE">
        <w:rPr>
          <w:bCs/>
        </w:rPr>
        <w:t xml:space="preserve">nationally, (three-month moving average), </w:t>
      </w:r>
      <w:r w:rsidRPr="004D7025">
        <w:rPr>
          <w:bCs/>
        </w:rPr>
        <w:t>20</w:t>
      </w:r>
      <w:r>
        <w:rPr>
          <w:bCs/>
        </w:rPr>
        <w:t>21</w:t>
      </w:r>
      <w:r w:rsidRPr="004D7025">
        <w:rPr>
          <w:bCs/>
        </w:rPr>
        <w:t>–</w:t>
      </w:r>
      <w:proofErr w:type="gramStart"/>
      <w:r w:rsidRPr="004D7025">
        <w:rPr>
          <w:bCs/>
        </w:rPr>
        <w:t>202</w:t>
      </w:r>
      <w:r>
        <w:rPr>
          <w:bCs/>
        </w:rPr>
        <w:t>3</w:t>
      </w:r>
      <w:proofErr w:type="gramEnd"/>
    </w:p>
    <w:p w14:paraId="2685EBC2" w14:textId="77777777" w:rsidR="0015310F" w:rsidRDefault="0015310F" w:rsidP="00C034BA">
      <w:pPr>
        <w:spacing w:after="0"/>
        <w:rPr>
          <w:sz w:val="16"/>
          <w:szCs w:val="20"/>
        </w:rPr>
      </w:pPr>
      <w:r>
        <w:rPr>
          <w:noProof/>
        </w:rPr>
        <w:drawing>
          <wp:inline distT="0" distB="0" distL="0" distR="0" wp14:anchorId="4FA327F9" wp14:editId="6C519274">
            <wp:extent cx="6120130" cy="2680335"/>
            <wp:effectExtent l="0" t="0" r="0" b="5715"/>
            <wp:docPr id="41" name="Picture 41"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2"/>
                    <pic:cNvPicPr/>
                  </pic:nvPicPr>
                  <pic:blipFill>
                    <a:blip r:embed="rId40"/>
                    <a:stretch>
                      <a:fillRect/>
                    </a:stretch>
                  </pic:blipFill>
                  <pic:spPr>
                    <a:xfrm>
                      <a:off x="0" y="0"/>
                      <a:ext cx="6120130" cy="2680335"/>
                    </a:xfrm>
                    <a:prstGeom prst="rect">
                      <a:avLst/>
                    </a:prstGeom>
                  </pic:spPr>
                </pic:pic>
              </a:graphicData>
            </a:graphic>
          </wp:inline>
        </w:drawing>
      </w:r>
    </w:p>
    <w:p w14:paraId="42E85208" w14:textId="106C51AC" w:rsidR="00EB6106" w:rsidRPr="00C034BA" w:rsidRDefault="00EB6106" w:rsidP="0015310F">
      <w:pPr>
        <w:spacing w:before="0" w:after="0"/>
        <w:rPr>
          <w:sz w:val="16"/>
          <w:szCs w:val="20"/>
        </w:rPr>
      </w:pPr>
      <w:r w:rsidRPr="00C034BA">
        <w:rPr>
          <w:sz w:val="16"/>
          <w:szCs w:val="20"/>
        </w:rPr>
        <w:t xml:space="preserve">Straight green line in cell = no carbapenemase type for that state or territory during the reporting period; </w:t>
      </w:r>
      <w:r w:rsidRPr="00C034BA">
        <w:rPr>
          <w:sz w:val="16"/>
          <w:szCs w:val="20"/>
        </w:rPr>
        <w:br/>
        <w:t>Blank cell = maximum monthly average was one or less</w:t>
      </w:r>
    </w:p>
    <w:p w14:paraId="659FD984" w14:textId="77777777" w:rsidR="00EB6106" w:rsidRPr="00C034BA" w:rsidRDefault="00EB6106" w:rsidP="00C034BA">
      <w:pPr>
        <w:spacing w:before="0" w:after="0"/>
        <w:rPr>
          <w:sz w:val="16"/>
          <w:szCs w:val="20"/>
        </w:rPr>
      </w:pPr>
      <w:r w:rsidRPr="00C034BA">
        <w:rPr>
          <w:sz w:val="16"/>
          <w:szCs w:val="20"/>
        </w:rPr>
        <w:t>Note: Line graphs represent three-month moving average for the period 1 January 2021 to 31 December 2023, for each type (reported alone</w:t>
      </w:r>
      <w:r w:rsidRPr="00C034BA">
        <w:rPr>
          <w:sz w:val="16"/>
          <w:szCs w:val="16"/>
        </w:rPr>
        <w:t xml:space="preserve"> or in combination with another type</w:t>
      </w:r>
      <w:r w:rsidRPr="00C034BA">
        <w:rPr>
          <w:sz w:val="16"/>
          <w:szCs w:val="20"/>
        </w:rPr>
        <w:t>), where maximum monthly average was greater than one.</w:t>
      </w:r>
    </w:p>
    <w:p w14:paraId="40688A46" w14:textId="77777777" w:rsidR="00EB6106" w:rsidRDefault="00EB6106" w:rsidP="00EB6106">
      <w:pPr>
        <w:spacing w:after="0"/>
      </w:pPr>
    </w:p>
    <w:p w14:paraId="2F9FEA0A" w14:textId="77777777" w:rsidR="00374F69" w:rsidRPr="00ED1B5A" w:rsidRDefault="00374F69" w:rsidP="00EB6106">
      <w:pPr>
        <w:spacing w:after="0"/>
      </w:pPr>
    </w:p>
    <w:p w14:paraId="058D79CC" w14:textId="6B10FB74" w:rsidR="00EB6106" w:rsidRPr="007C13B3" w:rsidRDefault="00EB6106" w:rsidP="001817E3">
      <w:pPr>
        <w:pStyle w:val="FigureTitle"/>
        <w:spacing w:after="0"/>
      </w:pPr>
      <w:bookmarkStart w:id="21" w:name="_Hlk32474359"/>
      <w:r w:rsidRPr="007D5642">
        <w:t>Figure 13:</w:t>
      </w:r>
      <w:r>
        <w:t xml:space="preserve"> </w:t>
      </w:r>
      <w:r w:rsidRPr="001A2B04">
        <w:rPr>
          <w:b w:val="0"/>
          <w:bCs/>
        </w:rPr>
        <w:t xml:space="preserve">Carbapenemase-producing </w:t>
      </w:r>
      <w:r w:rsidRPr="00B23D3A">
        <w:rPr>
          <w:b w:val="0"/>
          <w:bCs/>
          <w:i/>
        </w:rPr>
        <w:t>Enterobacterales</w:t>
      </w:r>
      <w:r w:rsidRPr="001A2B04">
        <w:rPr>
          <w:b w:val="0"/>
          <w:bCs/>
        </w:rPr>
        <w:t>*, number reported</w:t>
      </w:r>
      <w:r w:rsidRPr="00953D69">
        <w:rPr>
          <w:b w:val="0"/>
          <w:bCs/>
        </w:rPr>
        <w:t xml:space="preserve"> to CARAlert </w:t>
      </w:r>
      <w:r w:rsidRPr="001A2B04">
        <w:rPr>
          <w:b w:val="0"/>
          <w:bCs/>
        </w:rPr>
        <w:t xml:space="preserve">by carbapenemase type and specimen type, by state and territory, </w:t>
      </w:r>
      <w:r w:rsidRPr="00605FE8">
        <w:rPr>
          <w:b w:val="0"/>
          <w:bCs/>
        </w:rPr>
        <w:t>202</w:t>
      </w:r>
      <w:r>
        <w:rPr>
          <w:b w:val="0"/>
          <w:bCs/>
        </w:rPr>
        <w:t>3</w:t>
      </w:r>
      <w:r w:rsidR="0015310F">
        <w:rPr>
          <w:noProof/>
        </w:rPr>
        <w:drawing>
          <wp:inline distT="0" distB="0" distL="0" distR="0" wp14:anchorId="058B8F06" wp14:editId="5BBC0960">
            <wp:extent cx="6118227" cy="3751847"/>
            <wp:effectExtent l="0" t="0" r="0" b="1270"/>
            <wp:docPr id="42" name="Picture 42"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3"/>
                    <pic:cNvPicPr/>
                  </pic:nvPicPr>
                  <pic:blipFill>
                    <a:blip r:embed="rId41"/>
                    <a:stretch>
                      <a:fillRect/>
                    </a:stretch>
                  </pic:blipFill>
                  <pic:spPr>
                    <a:xfrm>
                      <a:off x="0" y="0"/>
                      <a:ext cx="6118227" cy="3751847"/>
                    </a:xfrm>
                    <a:prstGeom prst="rect">
                      <a:avLst/>
                    </a:prstGeom>
                  </pic:spPr>
                </pic:pic>
              </a:graphicData>
            </a:graphic>
          </wp:inline>
        </w:drawing>
      </w:r>
    </w:p>
    <w:bookmarkEnd w:id="21"/>
    <w:p w14:paraId="7BD89A48" w14:textId="22FDA9EE" w:rsidR="00EB6106" w:rsidRDefault="00EB6106" w:rsidP="001817E3">
      <w:pPr>
        <w:spacing w:after="0"/>
        <w:ind w:left="142" w:hanging="142"/>
        <w:rPr>
          <w:b/>
          <w:highlight w:val="yellow"/>
        </w:rPr>
      </w:pPr>
      <w:r w:rsidRPr="0081746E">
        <w:rPr>
          <w:rStyle w:val="IntenseReference"/>
          <w:rFonts w:cs="Arial"/>
          <w:b w:val="0"/>
          <w:bCs w:val="0"/>
          <w:i w:val="0"/>
          <w:iCs/>
          <w:smallCaps w:val="0"/>
          <w:color w:val="auto"/>
          <w:sz w:val="16"/>
          <w:szCs w:val="20"/>
        </w:rPr>
        <w:t>*</w:t>
      </w:r>
      <w:r w:rsidRPr="0081746E">
        <w:rPr>
          <w:rStyle w:val="IntenseReference"/>
          <w:rFonts w:cs="Arial"/>
          <w:b w:val="0"/>
          <w:bCs w:val="0"/>
          <w:i w:val="0"/>
          <w:iCs/>
          <w:smallCaps w:val="0"/>
          <w:color w:val="auto"/>
          <w:sz w:val="16"/>
          <w:szCs w:val="20"/>
        </w:rPr>
        <w:tab/>
        <w:t xml:space="preserve">Carbapenemase-producing (n = 1,103), carbapenemase- and ribosomal methyltransferase-producing (n = 101), carbapenemase-producing plus transmissible colistin resistance (n = 1); </w:t>
      </w:r>
      <w:r w:rsidRPr="0081746E">
        <w:rPr>
          <w:rStyle w:val="IntenseReference"/>
          <w:rFonts w:cs="Arial"/>
          <w:b w:val="0"/>
          <w:bCs w:val="0"/>
          <w:i w:val="0"/>
          <w:iCs/>
          <w:smallCaps w:val="0"/>
          <w:color w:val="auto"/>
          <w:sz w:val="16"/>
          <w:szCs w:val="16"/>
        </w:rPr>
        <w:t>Other types</w:t>
      </w:r>
      <w:r w:rsidRPr="00CD130D">
        <w:rPr>
          <w:rStyle w:val="IntenseReference"/>
          <w:rFonts w:cs="Arial"/>
          <w:b w:val="0"/>
          <w:bCs w:val="0"/>
          <w:i w:val="0"/>
          <w:iCs/>
          <w:smallCaps w:val="0"/>
          <w:color w:val="auto"/>
          <w:sz w:val="16"/>
          <w:szCs w:val="16"/>
        </w:rPr>
        <w:t>: SME (NSW [1], Victoria [1]); NDM, VIM (Queensland [1], WA [1]); KPC, NDM (Victoria [2]); IMP, VIM (WA [1]); IMP, OXA</w:t>
      </w:r>
      <w:r w:rsidRPr="00CD130D">
        <w:rPr>
          <w:rStyle w:val="IntenseReference"/>
          <w:rFonts w:cs="Arial"/>
          <w:b w:val="0"/>
          <w:bCs w:val="0"/>
          <w:i w:val="0"/>
          <w:iCs/>
          <w:smallCaps w:val="0"/>
          <w:color w:val="auto"/>
          <w:sz w:val="16"/>
          <w:szCs w:val="16"/>
        </w:rPr>
        <w:noBreakHyphen/>
        <w:t>48-like</w:t>
      </w:r>
      <w:r w:rsidRPr="0081746E">
        <w:rPr>
          <w:rStyle w:val="IntenseReference"/>
          <w:rFonts w:cs="Arial"/>
          <w:b w:val="0"/>
          <w:bCs w:val="0"/>
          <w:i w:val="0"/>
          <w:iCs/>
          <w:smallCaps w:val="0"/>
          <w:color w:val="auto"/>
          <w:sz w:val="16"/>
          <w:szCs w:val="16"/>
        </w:rPr>
        <w:t xml:space="preserve"> (NSW [1])</w:t>
      </w:r>
      <w:r>
        <w:rPr>
          <w:highlight w:val="yellow"/>
        </w:rPr>
        <w:br w:type="page"/>
      </w:r>
    </w:p>
    <w:p w14:paraId="53189A19" w14:textId="77777777" w:rsidR="00EB6106" w:rsidRDefault="00EB6106" w:rsidP="00EB6106">
      <w:r w:rsidRPr="002172A3">
        <w:rPr>
          <w:b/>
          <w:bCs/>
        </w:rPr>
        <w:lastRenderedPageBreak/>
        <w:t>Figure 14</w:t>
      </w:r>
      <w:r w:rsidRPr="003A73EA">
        <w:t>:</w:t>
      </w:r>
      <w:r>
        <w:t xml:space="preserve"> </w:t>
      </w:r>
      <w:r w:rsidRPr="009913A0">
        <w:rPr>
          <w:bCs/>
        </w:rPr>
        <w:t xml:space="preserve">Top five carbapenemase-producing </w:t>
      </w:r>
      <w:r w:rsidRPr="00B23D3A">
        <w:rPr>
          <w:bCs/>
          <w:i/>
        </w:rPr>
        <w:t>Enterobacterales</w:t>
      </w:r>
      <w:r w:rsidRPr="009913A0">
        <w:rPr>
          <w:bCs/>
        </w:rPr>
        <w:t xml:space="preserve"> type</w:t>
      </w:r>
      <w:r>
        <w:rPr>
          <w:bCs/>
        </w:rPr>
        <w:t>s</w:t>
      </w:r>
      <w:r w:rsidRPr="009913A0">
        <w:rPr>
          <w:bCs/>
        </w:rPr>
        <w:t xml:space="preserve"> </w:t>
      </w:r>
      <w:r w:rsidRPr="003A2A1E">
        <w:rPr>
          <w:bCs/>
        </w:rPr>
        <w:t>reported to CARAlert</w:t>
      </w:r>
      <w:r w:rsidRPr="009913A0">
        <w:rPr>
          <w:bCs/>
        </w:rPr>
        <w:t xml:space="preserve">, by state and territory, </w:t>
      </w:r>
      <w:r w:rsidRPr="006F72A7">
        <w:rPr>
          <w:bCs/>
        </w:rPr>
        <w:t>20</w:t>
      </w:r>
      <w:r w:rsidRPr="00C466B0">
        <w:rPr>
          <w:bCs/>
        </w:rPr>
        <w:t>17</w:t>
      </w:r>
      <w:r w:rsidRPr="006F72A7">
        <w:rPr>
          <w:bCs/>
        </w:rPr>
        <w:t>–</w:t>
      </w:r>
      <w:proofErr w:type="gramStart"/>
      <w:r w:rsidRPr="006F72A7">
        <w:rPr>
          <w:bCs/>
        </w:rPr>
        <w:t>202</w:t>
      </w:r>
      <w:r>
        <w:rPr>
          <w:bCs/>
        </w:rPr>
        <w:t>3</w:t>
      </w:r>
      <w:proofErr w:type="gramEnd"/>
    </w:p>
    <w:p w14:paraId="3012178F" w14:textId="0902A752" w:rsidR="00267745" w:rsidRDefault="0015310F" w:rsidP="007D0AD8">
      <w:pPr>
        <w:spacing w:before="0" w:after="0"/>
      </w:pPr>
      <w:r>
        <w:rPr>
          <w:noProof/>
        </w:rPr>
        <w:drawing>
          <wp:inline distT="0" distB="0" distL="0" distR="0" wp14:anchorId="45D9AC16" wp14:editId="7741FEC3">
            <wp:extent cx="6120130" cy="3022600"/>
            <wp:effectExtent l="0" t="0" r="0" b="6350"/>
            <wp:docPr id="43" name="Picture 43"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4"/>
                    <pic:cNvPicPr/>
                  </pic:nvPicPr>
                  <pic:blipFill>
                    <a:blip r:embed="rId42"/>
                    <a:stretch>
                      <a:fillRect/>
                    </a:stretch>
                  </pic:blipFill>
                  <pic:spPr>
                    <a:xfrm>
                      <a:off x="0" y="0"/>
                      <a:ext cx="6120130" cy="3022600"/>
                    </a:xfrm>
                    <a:prstGeom prst="rect">
                      <a:avLst/>
                    </a:prstGeom>
                  </pic:spPr>
                </pic:pic>
              </a:graphicData>
            </a:graphic>
          </wp:inline>
        </w:drawing>
      </w:r>
    </w:p>
    <w:p w14:paraId="7FE6128D" w14:textId="77777777" w:rsidR="00267745" w:rsidRDefault="00267745" w:rsidP="007D0AD8">
      <w:pPr>
        <w:spacing w:before="0" w:after="0"/>
      </w:pPr>
    </w:p>
    <w:p w14:paraId="1B54BD33" w14:textId="77777777" w:rsidR="00374F69" w:rsidRDefault="00374F69" w:rsidP="007D0AD8">
      <w:pPr>
        <w:spacing w:before="0" w:after="0"/>
      </w:pPr>
    </w:p>
    <w:p w14:paraId="612BDEA8" w14:textId="2DB49B1E" w:rsidR="005A418E" w:rsidRDefault="005A418E" w:rsidP="005A418E">
      <w:r w:rsidRPr="002172A3">
        <w:rPr>
          <w:b/>
          <w:bCs/>
        </w:rPr>
        <w:t>Figure 1</w:t>
      </w:r>
      <w:r w:rsidR="00F112E3">
        <w:rPr>
          <w:b/>
          <w:bCs/>
        </w:rPr>
        <w:t>5</w:t>
      </w:r>
      <w:r w:rsidR="00F66484">
        <w:rPr>
          <w:b/>
          <w:bCs/>
        </w:rPr>
        <w:t>:</w:t>
      </w:r>
      <w:r>
        <w:t xml:space="preserve"> </w:t>
      </w:r>
      <w:r>
        <w:rPr>
          <w:bCs/>
        </w:rPr>
        <w:t>C</w:t>
      </w:r>
      <w:r w:rsidRPr="009913A0">
        <w:rPr>
          <w:bCs/>
        </w:rPr>
        <w:t xml:space="preserve">arbapenemase-producing </w:t>
      </w:r>
      <w:r w:rsidRPr="00B23D3A">
        <w:rPr>
          <w:bCs/>
          <w:i/>
        </w:rPr>
        <w:t>Enterobacterales</w:t>
      </w:r>
      <w:r w:rsidRPr="009913A0">
        <w:rPr>
          <w:bCs/>
        </w:rPr>
        <w:t xml:space="preserve"> </w:t>
      </w:r>
      <w:r w:rsidRPr="003A2A1E">
        <w:rPr>
          <w:bCs/>
        </w:rPr>
        <w:t>reported to CARAlert</w:t>
      </w:r>
      <w:r w:rsidRPr="009913A0">
        <w:rPr>
          <w:bCs/>
        </w:rPr>
        <w:t xml:space="preserve">, by </w:t>
      </w:r>
      <w:r w:rsidR="00D139E9">
        <w:rPr>
          <w:bCs/>
        </w:rPr>
        <w:t xml:space="preserve">specimen type and by </w:t>
      </w:r>
      <w:r w:rsidRPr="009913A0">
        <w:rPr>
          <w:bCs/>
        </w:rPr>
        <w:t xml:space="preserve">state and territory, </w:t>
      </w:r>
      <w:r w:rsidRPr="006F72A7">
        <w:rPr>
          <w:bCs/>
        </w:rPr>
        <w:t>20</w:t>
      </w:r>
      <w:r w:rsidRPr="00C466B0">
        <w:rPr>
          <w:bCs/>
        </w:rPr>
        <w:t>17</w:t>
      </w:r>
      <w:r w:rsidRPr="006F72A7">
        <w:rPr>
          <w:bCs/>
        </w:rPr>
        <w:t>–</w:t>
      </w:r>
      <w:proofErr w:type="gramStart"/>
      <w:r w:rsidRPr="006F72A7">
        <w:rPr>
          <w:bCs/>
        </w:rPr>
        <w:t>202</w:t>
      </w:r>
      <w:r>
        <w:rPr>
          <w:bCs/>
        </w:rPr>
        <w:t>3</w:t>
      </w:r>
      <w:proofErr w:type="gramEnd"/>
    </w:p>
    <w:p w14:paraId="2E535D9A" w14:textId="3C0679FF" w:rsidR="00EB6106" w:rsidRDefault="0015310F" w:rsidP="007D0AD8">
      <w:pPr>
        <w:spacing w:before="0" w:after="0"/>
      </w:pPr>
      <w:r>
        <w:rPr>
          <w:noProof/>
        </w:rPr>
        <w:drawing>
          <wp:inline distT="0" distB="0" distL="0" distR="0" wp14:anchorId="5F82FFEE" wp14:editId="470A47E0">
            <wp:extent cx="6120130" cy="3285490"/>
            <wp:effectExtent l="0" t="0" r="0" b="0"/>
            <wp:docPr id="44" name="Picture 44"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5"/>
                    <pic:cNvPicPr/>
                  </pic:nvPicPr>
                  <pic:blipFill>
                    <a:blip r:embed="rId43"/>
                    <a:stretch>
                      <a:fillRect/>
                    </a:stretch>
                  </pic:blipFill>
                  <pic:spPr>
                    <a:xfrm>
                      <a:off x="0" y="0"/>
                      <a:ext cx="6120130" cy="3285490"/>
                    </a:xfrm>
                    <a:prstGeom prst="rect">
                      <a:avLst/>
                    </a:prstGeom>
                  </pic:spPr>
                </pic:pic>
              </a:graphicData>
            </a:graphic>
          </wp:inline>
        </w:drawing>
      </w:r>
      <w:r w:rsidR="00EB6106">
        <w:br w:type="page"/>
      </w:r>
    </w:p>
    <w:p w14:paraId="4F3AB67C" w14:textId="77777777" w:rsidR="00EB6106" w:rsidRDefault="00EB6106" w:rsidP="00EB6106">
      <w:pPr>
        <w:pStyle w:val="FigureTitle"/>
      </w:pPr>
      <w:r w:rsidRPr="008C2F07">
        <w:lastRenderedPageBreak/>
        <w:t>Table 4:</w:t>
      </w:r>
      <w:r>
        <w:t xml:space="preserve"> </w:t>
      </w:r>
      <w:r w:rsidRPr="00A24441">
        <w:rPr>
          <w:b w:val="0"/>
          <w:bCs/>
        </w:rPr>
        <w:t xml:space="preserve">Top </w:t>
      </w:r>
      <w:r>
        <w:rPr>
          <w:b w:val="0"/>
          <w:bCs/>
        </w:rPr>
        <w:t>five</w:t>
      </w:r>
      <w:r w:rsidRPr="00A24441">
        <w:rPr>
          <w:b w:val="0"/>
          <w:bCs/>
        </w:rPr>
        <w:t xml:space="preserve"> carbapenemase types from </w:t>
      </w:r>
      <w:r w:rsidRPr="00B23D3A">
        <w:rPr>
          <w:b w:val="0"/>
          <w:bCs/>
          <w:i/>
        </w:rPr>
        <w:t>Enterobacterales</w:t>
      </w:r>
      <w:r w:rsidRPr="00AF0035">
        <w:rPr>
          <w:b w:val="0"/>
          <w:bCs/>
          <w:iCs/>
        </w:rPr>
        <w:t>*</w:t>
      </w:r>
      <w:r w:rsidRPr="00A24441">
        <w:rPr>
          <w:b w:val="0"/>
          <w:bCs/>
        </w:rPr>
        <w:t>, number reported</w:t>
      </w:r>
      <w:r w:rsidRPr="003A2A1E">
        <w:rPr>
          <w:b w:val="0"/>
          <w:bCs/>
        </w:rPr>
        <w:t xml:space="preserve"> to CARAlert </w:t>
      </w:r>
      <w:r w:rsidRPr="00A24441">
        <w:rPr>
          <w:b w:val="0"/>
          <w:bCs/>
        </w:rPr>
        <w:t xml:space="preserve">by setting, state and territory, </w:t>
      </w:r>
      <w:proofErr w:type="gramStart"/>
      <w:r w:rsidRPr="00016D9A">
        <w:rPr>
          <w:b w:val="0"/>
          <w:bCs/>
        </w:rPr>
        <w:t>202</w:t>
      </w:r>
      <w:r>
        <w:rPr>
          <w:b w:val="0"/>
          <w:bCs/>
        </w:rPr>
        <w:t>3</w:t>
      </w:r>
      <w:proofErr w:type="gramEnd"/>
    </w:p>
    <w:tbl>
      <w:tblPr>
        <w:tblStyle w:val="TableGrid"/>
        <w:tblpPr w:leftFromText="180" w:rightFromText="180" w:vertAnchor="text" w:tblpY="1"/>
        <w:tblOverlap w:val="never"/>
        <w:tblW w:w="4975"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4"/>
      </w:tblPr>
      <w:tblGrid>
        <w:gridCol w:w="1700"/>
        <w:gridCol w:w="1648"/>
        <w:gridCol w:w="671"/>
        <w:gridCol w:w="671"/>
        <w:gridCol w:w="671"/>
        <w:gridCol w:w="671"/>
        <w:gridCol w:w="671"/>
        <w:gridCol w:w="671"/>
        <w:gridCol w:w="671"/>
        <w:gridCol w:w="673"/>
        <w:gridCol w:w="866"/>
      </w:tblGrid>
      <w:tr w:rsidR="00EB6106" w:rsidRPr="006D090A" w14:paraId="78F7BD75" w14:textId="77777777" w:rsidTr="007D0AD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left w:val="single" w:sz="2" w:space="0" w:color="auto"/>
              <w:bottom w:val="nil"/>
              <w:right w:val="single" w:sz="2" w:space="0" w:color="auto"/>
            </w:tcBorders>
            <w:shd w:val="clear" w:color="auto" w:fill="86D3F2" w:themeFill="background2" w:themeFillTint="66"/>
            <w:vAlign w:val="bottom"/>
          </w:tcPr>
          <w:p w14:paraId="1A778F36" w14:textId="77777777" w:rsidR="00EB6106" w:rsidRPr="006D090A" w:rsidRDefault="00EB6106" w:rsidP="006D090A">
            <w:pPr>
              <w:spacing w:before="0" w:after="0"/>
              <w:contextualSpacing/>
              <w:rPr>
                <w:rFonts w:cstheme="minorHAnsi"/>
                <w:szCs w:val="20"/>
              </w:rPr>
            </w:pPr>
            <w:r w:rsidRPr="006D090A">
              <w:rPr>
                <w:rFonts w:cstheme="minorHAnsi"/>
                <w:szCs w:val="20"/>
              </w:rPr>
              <w:t>Carbapenemase type</w:t>
            </w:r>
            <w:r w:rsidRPr="006D090A">
              <w:rPr>
                <w:rFonts w:ascii="Dubai" w:hAnsi="Dubai" w:cs="Dubai"/>
                <w:szCs w:val="20"/>
                <w:vertAlign w:val="superscript"/>
              </w:rPr>
              <w:t>†</w:t>
            </w:r>
          </w:p>
        </w:tc>
        <w:tc>
          <w:tcPr>
            <w:tcW w:w="860"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77BDCE20" w14:textId="77777777" w:rsidR="00EB6106" w:rsidRPr="006D090A" w:rsidRDefault="00EB6106" w:rsidP="006D090A">
            <w:pPr>
              <w:spacing w:before="0" w:after="0"/>
              <w:contextualSpacing/>
              <w:rPr>
                <w:rFonts w:cstheme="minorHAnsi"/>
                <w:b w:val="0"/>
                <w:szCs w:val="20"/>
              </w:rPr>
            </w:pPr>
          </w:p>
        </w:tc>
        <w:tc>
          <w:tcPr>
            <w:tcW w:w="2800" w:type="pct"/>
            <w:gridSpan w:val="8"/>
            <w:tcBorders>
              <w:top w:val="single" w:sz="4" w:space="0" w:color="auto"/>
              <w:left w:val="single" w:sz="2" w:space="0" w:color="auto"/>
              <w:bottom w:val="single" w:sz="4" w:space="0" w:color="auto"/>
              <w:right w:val="single" w:sz="2" w:space="0" w:color="auto"/>
            </w:tcBorders>
            <w:shd w:val="clear" w:color="auto" w:fill="86D3F2" w:themeFill="background2" w:themeFillTint="66"/>
            <w:vAlign w:val="center"/>
          </w:tcPr>
          <w:p w14:paraId="479994B7" w14:textId="77777777" w:rsidR="00EB6106" w:rsidRPr="006D090A" w:rsidRDefault="00EB6106" w:rsidP="006D090A">
            <w:pPr>
              <w:spacing w:before="0" w:after="0"/>
              <w:contextualSpacing/>
              <w:jc w:val="center"/>
              <w:rPr>
                <w:rFonts w:cstheme="minorHAnsi"/>
                <w:szCs w:val="20"/>
              </w:rPr>
            </w:pPr>
            <w:r w:rsidRPr="006D090A">
              <w:rPr>
                <w:rFonts w:cstheme="minorHAnsi"/>
                <w:szCs w:val="20"/>
              </w:rPr>
              <w:t>State or territory</w:t>
            </w:r>
          </w:p>
        </w:tc>
        <w:tc>
          <w:tcPr>
            <w:tcW w:w="452" w:type="pct"/>
            <w:tcBorders>
              <w:top w:val="single" w:sz="4" w:space="0" w:color="auto"/>
              <w:left w:val="single" w:sz="2" w:space="0" w:color="auto"/>
              <w:bottom w:val="nil"/>
              <w:right w:val="single" w:sz="2" w:space="0" w:color="auto"/>
            </w:tcBorders>
            <w:shd w:val="clear" w:color="auto" w:fill="86D3F2" w:themeFill="background2" w:themeFillTint="66"/>
          </w:tcPr>
          <w:p w14:paraId="69EB0A51" w14:textId="77777777" w:rsidR="00EB6106" w:rsidRPr="006D090A" w:rsidRDefault="00EB6106" w:rsidP="006D090A">
            <w:pPr>
              <w:spacing w:before="0" w:after="0"/>
              <w:contextualSpacing/>
              <w:rPr>
                <w:rFonts w:cstheme="minorHAnsi"/>
                <w:b w:val="0"/>
                <w:szCs w:val="20"/>
              </w:rPr>
            </w:pPr>
          </w:p>
        </w:tc>
      </w:tr>
      <w:tr w:rsidR="006D090A" w:rsidRPr="006D090A" w14:paraId="3151F27D" w14:textId="77777777" w:rsidTr="007D0AD8">
        <w:trPr>
          <w:trHeight w:val="227"/>
        </w:trPr>
        <w:tc>
          <w:tcPr>
            <w:tcW w:w="887" w:type="pct"/>
            <w:vMerge/>
            <w:tcBorders>
              <w:top w:val="nil"/>
              <w:left w:val="single" w:sz="2" w:space="0" w:color="auto"/>
              <w:bottom w:val="single" w:sz="4" w:space="0" w:color="auto"/>
              <w:right w:val="single" w:sz="2" w:space="0" w:color="auto"/>
            </w:tcBorders>
            <w:shd w:val="clear" w:color="auto" w:fill="86D3F2" w:themeFill="background2" w:themeFillTint="66"/>
            <w:vAlign w:val="center"/>
          </w:tcPr>
          <w:p w14:paraId="532C3141" w14:textId="77777777" w:rsidR="00EB6106" w:rsidRPr="006D090A" w:rsidRDefault="00EB6106" w:rsidP="006D090A">
            <w:pPr>
              <w:spacing w:before="0" w:after="0"/>
              <w:contextualSpacing/>
              <w:rPr>
                <w:rFonts w:cstheme="minorHAnsi"/>
                <w:szCs w:val="20"/>
              </w:rPr>
            </w:pPr>
          </w:p>
        </w:tc>
        <w:tc>
          <w:tcPr>
            <w:tcW w:w="860"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616A7F46" w14:textId="77777777" w:rsidR="00EB6106" w:rsidRPr="006D090A" w:rsidRDefault="00EB6106" w:rsidP="006D090A">
            <w:pPr>
              <w:spacing w:before="0" w:after="0"/>
              <w:contextualSpacing/>
              <w:rPr>
                <w:rFonts w:cstheme="minorHAnsi"/>
                <w:b/>
                <w:color w:val="000000"/>
                <w:szCs w:val="20"/>
              </w:rPr>
            </w:pPr>
            <w:r w:rsidRPr="006D090A">
              <w:rPr>
                <w:rFonts w:cstheme="minorHAnsi"/>
                <w:b/>
                <w:szCs w:val="20"/>
              </w:rPr>
              <w:t>Setting</w:t>
            </w:r>
          </w:p>
        </w:tc>
        <w:tc>
          <w:tcPr>
            <w:tcW w:w="350" w:type="pct"/>
            <w:tcBorders>
              <w:top w:val="single" w:sz="4" w:space="0" w:color="auto"/>
              <w:left w:val="single" w:sz="2" w:space="0" w:color="auto"/>
              <w:bottom w:val="single" w:sz="4" w:space="0" w:color="auto"/>
            </w:tcBorders>
            <w:shd w:val="clear" w:color="auto" w:fill="86D3F2" w:themeFill="background2" w:themeFillTint="66"/>
            <w:vAlign w:val="center"/>
          </w:tcPr>
          <w:p w14:paraId="4DA19983"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NSW</w:t>
            </w:r>
          </w:p>
        </w:tc>
        <w:tc>
          <w:tcPr>
            <w:tcW w:w="350" w:type="pct"/>
            <w:tcBorders>
              <w:top w:val="single" w:sz="4" w:space="0" w:color="auto"/>
              <w:bottom w:val="single" w:sz="4" w:space="0" w:color="auto"/>
            </w:tcBorders>
            <w:shd w:val="clear" w:color="auto" w:fill="86D3F2" w:themeFill="background2" w:themeFillTint="66"/>
            <w:vAlign w:val="center"/>
          </w:tcPr>
          <w:p w14:paraId="4B8B24CF"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Vic</w:t>
            </w:r>
          </w:p>
        </w:tc>
        <w:tc>
          <w:tcPr>
            <w:tcW w:w="350" w:type="pct"/>
            <w:tcBorders>
              <w:top w:val="single" w:sz="4" w:space="0" w:color="auto"/>
              <w:bottom w:val="single" w:sz="4" w:space="0" w:color="auto"/>
            </w:tcBorders>
            <w:shd w:val="clear" w:color="auto" w:fill="86D3F2" w:themeFill="background2" w:themeFillTint="66"/>
            <w:vAlign w:val="center"/>
          </w:tcPr>
          <w:p w14:paraId="340FFA75"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Qld</w:t>
            </w:r>
          </w:p>
        </w:tc>
        <w:tc>
          <w:tcPr>
            <w:tcW w:w="350" w:type="pct"/>
            <w:tcBorders>
              <w:top w:val="single" w:sz="4" w:space="0" w:color="auto"/>
              <w:bottom w:val="single" w:sz="4" w:space="0" w:color="auto"/>
            </w:tcBorders>
            <w:shd w:val="clear" w:color="auto" w:fill="86D3F2" w:themeFill="background2" w:themeFillTint="66"/>
            <w:vAlign w:val="center"/>
          </w:tcPr>
          <w:p w14:paraId="64082B80"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SA</w:t>
            </w:r>
          </w:p>
        </w:tc>
        <w:tc>
          <w:tcPr>
            <w:tcW w:w="350" w:type="pct"/>
            <w:tcBorders>
              <w:top w:val="single" w:sz="4" w:space="0" w:color="auto"/>
              <w:bottom w:val="single" w:sz="4" w:space="0" w:color="auto"/>
            </w:tcBorders>
            <w:shd w:val="clear" w:color="auto" w:fill="86D3F2" w:themeFill="background2" w:themeFillTint="66"/>
            <w:vAlign w:val="center"/>
          </w:tcPr>
          <w:p w14:paraId="2879B4E7"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WA</w:t>
            </w:r>
          </w:p>
        </w:tc>
        <w:tc>
          <w:tcPr>
            <w:tcW w:w="350" w:type="pct"/>
            <w:tcBorders>
              <w:top w:val="single" w:sz="4" w:space="0" w:color="auto"/>
              <w:bottom w:val="single" w:sz="4" w:space="0" w:color="auto"/>
            </w:tcBorders>
            <w:shd w:val="clear" w:color="auto" w:fill="86D3F2" w:themeFill="background2" w:themeFillTint="66"/>
            <w:vAlign w:val="center"/>
          </w:tcPr>
          <w:p w14:paraId="601DCEDE"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Tas</w:t>
            </w:r>
          </w:p>
        </w:tc>
        <w:tc>
          <w:tcPr>
            <w:tcW w:w="350" w:type="pct"/>
            <w:tcBorders>
              <w:top w:val="single" w:sz="4" w:space="0" w:color="auto"/>
              <w:bottom w:val="single" w:sz="4" w:space="0" w:color="auto"/>
            </w:tcBorders>
            <w:shd w:val="clear" w:color="auto" w:fill="86D3F2" w:themeFill="background2" w:themeFillTint="66"/>
            <w:vAlign w:val="center"/>
          </w:tcPr>
          <w:p w14:paraId="72960964"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NT</w:t>
            </w:r>
          </w:p>
        </w:tc>
        <w:tc>
          <w:tcPr>
            <w:tcW w:w="351" w:type="pct"/>
            <w:tcBorders>
              <w:top w:val="single" w:sz="4" w:space="0" w:color="auto"/>
              <w:bottom w:val="single" w:sz="4" w:space="0" w:color="auto"/>
              <w:right w:val="single" w:sz="2" w:space="0" w:color="auto"/>
            </w:tcBorders>
            <w:shd w:val="clear" w:color="auto" w:fill="86D3F2" w:themeFill="background2" w:themeFillTint="66"/>
            <w:vAlign w:val="center"/>
          </w:tcPr>
          <w:p w14:paraId="00F32D01"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ACT</w:t>
            </w:r>
          </w:p>
        </w:tc>
        <w:tc>
          <w:tcPr>
            <w:tcW w:w="452" w:type="pct"/>
            <w:tcBorders>
              <w:top w:val="nil"/>
              <w:left w:val="single" w:sz="2" w:space="0" w:color="auto"/>
              <w:bottom w:val="single" w:sz="4" w:space="0" w:color="auto"/>
              <w:right w:val="single" w:sz="2" w:space="0" w:color="auto"/>
            </w:tcBorders>
            <w:shd w:val="clear" w:color="auto" w:fill="86D3F2" w:themeFill="background2" w:themeFillTint="66"/>
          </w:tcPr>
          <w:p w14:paraId="0C123398" w14:textId="77777777" w:rsidR="00EB6106" w:rsidRPr="006D090A" w:rsidRDefault="00EB6106" w:rsidP="006D090A">
            <w:pPr>
              <w:spacing w:before="0" w:after="0"/>
              <w:contextualSpacing/>
              <w:jc w:val="center"/>
              <w:rPr>
                <w:rFonts w:cstheme="minorHAnsi"/>
                <w:b/>
                <w:szCs w:val="20"/>
              </w:rPr>
            </w:pPr>
            <w:r w:rsidRPr="006D090A">
              <w:rPr>
                <w:rFonts w:cstheme="minorHAnsi"/>
                <w:b/>
                <w:szCs w:val="20"/>
              </w:rPr>
              <w:t>Total</w:t>
            </w:r>
          </w:p>
        </w:tc>
      </w:tr>
      <w:tr w:rsidR="006D090A" w:rsidRPr="006D090A" w14:paraId="1E6C704D" w14:textId="77777777" w:rsidTr="007D0AD8">
        <w:trPr>
          <w:trHeight w:val="227"/>
        </w:trPr>
        <w:tc>
          <w:tcPr>
            <w:tcW w:w="887" w:type="pct"/>
            <w:vMerge w:val="restart"/>
            <w:tcBorders>
              <w:top w:val="single" w:sz="4" w:space="0" w:color="auto"/>
              <w:left w:val="single" w:sz="2" w:space="0" w:color="auto"/>
              <w:right w:val="single" w:sz="2" w:space="0" w:color="auto"/>
            </w:tcBorders>
          </w:tcPr>
          <w:p w14:paraId="2FD06118" w14:textId="77777777" w:rsidR="006D090A" w:rsidRPr="006D090A" w:rsidRDefault="006D090A" w:rsidP="006D090A">
            <w:pPr>
              <w:spacing w:before="0" w:after="0"/>
              <w:contextualSpacing/>
              <w:rPr>
                <w:rFonts w:cstheme="minorHAnsi"/>
                <w:szCs w:val="20"/>
              </w:rPr>
            </w:pPr>
            <w:r w:rsidRPr="006D090A">
              <w:rPr>
                <w:rFonts w:cstheme="minorHAnsi"/>
                <w:szCs w:val="20"/>
              </w:rPr>
              <w:t>IMP</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68298FF9" w14:textId="77777777" w:rsidR="006D090A" w:rsidRPr="006D090A" w:rsidRDefault="006D090A" w:rsidP="006D090A">
            <w:pPr>
              <w:spacing w:before="0" w:after="0"/>
              <w:contextualSpacing/>
              <w:rPr>
                <w:rFonts w:cstheme="minorHAnsi"/>
                <w:b/>
                <w:color w:val="000000"/>
                <w:szCs w:val="20"/>
              </w:rPr>
            </w:pPr>
            <w:r w:rsidRPr="006D090A">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bottom"/>
          </w:tcPr>
          <w:p w14:paraId="1D853922"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283</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1AED9E47"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36</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28DDC3DD"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115</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EAFC65B"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18597F6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22</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C7A67CB"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EEC9F80"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w:t>
            </w:r>
          </w:p>
        </w:tc>
        <w:tc>
          <w:tcPr>
            <w:tcW w:w="351"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bottom"/>
          </w:tcPr>
          <w:p w14:paraId="16AFD9A7"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3</w:t>
            </w:r>
          </w:p>
        </w:tc>
        <w:tc>
          <w:tcPr>
            <w:tcW w:w="45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bottom"/>
          </w:tcPr>
          <w:p w14:paraId="733DA193"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461</w:t>
            </w:r>
          </w:p>
        </w:tc>
      </w:tr>
      <w:tr w:rsidR="006D090A" w:rsidRPr="006D090A" w14:paraId="4A844EE5" w14:textId="77777777" w:rsidTr="007D0AD8">
        <w:trPr>
          <w:trHeight w:val="227"/>
        </w:trPr>
        <w:tc>
          <w:tcPr>
            <w:tcW w:w="887" w:type="pct"/>
            <w:vMerge/>
            <w:tcBorders>
              <w:left w:val="single" w:sz="2" w:space="0" w:color="auto"/>
              <w:right w:val="single" w:sz="2" w:space="0" w:color="auto"/>
            </w:tcBorders>
          </w:tcPr>
          <w:p w14:paraId="411D030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10A0135"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bottom"/>
          </w:tcPr>
          <w:p w14:paraId="47DD03A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262</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04E2F13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31</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114DB8D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88</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6DB9818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00AAD4F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13</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34B8AEC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2C15876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1" w:type="pct"/>
            <w:tcBorders>
              <w:top w:val="single" w:sz="2" w:space="0" w:color="BFBFBF" w:themeColor="background1" w:themeShade="BF"/>
              <w:left w:val="nil"/>
              <w:bottom w:val="single" w:sz="2" w:space="0" w:color="BFBFBF" w:themeColor="background1" w:themeShade="BF"/>
              <w:right w:val="single" w:sz="2" w:space="0" w:color="auto"/>
            </w:tcBorders>
            <w:vAlign w:val="bottom"/>
          </w:tcPr>
          <w:p w14:paraId="50F80C2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56F6862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398</w:t>
            </w:r>
          </w:p>
        </w:tc>
      </w:tr>
      <w:tr w:rsidR="006D090A" w:rsidRPr="006D090A" w14:paraId="7DEDFFD9" w14:textId="77777777" w:rsidTr="007D0AD8">
        <w:trPr>
          <w:trHeight w:val="227"/>
        </w:trPr>
        <w:tc>
          <w:tcPr>
            <w:tcW w:w="887" w:type="pct"/>
            <w:vMerge/>
            <w:tcBorders>
              <w:left w:val="single" w:sz="2" w:space="0" w:color="auto"/>
              <w:right w:val="single" w:sz="2" w:space="0" w:color="auto"/>
            </w:tcBorders>
          </w:tcPr>
          <w:p w14:paraId="50D375CA"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B5AB4FA"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bottom"/>
          </w:tcPr>
          <w:p w14:paraId="41DDB88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71FE025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38ACACE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19</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371158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34536AB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7F32527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489354F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left w:val="nil"/>
              <w:bottom w:val="single" w:sz="2" w:space="0" w:color="BFBFBF" w:themeColor="background1" w:themeShade="BF"/>
              <w:right w:val="single" w:sz="2" w:space="0" w:color="auto"/>
            </w:tcBorders>
            <w:vAlign w:val="bottom"/>
          </w:tcPr>
          <w:p w14:paraId="57301DC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6BF3AAD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29</w:t>
            </w:r>
          </w:p>
        </w:tc>
      </w:tr>
      <w:tr w:rsidR="006D090A" w:rsidRPr="006D090A" w14:paraId="10A00C19" w14:textId="77777777" w:rsidTr="007D0AD8">
        <w:trPr>
          <w:trHeight w:val="227"/>
        </w:trPr>
        <w:tc>
          <w:tcPr>
            <w:tcW w:w="887" w:type="pct"/>
            <w:vMerge/>
            <w:tcBorders>
              <w:left w:val="single" w:sz="2" w:space="0" w:color="auto"/>
              <w:right w:val="single" w:sz="2" w:space="0" w:color="auto"/>
            </w:tcBorders>
          </w:tcPr>
          <w:p w14:paraId="2E7D30E1"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3C8E3C2"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bottom"/>
          </w:tcPr>
          <w:p w14:paraId="1CD64FE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64C46D9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EAD32C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35824FA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6337164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35DB23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4C8B232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left w:val="nil"/>
              <w:bottom w:val="single" w:sz="2" w:space="0" w:color="BFBFBF" w:themeColor="background1" w:themeShade="BF"/>
              <w:right w:val="single" w:sz="2" w:space="0" w:color="auto"/>
            </w:tcBorders>
            <w:vAlign w:val="bottom"/>
          </w:tcPr>
          <w:p w14:paraId="10D05EF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24D814B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r>
      <w:tr w:rsidR="006D090A" w:rsidRPr="006D090A" w14:paraId="2B9AFA83" w14:textId="77777777" w:rsidTr="007D0AD8">
        <w:trPr>
          <w:trHeight w:val="227"/>
        </w:trPr>
        <w:tc>
          <w:tcPr>
            <w:tcW w:w="887" w:type="pct"/>
            <w:vMerge/>
            <w:tcBorders>
              <w:left w:val="single" w:sz="2" w:space="0" w:color="auto"/>
              <w:right w:val="single" w:sz="2" w:space="0" w:color="auto"/>
            </w:tcBorders>
          </w:tcPr>
          <w:p w14:paraId="66FCDD7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DC91BE3"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right w:val="nil"/>
            </w:tcBorders>
            <w:vAlign w:val="bottom"/>
          </w:tcPr>
          <w:p w14:paraId="773F9E6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9</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EAC54B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143BE4F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8CB15A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020A2CD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5B66FC0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left w:val="nil"/>
              <w:bottom w:val="single" w:sz="2" w:space="0" w:color="BFBFBF" w:themeColor="background1" w:themeShade="BF"/>
              <w:right w:val="nil"/>
            </w:tcBorders>
            <w:vAlign w:val="bottom"/>
          </w:tcPr>
          <w:p w14:paraId="18DFCD8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left w:val="nil"/>
              <w:bottom w:val="single" w:sz="2" w:space="0" w:color="BFBFBF" w:themeColor="background1" w:themeShade="BF"/>
              <w:right w:val="single" w:sz="2" w:space="0" w:color="auto"/>
            </w:tcBorders>
            <w:vAlign w:val="bottom"/>
          </w:tcPr>
          <w:p w14:paraId="5CDB650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67BF292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17</w:t>
            </w:r>
          </w:p>
        </w:tc>
      </w:tr>
      <w:tr w:rsidR="006D090A" w:rsidRPr="006D090A" w14:paraId="400CE2B9" w14:textId="77777777" w:rsidTr="007D0AD8">
        <w:trPr>
          <w:trHeight w:val="227"/>
        </w:trPr>
        <w:tc>
          <w:tcPr>
            <w:tcW w:w="887" w:type="pct"/>
            <w:vMerge/>
            <w:tcBorders>
              <w:left w:val="single" w:sz="2" w:space="0" w:color="auto"/>
              <w:bottom w:val="single" w:sz="4" w:space="0" w:color="auto"/>
              <w:right w:val="single" w:sz="2" w:space="0" w:color="auto"/>
            </w:tcBorders>
          </w:tcPr>
          <w:p w14:paraId="73894DA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7574E63E"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bottom"/>
          </w:tcPr>
          <w:p w14:paraId="20B1CBF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10</w:t>
            </w:r>
          </w:p>
        </w:tc>
        <w:tc>
          <w:tcPr>
            <w:tcW w:w="350" w:type="pct"/>
            <w:tcBorders>
              <w:top w:val="single" w:sz="2" w:space="0" w:color="BFBFBF" w:themeColor="background1" w:themeShade="BF"/>
              <w:bottom w:val="single" w:sz="4" w:space="0" w:color="auto"/>
            </w:tcBorders>
            <w:vAlign w:val="bottom"/>
          </w:tcPr>
          <w:p w14:paraId="5FEB7F4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687F975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c>
          <w:tcPr>
            <w:tcW w:w="350" w:type="pct"/>
            <w:tcBorders>
              <w:top w:val="single" w:sz="2" w:space="0" w:color="BFBFBF" w:themeColor="background1" w:themeShade="BF"/>
              <w:bottom w:val="single" w:sz="4" w:space="0" w:color="auto"/>
            </w:tcBorders>
            <w:vAlign w:val="bottom"/>
          </w:tcPr>
          <w:p w14:paraId="01DEEEA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6076600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384E9A7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3A89121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4" w:space="0" w:color="auto"/>
              <w:right w:val="single" w:sz="2" w:space="0" w:color="auto"/>
            </w:tcBorders>
            <w:vAlign w:val="bottom"/>
          </w:tcPr>
          <w:p w14:paraId="3786BE3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4" w:space="0" w:color="auto"/>
              <w:right w:val="single" w:sz="2" w:space="0" w:color="auto"/>
            </w:tcBorders>
            <w:vAlign w:val="bottom"/>
          </w:tcPr>
          <w:p w14:paraId="473B112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15</w:t>
            </w:r>
          </w:p>
        </w:tc>
      </w:tr>
      <w:tr w:rsidR="006D090A" w:rsidRPr="006D090A" w14:paraId="17200315" w14:textId="77777777" w:rsidTr="007D0AD8">
        <w:trPr>
          <w:trHeight w:val="227"/>
        </w:trPr>
        <w:tc>
          <w:tcPr>
            <w:tcW w:w="887" w:type="pct"/>
            <w:vMerge w:val="restart"/>
            <w:tcBorders>
              <w:top w:val="single" w:sz="4" w:space="0" w:color="auto"/>
              <w:left w:val="single" w:sz="2" w:space="0" w:color="auto"/>
              <w:right w:val="single" w:sz="2" w:space="0" w:color="auto"/>
            </w:tcBorders>
          </w:tcPr>
          <w:p w14:paraId="4962B4D7" w14:textId="77777777" w:rsidR="006D090A" w:rsidRPr="006D090A" w:rsidRDefault="006D090A" w:rsidP="006D090A">
            <w:pPr>
              <w:spacing w:before="0" w:after="0"/>
              <w:contextualSpacing/>
              <w:rPr>
                <w:rFonts w:cstheme="minorHAnsi"/>
                <w:szCs w:val="20"/>
              </w:rPr>
            </w:pPr>
            <w:r w:rsidRPr="006D090A">
              <w:rPr>
                <w:rFonts w:cstheme="minorHAnsi"/>
                <w:szCs w:val="20"/>
              </w:rPr>
              <w:t>NDM</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6AC06994" w14:textId="77777777" w:rsidR="006D090A" w:rsidRPr="006D090A" w:rsidRDefault="006D090A" w:rsidP="006D090A">
            <w:pPr>
              <w:spacing w:before="0" w:after="0"/>
              <w:contextualSpacing/>
              <w:rPr>
                <w:rFonts w:cstheme="minorHAnsi"/>
                <w:b/>
                <w:color w:val="000000"/>
                <w:szCs w:val="20"/>
              </w:rPr>
            </w:pPr>
            <w:r w:rsidRPr="006D090A">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bottom"/>
          </w:tcPr>
          <w:p w14:paraId="729F4BEC"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133</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643091EC"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177</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65AE7DF"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52</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87E2762"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26</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7AB9BE7A"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22</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42CD5365"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3</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A0513F2"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5</w:t>
            </w:r>
          </w:p>
        </w:tc>
        <w:tc>
          <w:tcPr>
            <w:tcW w:w="351"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bottom"/>
          </w:tcPr>
          <w:p w14:paraId="0FDB04FB"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w:t>
            </w:r>
          </w:p>
        </w:tc>
        <w:tc>
          <w:tcPr>
            <w:tcW w:w="45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bottom"/>
          </w:tcPr>
          <w:p w14:paraId="605AD165"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420</w:t>
            </w:r>
          </w:p>
        </w:tc>
      </w:tr>
      <w:tr w:rsidR="006D090A" w:rsidRPr="006D090A" w14:paraId="160BA8D3" w14:textId="77777777" w:rsidTr="007D0AD8">
        <w:trPr>
          <w:trHeight w:val="227"/>
        </w:trPr>
        <w:tc>
          <w:tcPr>
            <w:tcW w:w="887" w:type="pct"/>
            <w:vMerge/>
            <w:tcBorders>
              <w:left w:val="single" w:sz="2" w:space="0" w:color="auto"/>
              <w:right w:val="single" w:sz="2" w:space="0" w:color="auto"/>
            </w:tcBorders>
          </w:tcPr>
          <w:p w14:paraId="42230BFA"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58F5D5F"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77FDE06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102</w:t>
            </w:r>
          </w:p>
        </w:tc>
        <w:tc>
          <w:tcPr>
            <w:tcW w:w="350" w:type="pct"/>
            <w:tcBorders>
              <w:top w:val="single" w:sz="2" w:space="0" w:color="BFBFBF" w:themeColor="background1" w:themeShade="BF"/>
              <w:bottom w:val="single" w:sz="2" w:space="0" w:color="BFBFBF" w:themeColor="background1" w:themeShade="BF"/>
            </w:tcBorders>
            <w:vAlign w:val="bottom"/>
          </w:tcPr>
          <w:p w14:paraId="61968F8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117</w:t>
            </w:r>
          </w:p>
        </w:tc>
        <w:tc>
          <w:tcPr>
            <w:tcW w:w="350" w:type="pct"/>
            <w:tcBorders>
              <w:top w:val="single" w:sz="2" w:space="0" w:color="BFBFBF" w:themeColor="background1" w:themeShade="BF"/>
              <w:bottom w:val="single" w:sz="2" w:space="0" w:color="BFBFBF" w:themeColor="background1" w:themeShade="BF"/>
            </w:tcBorders>
            <w:vAlign w:val="bottom"/>
          </w:tcPr>
          <w:p w14:paraId="680E270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39</w:t>
            </w:r>
          </w:p>
        </w:tc>
        <w:tc>
          <w:tcPr>
            <w:tcW w:w="350" w:type="pct"/>
            <w:tcBorders>
              <w:top w:val="single" w:sz="2" w:space="0" w:color="BFBFBF" w:themeColor="background1" w:themeShade="BF"/>
              <w:bottom w:val="single" w:sz="2" w:space="0" w:color="BFBFBF" w:themeColor="background1" w:themeShade="BF"/>
            </w:tcBorders>
            <w:vAlign w:val="bottom"/>
          </w:tcPr>
          <w:p w14:paraId="01FB4B3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18</w:t>
            </w:r>
          </w:p>
        </w:tc>
        <w:tc>
          <w:tcPr>
            <w:tcW w:w="350" w:type="pct"/>
            <w:tcBorders>
              <w:top w:val="single" w:sz="2" w:space="0" w:color="BFBFBF" w:themeColor="background1" w:themeShade="BF"/>
              <w:bottom w:val="single" w:sz="2" w:space="0" w:color="BFBFBF" w:themeColor="background1" w:themeShade="BF"/>
            </w:tcBorders>
            <w:vAlign w:val="bottom"/>
          </w:tcPr>
          <w:p w14:paraId="2080A45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12</w:t>
            </w:r>
          </w:p>
        </w:tc>
        <w:tc>
          <w:tcPr>
            <w:tcW w:w="350" w:type="pct"/>
            <w:tcBorders>
              <w:top w:val="single" w:sz="2" w:space="0" w:color="BFBFBF" w:themeColor="background1" w:themeShade="BF"/>
              <w:bottom w:val="single" w:sz="2" w:space="0" w:color="BFBFBF" w:themeColor="background1" w:themeShade="BF"/>
            </w:tcBorders>
            <w:vAlign w:val="bottom"/>
          </w:tcPr>
          <w:p w14:paraId="022D7C0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25FB913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3EFE330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38F7D0A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294</w:t>
            </w:r>
          </w:p>
        </w:tc>
      </w:tr>
      <w:tr w:rsidR="006D090A" w:rsidRPr="006D090A" w14:paraId="79255929" w14:textId="77777777" w:rsidTr="007D0AD8">
        <w:trPr>
          <w:trHeight w:val="227"/>
        </w:trPr>
        <w:tc>
          <w:tcPr>
            <w:tcW w:w="887" w:type="pct"/>
            <w:vMerge/>
            <w:tcBorders>
              <w:left w:val="single" w:sz="2" w:space="0" w:color="auto"/>
              <w:right w:val="single" w:sz="2" w:space="0" w:color="auto"/>
            </w:tcBorders>
          </w:tcPr>
          <w:p w14:paraId="5858758D"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4A28653"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7A0811C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bottom w:val="single" w:sz="2" w:space="0" w:color="BFBFBF" w:themeColor="background1" w:themeShade="BF"/>
            </w:tcBorders>
            <w:vAlign w:val="bottom"/>
          </w:tcPr>
          <w:p w14:paraId="229E707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6</w:t>
            </w:r>
          </w:p>
        </w:tc>
        <w:tc>
          <w:tcPr>
            <w:tcW w:w="350" w:type="pct"/>
            <w:tcBorders>
              <w:top w:val="single" w:sz="2" w:space="0" w:color="BFBFBF" w:themeColor="background1" w:themeShade="BF"/>
              <w:bottom w:val="single" w:sz="2" w:space="0" w:color="BFBFBF" w:themeColor="background1" w:themeShade="BF"/>
            </w:tcBorders>
            <w:vAlign w:val="bottom"/>
          </w:tcPr>
          <w:p w14:paraId="334D13D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c>
          <w:tcPr>
            <w:tcW w:w="350" w:type="pct"/>
            <w:tcBorders>
              <w:top w:val="single" w:sz="2" w:space="0" w:color="BFBFBF" w:themeColor="background1" w:themeShade="BF"/>
              <w:bottom w:val="single" w:sz="2" w:space="0" w:color="BFBFBF" w:themeColor="background1" w:themeShade="BF"/>
            </w:tcBorders>
            <w:vAlign w:val="bottom"/>
          </w:tcPr>
          <w:p w14:paraId="2EFF090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090B31C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bottom w:val="single" w:sz="2" w:space="0" w:color="BFBFBF" w:themeColor="background1" w:themeShade="BF"/>
            </w:tcBorders>
            <w:vAlign w:val="bottom"/>
          </w:tcPr>
          <w:p w14:paraId="0D819B6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403283E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6CFBCA9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129855E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18</w:t>
            </w:r>
          </w:p>
        </w:tc>
      </w:tr>
      <w:tr w:rsidR="006D090A" w:rsidRPr="006D090A" w14:paraId="048AA983" w14:textId="77777777" w:rsidTr="007D0AD8">
        <w:trPr>
          <w:trHeight w:val="227"/>
        </w:trPr>
        <w:tc>
          <w:tcPr>
            <w:tcW w:w="887" w:type="pct"/>
            <w:vMerge/>
            <w:tcBorders>
              <w:left w:val="single" w:sz="2" w:space="0" w:color="auto"/>
              <w:right w:val="single" w:sz="2" w:space="0" w:color="auto"/>
            </w:tcBorders>
          </w:tcPr>
          <w:p w14:paraId="28DA6199"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CDEED0B"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6F389D4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69F5B3C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11FEF28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7CAAC39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3E1F3C1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4F5056E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5821D57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2508483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49C7797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r>
      <w:tr w:rsidR="006D090A" w:rsidRPr="006D090A" w14:paraId="40C70B2B" w14:textId="77777777" w:rsidTr="007D0AD8">
        <w:trPr>
          <w:trHeight w:val="227"/>
        </w:trPr>
        <w:tc>
          <w:tcPr>
            <w:tcW w:w="887" w:type="pct"/>
            <w:vMerge/>
            <w:tcBorders>
              <w:left w:val="single" w:sz="2" w:space="0" w:color="auto"/>
              <w:right w:val="single" w:sz="2" w:space="0" w:color="auto"/>
            </w:tcBorders>
          </w:tcPr>
          <w:p w14:paraId="5695C8AD"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B4076A1"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0313D9E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14</w:t>
            </w:r>
          </w:p>
        </w:tc>
        <w:tc>
          <w:tcPr>
            <w:tcW w:w="350" w:type="pct"/>
            <w:tcBorders>
              <w:top w:val="single" w:sz="2" w:space="0" w:color="BFBFBF" w:themeColor="background1" w:themeShade="BF"/>
              <w:bottom w:val="single" w:sz="2" w:space="0" w:color="BFBFBF" w:themeColor="background1" w:themeShade="BF"/>
            </w:tcBorders>
            <w:vAlign w:val="bottom"/>
          </w:tcPr>
          <w:p w14:paraId="2B9B3D7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43</w:t>
            </w:r>
          </w:p>
        </w:tc>
        <w:tc>
          <w:tcPr>
            <w:tcW w:w="350" w:type="pct"/>
            <w:tcBorders>
              <w:top w:val="single" w:sz="2" w:space="0" w:color="BFBFBF" w:themeColor="background1" w:themeShade="BF"/>
              <w:bottom w:val="single" w:sz="2" w:space="0" w:color="BFBFBF" w:themeColor="background1" w:themeShade="BF"/>
            </w:tcBorders>
            <w:vAlign w:val="bottom"/>
          </w:tcPr>
          <w:p w14:paraId="7D921A8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2" w:space="0" w:color="BFBFBF" w:themeColor="background1" w:themeShade="BF"/>
            </w:tcBorders>
            <w:vAlign w:val="bottom"/>
          </w:tcPr>
          <w:p w14:paraId="6910C08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w:t>
            </w:r>
          </w:p>
        </w:tc>
        <w:tc>
          <w:tcPr>
            <w:tcW w:w="350" w:type="pct"/>
            <w:tcBorders>
              <w:top w:val="single" w:sz="2" w:space="0" w:color="BFBFBF" w:themeColor="background1" w:themeShade="BF"/>
              <w:bottom w:val="single" w:sz="2" w:space="0" w:color="BFBFBF" w:themeColor="background1" w:themeShade="BF"/>
            </w:tcBorders>
            <w:vAlign w:val="bottom"/>
          </w:tcPr>
          <w:p w14:paraId="42B5DA5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6</w:t>
            </w:r>
          </w:p>
        </w:tc>
        <w:tc>
          <w:tcPr>
            <w:tcW w:w="350" w:type="pct"/>
            <w:tcBorders>
              <w:top w:val="single" w:sz="2" w:space="0" w:color="BFBFBF" w:themeColor="background1" w:themeShade="BF"/>
              <w:bottom w:val="single" w:sz="2" w:space="0" w:color="BFBFBF" w:themeColor="background1" w:themeShade="BF"/>
            </w:tcBorders>
            <w:vAlign w:val="bottom"/>
          </w:tcPr>
          <w:p w14:paraId="5585643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796359F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737E4DF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4F81C74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78</w:t>
            </w:r>
          </w:p>
        </w:tc>
      </w:tr>
      <w:tr w:rsidR="006D090A" w:rsidRPr="006D090A" w14:paraId="03A2A3F5" w14:textId="77777777" w:rsidTr="007D0AD8">
        <w:trPr>
          <w:trHeight w:val="227"/>
        </w:trPr>
        <w:tc>
          <w:tcPr>
            <w:tcW w:w="887" w:type="pct"/>
            <w:vMerge/>
            <w:tcBorders>
              <w:left w:val="single" w:sz="2" w:space="0" w:color="auto"/>
              <w:bottom w:val="single" w:sz="4" w:space="0" w:color="auto"/>
              <w:right w:val="single" w:sz="2" w:space="0" w:color="auto"/>
            </w:tcBorders>
          </w:tcPr>
          <w:p w14:paraId="2F044DAF"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5324FCFA"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bottom"/>
          </w:tcPr>
          <w:p w14:paraId="4D09EAD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14</w:t>
            </w:r>
          </w:p>
        </w:tc>
        <w:tc>
          <w:tcPr>
            <w:tcW w:w="350" w:type="pct"/>
            <w:tcBorders>
              <w:top w:val="single" w:sz="2" w:space="0" w:color="BFBFBF" w:themeColor="background1" w:themeShade="BF"/>
              <w:bottom w:val="single" w:sz="4" w:space="0" w:color="auto"/>
            </w:tcBorders>
            <w:vAlign w:val="bottom"/>
          </w:tcPr>
          <w:p w14:paraId="108258A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9</w:t>
            </w:r>
          </w:p>
        </w:tc>
        <w:tc>
          <w:tcPr>
            <w:tcW w:w="350" w:type="pct"/>
            <w:tcBorders>
              <w:top w:val="single" w:sz="2" w:space="0" w:color="BFBFBF" w:themeColor="background1" w:themeShade="BF"/>
              <w:bottom w:val="single" w:sz="4" w:space="0" w:color="auto"/>
            </w:tcBorders>
            <w:vAlign w:val="bottom"/>
          </w:tcPr>
          <w:p w14:paraId="738EBFE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4" w:space="0" w:color="auto"/>
            </w:tcBorders>
            <w:vAlign w:val="bottom"/>
          </w:tcPr>
          <w:p w14:paraId="4664C93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2388747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44E99EA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51782BD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4" w:space="0" w:color="auto"/>
              <w:right w:val="single" w:sz="2" w:space="0" w:color="auto"/>
            </w:tcBorders>
            <w:vAlign w:val="bottom"/>
          </w:tcPr>
          <w:p w14:paraId="0A3668F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4" w:space="0" w:color="auto"/>
              <w:right w:val="single" w:sz="2" w:space="0" w:color="auto"/>
            </w:tcBorders>
            <w:vAlign w:val="bottom"/>
          </w:tcPr>
          <w:p w14:paraId="6464A1D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25</w:t>
            </w:r>
          </w:p>
        </w:tc>
      </w:tr>
      <w:tr w:rsidR="006D090A" w:rsidRPr="006D090A" w14:paraId="43D52DA2" w14:textId="77777777" w:rsidTr="007D0AD8">
        <w:trPr>
          <w:trHeight w:val="227"/>
        </w:trPr>
        <w:tc>
          <w:tcPr>
            <w:tcW w:w="887" w:type="pct"/>
            <w:vMerge w:val="restart"/>
            <w:tcBorders>
              <w:top w:val="single" w:sz="4" w:space="0" w:color="auto"/>
              <w:left w:val="single" w:sz="2" w:space="0" w:color="auto"/>
              <w:right w:val="single" w:sz="2" w:space="0" w:color="auto"/>
            </w:tcBorders>
          </w:tcPr>
          <w:p w14:paraId="1178AD79" w14:textId="77777777" w:rsidR="006D090A" w:rsidRPr="006D090A" w:rsidRDefault="006D090A" w:rsidP="006D090A">
            <w:pPr>
              <w:spacing w:before="0" w:after="0"/>
              <w:contextualSpacing/>
              <w:rPr>
                <w:rFonts w:cstheme="minorHAnsi"/>
                <w:szCs w:val="20"/>
              </w:rPr>
            </w:pPr>
            <w:r w:rsidRPr="006D090A">
              <w:rPr>
                <w:rFonts w:cstheme="minorHAnsi"/>
                <w:szCs w:val="20"/>
              </w:rPr>
              <w:t>OXA-48-like</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5DA3A8A9" w14:textId="77777777" w:rsidR="006D090A" w:rsidRPr="006D090A" w:rsidRDefault="006D090A" w:rsidP="006D090A">
            <w:pPr>
              <w:spacing w:before="0" w:after="0"/>
              <w:contextualSpacing/>
              <w:rPr>
                <w:rFonts w:cstheme="minorHAnsi"/>
                <w:b/>
                <w:color w:val="000000"/>
                <w:szCs w:val="20"/>
              </w:rPr>
            </w:pPr>
            <w:r w:rsidRPr="006D090A">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bottom"/>
          </w:tcPr>
          <w:p w14:paraId="6A8A53F4"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56</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7C39B72"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104</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062F3C29"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9</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D2398E8"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16</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9ADD5F9"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9</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CF67531"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75FABA6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1"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bottom"/>
          </w:tcPr>
          <w:p w14:paraId="2ECF01CD"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3</w:t>
            </w:r>
          </w:p>
        </w:tc>
        <w:tc>
          <w:tcPr>
            <w:tcW w:w="45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bottom"/>
          </w:tcPr>
          <w:p w14:paraId="5684E86B"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197</w:t>
            </w:r>
          </w:p>
        </w:tc>
      </w:tr>
      <w:tr w:rsidR="006D090A" w:rsidRPr="006D090A" w14:paraId="2D990D4D" w14:textId="77777777" w:rsidTr="007D0AD8">
        <w:trPr>
          <w:trHeight w:val="227"/>
        </w:trPr>
        <w:tc>
          <w:tcPr>
            <w:tcW w:w="887" w:type="pct"/>
            <w:vMerge/>
            <w:tcBorders>
              <w:left w:val="single" w:sz="2" w:space="0" w:color="auto"/>
              <w:right w:val="single" w:sz="2" w:space="0" w:color="auto"/>
            </w:tcBorders>
          </w:tcPr>
          <w:p w14:paraId="644474BE"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13F9582"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6F57790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49</w:t>
            </w:r>
          </w:p>
        </w:tc>
        <w:tc>
          <w:tcPr>
            <w:tcW w:w="350" w:type="pct"/>
            <w:tcBorders>
              <w:top w:val="single" w:sz="2" w:space="0" w:color="BFBFBF" w:themeColor="background1" w:themeShade="BF"/>
              <w:bottom w:val="single" w:sz="2" w:space="0" w:color="BFBFBF" w:themeColor="background1" w:themeShade="BF"/>
            </w:tcBorders>
            <w:vAlign w:val="bottom"/>
          </w:tcPr>
          <w:p w14:paraId="09CC36A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79</w:t>
            </w:r>
          </w:p>
        </w:tc>
        <w:tc>
          <w:tcPr>
            <w:tcW w:w="350" w:type="pct"/>
            <w:tcBorders>
              <w:top w:val="single" w:sz="2" w:space="0" w:color="BFBFBF" w:themeColor="background1" w:themeShade="BF"/>
              <w:bottom w:val="single" w:sz="2" w:space="0" w:color="BFBFBF" w:themeColor="background1" w:themeShade="BF"/>
            </w:tcBorders>
            <w:vAlign w:val="bottom"/>
          </w:tcPr>
          <w:p w14:paraId="7A5A58F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w:t>
            </w:r>
          </w:p>
        </w:tc>
        <w:tc>
          <w:tcPr>
            <w:tcW w:w="350" w:type="pct"/>
            <w:tcBorders>
              <w:top w:val="single" w:sz="2" w:space="0" w:color="BFBFBF" w:themeColor="background1" w:themeShade="BF"/>
              <w:bottom w:val="single" w:sz="2" w:space="0" w:color="BFBFBF" w:themeColor="background1" w:themeShade="BF"/>
            </w:tcBorders>
            <w:vAlign w:val="bottom"/>
          </w:tcPr>
          <w:p w14:paraId="771519C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13</w:t>
            </w:r>
          </w:p>
        </w:tc>
        <w:tc>
          <w:tcPr>
            <w:tcW w:w="350" w:type="pct"/>
            <w:tcBorders>
              <w:top w:val="single" w:sz="2" w:space="0" w:color="BFBFBF" w:themeColor="background1" w:themeShade="BF"/>
              <w:bottom w:val="single" w:sz="2" w:space="0" w:color="BFBFBF" w:themeColor="background1" w:themeShade="BF"/>
            </w:tcBorders>
            <w:vAlign w:val="bottom"/>
          </w:tcPr>
          <w:p w14:paraId="7F8B044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6</w:t>
            </w:r>
          </w:p>
        </w:tc>
        <w:tc>
          <w:tcPr>
            <w:tcW w:w="350" w:type="pct"/>
            <w:tcBorders>
              <w:top w:val="single" w:sz="2" w:space="0" w:color="BFBFBF" w:themeColor="background1" w:themeShade="BF"/>
              <w:bottom w:val="single" w:sz="2" w:space="0" w:color="BFBFBF" w:themeColor="background1" w:themeShade="BF"/>
            </w:tcBorders>
            <w:vAlign w:val="bottom"/>
          </w:tcPr>
          <w:p w14:paraId="132F933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232FC88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7B2D90B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1E152E2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156</w:t>
            </w:r>
          </w:p>
        </w:tc>
      </w:tr>
      <w:tr w:rsidR="006D090A" w:rsidRPr="006D090A" w14:paraId="46F522F9" w14:textId="77777777" w:rsidTr="007D0AD8">
        <w:trPr>
          <w:trHeight w:val="227"/>
        </w:trPr>
        <w:tc>
          <w:tcPr>
            <w:tcW w:w="887" w:type="pct"/>
            <w:vMerge/>
            <w:tcBorders>
              <w:left w:val="single" w:sz="2" w:space="0" w:color="auto"/>
              <w:right w:val="single" w:sz="2" w:space="0" w:color="auto"/>
            </w:tcBorders>
          </w:tcPr>
          <w:p w14:paraId="63A0091B"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D8A2B40"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08A9F2F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AD9E65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1466427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3210A52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439D6FF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09DC13B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5AEC4E6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3688D53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3A681B8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r>
      <w:tr w:rsidR="006D090A" w:rsidRPr="006D090A" w14:paraId="18779C86" w14:textId="77777777" w:rsidTr="007D0AD8">
        <w:trPr>
          <w:trHeight w:val="227"/>
        </w:trPr>
        <w:tc>
          <w:tcPr>
            <w:tcW w:w="887" w:type="pct"/>
            <w:vMerge/>
            <w:tcBorders>
              <w:left w:val="single" w:sz="2" w:space="0" w:color="auto"/>
              <w:right w:val="single" w:sz="2" w:space="0" w:color="auto"/>
            </w:tcBorders>
          </w:tcPr>
          <w:p w14:paraId="454B79E2"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7B8F9B41"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4F4409BE"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0036A50E"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B66B432"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1BBF27"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49810CFD"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6DC2D3C"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7C04324"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center"/>
          </w:tcPr>
          <w:p w14:paraId="25DCAF18"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E35FEAB"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r>
      <w:tr w:rsidR="006D090A" w:rsidRPr="006D090A" w14:paraId="15DCC76A" w14:textId="77777777" w:rsidTr="007D0AD8">
        <w:trPr>
          <w:trHeight w:val="227"/>
        </w:trPr>
        <w:tc>
          <w:tcPr>
            <w:tcW w:w="887" w:type="pct"/>
            <w:vMerge/>
            <w:tcBorders>
              <w:left w:val="single" w:sz="2" w:space="0" w:color="auto"/>
              <w:right w:val="single" w:sz="2" w:space="0" w:color="auto"/>
            </w:tcBorders>
          </w:tcPr>
          <w:p w14:paraId="3FBC6F36"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B033CBD"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063DFB8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bottom w:val="single" w:sz="2" w:space="0" w:color="BFBFBF" w:themeColor="background1" w:themeShade="BF"/>
            </w:tcBorders>
            <w:vAlign w:val="bottom"/>
          </w:tcPr>
          <w:p w14:paraId="12E6130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17</w:t>
            </w:r>
          </w:p>
        </w:tc>
        <w:tc>
          <w:tcPr>
            <w:tcW w:w="350" w:type="pct"/>
            <w:tcBorders>
              <w:top w:val="single" w:sz="2" w:space="0" w:color="BFBFBF" w:themeColor="background1" w:themeShade="BF"/>
              <w:bottom w:val="single" w:sz="2" w:space="0" w:color="BFBFBF" w:themeColor="background1" w:themeShade="BF"/>
            </w:tcBorders>
            <w:vAlign w:val="bottom"/>
          </w:tcPr>
          <w:p w14:paraId="1F73B50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34F39E3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c>
          <w:tcPr>
            <w:tcW w:w="350" w:type="pct"/>
            <w:tcBorders>
              <w:top w:val="single" w:sz="2" w:space="0" w:color="BFBFBF" w:themeColor="background1" w:themeShade="BF"/>
              <w:bottom w:val="single" w:sz="2" w:space="0" w:color="BFBFBF" w:themeColor="background1" w:themeShade="BF"/>
            </w:tcBorders>
            <w:vAlign w:val="bottom"/>
          </w:tcPr>
          <w:p w14:paraId="010955F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5E3377C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78652E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7728204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596BC12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27</w:t>
            </w:r>
          </w:p>
        </w:tc>
      </w:tr>
      <w:tr w:rsidR="006D090A" w:rsidRPr="006D090A" w14:paraId="4F7FB136" w14:textId="77777777" w:rsidTr="007D0AD8">
        <w:trPr>
          <w:trHeight w:val="227"/>
        </w:trPr>
        <w:tc>
          <w:tcPr>
            <w:tcW w:w="887" w:type="pct"/>
            <w:vMerge/>
            <w:tcBorders>
              <w:left w:val="single" w:sz="2" w:space="0" w:color="auto"/>
              <w:bottom w:val="single" w:sz="4" w:space="0" w:color="auto"/>
              <w:right w:val="single" w:sz="2" w:space="0" w:color="auto"/>
            </w:tcBorders>
          </w:tcPr>
          <w:p w14:paraId="51DAD85E"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53AB6417"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bottom"/>
          </w:tcPr>
          <w:p w14:paraId="712BAD4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4" w:space="0" w:color="auto"/>
            </w:tcBorders>
            <w:vAlign w:val="bottom"/>
          </w:tcPr>
          <w:p w14:paraId="33A4793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6</w:t>
            </w:r>
          </w:p>
        </w:tc>
        <w:tc>
          <w:tcPr>
            <w:tcW w:w="350" w:type="pct"/>
            <w:tcBorders>
              <w:top w:val="single" w:sz="2" w:space="0" w:color="BFBFBF" w:themeColor="background1" w:themeShade="BF"/>
              <w:bottom w:val="single" w:sz="4" w:space="0" w:color="auto"/>
            </w:tcBorders>
            <w:vAlign w:val="bottom"/>
          </w:tcPr>
          <w:p w14:paraId="47CAA11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43921FE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57DFD8F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4194082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67087F8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4" w:space="0" w:color="auto"/>
              <w:right w:val="single" w:sz="2" w:space="0" w:color="auto"/>
            </w:tcBorders>
            <w:vAlign w:val="bottom"/>
          </w:tcPr>
          <w:p w14:paraId="4C1137F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4" w:space="0" w:color="auto"/>
              <w:right w:val="single" w:sz="2" w:space="0" w:color="auto"/>
            </w:tcBorders>
            <w:vAlign w:val="bottom"/>
          </w:tcPr>
          <w:p w14:paraId="4B9C8AA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10</w:t>
            </w:r>
          </w:p>
        </w:tc>
      </w:tr>
      <w:tr w:rsidR="006D090A" w:rsidRPr="006D090A" w14:paraId="273C13AC" w14:textId="77777777" w:rsidTr="007D0AD8">
        <w:trPr>
          <w:trHeight w:val="227"/>
        </w:trPr>
        <w:tc>
          <w:tcPr>
            <w:tcW w:w="887" w:type="pct"/>
            <w:vMerge w:val="restart"/>
            <w:tcBorders>
              <w:top w:val="single" w:sz="4" w:space="0" w:color="auto"/>
              <w:left w:val="single" w:sz="2" w:space="0" w:color="auto"/>
              <w:right w:val="single" w:sz="2" w:space="0" w:color="auto"/>
            </w:tcBorders>
          </w:tcPr>
          <w:p w14:paraId="70BE3337" w14:textId="77777777" w:rsidR="006D090A" w:rsidRPr="006D090A" w:rsidRDefault="006D090A" w:rsidP="006D090A">
            <w:pPr>
              <w:spacing w:before="0" w:after="0"/>
              <w:contextualSpacing/>
              <w:rPr>
                <w:rFonts w:cstheme="minorHAnsi"/>
                <w:szCs w:val="20"/>
              </w:rPr>
            </w:pPr>
            <w:r w:rsidRPr="006D090A">
              <w:rPr>
                <w:rFonts w:cstheme="minorHAnsi"/>
                <w:szCs w:val="20"/>
              </w:rPr>
              <w:t>NDM, OXA-48-like</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4BBFB393" w14:textId="77777777" w:rsidR="006D090A" w:rsidRPr="006D090A" w:rsidRDefault="006D090A" w:rsidP="006D090A">
            <w:pPr>
              <w:spacing w:before="0" w:after="0"/>
              <w:contextualSpacing/>
              <w:rPr>
                <w:rFonts w:cstheme="minorHAnsi"/>
                <w:b/>
                <w:color w:val="000000"/>
                <w:szCs w:val="20"/>
              </w:rPr>
            </w:pPr>
            <w:r w:rsidRPr="006D090A">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bottom"/>
          </w:tcPr>
          <w:p w14:paraId="1458EC24"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27</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267DD79"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19</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5A82DD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7</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2FF47F5B"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8</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51C69A81"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4B22158A"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75A11E54"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1"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bottom"/>
          </w:tcPr>
          <w:p w14:paraId="41157C7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4</w:t>
            </w:r>
          </w:p>
        </w:tc>
        <w:tc>
          <w:tcPr>
            <w:tcW w:w="45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bottom"/>
          </w:tcPr>
          <w:p w14:paraId="7055D0E7"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67</w:t>
            </w:r>
          </w:p>
        </w:tc>
      </w:tr>
      <w:tr w:rsidR="006D090A" w:rsidRPr="006D090A" w14:paraId="50DEBE33" w14:textId="77777777" w:rsidTr="007D0AD8">
        <w:trPr>
          <w:trHeight w:val="227"/>
        </w:trPr>
        <w:tc>
          <w:tcPr>
            <w:tcW w:w="887" w:type="pct"/>
            <w:vMerge/>
            <w:tcBorders>
              <w:left w:val="single" w:sz="2" w:space="0" w:color="auto"/>
              <w:right w:val="single" w:sz="2" w:space="0" w:color="auto"/>
            </w:tcBorders>
          </w:tcPr>
          <w:p w14:paraId="46CB7ABC"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730628E"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6641966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25</w:t>
            </w:r>
          </w:p>
        </w:tc>
        <w:tc>
          <w:tcPr>
            <w:tcW w:w="350" w:type="pct"/>
            <w:tcBorders>
              <w:top w:val="single" w:sz="2" w:space="0" w:color="BFBFBF" w:themeColor="background1" w:themeShade="BF"/>
              <w:bottom w:val="single" w:sz="2" w:space="0" w:color="BFBFBF" w:themeColor="background1" w:themeShade="BF"/>
            </w:tcBorders>
            <w:vAlign w:val="bottom"/>
          </w:tcPr>
          <w:p w14:paraId="7D34162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15</w:t>
            </w:r>
          </w:p>
        </w:tc>
        <w:tc>
          <w:tcPr>
            <w:tcW w:w="350" w:type="pct"/>
            <w:tcBorders>
              <w:top w:val="single" w:sz="2" w:space="0" w:color="BFBFBF" w:themeColor="background1" w:themeShade="BF"/>
              <w:bottom w:val="single" w:sz="2" w:space="0" w:color="BFBFBF" w:themeColor="background1" w:themeShade="BF"/>
            </w:tcBorders>
            <w:vAlign w:val="bottom"/>
          </w:tcPr>
          <w:p w14:paraId="5242D87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2" w:space="0" w:color="BFBFBF" w:themeColor="background1" w:themeShade="BF"/>
            </w:tcBorders>
            <w:vAlign w:val="bottom"/>
          </w:tcPr>
          <w:p w14:paraId="697748A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w:t>
            </w:r>
          </w:p>
        </w:tc>
        <w:tc>
          <w:tcPr>
            <w:tcW w:w="350" w:type="pct"/>
            <w:tcBorders>
              <w:top w:val="single" w:sz="2" w:space="0" w:color="BFBFBF" w:themeColor="background1" w:themeShade="BF"/>
              <w:bottom w:val="single" w:sz="2" w:space="0" w:color="BFBFBF" w:themeColor="background1" w:themeShade="BF"/>
            </w:tcBorders>
            <w:vAlign w:val="bottom"/>
          </w:tcPr>
          <w:p w14:paraId="202A754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17E1D30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4D6969C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600C57B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548D6EC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57</w:t>
            </w:r>
          </w:p>
        </w:tc>
      </w:tr>
      <w:tr w:rsidR="006D090A" w:rsidRPr="006D090A" w14:paraId="763F4AFE" w14:textId="77777777" w:rsidTr="007D0AD8">
        <w:trPr>
          <w:trHeight w:val="227"/>
        </w:trPr>
        <w:tc>
          <w:tcPr>
            <w:tcW w:w="887" w:type="pct"/>
            <w:vMerge/>
            <w:tcBorders>
              <w:left w:val="single" w:sz="2" w:space="0" w:color="auto"/>
              <w:right w:val="single" w:sz="2" w:space="0" w:color="auto"/>
            </w:tcBorders>
          </w:tcPr>
          <w:p w14:paraId="0C338D70"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0C5AC2C"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2A6AED7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632429F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D6AFD1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0C7C27B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120C283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76EA6A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6AFD5AF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1497BC6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1C22987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r>
      <w:tr w:rsidR="006D090A" w:rsidRPr="006D090A" w14:paraId="040F71FB" w14:textId="77777777" w:rsidTr="007D0AD8">
        <w:trPr>
          <w:trHeight w:val="227"/>
        </w:trPr>
        <w:tc>
          <w:tcPr>
            <w:tcW w:w="887" w:type="pct"/>
            <w:vMerge/>
            <w:tcBorders>
              <w:left w:val="single" w:sz="2" w:space="0" w:color="auto"/>
              <w:right w:val="single" w:sz="2" w:space="0" w:color="auto"/>
            </w:tcBorders>
          </w:tcPr>
          <w:p w14:paraId="752CDC98"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517A9D4"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bottom w:val="single" w:sz="2" w:space="0" w:color="BFBFBF" w:themeColor="background1" w:themeShade="BF"/>
            </w:tcBorders>
            <w:vAlign w:val="center"/>
          </w:tcPr>
          <w:p w14:paraId="07DB188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7B49168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DF26CA6"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83EDEE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EFAA33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3053E6D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center"/>
          </w:tcPr>
          <w:p w14:paraId="1DCAD37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center"/>
          </w:tcPr>
          <w:p w14:paraId="091F598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2B9FC44"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r>
      <w:tr w:rsidR="006D090A" w:rsidRPr="006D090A" w14:paraId="3ABD3AC6" w14:textId="77777777" w:rsidTr="007D0AD8">
        <w:trPr>
          <w:trHeight w:val="227"/>
        </w:trPr>
        <w:tc>
          <w:tcPr>
            <w:tcW w:w="887" w:type="pct"/>
            <w:vMerge/>
            <w:tcBorders>
              <w:left w:val="single" w:sz="2" w:space="0" w:color="auto"/>
              <w:right w:val="single" w:sz="2" w:space="0" w:color="auto"/>
            </w:tcBorders>
          </w:tcPr>
          <w:p w14:paraId="5F94634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AB1845E"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672FE15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32E5971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2" w:space="0" w:color="BFBFBF" w:themeColor="background1" w:themeShade="BF"/>
            </w:tcBorders>
            <w:vAlign w:val="bottom"/>
          </w:tcPr>
          <w:p w14:paraId="2CE2DD5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bottom w:val="single" w:sz="2" w:space="0" w:color="BFBFBF" w:themeColor="background1" w:themeShade="BF"/>
            </w:tcBorders>
            <w:vAlign w:val="bottom"/>
          </w:tcPr>
          <w:p w14:paraId="1652607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14AC95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5D1AAC8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6358969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58972FB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3B0E9D8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7</w:t>
            </w:r>
          </w:p>
        </w:tc>
      </w:tr>
      <w:tr w:rsidR="006D090A" w:rsidRPr="006D090A" w14:paraId="5056F00D" w14:textId="77777777" w:rsidTr="007D0AD8">
        <w:trPr>
          <w:trHeight w:val="227"/>
        </w:trPr>
        <w:tc>
          <w:tcPr>
            <w:tcW w:w="887" w:type="pct"/>
            <w:vMerge/>
            <w:tcBorders>
              <w:left w:val="single" w:sz="2" w:space="0" w:color="auto"/>
              <w:bottom w:val="single" w:sz="4" w:space="0" w:color="auto"/>
              <w:right w:val="single" w:sz="2" w:space="0" w:color="auto"/>
            </w:tcBorders>
          </w:tcPr>
          <w:p w14:paraId="0884A0C4"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4" w:space="0" w:color="auto"/>
              <w:right w:val="single" w:sz="2" w:space="0" w:color="auto"/>
            </w:tcBorders>
            <w:vAlign w:val="center"/>
          </w:tcPr>
          <w:p w14:paraId="631822B8" w14:textId="77777777" w:rsidR="006D090A" w:rsidRPr="006D090A" w:rsidRDefault="006D090A" w:rsidP="006D090A">
            <w:pPr>
              <w:spacing w:before="0" w:after="0"/>
              <w:contextualSpacing/>
              <w:rPr>
                <w:rFonts w:cstheme="minorHAnsi"/>
                <w:color w:val="000000"/>
                <w:szCs w:val="20"/>
              </w:rPr>
            </w:pPr>
            <w:r w:rsidRPr="006D090A">
              <w:rPr>
                <w:rFonts w:cstheme="minorHAnsi"/>
                <w:szCs w:val="20"/>
              </w:rPr>
              <w:t>Unknown</w:t>
            </w:r>
          </w:p>
        </w:tc>
        <w:tc>
          <w:tcPr>
            <w:tcW w:w="350" w:type="pct"/>
            <w:tcBorders>
              <w:top w:val="single" w:sz="2" w:space="0" w:color="BFBFBF" w:themeColor="background1" w:themeShade="BF"/>
              <w:left w:val="single" w:sz="2" w:space="0" w:color="auto"/>
              <w:bottom w:val="single" w:sz="4" w:space="0" w:color="auto"/>
            </w:tcBorders>
            <w:vAlign w:val="bottom"/>
          </w:tcPr>
          <w:p w14:paraId="2FF8CA6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4" w:space="0" w:color="auto"/>
            </w:tcBorders>
            <w:vAlign w:val="bottom"/>
          </w:tcPr>
          <w:p w14:paraId="767AB2C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5C296DC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3C667F3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4" w:space="0" w:color="auto"/>
            </w:tcBorders>
            <w:vAlign w:val="bottom"/>
          </w:tcPr>
          <w:p w14:paraId="432BDCE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04C5E43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4" w:space="0" w:color="auto"/>
            </w:tcBorders>
            <w:vAlign w:val="bottom"/>
          </w:tcPr>
          <w:p w14:paraId="36D1774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4" w:space="0" w:color="auto"/>
              <w:right w:val="single" w:sz="2" w:space="0" w:color="auto"/>
            </w:tcBorders>
            <w:vAlign w:val="bottom"/>
          </w:tcPr>
          <w:p w14:paraId="1CD9184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4" w:space="0" w:color="auto"/>
              <w:right w:val="single" w:sz="2" w:space="0" w:color="auto"/>
            </w:tcBorders>
            <w:vAlign w:val="bottom"/>
          </w:tcPr>
          <w:p w14:paraId="4F85854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r>
      <w:tr w:rsidR="006D090A" w:rsidRPr="006D090A" w14:paraId="5EF85814" w14:textId="77777777" w:rsidTr="007D0AD8">
        <w:trPr>
          <w:trHeight w:val="227"/>
        </w:trPr>
        <w:tc>
          <w:tcPr>
            <w:tcW w:w="887" w:type="pct"/>
            <w:vMerge w:val="restart"/>
            <w:tcBorders>
              <w:top w:val="single" w:sz="4" w:space="0" w:color="auto"/>
              <w:left w:val="single" w:sz="2" w:space="0" w:color="auto"/>
              <w:right w:val="single" w:sz="2" w:space="0" w:color="auto"/>
            </w:tcBorders>
          </w:tcPr>
          <w:p w14:paraId="3243F4D8" w14:textId="77777777" w:rsidR="006D090A" w:rsidRPr="006D090A" w:rsidRDefault="006D090A" w:rsidP="006D090A">
            <w:pPr>
              <w:spacing w:before="0" w:after="0"/>
              <w:contextualSpacing/>
              <w:rPr>
                <w:rFonts w:cstheme="minorHAnsi"/>
                <w:szCs w:val="20"/>
              </w:rPr>
            </w:pPr>
            <w:r w:rsidRPr="006D090A">
              <w:rPr>
                <w:rFonts w:cstheme="minorHAnsi"/>
                <w:color w:val="000000"/>
                <w:szCs w:val="20"/>
              </w:rPr>
              <w:t>KPC</w:t>
            </w:r>
          </w:p>
        </w:tc>
        <w:tc>
          <w:tcPr>
            <w:tcW w:w="860"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7414DF4D" w14:textId="77777777" w:rsidR="006D090A" w:rsidRPr="006D090A" w:rsidRDefault="006D090A" w:rsidP="006D090A">
            <w:pPr>
              <w:spacing w:before="0" w:after="0"/>
              <w:contextualSpacing/>
              <w:rPr>
                <w:rFonts w:cstheme="minorHAnsi"/>
                <w:b/>
                <w:color w:val="000000"/>
                <w:szCs w:val="20"/>
              </w:rPr>
            </w:pPr>
            <w:r w:rsidRPr="006D090A">
              <w:rPr>
                <w:rFonts w:cstheme="minorHAnsi"/>
                <w:b/>
                <w:color w:val="000000"/>
                <w:szCs w:val="20"/>
              </w:rPr>
              <w:t>Total</w:t>
            </w:r>
          </w:p>
        </w:tc>
        <w:tc>
          <w:tcPr>
            <w:tcW w:w="350"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bottom"/>
          </w:tcPr>
          <w:p w14:paraId="5FC78F32"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6</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05CD65A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8</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33C288FF"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5</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490E6EBC"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1</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49BB02CE"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266770E1"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0" w:type="pct"/>
            <w:tcBorders>
              <w:top w:val="single" w:sz="4" w:space="0" w:color="auto"/>
              <w:bottom w:val="single" w:sz="2" w:space="0" w:color="BFBFBF" w:themeColor="background1" w:themeShade="BF"/>
            </w:tcBorders>
            <w:shd w:val="clear" w:color="auto" w:fill="C2E9F8" w:themeFill="background2" w:themeFillTint="33"/>
            <w:vAlign w:val="bottom"/>
          </w:tcPr>
          <w:p w14:paraId="69622B9F"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351"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bottom"/>
          </w:tcPr>
          <w:p w14:paraId="76306254"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0</w:t>
            </w:r>
          </w:p>
        </w:tc>
        <w:tc>
          <w:tcPr>
            <w:tcW w:w="45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bottom"/>
          </w:tcPr>
          <w:p w14:paraId="39391C1D" w14:textId="77777777" w:rsidR="006D090A" w:rsidRPr="006D090A" w:rsidRDefault="006D090A" w:rsidP="006D090A">
            <w:pPr>
              <w:spacing w:before="0" w:after="0"/>
              <w:contextualSpacing/>
              <w:jc w:val="center"/>
              <w:rPr>
                <w:rFonts w:cs="Arial"/>
                <w:b/>
                <w:bCs/>
                <w:color w:val="auto"/>
                <w:szCs w:val="20"/>
              </w:rPr>
            </w:pPr>
            <w:r w:rsidRPr="006D090A">
              <w:rPr>
                <w:rFonts w:cs="Arial"/>
                <w:b/>
                <w:bCs/>
                <w:color w:val="000000"/>
                <w:szCs w:val="20"/>
              </w:rPr>
              <w:t>20</w:t>
            </w:r>
          </w:p>
        </w:tc>
      </w:tr>
      <w:tr w:rsidR="006D090A" w:rsidRPr="006D090A" w14:paraId="73174877" w14:textId="77777777" w:rsidTr="007D0AD8">
        <w:trPr>
          <w:trHeight w:val="227"/>
        </w:trPr>
        <w:tc>
          <w:tcPr>
            <w:tcW w:w="887" w:type="pct"/>
            <w:vMerge/>
            <w:tcBorders>
              <w:left w:val="single" w:sz="2" w:space="0" w:color="auto"/>
              <w:right w:val="single" w:sz="2" w:space="0" w:color="auto"/>
            </w:tcBorders>
            <w:vAlign w:val="center"/>
          </w:tcPr>
          <w:p w14:paraId="7857E568"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F08C76E" w14:textId="77777777" w:rsidR="006D090A" w:rsidRPr="006D090A" w:rsidRDefault="006D090A" w:rsidP="006D090A">
            <w:pPr>
              <w:spacing w:before="0" w:after="0"/>
              <w:contextualSpacing/>
              <w:rPr>
                <w:rFonts w:cstheme="minorHAnsi"/>
                <w:b/>
                <w:color w:val="000000"/>
                <w:szCs w:val="20"/>
              </w:rPr>
            </w:pPr>
            <w:r w:rsidRPr="006D090A">
              <w:rPr>
                <w:rFonts w:cstheme="minorHAnsi"/>
                <w:szCs w:val="20"/>
              </w:rPr>
              <w:t>Public hospital</w:t>
            </w:r>
          </w:p>
        </w:tc>
        <w:tc>
          <w:tcPr>
            <w:tcW w:w="350" w:type="pct"/>
            <w:tcBorders>
              <w:top w:val="single" w:sz="2" w:space="0" w:color="BFBFBF" w:themeColor="background1" w:themeShade="BF"/>
              <w:left w:val="single" w:sz="2" w:space="0" w:color="auto"/>
              <w:bottom w:val="single" w:sz="2" w:space="0" w:color="BFBFBF" w:themeColor="background1" w:themeShade="BF"/>
            </w:tcBorders>
            <w:vAlign w:val="bottom"/>
          </w:tcPr>
          <w:p w14:paraId="6ED7C28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5</w:t>
            </w:r>
          </w:p>
        </w:tc>
        <w:tc>
          <w:tcPr>
            <w:tcW w:w="350" w:type="pct"/>
            <w:tcBorders>
              <w:top w:val="single" w:sz="2" w:space="0" w:color="BFBFBF" w:themeColor="background1" w:themeShade="BF"/>
              <w:bottom w:val="single" w:sz="2" w:space="0" w:color="BFBFBF" w:themeColor="background1" w:themeShade="BF"/>
            </w:tcBorders>
            <w:vAlign w:val="bottom"/>
          </w:tcPr>
          <w:p w14:paraId="664E2FF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2" w:space="0" w:color="BFBFBF" w:themeColor="background1" w:themeShade="BF"/>
            </w:tcBorders>
            <w:vAlign w:val="bottom"/>
          </w:tcPr>
          <w:p w14:paraId="609249A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4</w:t>
            </w:r>
          </w:p>
        </w:tc>
        <w:tc>
          <w:tcPr>
            <w:tcW w:w="350" w:type="pct"/>
            <w:tcBorders>
              <w:top w:val="single" w:sz="2" w:space="0" w:color="BFBFBF" w:themeColor="background1" w:themeShade="BF"/>
              <w:bottom w:val="single" w:sz="2" w:space="0" w:color="BFBFBF" w:themeColor="background1" w:themeShade="BF"/>
            </w:tcBorders>
            <w:vAlign w:val="bottom"/>
          </w:tcPr>
          <w:p w14:paraId="671F82D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bottom w:val="single" w:sz="2" w:space="0" w:color="BFBFBF" w:themeColor="background1" w:themeShade="BF"/>
            </w:tcBorders>
            <w:vAlign w:val="bottom"/>
          </w:tcPr>
          <w:p w14:paraId="3EEBA51C"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129FAA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bottom w:val="single" w:sz="2" w:space="0" w:color="BFBFBF" w:themeColor="background1" w:themeShade="BF"/>
            </w:tcBorders>
            <w:vAlign w:val="bottom"/>
          </w:tcPr>
          <w:p w14:paraId="728311C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bottom w:val="single" w:sz="2" w:space="0" w:color="BFBFBF" w:themeColor="background1" w:themeShade="BF"/>
              <w:right w:val="single" w:sz="2" w:space="0" w:color="auto"/>
            </w:tcBorders>
            <w:vAlign w:val="bottom"/>
          </w:tcPr>
          <w:p w14:paraId="294D98B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bottom"/>
          </w:tcPr>
          <w:p w14:paraId="20E7AE5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14</w:t>
            </w:r>
          </w:p>
        </w:tc>
      </w:tr>
      <w:tr w:rsidR="006D090A" w:rsidRPr="006D090A" w14:paraId="3579BB7E" w14:textId="77777777" w:rsidTr="007D0AD8">
        <w:trPr>
          <w:trHeight w:val="227"/>
        </w:trPr>
        <w:tc>
          <w:tcPr>
            <w:tcW w:w="887" w:type="pct"/>
            <w:vMerge/>
            <w:tcBorders>
              <w:left w:val="single" w:sz="2" w:space="0" w:color="auto"/>
              <w:right w:val="single" w:sz="2" w:space="0" w:color="auto"/>
            </w:tcBorders>
            <w:vAlign w:val="center"/>
          </w:tcPr>
          <w:p w14:paraId="5F4404C6"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4F781065" w14:textId="77777777" w:rsidR="006D090A" w:rsidRPr="006D090A" w:rsidRDefault="006D090A" w:rsidP="006D090A">
            <w:pPr>
              <w:spacing w:before="0" w:after="0"/>
              <w:contextualSpacing/>
              <w:rPr>
                <w:rFonts w:cstheme="minorHAnsi"/>
                <w:szCs w:val="20"/>
              </w:rPr>
            </w:pPr>
            <w:r w:rsidRPr="006D090A">
              <w:rPr>
                <w:rFonts w:cstheme="minorHAnsi"/>
                <w:szCs w:val="20"/>
              </w:rPr>
              <w:t>Private hospital</w:t>
            </w:r>
          </w:p>
        </w:tc>
        <w:tc>
          <w:tcPr>
            <w:tcW w:w="350" w:type="pct"/>
            <w:tcBorders>
              <w:top w:val="single" w:sz="2" w:space="0" w:color="BFBFBF" w:themeColor="background1" w:themeShade="BF"/>
              <w:left w:val="single" w:sz="2" w:space="0" w:color="auto"/>
            </w:tcBorders>
            <w:vAlign w:val="bottom"/>
          </w:tcPr>
          <w:p w14:paraId="4C19E52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tcBorders>
            <w:vAlign w:val="bottom"/>
          </w:tcPr>
          <w:p w14:paraId="187A048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tcBorders>
            <w:vAlign w:val="bottom"/>
          </w:tcPr>
          <w:p w14:paraId="1C0CA1B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2BA38CF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3C63CA2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5B4E2B2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60D9745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right w:val="single" w:sz="2" w:space="0" w:color="auto"/>
            </w:tcBorders>
            <w:vAlign w:val="bottom"/>
          </w:tcPr>
          <w:p w14:paraId="1151284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right w:val="single" w:sz="2" w:space="0" w:color="auto"/>
            </w:tcBorders>
            <w:vAlign w:val="bottom"/>
          </w:tcPr>
          <w:p w14:paraId="7182797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r>
      <w:tr w:rsidR="006D090A" w:rsidRPr="006D090A" w14:paraId="3CBEBF83" w14:textId="77777777" w:rsidTr="007D0AD8">
        <w:trPr>
          <w:trHeight w:val="227"/>
        </w:trPr>
        <w:tc>
          <w:tcPr>
            <w:tcW w:w="887" w:type="pct"/>
            <w:vMerge/>
            <w:tcBorders>
              <w:left w:val="single" w:sz="2" w:space="0" w:color="auto"/>
              <w:right w:val="single" w:sz="2" w:space="0" w:color="auto"/>
            </w:tcBorders>
            <w:vAlign w:val="center"/>
          </w:tcPr>
          <w:p w14:paraId="1A1AA9B7"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0BED9C43" w14:textId="77777777" w:rsidR="006D090A" w:rsidRPr="006D090A" w:rsidRDefault="006D090A" w:rsidP="006D090A">
            <w:pPr>
              <w:spacing w:before="0" w:after="0"/>
              <w:contextualSpacing/>
              <w:rPr>
                <w:rFonts w:cstheme="minorHAnsi"/>
                <w:szCs w:val="20"/>
              </w:rPr>
            </w:pPr>
            <w:r w:rsidRPr="006D090A">
              <w:rPr>
                <w:rFonts w:cstheme="minorHAnsi"/>
                <w:szCs w:val="20"/>
              </w:rPr>
              <w:t>Aged care home</w:t>
            </w:r>
          </w:p>
        </w:tc>
        <w:tc>
          <w:tcPr>
            <w:tcW w:w="350" w:type="pct"/>
            <w:tcBorders>
              <w:top w:val="single" w:sz="2" w:space="0" w:color="BFBFBF" w:themeColor="background1" w:themeShade="BF"/>
              <w:left w:val="single" w:sz="2" w:space="0" w:color="auto"/>
            </w:tcBorders>
            <w:vAlign w:val="center"/>
          </w:tcPr>
          <w:p w14:paraId="35907475"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01D0763D"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3554AB72"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0C42117B"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5DA556BA"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2AFCFC82"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0" w:type="pct"/>
            <w:tcBorders>
              <w:top w:val="single" w:sz="2" w:space="0" w:color="BFBFBF" w:themeColor="background1" w:themeShade="BF"/>
            </w:tcBorders>
            <w:vAlign w:val="center"/>
          </w:tcPr>
          <w:p w14:paraId="466FC006"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351" w:type="pct"/>
            <w:tcBorders>
              <w:top w:val="single" w:sz="2" w:space="0" w:color="BFBFBF" w:themeColor="background1" w:themeShade="BF"/>
              <w:right w:val="single" w:sz="2" w:space="0" w:color="auto"/>
            </w:tcBorders>
            <w:vAlign w:val="center"/>
          </w:tcPr>
          <w:p w14:paraId="482673E1"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c>
          <w:tcPr>
            <w:tcW w:w="452" w:type="pct"/>
            <w:tcBorders>
              <w:top w:val="single" w:sz="2" w:space="0" w:color="BFBFBF" w:themeColor="background1" w:themeShade="BF"/>
              <w:left w:val="single" w:sz="2" w:space="0" w:color="auto"/>
              <w:right w:val="single" w:sz="2" w:space="0" w:color="auto"/>
            </w:tcBorders>
            <w:vAlign w:val="center"/>
          </w:tcPr>
          <w:p w14:paraId="06386671" w14:textId="77777777" w:rsidR="006D090A" w:rsidRPr="006D090A" w:rsidRDefault="006D090A" w:rsidP="006D090A">
            <w:pPr>
              <w:spacing w:before="0" w:after="0"/>
              <w:contextualSpacing/>
              <w:jc w:val="center"/>
              <w:rPr>
                <w:rFonts w:cs="Arial"/>
                <w:color w:val="auto"/>
                <w:szCs w:val="20"/>
              </w:rPr>
            </w:pPr>
            <w:r w:rsidRPr="006D090A">
              <w:rPr>
                <w:rFonts w:cs="Arial"/>
                <w:color w:val="auto"/>
                <w:szCs w:val="20"/>
              </w:rPr>
              <w:t>0</w:t>
            </w:r>
          </w:p>
        </w:tc>
      </w:tr>
      <w:tr w:rsidR="006D090A" w:rsidRPr="006D090A" w14:paraId="67B864F6" w14:textId="77777777" w:rsidTr="007D0AD8">
        <w:trPr>
          <w:trHeight w:val="227"/>
        </w:trPr>
        <w:tc>
          <w:tcPr>
            <w:tcW w:w="887" w:type="pct"/>
            <w:vMerge/>
            <w:tcBorders>
              <w:left w:val="single" w:sz="2" w:space="0" w:color="auto"/>
              <w:right w:val="single" w:sz="2" w:space="0" w:color="auto"/>
            </w:tcBorders>
            <w:vAlign w:val="center"/>
          </w:tcPr>
          <w:p w14:paraId="7CC5E2D9"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4E9C8C01" w14:textId="77777777" w:rsidR="006D090A" w:rsidRPr="006D090A" w:rsidRDefault="006D090A" w:rsidP="006D090A">
            <w:pPr>
              <w:spacing w:before="0" w:after="0"/>
              <w:contextualSpacing/>
              <w:rPr>
                <w:rFonts w:cstheme="minorHAnsi"/>
                <w:szCs w:val="20"/>
              </w:rPr>
            </w:pPr>
            <w:r w:rsidRPr="006D090A">
              <w:rPr>
                <w:rFonts w:cstheme="minorHAnsi"/>
                <w:szCs w:val="20"/>
              </w:rPr>
              <w:t>Community</w:t>
            </w:r>
          </w:p>
        </w:tc>
        <w:tc>
          <w:tcPr>
            <w:tcW w:w="350" w:type="pct"/>
            <w:tcBorders>
              <w:top w:val="single" w:sz="2" w:space="0" w:color="BFBFBF" w:themeColor="background1" w:themeShade="BF"/>
              <w:left w:val="single" w:sz="2" w:space="0" w:color="auto"/>
            </w:tcBorders>
            <w:vAlign w:val="bottom"/>
          </w:tcPr>
          <w:p w14:paraId="66B3CEDD"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1B13DF96"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2</w:t>
            </w:r>
          </w:p>
        </w:tc>
        <w:tc>
          <w:tcPr>
            <w:tcW w:w="350" w:type="pct"/>
            <w:tcBorders>
              <w:top w:val="single" w:sz="2" w:space="0" w:color="BFBFBF" w:themeColor="background1" w:themeShade="BF"/>
            </w:tcBorders>
            <w:vAlign w:val="bottom"/>
          </w:tcPr>
          <w:p w14:paraId="64753529"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tcBorders>
            <w:vAlign w:val="bottom"/>
          </w:tcPr>
          <w:p w14:paraId="7F856485"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3B6E417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0FD27BE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18E70DB4"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right w:val="single" w:sz="2" w:space="0" w:color="auto"/>
            </w:tcBorders>
            <w:vAlign w:val="bottom"/>
          </w:tcPr>
          <w:p w14:paraId="7305773F"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right w:val="single" w:sz="2" w:space="0" w:color="auto"/>
            </w:tcBorders>
            <w:vAlign w:val="bottom"/>
          </w:tcPr>
          <w:p w14:paraId="33BCA951"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3</w:t>
            </w:r>
          </w:p>
        </w:tc>
      </w:tr>
      <w:tr w:rsidR="006D090A" w:rsidRPr="006D090A" w14:paraId="57DFDCFE" w14:textId="77777777" w:rsidTr="007D0AD8">
        <w:trPr>
          <w:trHeight w:val="227"/>
        </w:trPr>
        <w:tc>
          <w:tcPr>
            <w:tcW w:w="887" w:type="pct"/>
            <w:vMerge/>
            <w:tcBorders>
              <w:left w:val="single" w:sz="2" w:space="0" w:color="auto"/>
              <w:right w:val="single" w:sz="2" w:space="0" w:color="auto"/>
            </w:tcBorders>
            <w:vAlign w:val="center"/>
          </w:tcPr>
          <w:p w14:paraId="280617B9" w14:textId="77777777" w:rsidR="006D090A" w:rsidRPr="006D090A" w:rsidRDefault="006D090A" w:rsidP="006D090A">
            <w:pPr>
              <w:spacing w:before="0" w:after="0"/>
              <w:contextualSpacing/>
              <w:rPr>
                <w:rFonts w:cstheme="minorHAnsi"/>
                <w:szCs w:val="20"/>
              </w:rPr>
            </w:pPr>
          </w:p>
        </w:tc>
        <w:tc>
          <w:tcPr>
            <w:tcW w:w="860" w:type="pct"/>
            <w:tcBorders>
              <w:top w:val="single" w:sz="2" w:space="0" w:color="BFBFBF" w:themeColor="background1" w:themeShade="BF"/>
              <w:left w:val="single" w:sz="2" w:space="0" w:color="auto"/>
              <w:right w:val="single" w:sz="2" w:space="0" w:color="auto"/>
            </w:tcBorders>
            <w:vAlign w:val="center"/>
          </w:tcPr>
          <w:p w14:paraId="0CC8CC55" w14:textId="77777777" w:rsidR="006D090A" w:rsidRPr="006D090A" w:rsidRDefault="006D090A" w:rsidP="006D090A">
            <w:pPr>
              <w:spacing w:before="0" w:after="0"/>
              <w:contextualSpacing/>
              <w:rPr>
                <w:rFonts w:cstheme="minorHAnsi"/>
                <w:szCs w:val="20"/>
              </w:rPr>
            </w:pPr>
            <w:r w:rsidRPr="006D090A">
              <w:rPr>
                <w:rFonts w:cstheme="minorHAnsi"/>
                <w:szCs w:val="20"/>
              </w:rPr>
              <w:t>Unknown</w:t>
            </w:r>
          </w:p>
        </w:tc>
        <w:tc>
          <w:tcPr>
            <w:tcW w:w="350" w:type="pct"/>
            <w:tcBorders>
              <w:top w:val="single" w:sz="2" w:space="0" w:color="BFBFBF" w:themeColor="background1" w:themeShade="BF"/>
              <w:left w:val="single" w:sz="2" w:space="0" w:color="auto"/>
            </w:tcBorders>
            <w:vAlign w:val="bottom"/>
          </w:tcPr>
          <w:p w14:paraId="0E538E3B"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36842D80"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c>
          <w:tcPr>
            <w:tcW w:w="350" w:type="pct"/>
            <w:tcBorders>
              <w:top w:val="single" w:sz="2" w:space="0" w:color="BFBFBF" w:themeColor="background1" w:themeShade="BF"/>
            </w:tcBorders>
            <w:vAlign w:val="bottom"/>
          </w:tcPr>
          <w:p w14:paraId="07D24698"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28EAE673"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56978A37"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0E9E41E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0" w:type="pct"/>
            <w:tcBorders>
              <w:top w:val="single" w:sz="2" w:space="0" w:color="BFBFBF" w:themeColor="background1" w:themeShade="BF"/>
            </w:tcBorders>
            <w:vAlign w:val="bottom"/>
          </w:tcPr>
          <w:p w14:paraId="685370FE"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351" w:type="pct"/>
            <w:tcBorders>
              <w:top w:val="single" w:sz="2" w:space="0" w:color="BFBFBF" w:themeColor="background1" w:themeShade="BF"/>
              <w:right w:val="single" w:sz="2" w:space="0" w:color="auto"/>
            </w:tcBorders>
            <w:vAlign w:val="bottom"/>
          </w:tcPr>
          <w:p w14:paraId="6422A8F2"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0</w:t>
            </w:r>
          </w:p>
        </w:tc>
        <w:tc>
          <w:tcPr>
            <w:tcW w:w="452" w:type="pct"/>
            <w:tcBorders>
              <w:top w:val="single" w:sz="2" w:space="0" w:color="BFBFBF" w:themeColor="background1" w:themeShade="BF"/>
              <w:left w:val="single" w:sz="2" w:space="0" w:color="auto"/>
              <w:right w:val="single" w:sz="2" w:space="0" w:color="auto"/>
            </w:tcBorders>
            <w:vAlign w:val="bottom"/>
          </w:tcPr>
          <w:p w14:paraId="20B8429A" w14:textId="77777777" w:rsidR="006D090A" w:rsidRPr="006D090A" w:rsidRDefault="006D090A" w:rsidP="006D090A">
            <w:pPr>
              <w:spacing w:before="0" w:after="0"/>
              <w:contextualSpacing/>
              <w:jc w:val="center"/>
              <w:rPr>
                <w:rFonts w:cs="Arial"/>
                <w:color w:val="auto"/>
                <w:szCs w:val="20"/>
              </w:rPr>
            </w:pPr>
            <w:r w:rsidRPr="006D090A">
              <w:rPr>
                <w:rFonts w:cs="Arial"/>
                <w:color w:val="000000"/>
                <w:szCs w:val="20"/>
              </w:rPr>
              <w:t>1</w:t>
            </w:r>
          </w:p>
        </w:tc>
      </w:tr>
    </w:tbl>
    <w:p w14:paraId="2FE907D5" w14:textId="6B68CC89" w:rsidR="00CF3795" w:rsidRDefault="00EB6106" w:rsidP="00BE76C1">
      <w:pPr>
        <w:spacing w:after="0"/>
        <w:ind w:left="142" w:hanging="142"/>
        <w:rPr>
          <w:rStyle w:val="IntenseReference"/>
          <w:rFonts w:cs="Arial"/>
          <w:b w:val="0"/>
          <w:bCs w:val="0"/>
          <w:i w:val="0"/>
          <w:iCs/>
          <w:smallCaps w:val="0"/>
          <w:color w:val="auto"/>
          <w:sz w:val="16"/>
          <w:szCs w:val="16"/>
          <w:highlight w:val="yellow"/>
        </w:rPr>
      </w:pPr>
      <w:r w:rsidRPr="002172A3">
        <w:rPr>
          <w:rStyle w:val="IntenseReference"/>
          <w:rFonts w:cs="Arial"/>
          <w:b w:val="0"/>
          <w:bCs w:val="0"/>
          <w:i w:val="0"/>
          <w:iCs/>
          <w:smallCaps w:val="0"/>
          <w:color w:val="auto"/>
          <w:sz w:val="16"/>
          <w:szCs w:val="16"/>
        </w:rPr>
        <w:t>*</w:t>
      </w:r>
      <w:r w:rsidRPr="002172A3">
        <w:rPr>
          <w:rStyle w:val="IntenseReference"/>
          <w:rFonts w:cs="Arial"/>
          <w:b w:val="0"/>
          <w:bCs w:val="0"/>
          <w:i w:val="0"/>
          <w:iCs/>
          <w:smallCaps w:val="0"/>
          <w:color w:val="auto"/>
          <w:sz w:val="16"/>
          <w:szCs w:val="16"/>
        </w:rPr>
        <w:tab/>
      </w:r>
      <w:r w:rsidRPr="00CF3795">
        <w:rPr>
          <w:rStyle w:val="IntenseReference"/>
          <w:rFonts w:cs="Arial"/>
          <w:b w:val="0"/>
          <w:bCs w:val="0"/>
          <w:i w:val="0"/>
          <w:iCs/>
          <w:smallCaps w:val="0"/>
          <w:color w:val="auto"/>
          <w:sz w:val="16"/>
          <w:szCs w:val="16"/>
        </w:rPr>
        <w:t xml:space="preserve">The top five carbapenemase types account for 96.7% (1,165/1,205) of all CPE reported for this period. Other types were </w:t>
      </w:r>
      <w:r w:rsidR="00CF3795" w:rsidRPr="00E6703B">
        <w:rPr>
          <w:rStyle w:val="IntenseReference"/>
          <w:rFonts w:cs="Arial"/>
          <w:b w:val="0"/>
          <w:bCs w:val="0"/>
          <w:i w:val="0"/>
          <w:iCs/>
          <w:smallCaps w:val="0"/>
          <w:color w:val="auto"/>
          <w:sz w:val="16"/>
          <w:szCs w:val="16"/>
        </w:rPr>
        <w:t>IMP+NDM (</w:t>
      </w:r>
      <w:r w:rsidR="00CF3795" w:rsidRPr="00CD2887">
        <w:rPr>
          <w:rStyle w:val="IntenseReference"/>
          <w:rFonts w:cs="Arial"/>
          <w:b w:val="0"/>
          <w:bCs w:val="0"/>
          <w:smallCaps w:val="0"/>
          <w:color w:val="auto"/>
          <w:sz w:val="16"/>
          <w:szCs w:val="16"/>
        </w:rPr>
        <w:t>n</w:t>
      </w:r>
      <w:r w:rsidR="00CF3795" w:rsidRPr="00E6703B">
        <w:rPr>
          <w:rStyle w:val="IntenseReference"/>
          <w:rFonts w:cs="Arial"/>
          <w:b w:val="0"/>
          <w:bCs w:val="0"/>
          <w:i w:val="0"/>
          <w:iCs/>
          <w:smallCaps w:val="0"/>
          <w:color w:val="auto"/>
          <w:sz w:val="16"/>
          <w:szCs w:val="16"/>
        </w:rPr>
        <w:t> = 9: NSW, Victoria, NT); OXA-23-like (</w:t>
      </w:r>
      <w:r w:rsidR="00CF3795" w:rsidRPr="00CD2887">
        <w:rPr>
          <w:rStyle w:val="IntenseReference"/>
          <w:rFonts w:cs="Arial"/>
          <w:b w:val="0"/>
          <w:bCs w:val="0"/>
          <w:smallCaps w:val="0"/>
          <w:color w:val="auto"/>
          <w:sz w:val="16"/>
          <w:szCs w:val="16"/>
        </w:rPr>
        <w:t>n</w:t>
      </w:r>
      <w:r w:rsidR="00CF3795" w:rsidRPr="00E6703B">
        <w:rPr>
          <w:rStyle w:val="IntenseReference"/>
          <w:rFonts w:cs="Arial"/>
          <w:b w:val="0"/>
          <w:bCs w:val="0"/>
          <w:i w:val="0"/>
          <w:iCs/>
          <w:smallCaps w:val="0"/>
          <w:color w:val="auto"/>
          <w:sz w:val="16"/>
          <w:szCs w:val="16"/>
        </w:rPr>
        <w:t> = 7: NSW, Victoria); IMI (</w:t>
      </w:r>
      <w:r w:rsidR="00CF3795" w:rsidRPr="00CD2887">
        <w:rPr>
          <w:rStyle w:val="IntenseReference"/>
          <w:rFonts w:cs="Arial"/>
          <w:b w:val="0"/>
          <w:bCs w:val="0"/>
          <w:smallCaps w:val="0"/>
          <w:color w:val="auto"/>
          <w:sz w:val="16"/>
          <w:szCs w:val="16"/>
        </w:rPr>
        <w:t>n</w:t>
      </w:r>
      <w:r w:rsidR="00CF3795" w:rsidRPr="00E6703B">
        <w:rPr>
          <w:rStyle w:val="IntenseReference"/>
          <w:rFonts w:cs="Arial"/>
          <w:b w:val="0"/>
          <w:bCs w:val="0"/>
          <w:i w:val="0"/>
          <w:iCs/>
          <w:smallCaps w:val="0"/>
          <w:color w:val="auto"/>
          <w:sz w:val="16"/>
          <w:szCs w:val="16"/>
        </w:rPr>
        <w:t> = 6: NSW, Victoria, Queensland); VIM (n = </w:t>
      </w:r>
      <w:r w:rsidR="00CF3795" w:rsidRPr="00CD2887">
        <w:rPr>
          <w:rStyle w:val="IntenseReference"/>
          <w:rFonts w:cs="Arial"/>
          <w:b w:val="0"/>
          <w:bCs w:val="0"/>
          <w:smallCaps w:val="0"/>
          <w:color w:val="auto"/>
          <w:sz w:val="16"/>
          <w:szCs w:val="16"/>
        </w:rPr>
        <w:t>5</w:t>
      </w:r>
      <w:r w:rsidR="00CF3795" w:rsidRPr="00E6703B">
        <w:rPr>
          <w:rStyle w:val="IntenseReference"/>
          <w:rFonts w:cs="Arial"/>
          <w:b w:val="0"/>
          <w:bCs w:val="0"/>
          <w:i w:val="0"/>
          <w:iCs/>
          <w:smallCaps w:val="0"/>
          <w:color w:val="auto"/>
          <w:sz w:val="16"/>
          <w:szCs w:val="16"/>
        </w:rPr>
        <w:t xml:space="preserve">: </w:t>
      </w:r>
      <w:r w:rsidR="00617CC9" w:rsidRPr="00E6703B">
        <w:rPr>
          <w:rStyle w:val="IntenseReference"/>
          <w:rFonts w:cs="Arial"/>
          <w:b w:val="0"/>
          <w:bCs w:val="0"/>
          <w:i w:val="0"/>
          <w:iCs/>
          <w:smallCaps w:val="0"/>
          <w:color w:val="auto"/>
          <w:sz w:val="16"/>
          <w:szCs w:val="16"/>
        </w:rPr>
        <w:t>Victoria, Queensland, WA</w:t>
      </w:r>
      <w:r w:rsidR="00CF3795" w:rsidRPr="00E6703B">
        <w:rPr>
          <w:rStyle w:val="IntenseReference"/>
          <w:rFonts w:cs="Arial"/>
          <w:b w:val="0"/>
          <w:bCs w:val="0"/>
          <w:i w:val="0"/>
          <w:iCs/>
          <w:smallCaps w:val="0"/>
          <w:color w:val="auto"/>
          <w:sz w:val="16"/>
          <w:szCs w:val="16"/>
        </w:rPr>
        <w:t>); KPC+NDM+OXA-48-like (</w:t>
      </w:r>
      <w:r w:rsidR="00CF3795" w:rsidRPr="00CD2887">
        <w:rPr>
          <w:rStyle w:val="IntenseReference"/>
          <w:rFonts w:cs="Arial"/>
          <w:b w:val="0"/>
          <w:bCs w:val="0"/>
          <w:smallCaps w:val="0"/>
          <w:color w:val="auto"/>
          <w:sz w:val="16"/>
          <w:szCs w:val="16"/>
        </w:rPr>
        <w:t>n</w:t>
      </w:r>
      <w:r w:rsidR="00CF3795" w:rsidRPr="00E6703B">
        <w:rPr>
          <w:rStyle w:val="IntenseReference"/>
          <w:rFonts w:cs="Arial"/>
          <w:b w:val="0"/>
          <w:bCs w:val="0"/>
          <w:i w:val="0"/>
          <w:iCs/>
          <w:smallCaps w:val="0"/>
          <w:color w:val="auto"/>
          <w:sz w:val="16"/>
          <w:szCs w:val="16"/>
        </w:rPr>
        <w:t xml:space="preserve"> = 5: </w:t>
      </w:r>
      <w:r w:rsidR="00617CC9" w:rsidRPr="00E6703B">
        <w:rPr>
          <w:rStyle w:val="IntenseReference"/>
          <w:rFonts w:cs="Arial"/>
          <w:b w:val="0"/>
          <w:bCs w:val="0"/>
          <w:i w:val="0"/>
          <w:iCs/>
          <w:smallCaps w:val="0"/>
          <w:color w:val="auto"/>
          <w:sz w:val="16"/>
          <w:szCs w:val="16"/>
        </w:rPr>
        <w:t>NSW, Victoria</w:t>
      </w:r>
      <w:r w:rsidR="00CF3795" w:rsidRPr="00E6703B">
        <w:rPr>
          <w:rStyle w:val="IntenseReference"/>
          <w:rFonts w:cs="Arial"/>
          <w:b w:val="0"/>
          <w:bCs w:val="0"/>
          <w:i w:val="0"/>
          <w:iCs/>
          <w:smallCaps w:val="0"/>
          <w:color w:val="auto"/>
          <w:sz w:val="16"/>
          <w:szCs w:val="16"/>
        </w:rPr>
        <w:t>);SME (</w:t>
      </w:r>
      <w:r w:rsidR="00CF3795" w:rsidRPr="00CD2887">
        <w:rPr>
          <w:rStyle w:val="IntenseReference"/>
          <w:rFonts w:cs="Arial"/>
          <w:b w:val="0"/>
          <w:bCs w:val="0"/>
          <w:smallCaps w:val="0"/>
          <w:color w:val="auto"/>
          <w:sz w:val="16"/>
          <w:szCs w:val="16"/>
        </w:rPr>
        <w:t>n</w:t>
      </w:r>
      <w:r w:rsidR="00CF3795" w:rsidRPr="00E6703B">
        <w:rPr>
          <w:rStyle w:val="IntenseReference"/>
          <w:rFonts w:cs="Arial"/>
          <w:b w:val="0"/>
          <w:bCs w:val="0"/>
          <w:i w:val="0"/>
          <w:iCs/>
          <w:smallCaps w:val="0"/>
          <w:color w:val="auto"/>
          <w:sz w:val="16"/>
          <w:szCs w:val="16"/>
        </w:rPr>
        <w:t xml:space="preserve"> = 2: </w:t>
      </w:r>
      <w:r w:rsidR="00E6703B" w:rsidRPr="00E6703B">
        <w:rPr>
          <w:rStyle w:val="IntenseReference"/>
          <w:rFonts w:cs="Arial"/>
          <w:b w:val="0"/>
          <w:bCs w:val="0"/>
          <w:i w:val="0"/>
          <w:iCs/>
          <w:smallCaps w:val="0"/>
          <w:color w:val="auto"/>
          <w:sz w:val="16"/>
          <w:szCs w:val="16"/>
        </w:rPr>
        <w:t>NSW, Victoria</w:t>
      </w:r>
      <w:r w:rsidR="00CF3795" w:rsidRPr="00CF3795">
        <w:rPr>
          <w:rStyle w:val="IntenseReference"/>
          <w:rFonts w:cs="Arial"/>
          <w:b w:val="0"/>
          <w:bCs w:val="0"/>
          <w:i w:val="0"/>
          <w:iCs/>
          <w:smallCaps w:val="0"/>
          <w:color w:val="auto"/>
          <w:sz w:val="16"/>
          <w:szCs w:val="16"/>
        </w:rPr>
        <w:t>); NDM+VIM (n = </w:t>
      </w:r>
      <w:r w:rsidR="00CF3795" w:rsidRPr="00CD2887">
        <w:rPr>
          <w:rStyle w:val="IntenseReference"/>
          <w:rFonts w:cs="Arial"/>
          <w:b w:val="0"/>
          <w:bCs w:val="0"/>
          <w:smallCaps w:val="0"/>
          <w:color w:val="auto"/>
          <w:sz w:val="16"/>
          <w:szCs w:val="16"/>
        </w:rPr>
        <w:t>2</w:t>
      </w:r>
      <w:r w:rsidR="00CF3795" w:rsidRPr="00CF3795">
        <w:rPr>
          <w:rStyle w:val="IntenseReference"/>
          <w:rFonts w:cs="Arial"/>
          <w:b w:val="0"/>
          <w:bCs w:val="0"/>
          <w:i w:val="0"/>
          <w:iCs/>
          <w:smallCaps w:val="0"/>
          <w:color w:val="auto"/>
          <w:sz w:val="16"/>
          <w:szCs w:val="16"/>
        </w:rPr>
        <w:t xml:space="preserve">: </w:t>
      </w:r>
      <w:r w:rsidR="00E6703B">
        <w:rPr>
          <w:rStyle w:val="IntenseReference"/>
          <w:rFonts w:cs="Arial"/>
          <w:b w:val="0"/>
          <w:bCs w:val="0"/>
          <w:i w:val="0"/>
          <w:iCs/>
          <w:smallCaps w:val="0"/>
          <w:color w:val="auto"/>
          <w:sz w:val="16"/>
          <w:szCs w:val="16"/>
        </w:rPr>
        <w:t>Queensland, WA</w:t>
      </w:r>
      <w:r w:rsidR="00CF3795" w:rsidRPr="00CF3795">
        <w:rPr>
          <w:rStyle w:val="IntenseReference"/>
          <w:rFonts w:cs="Arial"/>
          <w:b w:val="0"/>
          <w:bCs w:val="0"/>
          <w:i w:val="0"/>
          <w:iCs/>
          <w:smallCaps w:val="0"/>
          <w:color w:val="auto"/>
          <w:sz w:val="16"/>
          <w:szCs w:val="16"/>
        </w:rPr>
        <w:t>); KPC+NDM (</w:t>
      </w:r>
      <w:r w:rsidR="00CF3795" w:rsidRPr="00CD2887">
        <w:rPr>
          <w:rStyle w:val="IntenseReference"/>
          <w:rFonts w:cs="Arial"/>
          <w:b w:val="0"/>
          <w:bCs w:val="0"/>
          <w:smallCaps w:val="0"/>
          <w:color w:val="auto"/>
          <w:sz w:val="16"/>
          <w:szCs w:val="16"/>
        </w:rPr>
        <w:t>n</w:t>
      </w:r>
      <w:r w:rsidR="00CF3795" w:rsidRPr="00CF3795">
        <w:rPr>
          <w:rStyle w:val="IntenseReference"/>
          <w:rFonts w:cs="Arial"/>
          <w:b w:val="0"/>
          <w:bCs w:val="0"/>
          <w:i w:val="0"/>
          <w:iCs/>
          <w:smallCaps w:val="0"/>
          <w:color w:val="auto"/>
          <w:sz w:val="16"/>
          <w:szCs w:val="16"/>
        </w:rPr>
        <w:t> = 2: Victoria); IMP+VIM (</w:t>
      </w:r>
      <w:r w:rsidR="00CF3795" w:rsidRPr="00CD2887">
        <w:rPr>
          <w:rStyle w:val="IntenseReference"/>
          <w:rFonts w:cs="Arial"/>
          <w:b w:val="0"/>
          <w:bCs w:val="0"/>
          <w:smallCaps w:val="0"/>
          <w:color w:val="auto"/>
          <w:sz w:val="16"/>
          <w:szCs w:val="16"/>
        </w:rPr>
        <w:t>n</w:t>
      </w:r>
      <w:r w:rsidR="00CF3795" w:rsidRPr="00CF3795">
        <w:rPr>
          <w:rStyle w:val="IntenseReference"/>
          <w:rFonts w:cs="Arial"/>
          <w:b w:val="0"/>
          <w:bCs w:val="0"/>
          <w:i w:val="0"/>
          <w:iCs/>
          <w:smallCaps w:val="0"/>
          <w:color w:val="auto"/>
          <w:sz w:val="16"/>
          <w:szCs w:val="16"/>
        </w:rPr>
        <w:t> = 1: WA); and IMP+OXA-48-like (</w:t>
      </w:r>
      <w:r w:rsidR="00CF3795" w:rsidRPr="00CD2887">
        <w:rPr>
          <w:rStyle w:val="IntenseReference"/>
          <w:rFonts w:cs="Arial"/>
          <w:b w:val="0"/>
          <w:bCs w:val="0"/>
          <w:smallCaps w:val="0"/>
          <w:color w:val="auto"/>
          <w:sz w:val="16"/>
          <w:szCs w:val="16"/>
        </w:rPr>
        <w:t>n</w:t>
      </w:r>
      <w:r w:rsidR="00CF3795" w:rsidRPr="00CF3795">
        <w:rPr>
          <w:rStyle w:val="IntenseReference"/>
          <w:rFonts w:cs="Arial"/>
          <w:b w:val="0"/>
          <w:bCs w:val="0"/>
          <w:i w:val="0"/>
          <w:iCs/>
          <w:smallCaps w:val="0"/>
          <w:color w:val="auto"/>
          <w:sz w:val="16"/>
          <w:szCs w:val="16"/>
        </w:rPr>
        <w:t> = 1: NSW)</w:t>
      </w:r>
    </w:p>
    <w:p w14:paraId="771C5E6F" w14:textId="77777777" w:rsidR="00EB6106" w:rsidRPr="002172A3" w:rsidRDefault="00EB6106" w:rsidP="002172A3">
      <w:pPr>
        <w:spacing w:before="0" w:after="0"/>
        <w:ind w:left="142" w:hanging="142"/>
        <w:rPr>
          <w:iCs/>
          <w:sz w:val="16"/>
          <w:szCs w:val="16"/>
        </w:rPr>
      </w:pPr>
      <w:r w:rsidRPr="002172A3">
        <w:rPr>
          <w:iCs/>
          <w:sz w:val="16"/>
          <w:szCs w:val="16"/>
        </w:rPr>
        <w:t>†</w:t>
      </w:r>
      <w:r w:rsidRPr="002172A3">
        <w:rPr>
          <w:iCs/>
          <w:sz w:val="16"/>
          <w:szCs w:val="16"/>
        </w:rPr>
        <w:tab/>
        <w:t xml:space="preserve"> Alone or coproduced with another type for the reporting period indicated</w:t>
      </w:r>
      <w:r w:rsidRPr="002172A3">
        <w:rPr>
          <w:iCs/>
          <w:sz w:val="16"/>
          <w:szCs w:val="16"/>
        </w:rPr>
        <w:br w:type="page"/>
      </w:r>
    </w:p>
    <w:p w14:paraId="165FAD55" w14:textId="77777777" w:rsidR="00EB6106" w:rsidRDefault="00EB6106" w:rsidP="00EB6106">
      <w:pPr>
        <w:pStyle w:val="Heading3"/>
      </w:pPr>
      <w:bookmarkStart w:id="22" w:name="_Toc166585577"/>
      <w:r w:rsidRPr="00256775">
        <w:rPr>
          <w:i/>
        </w:rPr>
        <w:lastRenderedPageBreak/>
        <w:t>Enterococcus</w:t>
      </w:r>
      <w:r w:rsidRPr="00256775">
        <w:t xml:space="preserve"> species</w:t>
      </w:r>
      <w:bookmarkEnd w:id="22"/>
    </w:p>
    <w:p w14:paraId="6F8943A8" w14:textId="684B5FF9" w:rsidR="00EB6106" w:rsidRPr="003C65F6" w:rsidRDefault="00EB6106" w:rsidP="00EB6106">
      <w:r w:rsidRPr="00AF0035">
        <w:rPr>
          <w:i/>
          <w:iCs/>
        </w:rPr>
        <w:t xml:space="preserve">Enterococcus </w:t>
      </w:r>
      <w:r w:rsidRPr="00AF0035">
        <w:t xml:space="preserve">species including </w:t>
      </w:r>
      <w:r w:rsidRPr="00AF0035">
        <w:rPr>
          <w:i/>
          <w:iCs/>
        </w:rPr>
        <w:t>E. faecalis</w:t>
      </w:r>
      <w:r w:rsidRPr="00AF0035">
        <w:t xml:space="preserve"> and </w:t>
      </w:r>
      <w:r w:rsidRPr="00AF0035">
        <w:rPr>
          <w:i/>
          <w:iCs/>
        </w:rPr>
        <w:t>E. faecium</w:t>
      </w:r>
      <w:r w:rsidRPr="00AF0035">
        <w:t>, commonly cause urinary tract, biliary tract and other intra-abdom</w:t>
      </w:r>
      <w:r w:rsidRPr="00A51D92">
        <w:t xml:space="preserve">inal infections, and bloodstream infections. In 2023, reports of linezolid-resistant </w:t>
      </w:r>
      <w:r w:rsidRPr="00A51D92">
        <w:rPr>
          <w:i/>
          <w:iCs/>
        </w:rPr>
        <w:t xml:space="preserve">Enterococcus </w:t>
      </w:r>
      <w:r w:rsidRPr="00A51D92">
        <w:t>species</w:t>
      </w:r>
      <w:r w:rsidRPr="00A51D92">
        <w:rPr>
          <w:i/>
          <w:iCs/>
        </w:rPr>
        <w:t xml:space="preserve"> </w:t>
      </w:r>
      <w:r w:rsidRPr="00A51D92">
        <w:t>(</w:t>
      </w:r>
      <w:r w:rsidRPr="00A51D92">
        <w:rPr>
          <w:i/>
          <w:iCs/>
        </w:rPr>
        <w:t>n </w:t>
      </w:r>
      <w:r w:rsidRPr="00A51D92">
        <w:t>= 39)</w:t>
      </w:r>
      <w:r w:rsidRPr="00A51D92">
        <w:rPr>
          <w:i/>
          <w:iCs/>
        </w:rPr>
        <w:t xml:space="preserve"> </w:t>
      </w:r>
      <w:r w:rsidR="00995BA0">
        <w:t>more than doubled</w:t>
      </w:r>
      <w:r w:rsidRPr="00A51D92">
        <w:t xml:space="preserve"> compared to 2022 (</w:t>
      </w:r>
      <w:r w:rsidRPr="00A51D92">
        <w:rPr>
          <w:i/>
          <w:iCs/>
        </w:rPr>
        <w:t>n </w:t>
      </w:r>
      <w:r w:rsidRPr="00A51D92">
        <w:t>= 17) (Figure 1</w:t>
      </w:r>
      <w:r w:rsidR="00181F3B">
        <w:t>6</w:t>
      </w:r>
      <w:r w:rsidRPr="00A51D92">
        <w:t>).</w:t>
      </w:r>
    </w:p>
    <w:p w14:paraId="7FF5838E" w14:textId="2EADC533" w:rsidR="00EB6106" w:rsidRPr="007C13B3" w:rsidRDefault="00EB6106" w:rsidP="00EB6106">
      <w:r>
        <w:t>L</w:t>
      </w:r>
      <w:r w:rsidRPr="006666BC">
        <w:t>inezolid-</w:t>
      </w:r>
      <w:r>
        <w:t>resistant</w:t>
      </w:r>
      <w:r w:rsidRPr="006666BC">
        <w:t xml:space="preserve"> </w:t>
      </w:r>
      <w:proofErr w:type="spellStart"/>
      <w:r w:rsidRPr="006666BC">
        <w:rPr>
          <w:i/>
          <w:iCs/>
        </w:rPr>
        <w:t>Enterococccus</w:t>
      </w:r>
      <w:proofErr w:type="spellEnd"/>
      <w:r w:rsidRPr="006666BC">
        <w:rPr>
          <w:i/>
          <w:iCs/>
        </w:rPr>
        <w:t xml:space="preserve"> </w:t>
      </w:r>
      <w:r w:rsidRPr="006666BC">
        <w:t xml:space="preserve">species </w:t>
      </w:r>
      <w:r>
        <w:t xml:space="preserve">were reported </w:t>
      </w:r>
      <w:r w:rsidRPr="00A51D92">
        <w:t xml:space="preserve">from all states except Tasmania in </w:t>
      </w:r>
      <w:r w:rsidRPr="006666BC">
        <w:t>202</w:t>
      </w:r>
      <w:r>
        <w:t>3</w:t>
      </w:r>
      <w:r w:rsidRPr="006666BC">
        <w:t xml:space="preserve"> (Figure</w:t>
      </w:r>
      <w:r>
        <w:t> </w:t>
      </w:r>
      <w:r w:rsidRPr="006666BC">
        <w:t>1</w:t>
      </w:r>
      <w:r w:rsidR="00181F3B">
        <w:t>7</w:t>
      </w:r>
      <w:r w:rsidRPr="006666BC">
        <w:t>). Variation in the number of reports from the states and territories may be due to differences in testing and reporting practices by the originating laboratories</w:t>
      </w:r>
      <w:r>
        <w:t xml:space="preserve">. Some laboratories may only test linezolid on </w:t>
      </w:r>
      <w:r w:rsidRPr="00D117DA">
        <w:rPr>
          <w:i/>
          <w:iCs/>
        </w:rPr>
        <w:t>Enterococcus</w:t>
      </w:r>
      <w:r>
        <w:t xml:space="preserve"> species if other resistances are detected.</w:t>
      </w:r>
    </w:p>
    <w:p w14:paraId="08C4E4C9" w14:textId="120B9B00" w:rsidR="00EB6106" w:rsidRPr="0095147F" w:rsidRDefault="00EB6106" w:rsidP="0048712C">
      <w:pPr>
        <w:pStyle w:val="FigureTitle"/>
        <w:spacing w:after="0"/>
      </w:pPr>
      <w:r w:rsidRPr="0095147F">
        <w:t>Figure 1</w:t>
      </w:r>
      <w:r w:rsidR="00181F3B">
        <w:t>6</w:t>
      </w:r>
      <w:r w:rsidRPr="0072559C">
        <w:t xml:space="preserve">: </w:t>
      </w:r>
      <w:r w:rsidRPr="0072559C">
        <w:rPr>
          <w:b w:val="0"/>
          <w:bCs/>
        </w:rPr>
        <w:t>Linezolid-</w:t>
      </w:r>
      <w:r>
        <w:rPr>
          <w:b w:val="0"/>
          <w:bCs/>
        </w:rPr>
        <w:t>resistant</w:t>
      </w:r>
      <w:r w:rsidRPr="0072559C">
        <w:rPr>
          <w:b w:val="0"/>
          <w:bCs/>
        </w:rPr>
        <w:t xml:space="preserve"> </w:t>
      </w:r>
      <w:r w:rsidRPr="0072559C">
        <w:rPr>
          <w:b w:val="0"/>
          <w:bCs/>
          <w:i/>
        </w:rPr>
        <w:t>Enterococcus</w:t>
      </w:r>
      <w:r w:rsidRPr="0072559C">
        <w:rPr>
          <w:b w:val="0"/>
          <w:bCs/>
        </w:rPr>
        <w:t xml:space="preserve"> species, number reported to CARAlert by month, </w:t>
      </w:r>
      <w:r>
        <w:rPr>
          <w:b w:val="0"/>
          <w:bCs/>
        </w:rPr>
        <w:t xml:space="preserve">national, </w:t>
      </w:r>
      <w:r w:rsidRPr="0072559C">
        <w:rPr>
          <w:b w:val="0"/>
          <w:bCs/>
        </w:rPr>
        <w:t>2017</w:t>
      </w:r>
      <w:r w:rsidRPr="007D1D93">
        <w:rPr>
          <w:b w:val="0"/>
          <w:bCs/>
        </w:rPr>
        <w:t>–202</w:t>
      </w:r>
      <w:r>
        <w:rPr>
          <w:b w:val="0"/>
          <w:bCs/>
        </w:rPr>
        <w:t>3</w:t>
      </w:r>
      <w:r w:rsidR="00BC158E">
        <w:rPr>
          <w:noProof/>
        </w:rPr>
        <w:drawing>
          <wp:inline distT="0" distB="0" distL="0" distR="0" wp14:anchorId="624618E1" wp14:editId="6513A8B3">
            <wp:extent cx="6118227" cy="3239224"/>
            <wp:effectExtent l="0" t="0" r="0" b="0"/>
            <wp:docPr id="45" name="Picture 45"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16"/>
                    <pic:cNvPicPr/>
                  </pic:nvPicPr>
                  <pic:blipFill>
                    <a:blip r:embed="rId44"/>
                    <a:stretch>
                      <a:fillRect/>
                    </a:stretch>
                  </pic:blipFill>
                  <pic:spPr>
                    <a:xfrm>
                      <a:off x="0" y="0"/>
                      <a:ext cx="6118227" cy="3239224"/>
                    </a:xfrm>
                    <a:prstGeom prst="rect">
                      <a:avLst/>
                    </a:prstGeom>
                  </pic:spPr>
                </pic:pic>
              </a:graphicData>
            </a:graphic>
          </wp:inline>
        </w:drawing>
      </w:r>
    </w:p>
    <w:p w14:paraId="0489B2CA" w14:textId="77777777" w:rsidR="00EB6106" w:rsidRPr="0038361D" w:rsidRDefault="00EB6106" w:rsidP="00EB6106">
      <w:pPr>
        <w:pStyle w:val="FigureTitle"/>
      </w:pPr>
    </w:p>
    <w:p w14:paraId="319C929A" w14:textId="2DCA2AA1" w:rsidR="00EB6106" w:rsidRDefault="00EB6106" w:rsidP="0048712C">
      <w:pPr>
        <w:pStyle w:val="FigureTitle"/>
        <w:spacing w:after="0"/>
      </w:pPr>
      <w:r w:rsidRPr="00A51D92">
        <w:t>Figure 1</w:t>
      </w:r>
      <w:r w:rsidR="00181F3B">
        <w:t>7</w:t>
      </w:r>
      <w:r w:rsidRPr="00A51D92">
        <w:t>:</w:t>
      </w:r>
      <w:r w:rsidRPr="006666BC">
        <w:t xml:space="preserve"> </w:t>
      </w:r>
      <w:r w:rsidRPr="006666BC">
        <w:rPr>
          <w:b w:val="0"/>
          <w:bCs/>
        </w:rPr>
        <w:t>Linezolid-</w:t>
      </w:r>
      <w:r>
        <w:rPr>
          <w:b w:val="0"/>
          <w:bCs/>
        </w:rPr>
        <w:t>resistant</w:t>
      </w:r>
      <w:r w:rsidRPr="006666BC">
        <w:rPr>
          <w:b w:val="0"/>
          <w:bCs/>
        </w:rPr>
        <w:t xml:space="preserve"> </w:t>
      </w:r>
      <w:r w:rsidRPr="006666BC">
        <w:rPr>
          <w:b w:val="0"/>
          <w:bCs/>
          <w:i/>
        </w:rPr>
        <w:t>Enterococcus</w:t>
      </w:r>
      <w:r w:rsidRPr="006666BC">
        <w:rPr>
          <w:b w:val="0"/>
          <w:bCs/>
        </w:rPr>
        <w:t xml:space="preserve"> species, number reported to CARAlert by state and territory, 2017</w:t>
      </w:r>
      <w:r w:rsidRPr="00CF3F1A">
        <w:rPr>
          <w:b w:val="0"/>
          <w:bCs/>
        </w:rPr>
        <w:t>–202</w:t>
      </w:r>
      <w:r>
        <w:rPr>
          <w:b w:val="0"/>
          <w:bCs/>
        </w:rPr>
        <w:t>3</w:t>
      </w:r>
      <w:r w:rsidR="00BC158E">
        <w:rPr>
          <w:noProof/>
        </w:rPr>
        <w:drawing>
          <wp:inline distT="0" distB="0" distL="0" distR="0" wp14:anchorId="3FD23403" wp14:editId="34623195">
            <wp:extent cx="6118227" cy="3239224"/>
            <wp:effectExtent l="0" t="0" r="0" b="0"/>
            <wp:docPr id="47" name="Picture 47"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7"/>
                    <pic:cNvPicPr/>
                  </pic:nvPicPr>
                  <pic:blipFill>
                    <a:blip r:embed="rId45"/>
                    <a:stretch>
                      <a:fillRect/>
                    </a:stretch>
                  </pic:blipFill>
                  <pic:spPr>
                    <a:xfrm>
                      <a:off x="0" y="0"/>
                      <a:ext cx="6118227" cy="3239224"/>
                    </a:xfrm>
                    <a:prstGeom prst="rect">
                      <a:avLst/>
                    </a:prstGeom>
                  </pic:spPr>
                </pic:pic>
              </a:graphicData>
            </a:graphic>
          </wp:inline>
        </w:drawing>
      </w:r>
    </w:p>
    <w:p w14:paraId="5EB0DFA8" w14:textId="77777777" w:rsidR="00EB6106" w:rsidRPr="001E5AF4" w:rsidRDefault="00EB6106" w:rsidP="00EB6106">
      <w:pPr>
        <w:pStyle w:val="Heading3"/>
        <w:rPr>
          <w:i/>
        </w:rPr>
      </w:pPr>
      <w:bookmarkStart w:id="23" w:name="_Toc166585578"/>
      <w:r w:rsidRPr="00256775">
        <w:rPr>
          <w:i/>
        </w:rPr>
        <w:lastRenderedPageBreak/>
        <w:t>Mycobacterium tuberculosis</w:t>
      </w:r>
      <w:bookmarkEnd w:id="23"/>
    </w:p>
    <w:p w14:paraId="42811556" w14:textId="772C1C89" w:rsidR="00EB6106" w:rsidRPr="00571030" w:rsidRDefault="00EB6106" w:rsidP="00EB6106">
      <w:r w:rsidRPr="00AF0035">
        <w:rPr>
          <w:bCs/>
          <w:i/>
        </w:rPr>
        <w:t>Mycobacterium</w:t>
      </w:r>
      <w:r w:rsidRPr="00AF0035">
        <w:rPr>
          <w:i/>
          <w:iCs/>
        </w:rPr>
        <w:t> tuberculosis</w:t>
      </w:r>
      <w:r w:rsidRPr="00AF0035">
        <w:t xml:space="preserve"> causes tuberculosis, which has a variety of clinical manifestations, but most commonly presents as lung disease. Low numbers of MDR </w:t>
      </w:r>
      <w:r w:rsidRPr="00AF0035">
        <w:rPr>
          <w:i/>
        </w:rPr>
        <w:t>M. tuberculosis</w:t>
      </w:r>
      <w:r w:rsidRPr="00AF0035">
        <w:t xml:space="preserve"> were reported to CARAlert from 2017 to 202</w:t>
      </w:r>
      <w:r>
        <w:t>3</w:t>
      </w:r>
      <w:r w:rsidRPr="00AF0035">
        <w:t xml:space="preserve"> (Figure 1</w:t>
      </w:r>
      <w:r w:rsidR="00181F3B">
        <w:t>8</w:t>
      </w:r>
      <w:r w:rsidRPr="00AF0035">
        <w:t xml:space="preserve">). </w:t>
      </w:r>
      <w:r w:rsidRPr="00571030">
        <w:t>I</w:t>
      </w:r>
      <w:r w:rsidRPr="005B04EB">
        <w:t>n 2023, a</w:t>
      </w:r>
      <w:r>
        <w:t xml:space="preserve"> little under</w:t>
      </w:r>
      <w:r w:rsidRPr="005B04EB">
        <w:t xml:space="preserve"> </w:t>
      </w:r>
      <w:r>
        <w:t>one-</w:t>
      </w:r>
      <w:r w:rsidRPr="005B04EB">
        <w:t xml:space="preserve">half of the MDR </w:t>
      </w:r>
      <w:r w:rsidRPr="005B04EB">
        <w:rPr>
          <w:i/>
        </w:rPr>
        <w:t>M. tuberculosis</w:t>
      </w:r>
      <w:r w:rsidRPr="005B04EB">
        <w:t xml:space="preserve"> reports were from NSW (6/1</w:t>
      </w:r>
      <w:r>
        <w:t>4</w:t>
      </w:r>
      <w:r w:rsidRPr="005B04EB">
        <w:t>, 4</w:t>
      </w:r>
      <w:r>
        <w:t>2.9</w:t>
      </w:r>
      <w:r w:rsidRPr="005B04EB">
        <w:t>%) (Figure 1</w:t>
      </w:r>
      <w:r w:rsidR="00181F3B">
        <w:t>9</w:t>
      </w:r>
      <w:r w:rsidRPr="005B04EB">
        <w:t>).</w:t>
      </w:r>
    </w:p>
    <w:p w14:paraId="71E5393C" w14:textId="3ED26C20" w:rsidR="00EB6106" w:rsidRDefault="00EB6106" w:rsidP="00D47544">
      <w:pPr>
        <w:pStyle w:val="FigureTitle"/>
        <w:spacing w:after="0"/>
        <w:rPr>
          <w:b w:val="0"/>
          <w:bCs/>
        </w:rPr>
      </w:pPr>
      <w:r w:rsidRPr="00A94733">
        <w:t>Figure 1</w:t>
      </w:r>
      <w:r w:rsidR="00181F3B">
        <w:t>8</w:t>
      </w:r>
      <w:r w:rsidRPr="004D20C2">
        <w:t xml:space="preserve">: </w:t>
      </w:r>
      <w:r w:rsidRPr="004D20C2">
        <w:rPr>
          <w:b w:val="0"/>
          <w:bCs/>
        </w:rPr>
        <w:t xml:space="preserve">Multidrug-resistant </w:t>
      </w:r>
      <w:r w:rsidRPr="004D20C2">
        <w:rPr>
          <w:b w:val="0"/>
          <w:bCs/>
          <w:i/>
        </w:rPr>
        <w:t xml:space="preserve">Mycobacterium tuberculosis, </w:t>
      </w:r>
      <w:r w:rsidRPr="004D20C2">
        <w:rPr>
          <w:b w:val="0"/>
          <w:bCs/>
        </w:rPr>
        <w:t xml:space="preserve">number reported to CARAlert by month, </w:t>
      </w:r>
      <w:r>
        <w:rPr>
          <w:b w:val="0"/>
          <w:bCs/>
        </w:rPr>
        <w:t xml:space="preserve">national, </w:t>
      </w:r>
      <w:r w:rsidRPr="004D20C2">
        <w:rPr>
          <w:b w:val="0"/>
          <w:bCs/>
        </w:rPr>
        <w:t>2017–202</w:t>
      </w:r>
      <w:r>
        <w:rPr>
          <w:b w:val="0"/>
          <w:bCs/>
        </w:rPr>
        <w:t>3</w:t>
      </w:r>
      <w:r w:rsidR="002A7A34">
        <w:rPr>
          <w:b w:val="0"/>
          <w:bCs/>
          <w:noProof/>
        </w:rPr>
        <w:drawing>
          <wp:inline distT="0" distB="0" distL="0" distR="0" wp14:anchorId="298ACA76" wp14:editId="7A1E0E7A">
            <wp:extent cx="6118227" cy="3239224"/>
            <wp:effectExtent l="0" t="0" r="0" b="0"/>
            <wp:docPr id="49" name="Picture 49"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18"/>
                    <pic:cNvPicPr/>
                  </pic:nvPicPr>
                  <pic:blipFill>
                    <a:blip r:embed="rId46"/>
                    <a:stretch>
                      <a:fillRect/>
                    </a:stretch>
                  </pic:blipFill>
                  <pic:spPr>
                    <a:xfrm>
                      <a:off x="0" y="0"/>
                      <a:ext cx="6118227" cy="3239224"/>
                    </a:xfrm>
                    <a:prstGeom prst="rect">
                      <a:avLst/>
                    </a:prstGeom>
                  </pic:spPr>
                </pic:pic>
              </a:graphicData>
            </a:graphic>
          </wp:inline>
        </w:drawing>
      </w:r>
    </w:p>
    <w:p w14:paraId="5E3A6A46" w14:textId="77777777" w:rsidR="00BC158E" w:rsidRPr="00D47544" w:rsidRDefault="00BC158E" w:rsidP="00D47544">
      <w:pPr>
        <w:pStyle w:val="FigureTitle"/>
        <w:spacing w:after="0"/>
        <w:rPr>
          <w:b w:val="0"/>
          <w:bCs/>
        </w:rPr>
      </w:pPr>
    </w:p>
    <w:p w14:paraId="01D19422" w14:textId="012CD982" w:rsidR="00EB6106" w:rsidRDefault="00EB6106" w:rsidP="00EB6106">
      <w:pPr>
        <w:pStyle w:val="FigureTitle"/>
        <w:spacing w:after="0"/>
        <w:rPr>
          <w:b w:val="0"/>
          <w:bCs/>
          <w:iCs/>
        </w:rPr>
      </w:pPr>
      <w:r w:rsidRPr="00A94733">
        <w:t>Figure 1</w:t>
      </w:r>
      <w:r w:rsidR="00181F3B">
        <w:t>9</w:t>
      </w:r>
      <w:r w:rsidRPr="00A94733">
        <w:t>:</w:t>
      </w:r>
      <w:r>
        <w:t xml:space="preserve"> </w:t>
      </w:r>
      <w:r w:rsidRPr="005750B3">
        <w:rPr>
          <w:b w:val="0"/>
          <w:bCs/>
        </w:rPr>
        <w:t xml:space="preserve">Multidrug-resistant </w:t>
      </w:r>
      <w:r w:rsidRPr="005750B3">
        <w:rPr>
          <w:b w:val="0"/>
          <w:bCs/>
          <w:i/>
        </w:rPr>
        <w:t>Mycobacterium tuberculosis</w:t>
      </w:r>
      <w:r w:rsidRPr="005750B3">
        <w:rPr>
          <w:b w:val="0"/>
          <w:bCs/>
          <w:iCs/>
        </w:rPr>
        <w:t>, number</w:t>
      </w:r>
      <w:r w:rsidRPr="005750B3">
        <w:rPr>
          <w:b w:val="0"/>
          <w:bCs/>
          <w:i/>
        </w:rPr>
        <w:t xml:space="preserve"> </w:t>
      </w:r>
      <w:r w:rsidRPr="005750B3">
        <w:rPr>
          <w:b w:val="0"/>
          <w:bCs/>
          <w:iCs/>
        </w:rPr>
        <w:t>reported</w:t>
      </w:r>
      <w:r w:rsidRPr="00E961B6">
        <w:rPr>
          <w:b w:val="0"/>
          <w:bCs/>
          <w:iCs/>
        </w:rPr>
        <w:t xml:space="preserve"> to CARAlert </w:t>
      </w:r>
      <w:r w:rsidRPr="005750B3">
        <w:rPr>
          <w:b w:val="0"/>
          <w:bCs/>
          <w:iCs/>
        </w:rPr>
        <w:t xml:space="preserve">by state and territory, </w:t>
      </w:r>
      <w:r w:rsidRPr="00D103A0">
        <w:rPr>
          <w:b w:val="0"/>
          <w:bCs/>
          <w:iCs/>
        </w:rPr>
        <w:t>2017</w:t>
      </w:r>
      <w:r w:rsidRPr="006C2F8C">
        <w:rPr>
          <w:b w:val="0"/>
          <w:bCs/>
          <w:iCs/>
        </w:rPr>
        <w:t>–202</w:t>
      </w:r>
      <w:r>
        <w:rPr>
          <w:b w:val="0"/>
          <w:bCs/>
          <w:iCs/>
        </w:rPr>
        <w:t>3</w:t>
      </w:r>
      <w:r w:rsidR="008138AF">
        <w:rPr>
          <w:b w:val="0"/>
          <w:bCs/>
          <w:iCs/>
          <w:noProof/>
        </w:rPr>
        <w:drawing>
          <wp:inline distT="0" distB="0" distL="0" distR="0" wp14:anchorId="30A1073A" wp14:editId="330F1A74">
            <wp:extent cx="6118227" cy="3239224"/>
            <wp:effectExtent l="0" t="0" r="0" b="0"/>
            <wp:docPr id="50" name="Picture 50"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9"/>
                    <pic:cNvPicPr/>
                  </pic:nvPicPr>
                  <pic:blipFill>
                    <a:blip r:embed="rId47"/>
                    <a:stretch>
                      <a:fillRect/>
                    </a:stretch>
                  </pic:blipFill>
                  <pic:spPr>
                    <a:xfrm>
                      <a:off x="0" y="0"/>
                      <a:ext cx="6118227" cy="3239224"/>
                    </a:xfrm>
                    <a:prstGeom prst="rect">
                      <a:avLst/>
                    </a:prstGeom>
                  </pic:spPr>
                </pic:pic>
              </a:graphicData>
            </a:graphic>
          </wp:inline>
        </w:drawing>
      </w:r>
    </w:p>
    <w:p w14:paraId="2ADD5035" w14:textId="075AD567" w:rsidR="00721146" w:rsidRDefault="00EB6106" w:rsidP="00721146">
      <w:pPr>
        <w:spacing w:before="0"/>
        <w:rPr>
          <w:rStyle w:val="IntenseReference"/>
          <w:rFonts w:cs="Arial"/>
          <w:b w:val="0"/>
          <w:i w:val="0"/>
          <w:smallCaps w:val="0"/>
          <w:color w:val="auto"/>
          <w:sz w:val="16"/>
          <w:szCs w:val="18"/>
        </w:rPr>
      </w:pPr>
      <w:r w:rsidRPr="008E676F">
        <w:rPr>
          <w:rStyle w:val="IntenseReference"/>
          <w:rFonts w:cs="Arial"/>
          <w:b w:val="0"/>
          <w:i w:val="0"/>
          <w:smallCaps w:val="0"/>
          <w:color w:val="auto"/>
          <w:sz w:val="16"/>
          <w:szCs w:val="18"/>
        </w:rPr>
        <w:t>Note: Dark bars indicate values for 2023.</w:t>
      </w:r>
      <w:r w:rsidR="00721146">
        <w:rPr>
          <w:rStyle w:val="IntenseReference"/>
          <w:rFonts w:cs="Arial"/>
          <w:b w:val="0"/>
          <w:i w:val="0"/>
          <w:smallCaps w:val="0"/>
          <w:color w:val="auto"/>
          <w:sz w:val="16"/>
          <w:szCs w:val="18"/>
        </w:rPr>
        <w:br w:type="page"/>
      </w:r>
    </w:p>
    <w:p w14:paraId="28518CCC" w14:textId="77777777" w:rsidR="00EB6106" w:rsidRDefault="00EB6106" w:rsidP="00EB6106">
      <w:pPr>
        <w:pStyle w:val="Heading3"/>
        <w:rPr>
          <w:i/>
        </w:rPr>
      </w:pPr>
      <w:bookmarkStart w:id="24" w:name="_Toc166585579"/>
      <w:r w:rsidRPr="00256775">
        <w:rPr>
          <w:i/>
        </w:rPr>
        <w:lastRenderedPageBreak/>
        <w:t>Neisseria gonorrhoeae</w:t>
      </w:r>
      <w:bookmarkEnd w:id="24"/>
    </w:p>
    <w:p w14:paraId="1066E8EF" w14:textId="693BB147" w:rsidR="004021E3" w:rsidRDefault="00EB6106" w:rsidP="00EB6106">
      <w:r w:rsidRPr="00571030">
        <w:rPr>
          <w:i/>
          <w:iCs/>
        </w:rPr>
        <w:t xml:space="preserve">N. gonorrhoeae </w:t>
      </w:r>
      <w:r w:rsidRPr="00571030">
        <w:t xml:space="preserve">causes gonorrhoea, a largely sexually transmitted infection that most commonly </w:t>
      </w:r>
      <w:r w:rsidRPr="00BB2C3D">
        <w:t xml:space="preserve">manifests as urethritis in men and cervicitis in women. There were sporadic reports of ceftriaxone-nonsusceptible and/or azithromycin-nonsusceptible (HLR) </w:t>
      </w:r>
      <w:r w:rsidRPr="00BB2C3D">
        <w:rPr>
          <w:i/>
        </w:rPr>
        <w:t>N. gonorrhoeae</w:t>
      </w:r>
      <w:r w:rsidRPr="00BB2C3D">
        <w:t xml:space="preserve"> between 2017 and 2021 (Figure </w:t>
      </w:r>
      <w:r w:rsidR="00181F3B">
        <w:t>20</w:t>
      </w:r>
      <w:r w:rsidRPr="00BB2C3D">
        <w:t>).</w:t>
      </w:r>
    </w:p>
    <w:p w14:paraId="5B9327F4" w14:textId="316C3493" w:rsidR="00EB6106" w:rsidRPr="00D24E34" w:rsidRDefault="00EB6106" w:rsidP="00EB6106">
      <w:r w:rsidRPr="00B77BBA">
        <w:t>Ceftriaxone-nonsusceptible isolates were reported to CARAlert for the first time in 201</w:t>
      </w:r>
      <w:r w:rsidR="00DC639B">
        <w:t>6</w:t>
      </w:r>
      <w:r w:rsidRPr="00B77BBA">
        <w:t xml:space="preserve"> (</w:t>
      </w:r>
      <w:r w:rsidRPr="00B77BBA">
        <w:rPr>
          <w:i/>
          <w:iCs/>
        </w:rPr>
        <w:t>n</w:t>
      </w:r>
      <w:r w:rsidRPr="00B77BBA">
        <w:t> = </w:t>
      </w:r>
      <w:r w:rsidR="00DC639B">
        <w:t>4</w:t>
      </w:r>
      <w:r w:rsidRPr="00B77BBA">
        <w:t xml:space="preserve">); </w:t>
      </w:r>
      <w:r w:rsidR="00D24E34">
        <w:t xml:space="preserve">there were six reports in 2018, </w:t>
      </w:r>
      <w:r w:rsidRPr="00B77BBA">
        <w:t>four reports in 2019, three in 2020</w:t>
      </w:r>
      <w:r w:rsidR="00B77BBA" w:rsidRPr="00B77BBA">
        <w:t xml:space="preserve">, </w:t>
      </w:r>
      <w:r w:rsidRPr="00B77BBA">
        <w:t>one in 2021</w:t>
      </w:r>
      <w:r w:rsidR="00B77BBA" w:rsidRPr="00B77BBA">
        <w:t xml:space="preserve"> and </w:t>
      </w:r>
      <w:r w:rsidRPr="00B77BBA">
        <w:rPr>
          <w:rFonts w:cs="Arial"/>
          <w:lang w:val="en-GB"/>
        </w:rPr>
        <w:t>37 reports in 2022</w:t>
      </w:r>
      <w:r w:rsidR="00B77BBA" w:rsidRPr="00B77BBA">
        <w:rPr>
          <w:rFonts w:cs="Arial"/>
          <w:lang w:val="en-GB"/>
        </w:rPr>
        <w:t xml:space="preserve">. There were 22 reports made to CARAlert in 2023 from Victoria </w:t>
      </w:r>
      <w:r w:rsidRPr="00B77BBA">
        <w:rPr>
          <w:rFonts w:cs="Arial"/>
          <w:lang w:val="en-GB"/>
        </w:rPr>
        <w:t>(</w:t>
      </w:r>
      <w:r w:rsidRPr="00B77BBA">
        <w:rPr>
          <w:rFonts w:cs="Arial"/>
          <w:i/>
          <w:iCs/>
          <w:lang w:val="en-GB"/>
        </w:rPr>
        <w:t>n</w:t>
      </w:r>
      <w:r w:rsidRPr="00B77BBA">
        <w:rPr>
          <w:rFonts w:cs="Arial"/>
          <w:lang w:val="en-GB"/>
        </w:rPr>
        <w:t> = </w:t>
      </w:r>
      <w:r w:rsidR="00B77BBA" w:rsidRPr="00B77BBA">
        <w:rPr>
          <w:rFonts w:cs="Arial"/>
          <w:lang w:val="en-GB"/>
        </w:rPr>
        <w:t>9</w:t>
      </w:r>
      <w:r w:rsidRPr="00B77BBA">
        <w:rPr>
          <w:rFonts w:cs="Arial"/>
          <w:lang w:val="en-GB"/>
        </w:rPr>
        <w:t xml:space="preserve">), </w:t>
      </w:r>
      <w:r w:rsidR="00B77BBA" w:rsidRPr="00B77BBA">
        <w:rPr>
          <w:rFonts w:cs="Arial"/>
          <w:lang w:val="en-GB"/>
        </w:rPr>
        <w:t xml:space="preserve">NSW </w:t>
      </w:r>
      <w:r w:rsidRPr="00B77BBA">
        <w:rPr>
          <w:rFonts w:cs="Arial"/>
          <w:lang w:val="en-GB"/>
        </w:rPr>
        <w:t>(</w:t>
      </w:r>
      <w:r w:rsidRPr="00B77BBA">
        <w:rPr>
          <w:rFonts w:cs="Arial"/>
          <w:i/>
          <w:iCs/>
          <w:lang w:val="en-GB"/>
        </w:rPr>
        <w:t>n</w:t>
      </w:r>
      <w:r w:rsidRPr="00B77BBA">
        <w:rPr>
          <w:rFonts w:cs="Arial"/>
          <w:lang w:val="en-GB"/>
        </w:rPr>
        <w:t> = </w:t>
      </w:r>
      <w:r w:rsidR="00B77BBA" w:rsidRPr="00B77BBA">
        <w:rPr>
          <w:rFonts w:cs="Arial"/>
          <w:lang w:val="en-GB"/>
        </w:rPr>
        <w:t>7</w:t>
      </w:r>
      <w:r w:rsidRPr="00B77BBA">
        <w:rPr>
          <w:rFonts w:cs="Arial"/>
          <w:lang w:val="en-GB"/>
        </w:rPr>
        <w:t xml:space="preserve">), </w:t>
      </w:r>
      <w:r w:rsidR="00B77BBA" w:rsidRPr="00B77BBA">
        <w:rPr>
          <w:rFonts w:cs="Arial"/>
          <w:lang w:val="en-GB"/>
        </w:rPr>
        <w:t xml:space="preserve">Queensland </w:t>
      </w:r>
      <w:r w:rsidRPr="00B77BBA">
        <w:rPr>
          <w:rFonts w:cs="Arial"/>
          <w:lang w:val="en-GB"/>
        </w:rPr>
        <w:t>(</w:t>
      </w:r>
      <w:r w:rsidRPr="00B77BBA">
        <w:rPr>
          <w:rFonts w:cs="Arial"/>
          <w:i/>
          <w:iCs/>
          <w:lang w:val="en-GB"/>
        </w:rPr>
        <w:t>n</w:t>
      </w:r>
      <w:r w:rsidRPr="00B77BBA">
        <w:rPr>
          <w:rFonts w:cs="Arial"/>
          <w:lang w:val="en-GB"/>
        </w:rPr>
        <w:t> = </w:t>
      </w:r>
      <w:r w:rsidR="00B77BBA" w:rsidRPr="00B77BBA">
        <w:rPr>
          <w:rFonts w:cs="Arial"/>
          <w:lang w:val="en-GB"/>
        </w:rPr>
        <w:t>3</w:t>
      </w:r>
      <w:r w:rsidRPr="00B77BBA">
        <w:rPr>
          <w:rFonts w:cs="Arial"/>
          <w:lang w:val="en-GB"/>
        </w:rPr>
        <w:t>)</w:t>
      </w:r>
      <w:r w:rsidR="00B77BBA" w:rsidRPr="00B77BBA">
        <w:rPr>
          <w:rFonts w:cs="Arial"/>
          <w:lang w:val="en-GB"/>
        </w:rPr>
        <w:t xml:space="preserve">, WA </w:t>
      </w:r>
      <w:r w:rsidRPr="00B77BBA">
        <w:rPr>
          <w:rFonts w:cs="Arial"/>
          <w:lang w:val="en-GB"/>
        </w:rPr>
        <w:t>(</w:t>
      </w:r>
      <w:r w:rsidRPr="00B77BBA">
        <w:rPr>
          <w:rFonts w:cs="Arial"/>
          <w:i/>
          <w:iCs/>
          <w:lang w:val="en-GB"/>
        </w:rPr>
        <w:t>n</w:t>
      </w:r>
      <w:r w:rsidRPr="00B77BBA">
        <w:rPr>
          <w:rFonts w:cs="Arial"/>
          <w:lang w:val="en-GB"/>
        </w:rPr>
        <w:t> = </w:t>
      </w:r>
      <w:r w:rsidR="00B77BBA" w:rsidRPr="00B77BBA">
        <w:rPr>
          <w:rFonts w:cs="Arial"/>
          <w:lang w:val="en-GB"/>
        </w:rPr>
        <w:t>2</w:t>
      </w:r>
      <w:r w:rsidRPr="00B77BBA">
        <w:rPr>
          <w:rFonts w:cs="Arial"/>
          <w:lang w:val="en-GB"/>
        </w:rPr>
        <w:t>)</w:t>
      </w:r>
      <w:r w:rsidR="00B77BBA" w:rsidRPr="00B77BBA">
        <w:rPr>
          <w:rFonts w:cs="Arial"/>
          <w:lang w:val="en-GB"/>
        </w:rPr>
        <w:t xml:space="preserve"> and SA (</w:t>
      </w:r>
      <w:r w:rsidR="00B77BBA" w:rsidRPr="00B77BBA">
        <w:rPr>
          <w:rFonts w:cs="Arial"/>
          <w:i/>
          <w:iCs/>
          <w:lang w:val="en-GB"/>
        </w:rPr>
        <w:t>n</w:t>
      </w:r>
      <w:r w:rsidR="00B77BBA" w:rsidRPr="00B77BBA">
        <w:rPr>
          <w:rFonts w:cs="Arial"/>
          <w:lang w:val="en-GB"/>
        </w:rPr>
        <w:t> = 1)</w:t>
      </w:r>
      <w:r w:rsidRPr="00B77BBA">
        <w:rPr>
          <w:rFonts w:cs="Arial"/>
          <w:lang w:val="en-GB"/>
        </w:rPr>
        <w:t>.</w:t>
      </w:r>
      <w:r w:rsidR="00B77BBA" w:rsidRPr="00B77BBA">
        <w:rPr>
          <w:rFonts w:cs="Arial"/>
          <w:lang w:val="en-GB"/>
        </w:rPr>
        <w:t xml:space="preserve"> Of the reports from Victoria, </w:t>
      </w:r>
      <w:r w:rsidR="00B77BBA">
        <w:rPr>
          <w:rFonts w:cs="Arial"/>
          <w:lang w:val="en-GB"/>
        </w:rPr>
        <w:t>eight</w:t>
      </w:r>
      <w:r w:rsidR="00B77BBA" w:rsidRPr="00B77BBA">
        <w:rPr>
          <w:rFonts w:cs="Arial"/>
          <w:lang w:val="en-GB"/>
        </w:rPr>
        <w:t xml:space="preserve"> were also </w:t>
      </w:r>
      <w:proofErr w:type="gramStart"/>
      <w:r w:rsidR="00B77BBA" w:rsidRPr="00B77BBA">
        <w:rPr>
          <w:rFonts w:cs="Arial"/>
          <w:lang w:val="en-GB"/>
        </w:rPr>
        <w:t>azithromycin-nonsusceptible</w:t>
      </w:r>
      <w:proofErr w:type="gramEnd"/>
      <w:r w:rsidR="00B77BBA" w:rsidRPr="00B77BBA">
        <w:rPr>
          <w:rFonts w:cs="Arial"/>
          <w:lang w:val="en-GB"/>
        </w:rPr>
        <w:t xml:space="preserve"> (HLR, </w:t>
      </w:r>
      <w:r w:rsidR="00B77BBA" w:rsidRPr="00B77BBA">
        <w:rPr>
          <w:rFonts w:cs="Arial"/>
          <w:i/>
          <w:iCs/>
          <w:lang w:val="en-GB"/>
        </w:rPr>
        <w:t>n</w:t>
      </w:r>
      <w:r w:rsidR="00B77BBA" w:rsidRPr="00B77BBA">
        <w:rPr>
          <w:rFonts w:cs="Arial"/>
          <w:lang w:val="en-GB"/>
        </w:rPr>
        <w:t xml:space="preserve"> = 5; LLR, </w:t>
      </w:r>
      <w:r w:rsidR="00B77BBA" w:rsidRPr="00B77BBA">
        <w:rPr>
          <w:rFonts w:cs="Arial"/>
          <w:i/>
          <w:iCs/>
          <w:lang w:val="en-GB"/>
        </w:rPr>
        <w:t>n</w:t>
      </w:r>
      <w:r w:rsidR="00B77BBA" w:rsidRPr="00B77BBA">
        <w:rPr>
          <w:rFonts w:cs="Arial"/>
          <w:lang w:val="en-GB"/>
        </w:rPr>
        <w:t xml:space="preserve"> = 3). </w:t>
      </w:r>
    </w:p>
    <w:p w14:paraId="37709E2C" w14:textId="77777777" w:rsidR="00EB6106" w:rsidRDefault="00EB6106" w:rsidP="00EB6106">
      <w:pPr>
        <w:rPr>
          <w:rFonts w:cs="Arial"/>
          <w:lang w:val="en-GB"/>
        </w:rPr>
      </w:pPr>
      <w:r w:rsidRPr="00892346">
        <w:rPr>
          <w:rFonts w:cs="Arial"/>
          <w:lang w:val="en-GB"/>
        </w:rPr>
        <w:t>Twenty-two azithromycin-</w:t>
      </w:r>
      <w:r w:rsidRPr="005E7FE6">
        <w:rPr>
          <w:rFonts w:cs="Arial"/>
          <w:lang w:val="en-GB"/>
        </w:rPr>
        <w:t xml:space="preserve">nonsusceptible </w:t>
      </w:r>
      <w:r w:rsidRPr="005E7FE6">
        <w:rPr>
          <w:rStyle w:val="Emphasis"/>
          <w:rFonts w:cs="Arial"/>
        </w:rPr>
        <w:t>N. gonorrhoeae</w:t>
      </w:r>
      <w:r w:rsidRPr="005E7FE6">
        <w:rPr>
          <w:rFonts w:cs="Arial"/>
          <w:lang w:val="en-GB"/>
        </w:rPr>
        <w:t xml:space="preserve"> (HLR) were reported in 2023 (NSW [11], Victoria [8], WA [2]), Queensland [1]; there were eight reported in 2022.</w:t>
      </w:r>
    </w:p>
    <w:p w14:paraId="6142B4C3" w14:textId="49C094DF" w:rsidR="00EB6106" w:rsidRDefault="00EB6106" w:rsidP="00EB6106">
      <w:pPr>
        <w:pStyle w:val="FigureTitle"/>
        <w:spacing w:after="0"/>
      </w:pPr>
      <w:r w:rsidRPr="00BB2C3D">
        <w:t xml:space="preserve">Figure </w:t>
      </w:r>
      <w:r w:rsidR="00181F3B">
        <w:t>20</w:t>
      </w:r>
      <w:r w:rsidRPr="00BB2C3D">
        <w:t>:</w:t>
      </w:r>
      <w:r w:rsidRPr="00B15D35">
        <w:t xml:space="preserve"> </w:t>
      </w:r>
      <w:r w:rsidRPr="00B15D35">
        <w:rPr>
          <w:b w:val="0"/>
          <w:bCs/>
        </w:rPr>
        <w:t xml:space="preserve">Ceftriaxone-nonsusceptible and/or azithromycin-nonsusceptible </w:t>
      </w:r>
      <w:r w:rsidRPr="00B15D35">
        <w:rPr>
          <w:b w:val="0"/>
          <w:bCs/>
          <w:i/>
        </w:rPr>
        <w:t>Neisseria</w:t>
      </w:r>
      <w:r w:rsidR="00C217D4">
        <w:rPr>
          <w:b w:val="0"/>
          <w:bCs/>
          <w:i/>
        </w:rPr>
        <w:t xml:space="preserve"> </w:t>
      </w:r>
      <w:r w:rsidRPr="00B15D35">
        <w:rPr>
          <w:b w:val="0"/>
          <w:bCs/>
          <w:i/>
        </w:rPr>
        <w:t>gonorrhoeae,</w:t>
      </w:r>
      <w:r w:rsidRPr="00B15D35">
        <w:rPr>
          <w:b w:val="0"/>
          <w:bCs/>
        </w:rPr>
        <w:t xml:space="preserve"> number reported to CARAlert by month, </w:t>
      </w:r>
      <w:r>
        <w:rPr>
          <w:b w:val="0"/>
          <w:bCs/>
        </w:rPr>
        <w:t xml:space="preserve">national, </w:t>
      </w:r>
      <w:r w:rsidRPr="00B15D35">
        <w:rPr>
          <w:b w:val="0"/>
          <w:bCs/>
        </w:rPr>
        <w:t>2017</w:t>
      </w:r>
      <w:r w:rsidRPr="00273367">
        <w:rPr>
          <w:b w:val="0"/>
          <w:bCs/>
        </w:rPr>
        <w:t>–202</w:t>
      </w:r>
      <w:r>
        <w:rPr>
          <w:b w:val="0"/>
          <w:bCs/>
        </w:rPr>
        <w:t>3</w:t>
      </w:r>
      <w:r w:rsidR="008138AF">
        <w:rPr>
          <w:noProof/>
        </w:rPr>
        <w:drawing>
          <wp:inline distT="0" distB="0" distL="0" distR="0" wp14:anchorId="7C1C07E0" wp14:editId="6C906A01">
            <wp:extent cx="6118227" cy="3239224"/>
            <wp:effectExtent l="0" t="0" r="0" b="0"/>
            <wp:docPr id="51" name="Picture 51"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0"/>
                    <pic:cNvPicPr/>
                  </pic:nvPicPr>
                  <pic:blipFill>
                    <a:blip r:embed="rId48"/>
                    <a:stretch>
                      <a:fillRect/>
                    </a:stretch>
                  </pic:blipFill>
                  <pic:spPr>
                    <a:xfrm>
                      <a:off x="0" y="0"/>
                      <a:ext cx="6118227" cy="3239224"/>
                    </a:xfrm>
                    <a:prstGeom prst="rect">
                      <a:avLst/>
                    </a:prstGeom>
                  </pic:spPr>
                </pic:pic>
              </a:graphicData>
            </a:graphic>
          </wp:inline>
        </w:drawing>
      </w:r>
    </w:p>
    <w:p w14:paraId="571D9699" w14:textId="77777777" w:rsidR="00EB6106" w:rsidRPr="00A85CD1" w:rsidRDefault="00EB6106" w:rsidP="00CE6C0D">
      <w:pPr>
        <w:spacing w:after="240"/>
        <w:rPr>
          <w:b/>
          <w:bCs/>
          <w:color w:val="404040" w:themeColor="text1" w:themeTint="BF"/>
          <w:sz w:val="16"/>
          <w:szCs w:val="24"/>
        </w:rPr>
      </w:pPr>
      <w:r w:rsidRPr="00A85CD1">
        <w:rPr>
          <w:sz w:val="16"/>
          <w:szCs w:val="20"/>
        </w:rPr>
        <w:t>High-level = azithromycin MIC ≥ 256 mg/L; Low-level = azithromycin MIC &lt; 256 mg/L; MIC = minimum inhibitory concentration</w:t>
      </w:r>
    </w:p>
    <w:p w14:paraId="654C8483" w14:textId="67EE61D8" w:rsidR="00463334" w:rsidRDefault="00222B17" w:rsidP="00EB6106">
      <w:r w:rsidRPr="0084088A">
        <w:t>In 2023</w:t>
      </w:r>
      <w:r w:rsidRPr="00622517">
        <w:t xml:space="preserve">, the number of reports of azithromycin-nonsusceptible </w:t>
      </w:r>
      <w:r w:rsidRPr="00622517">
        <w:rPr>
          <w:i/>
        </w:rPr>
        <w:t>N. gonorrhoeae</w:t>
      </w:r>
      <w:r w:rsidRPr="00622517">
        <w:t xml:space="preserve"> (LLR) increased dramatically</w:t>
      </w:r>
      <w:r w:rsidR="0084088A" w:rsidRPr="00622517">
        <w:t xml:space="preserve"> (</w:t>
      </w:r>
      <w:r w:rsidR="00721146">
        <w:t>5.9</w:t>
      </w:r>
      <w:r w:rsidR="0084088A" w:rsidRPr="00622517">
        <w:t xml:space="preserve">-fold) </w:t>
      </w:r>
      <w:r w:rsidRPr="00622517">
        <w:t>following a declining trend from 2017 to 2022 (</w:t>
      </w:r>
      <w:r w:rsidR="00EB6106" w:rsidRPr="00622517">
        <w:t>Figure </w:t>
      </w:r>
      <w:r w:rsidRPr="00622517">
        <w:t>2</w:t>
      </w:r>
      <w:r w:rsidR="00181F3B">
        <w:t>1</w:t>
      </w:r>
      <w:r w:rsidR="00EB6106" w:rsidRPr="00622517">
        <w:t>)</w:t>
      </w:r>
      <w:r w:rsidR="0084088A" w:rsidRPr="00622517">
        <w:t>. However, reports in 2023 (</w:t>
      </w:r>
      <w:r w:rsidR="0084088A" w:rsidRPr="00622517">
        <w:rPr>
          <w:i/>
          <w:iCs/>
        </w:rPr>
        <w:t>n </w:t>
      </w:r>
      <w:r w:rsidR="0084088A" w:rsidRPr="00622517">
        <w:t>= 669)</w:t>
      </w:r>
      <w:r w:rsidR="00E979D4" w:rsidRPr="00622517">
        <w:t xml:space="preserve"> were not as high as 2017 (</w:t>
      </w:r>
      <w:r w:rsidR="00E979D4" w:rsidRPr="00622517">
        <w:rPr>
          <w:i/>
          <w:iCs/>
        </w:rPr>
        <w:t>n </w:t>
      </w:r>
      <w:r w:rsidR="00E979D4" w:rsidRPr="00622517">
        <w:t xml:space="preserve">= 730). </w:t>
      </w:r>
      <w:r w:rsidR="00185FAA">
        <w:t xml:space="preserve">In 2023, a little under two-thirds (415/669, 62.0%) </w:t>
      </w:r>
      <w:r w:rsidR="00EB6106" w:rsidRPr="00622517">
        <w:t>of reports were from Victoria (Figure </w:t>
      </w:r>
      <w:r w:rsidR="0084088A" w:rsidRPr="00622517">
        <w:t>2</w:t>
      </w:r>
      <w:r w:rsidR="00181F3B">
        <w:t>2</w:t>
      </w:r>
      <w:r w:rsidR="00EB6106" w:rsidRPr="00622517">
        <w:t>).</w:t>
      </w:r>
    </w:p>
    <w:p w14:paraId="25274BCB" w14:textId="0893ADD2" w:rsidR="00EB6106" w:rsidRPr="00721146" w:rsidRDefault="00463334" w:rsidP="00EB6106">
      <w:r>
        <w:rPr>
          <w:lang w:val="en-GB"/>
        </w:rPr>
        <w:t xml:space="preserve">Gentamicin-resistant </w:t>
      </w:r>
      <w:r>
        <w:rPr>
          <w:i/>
          <w:iCs/>
          <w:lang w:val="en-GB"/>
        </w:rPr>
        <w:t>N. gonorrhoeae</w:t>
      </w:r>
      <w:r>
        <w:rPr>
          <w:lang w:val="en-GB"/>
        </w:rPr>
        <w:t xml:space="preserve"> was added to reporting from 2023. This CAR is yet to be reported to CARAlert. </w:t>
      </w:r>
      <w:r w:rsidR="00EB6106" w:rsidRPr="00C76970">
        <w:rPr>
          <w:color w:val="00A7E5" w:themeColor="accent1"/>
        </w:rPr>
        <w:br w:type="page"/>
      </w:r>
    </w:p>
    <w:p w14:paraId="40AB64D1" w14:textId="07D6BC0E" w:rsidR="009D4D40" w:rsidRPr="009D4D40" w:rsidRDefault="009D4D40" w:rsidP="009D4D40">
      <w:pPr>
        <w:spacing w:before="0" w:after="0"/>
        <w:contextualSpacing/>
        <w:rPr>
          <w:rFonts w:ascii="Arial" w:hAnsi="Arial"/>
          <w:b/>
        </w:rPr>
      </w:pPr>
      <w:r w:rsidRPr="009D4D40">
        <w:rPr>
          <w:rFonts w:ascii="Arial" w:hAnsi="Arial"/>
          <w:b/>
        </w:rPr>
        <w:lastRenderedPageBreak/>
        <w:t>Figure 2</w:t>
      </w:r>
      <w:r w:rsidR="00181F3B">
        <w:rPr>
          <w:rFonts w:ascii="Arial" w:hAnsi="Arial"/>
          <w:b/>
        </w:rPr>
        <w:t>1</w:t>
      </w:r>
      <w:r w:rsidRPr="009D4D40">
        <w:rPr>
          <w:rFonts w:ascii="Arial" w:hAnsi="Arial"/>
          <w:b/>
        </w:rPr>
        <w:t xml:space="preserve">: </w:t>
      </w:r>
      <w:r w:rsidRPr="009D4D40">
        <w:rPr>
          <w:rFonts w:ascii="Arial" w:hAnsi="Arial"/>
          <w:bCs/>
        </w:rPr>
        <w:t xml:space="preserve">Azithromycin-nonsusceptible </w:t>
      </w:r>
      <w:r w:rsidRPr="009D4D40">
        <w:rPr>
          <w:rFonts w:ascii="Arial" w:hAnsi="Arial"/>
          <w:bCs/>
          <w:i/>
        </w:rPr>
        <w:t xml:space="preserve">Neisseria gonorrhoeae </w:t>
      </w:r>
      <w:r w:rsidRPr="009D4D40">
        <w:rPr>
          <w:rFonts w:ascii="Arial" w:hAnsi="Arial"/>
          <w:bCs/>
        </w:rPr>
        <w:t>(low-level resistance)</w:t>
      </w:r>
      <w:r w:rsidRPr="009D4D40">
        <w:rPr>
          <w:rFonts w:ascii="Arial" w:hAnsi="Arial"/>
          <w:bCs/>
          <w:iCs/>
        </w:rPr>
        <w:t xml:space="preserve">, </w:t>
      </w:r>
      <w:r w:rsidRPr="009D4D40">
        <w:rPr>
          <w:rFonts w:ascii="Arial" w:hAnsi="Arial"/>
          <w:bCs/>
        </w:rPr>
        <w:t>number reported to CARAlert by month, national, 2017–2023</w:t>
      </w:r>
      <w:r w:rsidR="00C121D5">
        <w:rPr>
          <w:rFonts w:ascii="Arial" w:hAnsi="Arial"/>
          <w:b/>
          <w:noProof/>
        </w:rPr>
        <w:drawing>
          <wp:inline distT="0" distB="0" distL="0" distR="0" wp14:anchorId="53F920F4" wp14:editId="549A9C63">
            <wp:extent cx="6118227" cy="3239224"/>
            <wp:effectExtent l="0" t="0" r="0" b="0"/>
            <wp:docPr id="52" name="Picture 52"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1"/>
                    <pic:cNvPicPr/>
                  </pic:nvPicPr>
                  <pic:blipFill>
                    <a:blip r:embed="rId49"/>
                    <a:stretch>
                      <a:fillRect/>
                    </a:stretch>
                  </pic:blipFill>
                  <pic:spPr>
                    <a:xfrm>
                      <a:off x="0" y="0"/>
                      <a:ext cx="6118227" cy="3239224"/>
                    </a:xfrm>
                    <a:prstGeom prst="rect">
                      <a:avLst/>
                    </a:prstGeom>
                  </pic:spPr>
                </pic:pic>
              </a:graphicData>
            </a:graphic>
          </wp:inline>
        </w:drawing>
      </w:r>
    </w:p>
    <w:p w14:paraId="0A4775E1" w14:textId="77777777" w:rsidR="009D4D40" w:rsidRPr="009D4D40" w:rsidRDefault="009D4D40" w:rsidP="009D4D40">
      <w:pPr>
        <w:spacing w:after="0"/>
        <w:rPr>
          <w:rFonts w:ascii="Arial" w:hAnsi="Arial"/>
          <w:sz w:val="16"/>
        </w:rPr>
      </w:pPr>
      <w:r w:rsidRPr="009D4D40">
        <w:rPr>
          <w:rFonts w:ascii="Arial" w:hAnsi="Arial"/>
          <w:sz w:val="16"/>
        </w:rPr>
        <w:t>Low-level = azithromycin MIC &lt; 256 mg/L; MIC = minimum inhibitory concentration</w:t>
      </w:r>
    </w:p>
    <w:p w14:paraId="041C7A1A" w14:textId="5EB9FB55" w:rsidR="00374F69" w:rsidRPr="009D4D40" w:rsidRDefault="00374F69" w:rsidP="009D4D40">
      <w:pPr>
        <w:spacing w:before="0" w:after="200"/>
        <w:rPr>
          <w:rFonts w:ascii="Arial" w:hAnsi="Arial"/>
          <w:sz w:val="18"/>
          <w:szCs w:val="18"/>
        </w:rPr>
      </w:pPr>
      <w:r>
        <w:rPr>
          <w:rFonts w:ascii="Arial" w:hAnsi="Arial"/>
          <w:sz w:val="18"/>
          <w:szCs w:val="18"/>
        </w:rPr>
        <w:br/>
      </w:r>
    </w:p>
    <w:p w14:paraId="7C38F832" w14:textId="0B9BD5D8" w:rsidR="009D4D40" w:rsidRPr="009D4D40" w:rsidRDefault="009D4D40" w:rsidP="004429AC">
      <w:pPr>
        <w:spacing w:before="0" w:after="0"/>
        <w:contextualSpacing/>
        <w:rPr>
          <w:rFonts w:ascii="Arial" w:hAnsi="Arial"/>
          <w:b/>
        </w:rPr>
      </w:pPr>
      <w:r w:rsidRPr="009D4D40">
        <w:rPr>
          <w:rFonts w:ascii="Arial" w:hAnsi="Arial"/>
          <w:b/>
        </w:rPr>
        <w:t>Figure 2</w:t>
      </w:r>
      <w:r w:rsidR="00181F3B">
        <w:rPr>
          <w:rFonts w:ascii="Arial" w:hAnsi="Arial"/>
          <w:b/>
        </w:rPr>
        <w:t>2</w:t>
      </w:r>
      <w:r w:rsidRPr="009D4D40">
        <w:rPr>
          <w:rFonts w:ascii="Arial" w:hAnsi="Arial"/>
          <w:b/>
        </w:rPr>
        <w:t xml:space="preserve">: </w:t>
      </w:r>
      <w:r w:rsidRPr="009D4D40">
        <w:rPr>
          <w:rFonts w:ascii="Arial" w:hAnsi="Arial"/>
          <w:bCs/>
        </w:rPr>
        <w:t xml:space="preserve">Azithromycin-nonsusceptible </w:t>
      </w:r>
      <w:r w:rsidRPr="009D4D40">
        <w:rPr>
          <w:rFonts w:ascii="Arial" w:hAnsi="Arial"/>
          <w:bCs/>
          <w:i/>
        </w:rPr>
        <w:t xml:space="preserve">Neisseria gonorrhoeae </w:t>
      </w:r>
      <w:r w:rsidRPr="009D4D40">
        <w:rPr>
          <w:rFonts w:ascii="Arial" w:hAnsi="Arial"/>
          <w:bCs/>
        </w:rPr>
        <w:t>(low-level resistance)</w:t>
      </w:r>
      <w:r w:rsidRPr="009D4D40">
        <w:rPr>
          <w:rFonts w:ascii="Arial" w:hAnsi="Arial"/>
          <w:bCs/>
          <w:iCs/>
        </w:rPr>
        <w:t>,</w:t>
      </w:r>
      <w:r w:rsidRPr="009D4D40">
        <w:rPr>
          <w:rFonts w:ascii="Arial" w:hAnsi="Arial"/>
          <w:bCs/>
          <w:i/>
        </w:rPr>
        <w:t xml:space="preserve"> </w:t>
      </w:r>
      <w:r w:rsidRPr="009D4D40">
        <w:rPr>
          <w:rFonts w:ascii="Arial" w:hAnsi="Arial"/>
          <w:bCs/>
        </w:rPr>
        <w:t>number reported to CARAlert by state and territory, 2017–2023</w:t>
      </w:r>
      <w:r w:rsidR="00C121D5">
        <w:rPr>
          <w:rFonts w:ascii="Arial" w:hAnsi="Arial"/>
          <w:b/>
          <w:noProof/>
        </w:rPr>
        <w:drawing>
          <wp:inline distT="0" distB="0" distL="0" distR="0" wp14:anchorId="7467702B" wp14:editId="1B6DAE53">
            <wp:extent cx="6118227" cy="3239224"/>
            <wp:effectExtent l="0" t="0" r="0" b="0"/>
            <wp:docPr id="53" name="Picture 53"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2"/>
                    <pic:cNvPicPr/>
                  </pic:nvPicPr>
                  <pic:blipFill>
                    <a:blip r:embed="rId50"/>
                    <a:stretch>
                      <a:fillRect/>
                    </a:stretch>
                  </pic:blipFill>
                  <pic:spPr>
                    <a:xfrm>
                      <a:off x="0" y="0"/>
                      <a:ext cx="6118227" cy="3239224"/>
                    </a:xfrm>
                    <a:prstGeom prst="rect">
                      <a:avLst/>
                    </a:prstGeom>
                  </pic:spPr>
                </pic:pic>
              </a:graphicData>
            </a:graphic>
          </wp:inline>
        </w:drawing>
      </w:r>
    </w:p>
    <w:p w14:paraId="30967FBD" w14:textId="77777777" w:rsidR="009D4D40" w:rsidRPr="009D4D40" w:rsidRDefault="009D4D40" w:rsidP="009D4D40">
      <w:pPr>
        <w:spacing w:after="0"/>
        <w:rPr>
          <w:rFonts w:ascii="Arial" w:hAnsi="Arial"/>
          <w:sz w:val="16"/>
        </w:rPr>
      </w:pPr>
      <w:r w:rsidRPr="009D4D40">
        <w:rPr>
          <w:rFonts w:ascii="Arial" w:hAnsi="Arial"/>
          <w:sz w:val="16"/>
        </w:rPr>
        <w:t>Low-level = azithromycin MIC &lt; 256 mg/L; MIC = minimum inhibitory concentration</w:t>
      </w:r>
    </w:p>
    <w:p w14:paraId="6F9366E9" w14:textId="1F7913C3" w:rsidR="009D4D40" w:rsidRPr="009D4D40" w:rsidRDefault="009D4D40" w:rsidP="009D4D40">
      <w:pPr>
        <w:pStyle w:val="FigureTitle"/>
        <w:spacing w:after="0"/>
        <w:rPr>
          <w:b w:val="0"/>
          <w:iCs/>
          <w:sz w:val="16"/>
        </w:rPr>
      </w:pPr>
      <w:r w:rsidRPr="009D4D40">
        <w:rPr>
          <w:rFonts w:ascii="Arial" w:hAnsi="Arial" w:cs="Arial"/>
          <w:b w:val="0"/>
          <w:bCs/>
          <w:spacing w:val="5"/>
          <w:sz w:val="16"/>
          <w:szCs w:val="18"/>
        </w:rPr>
        <w:t>Note: Dark bars indicate values for 2023.</w:t>
      </w:r>
      <w:bookmarkStart w:id="25" w:name="_Toc23230187"/>
      <w:r w:rsidRPr="009D4D40">
        <w:rPr>
          <w:b w:val="0"/>
          <w:iCs/>
          <w:sz w:val="16"/>
        </w:rPr>
        <w:t xml:space="preserve"> </w:t>
      </w:r>
    </w:p>
    <w:p w14:paraId="3AA8FD67" w14:textId="2B66228E" w:rsidR="00EB6106" w:rsidRDefault="00EB6106" w:rsidP="00EB6106">
      <w:pPr>
        <w:rPr>
          <w:i/>
          <w:iCs/>
        </w:rPr>
      </w:pPr>
      <w:r>
        <w:rPr>
          <w:i/>
          <w:iCs/>
        </w:rPr>
        <w:br w:type="page"/>
      </w:r>
    </w:p>
    <w:p w14:paraId="092F836B" w14:textId="77A4469A" w:rsidR="00281DA7" w:rsidRDefault="00281DA7" w:rsidP="00281DA7">
      <w:pPr>
        <w:pStyle w:val="Heading3"/>
        <w:rPr>
          <w:i/>
          <w:iCs w:val="0"/>
        </w:rPr>
      </w:pPr>
      <w:bookmarkStart w:id="26" w:name="_Hlk162424799"/>
      <w:bookmarkStart w:id="27" w:name="_Toc166585580"/>
      <w:r>
        <w:rPr>
          <w:i/>
          <w:iCs w:val="0"/>
        </w:rPr>
        <w:lastRenderedPageBreak/>
        <w:t>Neisseria meningitidis</w:t>
      </w:r>
      <w:bookmarkEnd w:id="26"/>
      <w:bookmarkEnd w:id="27"/>
    </w:p>
    <w:p w14:paraId="71CD3221" w14:textId="17AC9067" w:rsidR="00281DA7" w:rsidRPr="00CA477C" w:rsidRDefault="00281DA7" w:rsidP="00CA477C">
      <w:pPr>
        <w:spacing w:after="80"/>
      </w:pPr>
      <w:r w:rsidRPr="00281DA7">
        <w:rPr>
          <w:i/>
          <w:iCs/>
        </w:rPr>
        <w:t>N</w:t>
      </w:r>
      <w:r w:rsidR="00CA477C">
        <w:rPr>
          <w:i/>
          <w:iCs/>
        </w:rPr>
        <w:t>. </w:t>
      </w:r>
      <w:r w:rsidRPr="00281DA7">
        <w:rPr>
          <w:i/>
          <w:iCs/>
        </w:rPr>
        <w:t>meningitidis</w:t>
      </w:r>
      <w:r>
        <w:rPr>
          <w:i/>
          <w:iCs/>
        </w:rPr>
        <w:t xml:space="preserve"> </w:t>
      </w:r>
      <w:r w:rsidR="00CA477C">
        <w:t xml:space="preserve">causes </w:t>
      </w:r>
      <w:r w:rsidR="00CA477C" w:rsidRPr="00CA477C">
        <w:t>meningococcal disease</w:t>
      </w:r>
      <w:r w:rsidR="00CA477C">
        <w:t xml:space="preserve">, commonly </w:t>
      </w:r>
      <w:r w:rsidR="00CA477C" w:rsidRPr="00CA477C">
        <w:t>meningitis</w:t>
      </w:r>
      <w:r w:rsidR="00CA477C">
        <w:t xml:space="preserve">, which is an infection of the membrane covering of the brain and spinal cord known as </w:t>
      </w:r>
      <w:r w:rsidR="00FE41DB">
        <w:t xml:space="preserve">the </w:t>
      </w:r>
      <w:r w:rsidR="00CA477C">
        <w:t xml:space="preserve">meninges. Ciprofloxacin-nonsusceptible </w:t>
      </w:r>
      <w:r w:rsidR="00CA477C">
        <w:rPr>
          <w:i/>
          <w:iCs/>
        </w:rPr>
        <w:t>N.</w:t>
      </w:r>
      <w:r w:rsidR="00CA477C">
        <w:t> </w:t>
      </w:r>
      <w:r w:rsidR="00CA477C" w:rsidRPr="00CA477C">
        <w:rPr>
          <w:i/>
          <w:iCs/>
        </w:rPr>
        <w:t>mening</w:t>
      </w:r>
      <w:r w:rsidR="00CA477C">
        <w:rPr>
          <w:i/>
          <w:iCs/>
        </w:rPr>
        <w:t xml:space="preserve">itidis </w:t>
      </w:r>
      <w:r w:rsidR="00CA477C">
        <w:t xml:space="preserve">was added to reporting </w:t>
      </w:r>
      <w:r w:rsidR="00FE41DB">
        <w:t xml:space="preserve">to CARAlert </w:t>
      </w:r>
      <w:r w:rsidR="00D576F8">
        <w:t>from</w:t>
      </w:r>
      <w:r w:rsidR="00FE41DB">
        <w:t xml:space="preserve"> 2023. </w:t>
      </w:r>
      <w:r w:rsidR="00185FAA">
        <w:t>There were</w:t>
      </w:r>
      <w:r w:rsidR="00FE41DB">
        <w:t xml:space="preserve"> four reports of this CAR in 2023</w:t>
      </w:r>
      <w:r w:rsidR="00167B29">
        <w:t xml:space="preserve">, </w:t>
      </w:r>
      <w:r w:rsidR="00185FAA">
        <w:t>all</w:t>
      </w:r>
      <w:r w:rsidR="00FE41DB">
        <w:t xml:space="preserve"> </w:t>
      </w:r>
      <w:r w:rsidR="00167B29">
        <w:t xml:space="preserve">of which were </w:t>
      </w:r>
      <w:r w:rsidR="00FE41DB">
        <w:t>from Victoria.</w:t>
      </w:r>
    </w:p>
    <w:p w14:paraId="000E2C58" w14:textId="77777777" w:rsidR="00EB6106" w:rsidRDefault="00EB6106" w:rsidP="00EB6106">
      <w:pPr>
        <w:pStyle w:val="Heading3"/>
        <w:rPr>
          <w:i/>
          <w:iCs w:val="0"/>
        </w:rPr>
      </w:pPr>
      <w:bookmarkStart w:id="28" w:name="_Toc166585581"/>
      <w:r w:rsidRPr="00256775">
        <w:rPr>
          <w:i/>
          <w:iCs w:val="0"/>
        </w:rPr>
        <w:t>Pseudomonas aeruginosa</w:t>
      </w:r>
      <w:bookmarkEnd w:id="25"/>
      <w:bookmarkEnd w:id="28"/>
    </w:p>
    <w:p w14:paraId="3AC7C9DE" w14:textId="77777777" w:rsidR="00EB6106" w:rsidRPr="00DA6550" w:rsidRDefault="00EB6106" w:rsidP="00EB6106">
      <w:r w:rsidRPr="00AF0035">
        <w:rPr>
          <w:i/>
          <w:iCs/>
        </w:rPr>
        <w:t>P. aeruginosa</w:t>
      </w:r>
      <w:r w:rsidRPr="00AF0035">
        <w:t xml:space="preserve"> infections primarily affect hospitalised or immunocompromised patients. Patients with catheters or drains are considered at high risk for carbapenemase </w:t>
      </w:r>
      <w:r>
        <w:t>acquisition</w:t>
      </w:r>
      <w:r w:rsidRPr="00AF0035">
        <w:t xml:space="preserve">. </w:t>
      </w:r>
      <w:r w:rsidRPr="00DA6550">
        <w:t xml:space="preserve">Reporting for carbapenemase-producing </w:t>
      </w:r>
      <w:r w:rsidRPr="00DA6550">
        <w:rPr>
          <w:i/>
        </w:rPr>
        <w:t>P. aeruginosa</w:t>
      </w:r>
      <w:r w:rsidRPr="00DA6550">
        <w:t xml:space="preserve"> began in July 2019.</w:t>
      </w:r>
    </w:p>
    <w:p w14:paraId="1D980F56" w14:textId="62248F3C" w:rsidR="00EB6106" w:rsidRPr="00F56344" w:rsidRDefault="00EB6106" w:rsidP="00EB6106">
      <w:pPr>
        <w:rPr>
          <w:i/>
          <w:iCs/>
        </w:rPr>
      </w:pPr>
      <w:r w:rsidRPr="0005262B">
        <w:t xml:space="preserve">In 2023, 75 carbapenemase-producing </w:t>
      </w:r>
      <w:r w:rsidRPr="0005262B">
        <w:rPr>
          <w:i/>
          <w:iCs/>
        </w:rPr>
        <w:t>P. aeruginosa</w:t>
      </w:r>
      <w:r w:rsidRPr="0005262B">
        <w:t xml:space="preserve"> were reported from five states: NSW </w:t>
      </w:r>
      <w:r w:rsidRPr="0005262B">
        <w:rPr>
          <w:rFonts w:cs="Arial"/>
          <w:lang w:val="en-GB"/>
        </w:rPr>
        <w:t>(</w:t>
      </w:r>
      <w:r w:rsidRPr="0005262B">
        <w:rPr>
          <w:rFonts w:cs="Arial"/>
          <w:i/>
          <w:iCs/>
          <w:lang w:val="en-GB"/>
        </w:rPr>
        <w:t>n</w:t>
      </w:r>
      <w:r w:rsidRPr="0005262B">
        <w:rPr>
          <w:rFonts w:cs="Arial"/>
          <w:lang w:val="en-GB"/>
        </w:rPr>
        <w:t> = </w:t>
      </w:r>
      <w:r w:rsidRPr="0005262B">
        <w:t xml:space="preserve">33), Victoria </w:t>
      </w:r>
      <w:r w:rsidRPr="0005262B">
        <w:rPr>
          <w:rFonts w:cs="Arial"/>
          <w:lang w:val="en-GB"/>
        </w:rPr>
        <w:t>(</w:t>
      </w:r>
      <w:r w:rsidRPr="0005262B">
        <w:rPr>
          <w:rFonts w:cs="Arial"/>
          <w:i/>
          <w:iCs/>
          <w:lang w:val="en-GB"/>
        </w:rPr>
        <w:t>n</w:t>
      </w:r>
      <w:r w:rsidRPr="0005262B">
        <w:rPr>
          <w:rFonts w:cs="Arial"/>
          <w:lang w:val="en-GB"/>
        </w:rPr>
        <w:t> = </w:t>
      </w:r>
      <w:r w:rsidRPr="0005262B">
        <w:t xml:space="preserve">20), WA </w:t>
      </w:r>
      <w:r w:rsidRPr="0005262B">
        <w:rPr>
          <w:rFonts w:cs="Arial"/>
          <w:lang w:val="en-GB"/>
        </w:rPr>
        <w:t>(</w:t>
      </w:r>
      <w:r w:rsidRPr="0005262B">
        <w:rPr>
          <w:rFonts w:cs="Arial"/>
          <w:i/>
          <w:iCs/>
          <w:lang w:val="en-GB"/>
        </w:rPr>
        <w:t>n</w:t>
      </w:r>
      <w:r w:rsidRPr="0005262B">
        <w:rPr>
          <w:rFonts w:cs="Arial"/>
          <w:lang w:val="en-GB"/>
        </w:rPr>
        <w:t> = </w:t>
      </w:r>
      <w:r w:rsidRPr="0005262B">
        <w:t xml:space="preserve">9), Queensland </w:t>
      </w:r>
      <w:r w:rsidRPr="0005262B">
        <w:rPr>
          <w:rFonts w:cs="Arial"/>
          <w:lang w:val="en-GB"/>
        </w:rPr>
        <w:t>(</w:t>
      </w:r>
      <w:r w:rsidRPr="0005262B">
        <w:rPr>
          <w:rFonts w:cs="Arial"/>
          <w:i/>
          <w:iCs/>
          <w:lang w:val="en-GB"/>
        </w:rPr>
        <w:t>n</w:t>
      </w:r>
      <w:r w:rsidRPr="0005262B">
        <w:rPr>
          <w:rFonts w:cs="Arial"/>
          <w:lang w:val="en-GB"/>
        </w:rPr>
        <w:t> = </w:t>
      </w:r>
      <w:r w:rsidRPr="0005262B">
        <w:t xml:space="preserve">8) and SA </w:t>
      </w:r>
      <w:r w:rsidRPr="0005262B">
        <w:rPr>
          <w:rFonts w:cs="Arial"/>
          <w:lang w:val="en-GB"/>
        </w:rPr>
        <w:t>(</w:t>
      </w:r>
      <w:r w:rsidRPr="0005262B">
        <w:rPr>
          <w:rFonts w:cs="Arial"/>
          <w:i/>
          <w:iCs/>
          <w:lang w:val="en-GB"/>
        </w:rPr>
        <w:t>n</w:t>
      </w:r>
      <w:r w:rsidRPr="0005262B">
        <w:rPr>
          <w:rFonts w:cs="Arial"/>
          <w:lang w:val="en-GB"/>
        </w:rPr>
        <w:t> = </w:t>
      </w:r>
      <w:r w:rsidRPr="0005262B">
        <w:t>5). This was a</w:t>
      </w:r>
      <w:r>
        <w:t>n</w:t>
      </w:r>
      <w:r w:rsidRPr="0005262B">
        <w:t xml:space="preserve"> increase from 2022 (</w:t>
      </w:r>
      <w:r w:rsidRPr="0005262B">
        <w:rPr>
          <w:i/>
          <w:iCs/>
        </w:rPr>
        <w:t>n</w:t>
      </w:r>
      <w:r w:rsidRPr="0005262B">
        <w:t> = 57, up 31.6%) (Figures 2</w:t>
      </w:r>
      <w:r w:rsidR="00181F3B">
        <w:t>3</w:t>
      </w:r>
      <w:r w:rsidRPr="0005262B">
        <w:t xml:space="preserve"> and </w:t>
      </w:r>
      <w:r w:rsidRPr="00AF040B">
        <w:t>2</w:t>
      </w:r>
      <w:r w:rsidR="00181F3B">
        <w:t>4</w:t>
      </w:r>
      <w:r w:rsidRPr="00AF040B">
        <w:t>). Almost all produced either GES (</w:t>
      </w:r>
      <w:r w:rsidRPr="00AF040B">
        <w:rPr>
          <w:i/>
          <w:iCs/>
        </w:rPr>
        <w:t>n</w:t>
      </w:r>
      <w:r w:rsidRPr="00AF040B">
        <w:t> = 32), NDM (</w:t>
      </w:r>
      <w:r w:rsidRPr="00AF040B">
        <w:rPr>
          <w:i/>
          <w:iCs/>
        </w:rPr>
        <w:t>n</w:t>
      </w:r>
      <w:r w:rsidRPr="00AF040B">
        <w:t> = 1</w:t>
      </w:r>
      <w:r w:rsidR="00EB0A7E">
        <w:t>8</w:t>
      </w:r>
      <w:r w:rsidRPr="00AF040B">
        <w:t>), VIM (</w:t>
      </w:r>
      <w:r w:rsidRPr="00AF040B">
        <w:rPr>
          <w:i/>
          <w:iCs/>
        </w:rPr>
        <w:t>n</w:t>
      </w:r>
      <w:r w:rsidRPr="00AF040B">
        <w:t> = 1</w:t>
      </w:r>
      <w:r w:rsidR="00EB0A7E">
        <w:t>4</w:t>
      </w:r>
      <w:r w:rsidRPr="00AF040B">
        <w:t>)</w:t>
      </w:r>
      <w:r w:rsidR="00EB0A7E">
        <w:t xml:space="preserve">, </w:t>
      </w:r>
      <w:r w:rsidRPr="00AF040B">
        <w:t>IMP types (</w:t>
      </w:r>
      <w:r w:rsidRPr="00AF040B">
        <w:rPr>
          <w:i/>
          <w:iCs/>
        </w:rPr>
        <w:t>n</w:t>
      </w:r>
      <w:r w:rsidRPr="00AF040B">
        <w:t> = 10)</w:t>
      </w:r>
      <w:r w:rsidR="00EB0A7E">
        <w:t>, or IMP+NDM (</w:t>
      </w:r>
      <w:r w:rsidR="00EB0A7E" w:rsidRPr="00471205">
        <w:rPr>
          <w:i/>
          <w:iCs/>
        </w:rPr>
        <w:t>n</w:t>
      </w:r>
      <w:r w:rsidR="00EB0A7E" w:rsidRPr="00471205">
        <w:t> = </w:t>
      </w:r>
      <w:r w:rsidR="00EB0A7E">
        <w:t>1)</w:t>
      </w:r>
      <w:r w:rsidRPr="00AF040B">
        <w:t xml:space="preserve">. </w:t>
      </w:r>
      <w:r w:rsidRPr="00F56344">
        <w:t>GES-types dominated the reports from NSW (28/33, 8</w:t>
      </w:r>
      <w:r w:rsidR="0070464E">
        <w:t>4.8</w:t>
      </w:r>
      <w:r w:rsidRPr="00F56344">
        <w:t>%), while VIM-types were most common in reports from Victoria (9/20, 45</w:t>
      </w:r>
      <w:r w:rsidR="00EB0A7E">
        <w:t>.0</w:t>
      </w:r>
      <w:r w:rsidRPr="00F56344">
        <w:t xml:space="preserve">%). NDM-types were reported from </w:t>
      </w:r>
      <w:r w:rsidR="00311A57">
        <w:t xml:space="preserve">all </w:t>
      </w:r>
      <w:r w:rsidRPr="00F56344">
        <w:t>states</w:t>
      </w:r>
      <w:r w:rsidR="00EB0A7E">
        <w:t xml:space="preserve"> except Tasmania</w:t>
      </w:r>
      <w:r w:rsidRPr="00F56344">
        <w:t>.</w:t>
      </w:r>
    </w:p>
    <w:p w14:paraId="6D911481" w14:textId="08D56936" w:rsidR="00EB6106" w:rsidRPr="00CB2355" w:rsidRDefault="00EC3D23" w:rsidP="00EB6106">
      <w:pPr>
        <w:rPr>
          <w:b/>
        </w:rPr>
      </w:pPr>
      <w:r>
        <w:t>Where setting was known</w:t>
      </w:r>
      <w:r w:rsidR="00787CE6">
        <w:t xml:space="preserve"> (70/75, 93.3%)</w:t>
      </w:r>
      <w:r>
        <w:t>, a</w:t>
      </w:r>
      <w:r w:rsidR="00EB6106" w:rsidRPr="00CB2355">
        <w:t xml:space="preserve"> substantial majority (56/</w:t>
      </w:r>
      <w:r w:rsidR="00311A57" w:rsidRPr="00CB2355">
        <w:t>7</w:t>
      </w:r>
      <w:r w:rsidR="00EB0A7E">
        <w:t>0</w:t>
      </w:r>
      <w:r w:rsidR="00EB6106" w:rsidRPr="00CB2355">
        <w:t xml:space="preserve">, </w:t>
      </w:r>
      <w:r w:rsidR="00EB0A7E">
        <w:t>80.0</w:t>
      </w:r>
      <w:r w:rsidR="00EB6106" w:rsidRPr="00CB2355">
        <w:t xml:space="preserve">%) of carbapenemase-producing </w:t>
      </w:r>
      <w:r w:rsidR="00EB6106" w:rsidRPr="00CB2355">
        <w:rPr>
          <w:i/>
          <w:iCs/>
        </w:rPr>
        <w:t>P. aeruginosa</w:t>
      </w:r>
      <w:r w:rsidR="00EB6106" w:rsidRPr="00CB2355">
        <w:t xml:space="preserve"> were reported from hospitals (Table 5).</w:t>
      </w:r>
    </w:p>
    <w:p w14:paraId="2955CBF2" w14:textId="77F6B16F" w:rsidR="00D24D35" w:rsidRDefault="00400141" w:rsidP="004429AC">
      <w:pPr>
        <w:keepNext/>
        <w:spacing w:before="0" w:after="0"/>
        <w:rPr>
          <w:rFonts w:ascii="Arial" w:hAnsi="Arial"/>
          <w:bCs/>
        </w:rPr>
      </w:pPr>
      <w:r w:rsidRPr="00400141">
        <w:rPr>
          <w:rFonts w:ascii="Arial" w:hAnsi="Arial"/>
          <w:b/>
        </w:rPr>
        <w:t>Figure 2</w:t>
      </w:r>
      <w:r w:rsidR="00181F3B">
        <w:rPr>
          <w:rFonts w:ascii="Arial" w:hAnsi="Arial"/>
          <w:b/>
        </w:rPr>
        <w:t>3</w:t>
      </w:r>
      <w:r w:rsidRPr="00400141">
        <w:rPr>
          <w:rFonts w:ascii="Arial" w:hAnsi="Arial"/>
          <w:b/>
        </w:rPr>
        <w:t xml:space="preserve">: </w:t>
      </w:r>
      <w:r w:rsidRPr="00400141">
        <w:rPr>
          <w:rFonts w:ascii="Arial" w:hAnsi="Arial"/>
          <w:bCs/>
        </w:rPr>
        <w:t xml:space="preserve">Carbapenemase-producing </w:t>
      </w:r>
      <w:r w:rsidRPr="00400141">
        <w:rPr>
          <w:rFonts w:ascii="Arial" w:hAnsi="Arial"/>
          <w:bCs/>
          <w:i/>
          <w:iCs/>
        </w:rPr>
        <w:t>Pseudomonas aeruginosa</w:t>
      </w:r>
      <w:r w:rsidRPr="00400141">
        <w:rPr>
          <w:rFonts w:ascii="Arial" w:hAnsi="Arial"/>
          <w:bCs/>
        </w:rPr>
        <w:t xml:space="preserve">, number reported to CARAlert by specimen type, national, </w:t>
      </w:r>
      <w:r w:rsidR="00180170">
        <w:rPr>
          <w:rFonts w:ascii="Arial" w:hAnsi="Arial"/>
          <w:bCs/>
        </w:rPr>
        <w:t>2019–</w:t>
      </w:r>
      <w:r w:rsidRPr="00400141">
        <w:rPr>
          <w:rFonts w:ascii="Arial" w:hAnsi="Arial"/>
          <w:bCs/>
        </w:rPr>
        <w:t>2023</w:t>
      </w:r>
      <w:r w:rsidR="00C121D5">
        <w:rPr>
          <w:rFonts w:ascii="Arial" w:hAnsi="Arial"/>
          <w:bCs/>
          <w:noProof/>
        </w:rPr>
        <w:drawing>
          <wp:inline distT="0" distB="0" distL="0" distR="0" wp14:anchorId="4E01F79E" wp14:editId="2949DE71">
            <wp:extent cx="6118227" cy="3239224"/>
            <wp:effectExtent l="0" t="0" r="0" b="0"/>
            <wp:docPr id="54" name="Picture 54"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23"/>
                    <pic:cNvPicPr/>
                  </pic:nvPicPr>
                  <pic:blipFill>
                    <a:blip r:embed="rId51"/>
                    <a:stretch>
                      <a:fillRect/>
                    </a:stretch>
                  </pic:blipFill>
                  <pic:spPr>
                    <a:xfrm>
                      <a:off x="0" y="0"/>
                      <a:ext cx="6118227" cy="3239224"/>
                    </a:xfrm>
                    <a:prstGeom prst="rect">
                      <a:avLst/>
                    </a:prstGeom>
                  </pic:spPr>
                </pic:pic>
              </a:graphicData>
            </a:graphic>
          </wp:inline>
        </w:drawing>
      </w:r>
    </w:p>
    <w:p w14:paraId="6A4C1AAC" w14:textId="4AE80978" w:rsidR="00400141" w:rsidRPr="00400141" w:rsidRDefault="00D24D35" w:rsidP="004429AC">
      <w:pPr>
        <w:keepNext/>
        <w:spacing w:before="0" w:after="0"/>
        <w:rPr>
          <w:rFonts w:ascii="Arial" w:hAnsi="Arial"/>
          <w:bCs/>
        </w:rPr>
      </w:pPr>
      <w:r w:rsidRPr="00D24D35">
        <w:rPr>
          <w:bCs/>
          <w:sz w:val="16"/>
          <w:szCs w:val="16"/>
        </w:rPr>
        <w:t>Note</w:t>
      </w:r>
      <w:r>
        <w:rPr>
          <w:bCs/>
          <w:sz w:val="16"/>
          <w:szCs w:val="16"/>
        </w:rPr>
        <w:t>: Reported from July 2019.</w:t>
      </w:r>
      <w:r w:rsidR="00400141" w:rsidRPr="00400141">
        <w:rPr>
          <w:rFonts w:ascii="Arial" w:hAnsi="Arial"/>
          <w:bCs/>
        </w:rPr>
        <w:br w:type="page"/>
      </w:r>
    </w:p>
    <w:p w14:paraId="04A81DDE" w14:textId="09CCFFF1" w:rsidR="00400141" w:rsidRPr="00400141" w:rsidRDefault="00400141" w:rsidP="004429AC">
      <w:pPr>
        <w:keepNext/>
        <w:spacing w:before="0" w:after="0"/>
        <w:contextualSpacing/>
        <w:rPr>
          <w:rFonts w:ascii="Arial" w:hAnsi="Arial"/>
          <w:bCs/>
        </w:rPr>
      </w:pPr>
      <w:r w:rsidRPr="00400141">
        <w:rPr>
          <w:rFonts w:ascii="Arial" w:hAnsi="Arial"/>
          <w:b/>
        </w:rPr>
        <w:lastRenderedPageBreak/>
        <w:t>Figure 2</w:t>
      </w:r>
      <w:r w:rsidR="00181F3B">
        <w:rPr>
          <w:rFonts w:ascii="Arial" w:hAnsi="Arial"/>
          <w:b/>
        </w:rPr>
        <w:t>4</w:t>
      </w:r>
      <w:r w:rsidRPr="00400141">
        <w:rPr>
          <w:rFonts w:ascii="Arial" w:hAnsi="Arial"/>
          <w:b/>
        </w:rPr>
        <w:t xml:space="preserve">: </w:t>
      </w:r>
      <w:r w:rsidRPr="00400141">
        <w:rPr>
          <w:rFonts w:ascii="Arial" w:hAnsi="Arial"/>
          <w:bCs/>
        </w:rPr>
        <w:t xml:space="preserve">Carbapenemase-producing </w:t>
      </w:r>
      <w:r w:rsidRPr="00400141">
        <w:rPr>
          <w:rFonts w:ascii="Arial" w:hAnsi="Arial"/>
          <w:bCs/>
          <w:i/>
          <w:iCs/>
        </w:rPr>
        <w:t>Pseudomonas aeruginosa</w:t>
      </w:r>
      <w:r w:rsidRPr="00400141">
        <w:rPr>
          <w:rFonts w:ascii="Arial" w:hAnsi="Arial"/>
          <w:bCs/>
        </w:rPr>
        <w:t>, number reported to CARAlert by carbapenemase type and specimen type, by state and territory, 2023</w:t>
      </w:r>
      <w:r w:rsidR="00C121D5">
        <w:rPr>
          <w:rFonts w:ascii="Arial" w:hAnsi="Arial"/>
          <w:bCs/>
          <w:noProof/>
        </w:rPr>
        <w:drawing>
          <wp:inline distT="0" distB="0" distL="0" distR="0" wp14:anchorId="18837F91" wp14:editId="27D804CA">
            <wp:extent cx="6118227" cy="3239224"/>
            <wp:effectExtent l="0" t="0" r="0" b="0"/>
            <wp:docPr id="55" name="Picture 55"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4"/>
                    <pic:cNvPicPr/>
                  </pic:nvPicPr>
                  <pic:blipFill>
                    <a:blip r:embed="rId52"/>
                    <a:stretch>
                      <a:fillRect/>
                    </a:stretch>
                  </pic:blipFill>
                  <pic:spPr>
                    <a:xfrm>
                      <a:off x="0" y="0"/>
                      <a:ext cx="6118227" cy="3239224"/>
                    </a:xfrm>
                    <a:prstGeom prst="rect">
                      <a:avLst/>
                    </a:prstGeom>
                  </pic:spPr>
                </pic:pic>
              </a:graphicData>
            </a:graphic>
          </wp:inline>
        </w:drawing>
      </w:r>
    </w:p>
    <w:p w14:paraId="47350935" w14:textId="77777777" w:rsidR="00EB6106" w:rsidRPr="00A556BB" w:rsidRDefault="00EB6106" w:rsidP="00EB6106">
      <w:pPr>
        <w:rPr>
          <w:rStyle w:val="IntenseReference"/>
          <w:b w:val="0"/>
          <w:bCs w:val="0"/>
          <w:i w:val="0"/>
          <w:smallCaps w:val="0"/>
        </w:rPr>
      </w:pPr>
      <w:r w:rsidRPr="00CB2355">
        <w:rPr>
          <w:b/>
          <w:bCs/>
        </w:rPr>
        <w:t>Table 5:</w:t>
      </w:r>
      <w:r>
        <w:t xml:space="preserve"> </w:t>
      </w:r>
      <w:r w:rsidRPr="005656DA">
        <w:rPr>
          <w:bCs/>
        </w:rPr>
        <w:t xml:space="preserve">Carbapenemase-producing </w:t>
      </w:r>
      <w:r w:rsidRPr="005656DA">
        <w:rPr>
          <w:bCs/>
          <w:i/>
          <w:iCs/>
        </w:rPr>
        <w:t>Pseudomonas aeruginosa</w:t>
      </w:r>
      <w:r w:rsidRPr="005656DA">
        <w:rPr>
          <w:bCs/>
        </w:rPr>
        <w:t>, number reported</w:t>
      </w:r>
      <w:r w:rsidRPr="00E961B6">
        <w:rPr>
          <w:bCs/>
        </w:rPr>
        <w:t xml:space="preserve"> to CARAlert </w:t>
      </w:r>
      <w:r w:rsidRPr="005656DA">
        <w:rPr>
          <w:bCs/>
        </w:rPr>
        <w:t xml:space="preserve">by setting and state and territory, </w:t>
      </w:r>
      <w:proofErr w:type="gramStart"/>
      <w:r w:rsidRPr="00C8139F">
        <w:rPr>
          <w:bCs/>
        </w:rPr>
        <w:t>202</w:t>
      </w:r>
      <w:r>
        <w:t>3</w:t>
      </w:r>
      <w:proofErr w:type="gramEnd"/>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5"/>
      </w:tblPr>
      <w:tblGrid>
        <w:gridCol w:w="1802"/>
        <w:gridCol w:w="869"/>
        <w:gridCol w:w="869"/>
        <w:gridCol w:w="861"/>
        <w:gridCol w:w="861"/>
        <w:gridCol w:w="850"/>
        <w:gridCol w:w="850"/>
        <w:gridCol w:w="850"/>
        <w:gridCol w:w="911"/>
        <w:gridCol w:w="909"/>
      </w:tblGrid>
      <w:tr w:rsidR="00EB6106" w:rsidRPr="00DD2BB0" w14:paraId="3D14639C" w14:textId="77777777" w:rsidTr="004429AC">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58AF1EB4" w14:textId="77777777" w:rsidR="00EB6106" w:rsidRDefault="00EB6106" w:rsidP="000E7D5C">
            <w:pPr>
              <w:pStyle w:val="Normal-beforebullets"/>
              <w:rPr>
                <w:rFonts w:cstheme="minorHAnsi"/>
                <w:b w:val="0"/>
                <w:szCs w:val="18"/>
              </w:rPr>
            </w:pPr>
          </w:p>
        </w:tc>
        <w:tc>
          <w:tcPr>
            <w:tcW w:w="3592" w:type="pct"/>
            <w:gridSpan w:val="8"/>
            <w:tcBorders>
              <w:top w:val="single" w:sz="4" w:space="0" w:color="auto"/>
              <w:left w:val="single" w:sz="2" w:space="0" w:color="auto"/>
              <w:bottom w:val="single" w:sz="4" w:space="0" w:color="auto"/>
              <w:right w:val="single" w:sz="2" w:space="0" w:color="auto"/>
            </w:tcBorders>
            <w:shd w:val="clear" w:color="auto" w:fill="86D3F2" w:themeFill="background2" w:themeFillTint="66"/>
            <w:vAlign w:val="center"/>
          </w:tcPr>
          <w:p w14:paraId="5139C12C" w14:textId="77777777" w:rsidR="00EB6106" w:rsidRPr="00DD2BB0" w:rsidRDefault="00EB6106" w:rsidP="00D07D71">
            <w:pPr>
              <w:pStyle w:val="Normal-beforebullets"/>
              <w:jc w:val="center"/>
              <w:rPr>
                <w:rFonts w:cstheme="minorHAnsi"/>
                <w:b w:val="0"/>
                <w:szCs w:val="18"/>
              </w:rPr>
            </w:pPr>
            <w:r w:rsidRPr="00DD2BB0">
              <w:rPr>
                <w:rFonts w:cstheme="minorHAnsi"/>
                <w:szCs w:val="18"/>
              </w:rPr>
              <w:t>State or territ</w:t>
            </w:r>
            <w:r>
              <w:rPr>
                <w:rFonts w:cstheme="minorHAnsi"/>
                <w:szCs w:val="18"/>
              </w:rPr>
              <w:t>or</w:t>
            </w:r>
            <w:r w:rsidRPr="00DD2BB0">
              <w:rPr>
                <w:rFonts w:cstheme="minorHAnsi"/>
                <w:szCs w:val="18"/>
              </w:rPr>
              <w:t>y</w:t>
            </w:r>
          </w:p>
        </w:tc>
        <w:tc>
          <w:tcPr>
            <w:tcW w:w="472"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2FB49066" w14:textId="77777777" w:rsidR="00EB6106" w:rsidRPr="00DD2BB0" w:rsidRDefault="00EB6106" w:rsidP="000E7D5C">
            <w:pPr>
              <w:pStyle w:val="Normal-beforebullets"/>
              <w:rPr>
                <w:rFonts w:cstheme="minorHAnsi"/>
                <w:b w:val="0"/>
                <w:szCs w:val="18"/>
              </w:rPr>
            </w:pPr>
          </w:p>
        </w:tc>
      </w:tr>
      <w:tr w:rsidR="00D07D71" w:rsidRPr="00DD2BB0" w14:paraId="38132818" w14:textId="77777777" w:rsidTr="004429AC">
        <w:trPr>
          <w:trHeight w:hRule="exact" w:val="340"/>
        </w:trPr>
        <w:tc>
          <w:tcPr>
            <w:tcW w:w="936"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523E273F" w14:textId="77777777" w:rsidR="00EB6106" w:rsidRPr="00DD2BB0" w:rsidRDefault="00EB6106" w:rsidP="000E7D5C">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themeFill="background2" w:themeFillTint="66"/>
            <w:vAlign w:val="center"/>
          </w:tcPr>
          <w:p w14:paraId="357471FB" w14:textId="77777777" w:rsidR="00EB6106" w:rsidRPr="00DD2BB0" w:rsidRDefault="00EB6106" w:rsidP="000E7D5C">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themeFill="background2" w:themeFillTint="66"/>
            <w:vAlign w:val="center"/>
          </w:tcPr>
          <w:p w14:paraId="4F4578B5" w14:textId="77777777" w:rsidR="00EB6106" w:rsidRPr="00DD2BB0" w:rsidRDefault="00EB6106" w:rsidP="000E7D5C">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themeFill="background2" w:themeFillTint="66"/>
            <w:vAlign w:val="center"/>
          </w:tcPr>
          <w:p w14:paraId="37349F61" w14:textId="77777777" w:rsidR="00EB6106" w:rsidRPr="00DD2BB0" w:rsidRDefault="00EB6106" w:rsidP="000E7D5C">
            <w:pPr>
              <w:pStyle w:val="Normal-beforebullets"/>
              <w:jc w:val="center"/>
              <w:rPr>
                <w:rFonts w:cstheme="minorHAnsi"/>
                <w:b/>
                <w:szCs w:val="18"/>
              </w:rPr>
            </w:pPr>
            <w:r w:rsidRPr="00DD2BB0">
              <w:rPr>
                <w:rFonts w:cstheme="minorHAnsi"/>
                <w:b/>
                <w:szCs w:val="18"/>
              </w:rPr>
              <w:t>Qld</w:t>
            </w:r>
          </w:p>
        </w:tc>
        <w:tc>
          <w:tcPr>
            <w:tcW w:w="447" w:type="pct"/>
            <w:tcBorders>
              <w:top w:val="single" w:sz="4" w:space="0" w:color="auto"/>
              <w:bottom w:val="single" w:sz="4" w:space="0" w:color="auto"/>
            </w:tcBorders>
            <w:shd w:val="clear" w:color="auto" w:fill="86D3F2" w:themeFill="background2" w:themeFillTint="66"/>
            <w:vAlign w:val="center"/>
          </w:tcPr>
          <w:p w14:paraId="78D32E17" w14:textId="77777777" w:rsidR="00EB6106" w:rsidRPr="00DD2BB0" w:rsidRDefault="00EB6106" w:rsidP="000E7D5C">
            <w:pPr>
              <w:pStyle w:val="Normal-beforebullets"/>
              <w:jc w:val="center"/>
              <w:rPr>
                <w:rFonts w:cstheme="minorHAnsi"/>
                <w:b/>
                <w:szCs w:val="18"/>
              </w:rPr>
            </w:pPr>
            <w:r w:rsidRPr="00DD2BB0">
              <w:rPr>
                <w:rFonts w:cstheme="minorHAnsi"/>
                <w:b/>
                <w:szCs w:val="18"/>
              </w:rPr>
              <w:t>SA</w:t>
            </w:r>
          </w:p>
        </w:tc>
        <w:tc>
          <w:tcPr>
            <w:tcW w:w="441" w:type="pct"/>
            <w:tcBorders>
              <w:top w:val="single" w:sz="4" w:space="0" w:color="auto"/>
              <w:bottom w:val="single" w:sz="4" w:space="0" w:color="auto"/>
            </w:tcBorders>
            <w:shd w:val="clear" w:color="auto" w:fill="86D3F2" w:themeFill="background2" w:themeFillTint="66"/>
            <w:vAlign w:val="center"/>
          </w:tcPr>
          <w:p w14:paraId="589C3119" w14:textId="77777777" w:rsidR="00EB6106" w:rsidRPr="00DD2BB0" w:rsidRDefault="00EB6106" w:rsidP="000E7D5C">
            <w:pPr>
              <w:pStyle w:val="Normal-beforebullets"/>
              <w:jc w:val="center"/>
              <w:rPr>
                <w:rFonts w:cstheme="minorHAnsi"/>
                <w:b/>
                <w:szCs w:val="18"/>
              </w:rPr>
            </w:pPr>
            <w:r w:rsidRPr="00DD2BB0">
              <w:rPr>
                <w:rFonts w:cstheme="minorHAnsi"/>
                <w:b/>
                <w:szCs w:val="18"/>
              </w:rPr>
              <w:t>WA</w:t>
            </w:r>
          </w:p>
        </w:tc>
        <w:tc>
          <w:tcPr>
            <w:tcW w:w="441" w:type="pct"/>
            <w:tcBorders>
              <w:top w:val="single" w:sz="4" w:space="0" w:color="auto"/>
              <w:bottom w:val="single" w:sz="4" w:space="0" w:color="auto"/>
            </w:tcBorders>
            <w:shd w:val="clear" w:color="auto" w:fill="86D3F2" w:themeFill="background2" w:themeFillTint="66"/>
            <w:vAlign w:val="center"/>
          </w:tcPr>
          <w:p w14:paraId="7B1478F3" w14:textId="77777777" w:rsidR="00EB6106" w:rsidRPr="00DD2BB0" w:rsidRDefault="00EB6106" w:rsidP="000E7D5C">
            <w:pPr>
              <w:pStyle w:val="Normal-beforebullets"/>
              <w:jc w:val="center"/>
              <w:rPr>
                <w:rFonts w:cstheme="minorHAnsi"/>
                <w:b/>
                <w:szCs w:val="18"/>
              </w:rPr>
            </w:pPr>
            <w:r w:rsidRPr="00DD2BB0">
              <w:rPr>
                <w:rFonts w:cstheme="minorHAnsi"/>
                <w:b/>
                <w:szCs w:val="18"/>
              </w:rPr>
              <w:t>Tas</w:t>
            </w:r>
          </w:p>
        </w:tc>
        <w:tc>
          <w:tcPr>
            <w:tcW w:w="441" w:type="pct"/>
            <w:tcBorders>
              <w:top w:val="single" w:sz="4" w:space="0" w:color="auto"/>
              <w:bottom w:val="single" w:sz="4" w:space="0" w:color="auto"/>
            </w:tcBorders>
            <w:shd w:val="clear" w:color="auto" w:fill="86D3F2" w:themeFill="background2" w:themeFillTint="66"/>
            <w:vAlign w:val="center"/>
          </w:tcPr>
          <w:p w14:paraId="5B70FF8E" w14:textId="77777777" w:rsidR="00EB6106" w:rsidRPr="00DD2BB0" w:rsidRDefault="00EB6106" w:rsidP="000E7D5C">
            <w:pPr>
              <w:pStyle w:val="Normal-beforebullets"/>
              <w:jc w:val="center"/>
              <w:rPr>
                <w:rFonts w:cstheme="minorHAnsi"/>
                <w:b/>
                <w:szCs w:val="18"/>
              </w:rPr>
            </w:pPr>
            <w:r w:rsidRPr="00DD2BB0">
              <w:rPr>
                <w:rFonts w:cstheme="minorHAnsi"/>
                <w:b/>
                <w:szCs w:val="18"/>
              </w:rPr>
              <w:t>NT</w:t>
            </w:r>
          </w:p>
        </w:tc>
        <w:tc>
          <w:tcPr>
            <w:tcW w:w="473" w:type="pct"/>
            <w:tcBorders>
              <w:top w:val="single" w:sz="4" w:space="0" w:color="auto"/>
              <w:bottom w:val="single" w:sz="4" w:space="0" w:color="auto"/>
              <w:right w:val="single" w:sz="2" w:space="0" w:color="auto"/>
            </w:tcBorders>
            <w:shd w:val="clear" w:color="auto" w:fill="86D3F2" w:themeFill="background2" w:themeFillTint="66"/>
            <w:vAlign w:val="center"/>
          </w:tcPr>
          <w:p w14:paraId="1908DF67" w14:textId="77777777" w:rsidR="00EB6106" w:rsidRPr="00DD2BB0" w:rsidRDefault="00EB6106" w:rsidP="000E7D5C">
            <w:pPr>
              <w:pStyle w:val="Normal-beforebullets"/>
              <w:jc w:val="center"/>
              <w:rPr>
                <w:rFonts w:cstheme="minorHAnsi"/>
                <w:b/>
                <w:szCs w:val="18"/>
              </w:rPr>
            </w:pPr>
            <w:r w:rsidRPr="00DD2BB0">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046F2CB7" w14:textId="77777777" w:rsidR="00EB6106" w:rsidRPr="00DD2BB0" w:rsidRDefault="00EB6106" w:rsidP="000E7D5C">
            <w:pPr>
              <w:pStyle w:val="Normal-beforebullets"/>
              <w:jc w:val="center"/>
              <w:rPr>
                <w:rFonts w:cstheme="minorHAnsi"/>
                <w:b/>
                <w:szCs w:val="18"/>
              </w:rPr>
            </w:pPr>
            <w:r>
              <w:rPr>
                <w:rFonts w:cstheme="minorHAnsi"/>
                <w:b/>
                <w:szCs w:val="18"/>
              </w:rPr>
              <w:t>Total</w:t>
            </w:r>
          </w:p>
        </w:tc>
      </w:tr>
      <w:tr w:rsidR="00D07D71" w:rsidRPr="00DD2BB0" w14:paraId="7DC34617" w14:textId="77777777" w:rsidTr="004429AC">
        <w:trPr>
          <w:trHeight w:val="227"/>
        </w:trPr>
        <w:tc>
          <w:tcPr>
            <w:tcW w:w="936"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51F602B9" w14:textId="77777777" w:rsidR="00EB6106" w:rsidRPr="00946FA6" w:rsidRDefault="00EB6106" w:rsidP="000E7D5C">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center"/>
          </w:tcPr>
          <w:p w14:paraId="65D36386"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33</w:t>
            </w:r>
          </w:p>
        </w:tc>
        <w:tc>
          <w:tcPr>
            <w:tcW w:w="451" w:type="pct"/>
            <w:tcBorders>
              <w:top w:val="single" w:sz="4" w:space="0" w:color="auto"/>
              <w:bottom w:val="single" w:sz="2" w:space="0" w:color="BFBFBF" w:themeColor="background1" w:themeShade="BF"/>
            </w:tcBorders>
            <w:shd w:val="clear" w:color="auto" w:fill="C2E9F8" w:themeFill="background2" w:themeFillTint="33"/>
            <w:vAlign w:val="center"/>
          </w:tcPr>
          <w:p w14:paraId="799DF03B"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20</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3B15FE7F"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8</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55D119BD"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5</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51D54C10"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9</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7ED3EAEF"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0</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22E8CCF6"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0</w:t>
            </w:r>
          </w:p>
        </w:tc>
        <w:tc>
          <w:tcPr>
            <w:tcW w:w="473"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center"/>
          </w:tcPr>
          <w:p w14:paraId="580BAFD7"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0</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5365A6F7" w14:textId="77777777" w:rsidR="00EB6106" w:rsidRPr="00CB2355" w:rsidRDefault="00EB6106" w:rsidP="000E7D5C">
            <w:pPr>
              <w:spacing w:after="0"/>
              <w:contextualSpacing/>
              <w:jc w:val="center"/>
              <w:rPr>
                <w:rFonts w:cs="Arial"/>
                <w:b/>
                <w:bCs/>
                <w:color w:val="auto"/>
                <w:szCs w:val="18"/>
              </w:rPr>
            </w:pPr>
            <w:r w:rsidRPr="00CB2355">
              <w:rPr>
                <w:rFonts w:cs="Arial"/>
                <w:b/>
                <w:bCs/>
                <w:color w:val="000000"/>
                <w:szCs w:val="18"/>
              </w:rPr>
              <w:t>75</w:t>
            </w:r>
          </w:p>
        </w:tc>
      </w:tr>
      <w:tr w:rsidR="00EB6106" w:rsidRPr="00DD2BB0" w14:paraId="5EBA9F22" w14:textId="77777777" w:rsidTr="004429A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764E3EE" w14:textId="77777777" w:rsidR="00EB6106" w:rsidRPr="00BD10A4" w:rsidRDefault="00EB6106" w:rsidP="000E7D5C">
            <w:pPr>
              <w:spacing w:after="0"/>
              <w:contextualSpacing/>
              <w:rPr>
                <w:rFonts w:cstheme="minorHAnsi"/>
                <w:color w:val="000000"/>
                <w:szCs w:val="18"/>
              </w:rPr>
            </w:pPr>
            <w:r w:rsidRPr="00DD2BB0">
              <w:rPr>
                <w:rFonts w:cstheme="minorHAnsi"/>
                <w:szCs w:val="18"/>
              </w:rPr>
              <w:t>Public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488F9CE"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26</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5E40D3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8DC6F84"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6</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BAF080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3</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4D4A02F"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5</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C11ED3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C6FF8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B467528"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909241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53</w:t>
            </w:r>
          </w:p>
        </w:tc>
      </w:tr>
      <w:tr w:rsidR="00EB6106" w:rsidRPr="00DD2BB0" w14:paraId="5836695D" w14:textId="77777777" w:rsidTr="004429A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877C334" w14:textId="77777777" w:rsidR="00EB6106" w:rsidRPr="00BD10A4" w:rsidRDefault="00EB6106" w:rsidP="000E7D5C">
            <w:pPr>
              <w:spacing w:after="0"/>
              <w:contextualSpacing/>
              <w:rPr>
                <w:rFonts w:cstheme="minorHAnsi"/>
                <w:color w:val="000000"/>
                <w:szCs w:val="18"/>
              </w:rPr>
            </w:pPr>
            <w:r w:rsidRPr="00DD2BB0">
              <w:rPr>
                <w:rFonts w:cstheme="minorHAnsi"/>
                <w:szCs w:val="18"/>
              </w:rPr>
              <w:t>Private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6588724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E9556E7"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233A37B"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21344B5"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83F8EE1"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958FDE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11F258"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98AE8DE"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11470C1"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3</w:t>
            </w:r>
          </w:p>
        </w:tc>
      </w:tr>
      <w:tr w:rsidR="00EB6106" w:rsidRPr="00DD2BB0" w14:paraId="2D021E22" w14:textId="77777777" w:rsidTr="004429A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A74F90A" w14:textId="77777777" w:rsidR="00EB6106" w:rsidRPr="00DD2BB0" w:rsidRDefault="00EB6106" w:rsidP="000E7D5C">
            <w:pPr>
              <w:spacing w:after="0"/>
              <w:contextualSpacing/>
              <w:rPr>
                <w:rFonts w:cstheme="minorHAnsi"/>
                <w:color w:val="000000"/>
                <w:szCs w:val="18"/>
              </w:rPr>
            </w:pPr>
            <w:r w:rsidRPr="00DD2BB0">
              <w:rPr>
                <w:rFonts w:cstheme="minorHAnsi"/>
                <w:szCs w:val="18"/>
              </w:rPr>
              <w:t>Aged care home</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482CFD2"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96B874E"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D3270E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3226F9E"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B20B31F"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084AB57"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CAE04D7"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AFC9CF2"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781DDF08"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r>
      <w:tr w:rsidR="00EB6106" w:rsidRPr="00DD2BB0" w14:paraId="17D159AD" w14:textId="77777777" w:rsidTr="004429A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54ACB4E" w14:textId="77777777" w:rsidR="00EB6106" w:rsidRPr="00DD2BB0" w:rsidRDefault="00EB6106" w:rsidP="000E7D5C">
            <w:pPr>
              <w:spacing w:after="0"/>
              <w:contextualSpacing/>
              <w:rPr>
                <w:rFonts w:cstheme="minorHAnsi"/>
                <w:szCs w:val="18"/>
              </w:rPr>
            </w:pPr>
            <w:r w:rsidRPr="00DD2BB0">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616637B7"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9745327"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6</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EA6D9AE"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1F9D23D"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803228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3</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B50BA55"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1309438C"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6570FE4A"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AD85212"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14</w:t>
            </w:r>
          </w:p>
        </w:tc>
      </w:tr>
      <w:tr w:rsidR="00EB6106" w:rsidRPr="00DD2BB0" w14:paraId="16E75217" w14:textId="77777777" w:rsidTr="004429AC">
        <w:trPr>
          <w:trHeight w:val="227"/>
        </w:trPr>
        <w:tc>
          <w:tcPr>
            <w:tcW w:w="936" w:type="pct"/>
            <w:tcBorders>
              <w:top w:val="single" w:sz="2" w:space="0" w:color="BFBFBF" w:themeColor="background1" w:themeShade="BF"/>
              <w:left w:val="single" w:sz="2" w:space="0" w:color="auto"/>
              <w:bottom w:val="single" w:sz="4" w:space="0" w:color="auto"/>
              <w:right w:val="single" w:sz="2" w:space="0" w:color="auto"/>
            </w:tcBorders>
            <w:vAlign w:val="center"/>
          </w:tcPr>
          <w:p w14:paraId="556A1338" w14:textId="77777777" w:rsidR="00EB6106" w:rsidRPr="00DD2BB0" w:rsidRDefault="00EB6106" w:rsidP="000E7D5C">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61702F3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3</w:t>
            </w:r>
          </w:p>
        </w:tc>
        <w:tc>
          <w:tcPr>
            <w:tcW w:w="451" w:type="pct"/>
            <w:tcBorders>
              <w:top w:val="single" w:sz="2" w:space="0" w:color="BFBFBF" w:themeColor="background1" w:themeShade="BF"/>
              <w:bottom w:val="single" w:sz="4" w:space="0" w:color="auto"/>
            </w:tcBorders>
            <w:vAlign w:val="center"/>
          </w:tcPr>
          <w:p w14:paraId="27D07C6B"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w:t>
            </w:r>
          </w:p>
        </w:tc>
        <w:tc>
          <w:tcPr>
            <w:tcW w:w="447" w:type="pct"/>
            <w:tcBorders>
              <w:top w:val="single" w:sz="2" w:space="0" w:color="BFBFBF" w:themeColor="background1" w:themeShade="BF"/>
              <w:bottom w:val="single" w:sz="4" w:space="0" w:color="auto"/>
            </w:tcBorders>
            <w:vAlign w:val="center"/>
          </w:tcPr>
          <w:p w14:paraId="0441DF21"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1</w:t>
            </w:r>
          </w:p>
        </w:tc>
        <w:tc>
          <w:tcPr>
            <w:tcW w:w="447" w:type="pct"/>
            <w:tcBorders>
              <w:top w:val="single" w:sz="2" w:space="0" w:color="BFBFBF" w:themeColor="background1" w:themeShade="BF"/>
              <w:bottom w:val="single" w:sz="4" w:space="0" w:color="auto"/>
            </w:tcBorders>
            <w:vAlign w:val="center"/>
          </w:tcPr>
          <w:p w14:paraId="6E19A8B0"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69694E83"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07F5EB0F"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00474E68"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3" w:type="pct"/>
            <w:tcBorders>
              <w:top w:val="single" w:sz="2" w:space="0" w:color="BFBFBF" w:themeColor="background1" w:themeShade="BF"/>
              <w:bottom w:val="single" w:sz="4" w:space="0" w:color="auto"/>
              <w:right w:val="single" w:sz="2" w:space="0" w:color="auto"/>
            </w:tcBorders>
            <w:vAlign w:val="center"/>
          </w:tcPr>
          <w:p w14:paraId="4A97A8D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0</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37356819" w14:textId="77777777" w:rsidR="00EB6106" w:rsidRPr="00CB2355" w:rsidRDefault="00EB6106" w:rsidP="000E7D5C">
            <w:pPr>
              <w:spacing w:after="0"/>
              <w:contextualSpacing/>
              <w:jc w:val="center"/>
              <w:rPr>
                <w:rFonts w:cs="Arial"/>
                <w:color w:val="auto"/>
                <w:szCs w:val="18"/>
              </w:rPr>
            </w:pPr>
            <w:r w:rsidRPr="00CB2355">
              <w:rPr>
                <w:rFonts w:cs="Arial"/>
                <w:color w:val="auto"/>
                <w:szCs w:val="18"/>
              </w:rPr>
              <w:t>5</w:t>
            </w:r>
          </w:p>
        </w:tc>
      </w:tr>
    </w:tbl>
    <w:p w14:paraId="45ABFBD2" w14:textId="77777777" w:rsidR="00EB6106" w:rsidRDefault="00EB6106" w:rsidP="00EB6106">
      <w:pPr>
        <w:pStyle w:val="Heading3"/>
      </w:pPr>
      <w:bookmarkStart w:id="29" w:name="_Toc166585582"/>
      <w:r w:rsidRPr="00256775">
        <w:rPr>
          <w:i/>
        </w:rPr>
        <w:t>Salmonella</w:t>
      </w:r>
      <w:r w:rsidRPr="00256775">
        <w:t xml:space="preserve"> species</w:t>
      </w:r>
      <w:bookmarkEnd w:id="29"/>
    </w:p>
    <w:p w14:paraId="71E8780F" w14:textId="680BE25C" w:rsidR="00EB6106" w:rsidRPr="00E707D1" w:rsidRDefault="00EB6106" w:rsidP="00EB6106">
      <w:r w:rsidRPr="00AF0035">
        <w:rPr>
          <w:i/>
          <w:iCs/>
        </w:rPr>
        <w:t>Salmonella</w:t>
      </w:r>
      <w:r w:rsidRPr="00AF0035">
        <w:t xml:space="preserve"> species are important causes of bacterial gastroenteritis. Most cases are acquired through food-borne </w:t>
      </w:r>
      <w:r w:rsidRPr="004452E5">
        <w:t xml:space="preserve">transmission. The number of reports of ceftriaxone-nonsusceptible </w:t>
      </w:r>
      <w:r w:rsidRPr="004452E5">
        <w:rPr>
          <w:i/>
        </w:rPr>
        <w:t>Salmonella</w:t>
      </w:r>
      <w:r w:rsidRPr="004452E5">
        <w:t xml:space="preserve"> </w:t>
      </w:r>
      <w:r w:rsidRPr="00E707D1">
        <w:t xml:space="preserve">species </w:t>
      </w:r>
      <w:r w:rsidR="00A72475" w:rsidRPr="00E707D1">
        <w:t xml:space="preserve">nearly </w:t>
      </w:r>
      <w:r w:rsidRPr="00E707D1">
        <w:t>doubled from 202</w:t>
      </w:r>
      <w:r w:rsidR="00A72475" w:rsidRPr="00E707D1">
        <w:t>2</w:t>
      </w:r>
      <w:r w:rsidRPr="00E707D1">
        <w:t xml:space="preserve"> (</w:t>
      </w:r>
      <w:r w:rsidRPr="00E707D1">
        <w:rPr>
          <w:i/>
        </w:rPr>
        <w:t>n</w:t>
      </w:r>
      <w:r w:rsidRPr="00E707D1">
        <w:t> = </w:t>
      </w:r>
      <w:r w:rsidR="00A72475" w:rsidRPr="00E707D1">
        <w:t>51</w:t>
      </w:r>
      <w:r w:rsidRPr="00E707D1">
        <w:t>) to 202</w:t>
      </w:r>
      <w:r w:rsidR="00A72475" w:rsidRPr="00E707D1">
        <w:t>3</w:t>
      </w:r>
      <w:r w:rsidRPr="00E707D1">
        <w:t xml:space="preserve"> (</w:t>
      </w:r>
      <w:r w:rsidRPr="00E707D1">
        <w:rPr>
          <w:i/>
        </w:rPr>
        <w:t>n </w:t>
      </w:r>
      <w:r w:rsidRPr="00E707D1">
        <w:t>= </w:t>
      </w:r>
      <w:r w:rsidR="00A72475" w:rsidRPr="00E707D1">
        <w:t>95</w:t>
      </w:r>
      <w:r w:rsidRPr="00E707D1">
        <w:t>) (Figure 2</w:t>
      </w:r>
      <w:r w:rsidR="00181F3B">
        <w:t>5</w:t>
      </w:r>
      <w:r w:rsidRPr="00E707D1">
        <w:t>).</w:t>
      </w:r>
    </w:p>
    <w:p w14:paraId="7E52D04E" w14:textId="55906EEB" w:rsidR="00EB6106" w:rsidRPr="00E707D1" w:rsidRDefault="00535009" w:rsidP="00EB6106">
      <w:pPr>
        <w:rPr>
          <w:rFonts w:eastAsiaTheme="minorEastAsia"/>
          <w:lang w:val="en-GB"/>
        </w:rPr>
      </w:pPr>
      <w:r w:rsidRPr="00E707D1">
        <w:rPr>
          <w:rFonts w:eastAsiaTheme="minorEastAsia"/>
          <w:lang w:val="en-GB"/>
        </w:rPr>
        <w:t>A vast majority</w:t>
      </w:r>
      <w:r w:rsidR="00EB6106" w:rsidRPr="00E707D1">
        <w:rPr>
          <w:rFonts w:eastAsiaTheme="minorEastAsia"/>
          <w:lang w:val="en-GB"/>
        </w:rPr>
        <w:t xml:space="preserve"> of the ceftriaxone-nonsusceptible </w:t>
      </w:r>
      <w:r w:rsidR="00EB6106" w:rsidRPr="00E707D1">
        <w:rPr>
          <w:rFonts w:eastAsiaTheme="minorEastAsia"/>
          <w:i/>
          <w:iCs/>
          <w:lang w:val="en-GB"/>
        </w:rPr>
        <w:t>Salmonella</w:t>
      </w:r>
      <w:r w:rsidR="00EB6106" w:rsidRPr="00E707D1">
        <w:rPr>
          <w:rFonts w:eastAsiaTheme="minorEastAsia"/>
          <w:lang w:val="en-GB"/>
        </w:rPr>
        <w:t xml:space="preserve"> reports were from non-typhoidal species (</w:t>
      </w:r>
      <w:r w:rsidRPr="00E707D1">
        <w:rPr>
          <w:rFonts w:eastAsiaTheme="minorEastAsia"/>
          <w:lang w:val="en-GB"/>
        </w:rPr>
        <w:t>82/95</w:t>
      </w:r>
      <w:r w:rsidR="00EB6106" w:rsidRPr="00E707D1">
        <w:rPr>
          <w:rFonts w:eastAsiaTheme="minorEastAsia"/>
          <w:lang w:val="en-GB"/>
        </w:rPr>
        <w:t xml:space="preserve">, </w:t>
      </w:r>
      <w:r w:rsidRPr="00E707D1">
        <w:rPr>
          <w:rFonts w:eastAsiaTheme="minorEastAsia"/>
          <w:lang w:val="en-GB"/>
        </w:rPr>
        <w:t>86.3</w:t>
      </w:r>
      <w:r w:rsidR="00EB6106" w:rsidRPr="00E707D1">
        <w:rPr>
          <w:rFonts w:eastAsiaTheme="minorEastAsia"/>
          <w:lang w:val="en-GB"/>
        </w:rPr>
        <w:t xml:space="preserve">%). The non-typhoidal species contained </w:t>
      </w:r>
      <w:r w:rsidR="00E707D1">
        <w:rPr>
          <w:rFonts w:eastAsiaTheme="minorEastAsia"/>
          <w:lang w:val="en-GB"/>
        </w:rPr>
        <w:t xml:space="preserve">an </w:t>
      </w:r>
      <w:r w:rsidR="00E707D1" w:rsidRPr="00E707D1">
        <w:rPr>
          <w:rFonts w:eastAsiaTheme="minorEastAsia"/>
          <w:lang w:val="en-GB"/>
        </w:rPr>
        <w:t xml:space="preserve">extended-spectrum </w:t>
      </w:r>
      <w:r w:rsidR="00E707D1" w:rsidRPr="00E707D1">
        <w:rPr>
          <w:rFonts w:eastAsiaTheme="minorEastAsia" w:cstheme="minorHAnsi"/>
          <w:lang w:val="en-GB"/>
        </w:rPr>
        <w:t>β-lactamase</w:t>
      </w:r>
      <w:r w:rsidR="00E707D1" w:rsidRPr="00E707D1">
        <w:rPr>
          <w:rFonts w:eastAsiaTheme="minorEastAsia"/>
          <w:lang w:val="en-GB"/>
        </w:rPr>
        <w:t xml:space="preserve"> (ESBL) (61/82, 74.4%)</w:t>
      </w:r>
      <w:r w:rsidR="00E707D1">
        <w:rPr>
          <w:rFonts w:eastAsiaTheme="minorEastAsia"/>
          <w:lang w:val="en-GB"/>
        </w:rPr>
        <w:t xml:space="preserve"> or</w:t>
      </w:r>
      <w:r w:rsidR="00E707D1" w:rsidRPr="00E707D1">
        <w:rPr>
          <w:rFonts w:eastAsiaTheme="minorEastAsia"/>
          <w:lang w:val="en-GB"/>
        </w:rPr>
        <w:t xml:space="preserve"> </w:t>
      </w:r>
      <w:r w:rsidR="00EB6106" w:rsidRPr="00E707D1">
        <w:rPr>
          <w:rFonts w:eastAsiaTheme="minorEastAsia"/>
          <w:lang w:val="en-GB"/>
        </w:rPr>
        <w:t xml:space="preserve">a plasmid-mediated </w:t>
      </w:r>
      <w:proofErr w:type="spellStart"/>
      <w:r w:rsidR="00EB6106" w:rsidRPr="00E707D1">
        <w:rPr>
          <w:rFonts w:eastAsiaTheme="minorEastAsia"/>
          <w:lang w:val="en-GB"/>
        </w:rPr>
        <w:t>AmpC</w:t>
      </w:r>
      <w:proofErr w:type="spellEnd"/>
      <w:r w:rsidR="00EB6106" w:rsidRPr="00E707D1">
        <w:rPr>
          <w:rFonts w:eastAsiaTheme="minorEastAsia"/>
          <w:lang w:val="en-GB"/>
        </w:rPr>
        <w:t xml:space="preserve"> (</w:t>
      </w:r>
      <w:r w:rsidRPr="00E707D1">
        <w:rPr>
          <w:rFonts w:eastAsiaTheme="minorEastAsia"/>
          <w:lang w:val="en-GB"/>
        </w:rPr>
        <w:t>21/82</w:t>
      </w:r>
      <w:r w:rsidR="00EB6106" w:rsidRPr="00E707D1">
        <w:rPr>
          <w:rFonts w:eastAsiaTheme="minorEastAsia"/>
          <w:lang w:val="en-GB"/>
        </w:rPr>
        <w:t xml:space="preserve">, </w:t>
      </w:r>
      <w:r w:rsidRPr="00E707D1">
        <w:rPr>
          <w:rFonts w:eastAsiaTheme="minorEastAsia"/>
          <w:lang w:val="en-GB"/>
        </w:rPr>
        <w:t>25.6</w:t>
      </w:r>
      <w:r w:rsidR="00EB6106" w:rsidRPr="00E707D1">
        <w:rPr>
          <w:rFonts w:eastAsiaTheme="minorEastAsia"/>
          <w:lang w:val="en-GB"/>
        </w:rPr>
        <w:t>%) (Figure 2</w:t>
      </w:r>
      <w:r w:rsidR="00181F3B">
        <w:rPr>
          <w:rFonts w:eastAsiaTheme="minorEastAsia"/>
          <w:lang w:val="en-GB"/>
        </w:rPr>
        <w:t>6</w:t>
      </w:r>
      <w:r w:rsidR="00EB6106" w:rsidRPr="00E707D1">
        <w:rPr>
          <w:rFonts w:eastAsiaTheme="minorEastAsia"/>
          <w:lang w:val="en-GB"/>
        </w:rPr>
        <w:t>).</w:t>
      </w:r>
    </w:p>
    <w:p w14:paraId="4A0E4017" w14:textId="0A9716F0" w:rsidR="00EB6106" w:rsidRPr="00FC4327" w:rsidRDefault="00EB6106" w:rsidP="00EB6106">
      <w:pPr>
        <w:rPr>
          <w:rFonts w:eastAsiaTheme="minorEastAsia"/>
          <w:lang w:val="en-GB"/>
        </w:rPr>
      </w:pPr>
      <w:r w:rsidRPr="002440AF">
        <w:rPr>
          <w:rFonts w:eastAsiaTheme="minorEastAsia"/>
          <w:lang w:val="en-GB"/>
        </w:rPr>
        <w:t>There were 13 typhoidal species reported in 202</w:t>
      </w:r>
      <w:r w:rsidR="00535009" w:rsidRPr="002440AF">
        <w:rPr>
          <w:rFonts w:eastAsiaTheme="minorEastAsia"/>
          <w:lang w:val="en-GB"/>
        </w:rPr>
        <w:t>3</w:t>
      </w:r>
      <w:r w:rsidRPr="002440AF">
        <w:rPr>
          <w:rFonts w:eastAsiaTheme="minorEastAsia"/>
          <w:lang w:val="en-GB"/>
        </w:rPr>
        <w:t xml:space="preserve"> (from </w:t>
      </w:r>
      <w:r w:rsidR="00535009" w:rsidRPr="002440AF">
        <w:rPr>
          <w:rFonts w:eastAsiaTheme="minorEastAsia"/>
          <w:lang w:val="en-GB"/>
        </w:rPr>
        <w:t>Victoria</w:t>
      </w:r>
      <w:r w:rsidRPr="002440AF">
        <w:rPr>
          <w:rFonts w:eastAsiaTheme="minorEastAsia"/>
          <w:lang w:val="en-GB"/>
        </w:rPr>
        <w:t xml:space="preserve"> [</w:t>
      </w:r>
      <w:r w:rsidR="00535009" w:rsidRPr="002440AF">
        <w:rPr>
          <w:rFonts w:eastAsiaTheme="minorEastAsia"/>
          <w:lang w:val="en-GB"/>
        </w:rPr>
        <w:t>8</w:t>
      </w:r>
      <w:r w:rsidRPr="002440AF">
        <w:rPr>
          <w:rFonts w:eastAsiaTheme="minorEastAsia"/>
          <w:lang w:val="en-GB"/>
        </w:rPr>
        <w:t xml:space="preserve">], </w:t>
      </w:r>
      <w:r w:rsidR="00535009" w:rsidRPr="002440AF">
        <w:rPr>
          <w:rFonts w:eastAsiaTheme="minorEastAsia"/>
          <w:lang w:val="en-GB"/>
        </w:rPr>
        <w:t xml:space="preserve">NSW </w:t>
      </w:r>
      <w:r w:rsidRPr="002440AF">
        <w:rPr>
          <w:rFonts w:eastAsiaTheme="minorEastAsia"/>
          <w:lang w:val="en-GB"/>
        </w:rPr>
        <w:t>[</w:t>
      </w:r>
      <w:r w:rsidR="00535009" w:rsidRPr="002440AF">
        <w:rPr>
          <w:rFonts w:eastAsiaTheme="minorEastAsia"/>
          <w:lang w:val="en-GB"/>
        </w:rPr>
        <w:t>4</w:t>
      </w:r>
      <w:r w:rsidRPr="002440AF">
        <w:rPr>
          <w:rFonts w:eastAsiaTheme="minorEastAsia"/>
          <w:lang w:val="en-GB"/>
        </w:rPr>
        <w:t>] and WA [</w:t>
      </w:r>
      <w:r w:rsidR="00535009" w:rsidRPr="002440AF">
        <w:rPr>
          <w:rFonts w:eastAsiaTheme="minorEastAsia"/>
          <w:lang w:val="en-GB"/>
        </w:rPr>
        <w:t>1</w:t>
      </w:r>
      <w:r w:rsidRPr="002440AF">
        <w:rPr>
          <w:rFonts w:eastAsiaTheme="minorEastAsia"/>
          <w:lang w:val="en-GB"/>
        </w:rPr>
        <w:t xml:space="preserve">]); </w:t>
      </w:r>
      <w:r w:rsidR="00E707D1" w:rsidRPr="002440AF">
        <w:rPr>
          <w:rFonts w:eastAsiaTheme="minorEastAsia"/>
          <w:lang w:val="en-GB"/>
        </w:rPr>
        <w:t>the ma</w:t>
      </w:r>
      <w:r w:rsidR="002440AF" w:rsidRPr="002440AF">
        <w:rPr>
          <w:rFonts w:eastAsiaTheme="minorEastAsia"/>
          <w:lang w:val="en-GB"/>
        </w:rPr>
        <w:t xml:space="preserve">jority </w:t>
      </w:r>
      <w:r w:rsidR="002440AF">
        <w:rPr>
          <w:rFonts w:eastAsiaTheme="minorEastAsia"/>
          <w:lang w:val="en-GB"/>
        </w:rPr>
        <w:t xml:space="preserve">(11/13, 84.6%) </w:t>
      </w:r>
      <w:r w:rsidRPr="007D567D">
        <w:rPr>
          <w:rFonts w:eastAsiaTheme="minorEastAsia"/>
          <w:lang w:val="en-GB"/>
        </w:rPr>
        <w:t>harboured an ESBL (</w:t>
      </w:r>
      <w:r w:rsidRPr="007D567D">
        <w:rPr>
          <w:rFonts w:eastAsiaTheme="minorEastAsia"/>
          <w:i/>
          <w:iCs/>
          <w:lang w:val="en-GB"/>
        </w:rPr>
        <w:t>bla</w:t>
      </w:r>
      <w:r w:rsidRPr="007D567D">
        <w:rPr>
          <w:rFonts w:eastAsiaTheme="minorEastAsia"/>
          <w:vertAlign w:val="subscript"/>
          <w:lang w:val="en-GB"/>
        </w:rPr>
        <w:t>CTX-M-15</w:t>
      </w:r>
      <w:r w:rsidRPr="007D567D">
        <w:rPr>
          <w:rFonts w:eastAsiaTheme="minorEastAsia"/>
          <w:lang w:val="en-GB"/>
        </w:rPr>
        <w:t xml:space="preserve"> [</w:t>
      </w:r>
      <w:r w:rsidR="002440AF" w:rsidRPr="007D567D">
        <w:rPr>
          <w:rFonts w:eastAsiaTheme="minorEastAsia"/>
          <w:lang w:val="en-GB"/>
        </w:rPr>
        <w:t>9</w:t>
      </w:r>
      <w:r w:rsidRPr="007D567D">
        <w:rPr>
          <w:rFonts w:eastAsiaTheme="minorEastAsia"/>
          <w:lang w:val="en-GB"/>
        </w:rPr>
        <w:t xml:space="preserve">], </w:t>
      </w:r>
      <w:r w:rsidRPr="007D567D">
        <w:rPr>
          <w:rFonts w:eastAsiaTheme="minorEastAsia"/>
          <w:i/>
          <w:iCs/>
          <w:lang w:val="en-GB"/>
        </w:rPr>
        <w:t>bla</w:t>
      </w:r>
      <w:r w:rsidRPr="007D567D">
        <w:rPr>
          <w:rFonts w:eastAsiaTheme="minorEastAsia"/>
          <w:vertAlign w:val="subscript"/>
          <w:lang w:val="en-GB"/>
        </w:rPr>
        <w:t>CTX-M-</w:t>
      </w:r>
      <w:r w:rsidR="002440AF" w:rsidRPr="007D567D">
        <w:rPr>
          <w:rFonts w:eastAsiaTheme="minorEastAsia"/>
          <w:vertAlign w:val="subscript"/>
          <w:lang w:val="en-GB"/>
        </w:rPr>
        <w:t>14</w:t>
      </w:r>
      <w:r w:rsidRPr="007D567D">
        <w:rPr>
          <w:rFonts w:eastAsiaTheme="minorEastAsia"/>
          <w:lang w:val="en-GB"/>
        </w:rPr>
        <w:t xml:space="preserve"> [</w:t>
      </w:r>
      <w:r w:rsidR="002440AF" w:rsidRPr="007D567D">
        <w:rPr>
          <w:rFonts w:eastAsiaTheme="minorEastAsia"/>
          <w:lang w:val="en-GB"/>
        </w:rPr>
        <w:t>1</w:t>
      </w:r>
      <w:r w:rsidRPr="007D567D">
        <w:rPr>
          <w:rFonts w:eastAsiaTheme="minorEastAsia"/>
          <w:lang w:val="en-GB"/>
        </w:rPr>
        <w:t xml:space="preserve">], </w:t>
      </w:r>
      <w:r w:rsidRPr="007D567D">
        <w:rPr>
          <w:rFonts w:eastAsiaTheme="minorEastAsia"/>
          <w:i/>
          <w:iCs/>
          <w:lang w:val="en-GB"/>
        </w:rPr>
        <w:t>bla</w:t>
      </w:r>
      <w:r w:rsidRPr="007D567D">
        <w:rPr>
          <w:rFonts w:eastAsiaTheme="minorEastAsia"/>
          <w:vertAlign w:val="subscript"/>
          <w:lang w:val="en-GB"/>
        </w:rPr>
        <w:t>CTX-M-65</w:t>
      </w:r>
      <w:r w:rsidRPr="007D567D">
        <w:rPr>
          <w:rFonts w:eastAsiaTheme="minorEastAsia"/>
          <w:lang w:val="en-GB"/>
        </w:rPr>
        <w:t xml:space="preserve"> [1]) </w:t>
      </w:r>
      <w:r w:rsidR="00E707D1" w:rsidRPr="007D567D">
        <w:rPr>
          <w:rFonts w:eastAsiaTheme="minorEastAsia"/>
          <w:lang w:val="en-GB"/>
        </w:rPr>
        <w:t>and two</w:t>
      </w:r>
      <w:r w:rsidR="002440AF">
        <w:rPr>
          <w:rFonts w:eastAsiaTheme="minorEastAsia"/>
          <w:lang w:val="en-GB"/>
        </w:rPr>
        <w:t xml:space="preserve"> harboured </w:t>
      </w:r>
      <w:proofErr w:type="spellStart"/>
      <w:r w:rsidR="002440AF">
        <w:rPr>
          <w:rFonts w:eastAsiaTheme="minorEastAsia"/>
          <w:lang w:val="en-GB"/>
        </w:rPr>
        <w:t>pAmpC</w:t>
      </w:r>
      <w:proofErr w:type="spellEnd"/>
      <w:r w:rsidR="002440AF">
        <w:rPr>
          <w:rFonts w:eastAsiaTheme="minorEastAsia"/>
          <w:lang w:val="en-GB"/>
        </w:rPr>
        <w:t xml:space="preserve"> (</w:t>
      </w:r>
      <w:r w:rsidR="002440AF" w:rsidRPr="00665A96">
        <w:rPr>
          <w:rFonts w:eastAsiaTheme="minorEastAsia"/>
          <w:i/>
          <w:iCs/>
          <w:lang w:val="en-GB"/>
        </w:rPr>
        <w:t>bla</w:t>
      </w:r>
      <w:r w:rsidR="002440AF" w:rsidRPr="00665A96">
        <w:rPr>
          <w:rFonts w:eastAsiaTheme="minorEastAsia"/>
          <w:vertAlign w:val="subscript"/>
          <w:lang w:val="en-GB"/>
        </w:rPr>
        <w:t>C</w:t>
      </w:r>
      <w:r w:rsidR="002440AF">
        <w:rPr>
          <w:rFonts w:eastAsiaTheme="minorEastAsia"/>
          <w:vertAlign w:val="subscript"/>
          <w:lang w:val="en-GB"/>
        </w:rPr>
        <w:t>MY-2</w:t>
      </w:r>
      <w:r w:rsidR="002440AF">
        <w:rPr>
          <w:rFonts w:eastAsiaTheme="minorEastAsia"/>
          <w:lang w:val="en-GB"/>
        </w:rPr>
        <w:t>)</w:t>
      </w:r>
      <w:r w:rsidR="002440AF" w:rsidRPr="00665A96">
        <w:rPr>
          <w:rFonts w:eastAsiaTheme="minorEastAsia"/>
          <w:lang w:val="en-GB"/>
        </w:rPr>
        <w:t xml:space="preserve"> </w:t>
      </w:r>
      <w:r w:rsidRPr="002440AF">
        <w:rPr>
          <w:rFonts w:eastAsiaTheme="minorEastAsia"/>
          <w:lang w:val="en-GB"/>
        </w:rPr>
        <w:t>(Figure 2</w:t>
      </w:r>
      <w:r w:rsidR="00535009" w:rsidRPr="002440AF">
        <w:rPr>
          <w:rFonts w:eastAsiaTheme="minorEastAsia"/>
          <w:lang w:val="en-GB"/>
        </w:rPr>
        <w:t>6</w:t>
      </w:r>
      <w:r w:rsidRPr="002440AF">
        <w:rPr>
          <w:rFonts w:eastAsiaTheme="minorEastAsia"/>
          <w:lang w:val="en-GB"/>
        </w:rPr>
        <w:t xml:space="preserve">). </w:t>
      </w:r>
      <w:r w:rsidR="00CC1A4B" w:rsidRPr="002440AF">
        <w:rPr>
          <w:rFonts w:eastAsiaTheme="minorEastAsia"/>
          <w:lang w:val="en-GB"/>
        </w:rPr>
        <w:t>Thirteen t</w:t>
      </w:r>
      <w:r w:rsidRPr="002440AF">
        <w:rPr>
          <w:rFonts w:eastAsiaTheme="minorEastAsia"/>
          <w:lang w:val="en-GB"/>
        </w:rPr>
        <w:t xml:space="preserve">yphoidal species </w:t>
      </w:r>
      <w:r w:rsidR="00CC1A4B" w:rsidRPr="002440AF">
        <w:rPr>
          <w:rFonts w:eastAsiaTheme="minorEastAsia"/>
          <w:lang w:val="en-GB"/>
        </w:rPr>
        <w:t xml:space="preserve">were also reported in 2022, </w:t>
      </w:r>
      <w:r w:rsidR="00CC1A4B" w:rsidRPr="00FC4327">
        <w:rPr>
          <w:rFonts w:eastAsiaTheme="minorEastAsia"/>
          <w:lang w:val="en-GB"/>
        </w:rPr>
        <w:t xml:space="preserve">and </w:t>
      </w:r>
      <w:r w:rsidRPr="00FC4327">
        <w:rPr>
          <w:rFonts w:eastAsiaTheme="minorEastAsia"/>
          <w:lang w:val="en-GB"/>
        </w:rPr>
        <w:t>sporadic</w:t>
      </w:r>
      <w:r w:rsidR="00554E98">
        <w:rPr>
          <w:rFonts w:eastAsiaTheme="minorEastAsia"/>
          <w:lang w:val="en-GB"/>
        </w:rPr>
        <w:t xml:space="preserve"> reports</w:t>
      </w:r>
      <w:r w:rsidRPr="00FC4327">
        <w:rPr>
          <w:rFonts w:eastAsiaTheme="minorEastAsia"/>
          <w:lang w:val="en-GB"/>
        </w:rPr>
        <w:t xml:space="preserve"> in the preceding five years (</w:t>
      </w:r>
      <w:r w:rsidRPr="00FC4327">
        <w:rPr>
          <w:rFonts w:eastAsiaTheme="minorEastAsia"/>
          <w:i/>
          <w:iCs/>
          <w:lang w:val="en-GB"/>
        </w:rPr>
        <w:t>n</w:t>
      </w:r>
      <w:r w:rsidRPr="00FC4327">
        <w:rPr>
          <w:rFonts w:eastAsiaTheme="minorEastAsia"/>
          <w:lang w:val="en-GB"/>
        </w:rPr>
        <w:t xml:space="preserve"> = 12). The proportion of ceftriaxone-nonsusceptible typhoidal species, as reported to CARAlert, to the number of </w:t>
      </w:r>
      <w:proofErr w:type="spellStart"/>
      <w:r w:rsidRPr="00FC4327">
        <w:rPr>
          <w:rFonts w:eastAsiaTheme="minorEastAsia"/>
          <w:lang w:val="en-GB"/>
        </w:rPr>
        <w:t>paratyphoidal</w:t>
      </w:r>
      <w:proofErr w:type="spellEnd"/>
      <w:r w:rsidRPr="00FC4327">
        <w:rPr>
          <w:rFonts w:eastAsiaTheme="minorEastAsia"/>
          <w:lang w:val="en-GB"/>
        </w:rPr>
        <w:t xml:space="preserve"> or typhoid fever notification</w:t>
      </w:r>
      <w:r w:rsidRPr="00181F3B">
        <w:rPr>
          <w:rFonts w:eastAsiaTheme="minorEastAsia"/>
          <w:lang w:val="en-GB"/>
        </w:rPr>
        <w:t>s</w:t>
      </w:r>
      <w:r w:rsidRPr="00A21AA2">
        <w:rPr>
          <w:rFonts w:eastAsiaTheme="minorEastAsia"/>
          <w:lang w:val="en-GB"/>
        </w:rPr>
        <w:fldChar w:fldCharType="begin"/>
      </w:r>
      <w:r w:rsidR="00B17B22" w:rsidRPr="00A21AA2">
        <w:rPr>
          <w:rFonts w:eastAsiaTheme="minorEastAsia"/>
          <w:lang w:val="en-GB"/>
        </w:rPr>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db-id="wtev2ss0rtrrwme0r0opprfvtfvztrraaz9e" timestamp="1679895352" guid="3851e972-1a88-4033-8919-a219a15b16b5"&gt;230&lt;/key&gt;&lt;/foreign-keys&gt;&lt;ref-type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2023&lt;/number&gt;&lt;dates&gt;&lt;year&gt;2023&lt;/year&gt;&lt;/dates&gt;&lt;pub-location&gt;Canberra&lt;/pub-location&gt;&lt;publisher&gt;Department of Health and Aged Care&lt;/publisher&gt;&lt;urls&gt;&lt;related-urls&gt;&lt;url&gt;https://nindss.health.gov.au/pbi-dashboard/&lt;/url&gt;&lt;/related-urls&gt;&lt;/urls&gt;&lt;/record&gt;&lt;/Cite&gt;&lt;/EndNote&gt;</w:instrText>
      </w:r>
      <w:r w:rsidRPr="00A21AA2">
        <w:rPr>
          <w:rFonts w:eastAsiaTheme="minorEastAsia"/>
          <w:lang w:val="en-GB"/>
        </w:rPr>
        <w:fldChar w:fldCharType="separate"/>
      </w:r>
      <w:r w:rsidRPr="00A21AA2">
        <w:rPr>
          <w:rFonts w:eastAsiaTheme="minorEastAsia"/>
          <w:noProof/>
          <w:vertAlign w:val="superscript"/>
          <w:lang w:val="en-GB"/>
        </w:rPr>
        <w:t>9</w:t>
      </w:r>
      <w:r w:rsidRPr="00A21AA2">
        <w:rPr>
          <w:rFonts w:eastAsiaTheme="minorEastAsia"/>
          <w:lang w:val="en-GB"/>
        </w:rPr>
        <w:fldChar w:fldCharType="end"/>
      </w:r>
      <w:r w:rsidRPr="00FC4327">
        <w:rPr>
          <w:rFonts w:eastAsiaTheme="minorEastAsia"/>
          <w:lang w:val="en-GB"/>
        </w:rPr>
        <w:t xml:space="preserve"> was </w:t>
      </w:r>
      <w:r w:rsidR="00FC4327">
        <w:rPr>
          <w:rFonts w:eastAsiaTheme="minorEastAsia"/>
          <w:lang w:val="en-GB"/>
        </w:rPr>
        <w:t>3.2</w:t>
      </w:r>
      <w:r w:rsidRPr="00FC4327">
        <w:rPr>
          <w:rFonts w:eastAsiaTheme="minorEastAsia"/>
          <w:lang w:val="en-GB"/>
        </w:rPr>
        <w:t xml:space="preserve"> (</w:t>
      </w:r>
      <w:r w:rsidR="002440AF" w:rsidRPr="00FC4327">
        <w:rPr>
          <w:rFonts w:eastAsiaTheme="minorEastAsia"/>
          <w:lang w:val="en-GB"/>
        </w:rPr>
        <w:t>1</w:t>
      </w:r>
      <w:r w:rsidRPr="00FC4327">
        <w:rPr>
          <w:rFonts w:eastAsiaTheme="minorEastAsia"/>
          <w:lang w:val="en-GB"/>
        </w:rPr>
        <w:t>3/</w:t>
      </w:r>
      <w:r w:rsidR="00FC4327">
        <w:rPr>
          <w:rFonts w:eastAsiaTheme="minorEastAsia"/>
          <w:lang w:val="en-GB"/>
        </w:rPr>
        <w:t>405</w:t>
      </w:r>
      <w:r w:rsidRPr="00FC4327">
        <w:rPr>
          <w:rFonts w:eastAsiaTheme="minorEastAsia"/>
          <w:lang w:val="en-GB"/>
        </w:rPr>
        <w:t>) in 202</w:t>
      </w:r>
      <w:r w:rsidR="00FC4327">
        <w:rPr>
          <w:rFonts w:eastAsiaTheme="minorEastAsia"/>
          <w:lang w:val="en-GB"/>
        </w:rPr>
        <w:t>3</w:t>
      </w:r>
      <w:r w:rsidRPr="00FC4327">
        <w:rPr>
          <w:rFonts w:eastAsiaTheme="minorEastAsia"/>
          <w:lang w:val="en-GB"/>
        </w:rPr>
        <w:t xml:space="preserve">; it was </w:t>
      </w:r>
      <w:r w:rsidR="00FC4327">
        <w:rPr>
          <w:rFonts w:eastAsiaTheme="minorEastAsia"/>
          <w:lang w:val="en-GB"/>
        </w:rPr>
        <w:t>5.7</w:t>
      </w:r>
      <w:r w:rsidRPr="00FC4327">
        <w:rPr>
          <w:rFonts w:eastAsiaTheme="minorEastAsia"/>
          <w:lang w:val="en-GB"/>
        </w:rPr>
        <w:t xml:space="preserve"> (</w:t>
      </w:r>
      <w:r w:rsidR="00FC4327">
        <w:rPr>
          <w:rFonts w:eastAsiaTheme="minorEastAsia"/>
          <w:lang w:val="en-GB"/>
        </w:rPr>
        <w:t>13</w:t>
      </w:r>
      <w:r w:rsidRPr="00FC4327">
        <w:rPr>
          <w:rFonts w:eastAsiaTheme="minorEastAsia"/>
          <w:lang w:val="en-GB"/>
        </w:rPr>
        <w:t>/</w:t>
      </w:r>
      <w:r w:rsidR="00FC4327">
        <w:rPr>
          <w:rFonts w:eastAsiaTheme="minorEastAsia"/>
          <w:lang w:val="en-GB"/>
        </w:rPr>
        <w:t>230</w:t>
      </w:r>
      <w:r w:rsidRPr="00FC4327">
        <w:rPr>
          <w:rFonts w:eastAsiaTheme="minorEastAsia"/>
          <w:lang w:val="en-GB"/>
        </w:rPr>
        <w:t>) in 20</w:t>
      </w:r>
      <w:r w:rsidR="00FC4327">
        <w:rPr>
          <w:rFonts w:eastAsiaTheme="minorEastAsia"/>
          <w:lang w:val="en-GB"/>
        </w:rPr>
        <w:t>22</w:t>
      </w:r>
      <w:r w:rsidRPr="00FC4327">
        <w:rPr>
          <w:rFonts w:eastAsiaTheme="minorEastAsia"/>
          <w:lang w:val="en-GB"/>
        </w:rPr>
        <w:t>.</w:t>
      </w:r>
    </w:p>
    <w:p w14:paraId="1FBD80A8" w14:textId="20FC1227" w:rsidR="00EB6106" w:rsidRPr="003F35A6" w:rsidRDefault="00EB6106" w:rsidP="00EB6106">
      <w:pPr>
        <w:rPr>
          <w:rFonts w:eastAsiaTheme="minorEastAsia"/>
          <w:lang w:val="en-GB"/>
        </w:rPr>
      </w:pPr>
      <w:r w:rsidRPr="00573B2D">
        <w:lastRenderedPageBreak/>
        <w:t xml:space="preserve">Across states and territories, the greatest increase in reports of ceftriaxone-nonsusceptible </w:t>
      </w:r>
      <w:r w:rsidRPr="00573B2D">
        <w:rPr>
          <w:i/>
          <w:iCs/>
        </w:rPr>
        <w:t>Salmonella</w:t>
      </w:r>
      <w:r w:rsidRPr="00573B2D">
        <w:t xml:space="preserve"> in 202</w:t>
      </w:r>
      <w:r w:rsidR="00573B2D" w:rsidRPr="00573B2D">
        <w:t>3</w:t>
      </w:r>
      <w:r w:rsidRPr="00573B2D">
        <w:t xml:space="preserve"> was in </w:t>
      </w:r>
      <w:r w:rsidR="00573B2D" w:rsidRPr="00573B2D">
        <w:t>Queensland (</w:t>
      </w:r>
      <w:r w:rsidR="00573B2D" w:rsidRPr="00573B2D">
        <w:rPr>
          <w:i/>
          <w:iCs/>
        </w:rPr>
        <w:t>n</w:t>
      </w:r>
      <w:r w:rsidR="00573B2D" w:rsidRPr="00573B2D">
        <w:t> = 22 in 2023;</w:t>
      </w:r>
      <w:r w:rsidR="00573B2D" w:rsidRPr="00573B2D">
        <w:rPr>
          <w:i/>
          <w:iCs/>
        </w:rPr>
        <w:t xml:space="preserve"> n</w:t>
      </w:r>
      <w:r w:rsidR="00573B2D" w:rsidRPr="00573B2D">
        <w:t> = 7 in 2022) and Victoria</w:t>
      </w:r>
      <w:r w:rsidRPr="00573B2D">
        <w:t xml:space="preserve"> (</w:t>
      </w:r>
      <w:r w:rsidRPr="00573B2D">
        <w:rPr>
          <w:i/>
          <w:iCs/>
        </w:rPr>
        <w:t>n</w:t>
      </w:r>
      <w:r w:rsidRPr="00573B2D">
        <w:t> = </w:t>
      </w:r>
      <w:r w:rsidR="00573B2D" w:rsidRPr="00573B2D">
        <w:t>39</w:t>
      </w:r>
      <w:r w:rsidRPr="00573B2D">
        <w:t xml:space="preserve"> in 202</w:t>
      </w:r>
      <w:r w:rsidR="00573B2D" w:rsidRPr="00573B2D">
        <w:t>3</w:t>
      </w:r>
      <w:r w:rsidRPr="00573B2D">
        <w:t>;</w:t>
      </w:r>
      <w:r w:rsidRPr="00573B2D">
        <w:rPr>
          <w:i/>
          <w:iCs/>
        </w:rPr>
        <w:t xml:space="preserve"> n</w:t>
      </w:r>
      <w:r w:rsidRPr="00573B2D">
        <w:t> = </w:t>
      </w:r>
      <w:r w:rsidR="00573B2D" w:rsidRPr="00573B2D">
        <w:t>17</w:t>
      </w:r>
      <w:r w:rsidRPr="00573B2D">
        <w:t xml:space="preserve"> in 202</w:t>
      </w:r>
      <w:r w:rsidR="00573B2D" w:rsidRPr="00573B2D">
        <w:t>2</w:t>
      </w:r>
      <w:r w:rsidRPr="00573B2D">
        <w:t>)</w:t>
      </w:r>
      <w:r w:rsidR="00573B2D" w:rsidRPr="00573B2D">
        <w:t>. T</w:t>
      </w:r>
      <w:r w:rsidRPr="00573B2D">
        <w:t>here were no reports from Tasmania</w:t>
      </w:r>
      <w:r w:rsidR="00573B2D" w:rsidRPr="00573B2D">
        <w:t xml:space="preserve">, </w:t>
      </w:r>
      <w:r w:rsidRPr="00573B2D">
        <w:t xml:space="preserve">the ACT </w:t>
      </w:r>
      <w:r w:rsidR="00573B2D" w:rsidRPr="00573B2D">
        <w:t xml:space="preserve">or the NT </w:t>
      </w:r>
      <w:r w:rsidRPr="00573B2D">
        <w:t>(Figure 2</w:t>
      </w:r>
      <w:r w:rsidR="00181F3B">
        <w:t>7</w:t>
      </w:r>
      <w:r w:rsidRPr="003F35A6">
        <w:t>).</w:t>
      </w:r>
    </w:p>
    <w:p w14:paraId="43FD7FC1" w14:textId="77777777" w:rsidR="00EB6106" w:rsidRPr="00B66A0E" w:rsidRDefault="00EB6106" w:rsidP="00EB6106">
      <w:r w:rsidRPr="00AF0035">
        <w:t xml:space="preserve">Reports from public hospitals are likely due to admissions associated with severe disease acquired in the community </w:t>
      </w:r>
      <w:r w:rsidRPr="00B66A0E">
        <w:t>(Table 6).</w:t>
      </w:r>
    </w:p>
    <w:p w14:paraId="6F1AD6F8" w14:textId="77777777" w:rsidR="00EB6106" w:rsidRDefault="00EB6106" w:rsidP="00EB6106">
      <w:pPr>
        <w:pStyle w:val="Heading4"/>
      </w:pPr>
      <w:r>
        <w:lastRenderedPageBreak/>
        <w:t>National data</w:t>
      </w:r>
    </w:p>
    <w:p w14:paraId="6B3AEDC2" w14:textId="2125C08B" w:rsidR="00A37563" w:rsidRDefault="00A37563" w:rsidP="00985E92">
      <w:pPr>
        <w:keepNext/>
        <w:spacing w:before="0" w:after="0"/>
        <w:contextualSpacing/>
        <w:rPr>
          <w:rFonts w:ascii="Arial" w:hAnsi="Arial"/>
          <w:bCs/>
        </w:rPr>
      </w:pPr>
      <w:r w:rsidRPr="00A37563">
        <w:rPr>
          <w:rFonts w:ascii="Arial" w:hAnsi="Arial"/>
          <w:b/>
        </w:rPr>
        <w:t>Figure 2</w:t>
      </w:r>
      <w:r w:rsidR="00181F3B">
        <w:rPr>
          <w:rFonts w:ascii="Arial" w:hAnsi="Arial"/>
          <w:b/>
        </w:rPr>
        <w:t>5</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rPr>
        <w:t>Salmonella</w:t>
      </w:r>
      <w:r w:rsidRPr="00A37563">
        <w:rPr>
          <w:rFonts w:ascii="Arial" w:hAnsi="Arial"/>
          <w:bCs/>
        </w:rPr>
        <w:t xml:space="preserve"> species, number reported to CARAlert by month, national, 2017–2023</w:t>
      </w:r>
      <w:r w:rsidR="00C66C61">
        <w:rPr>
          <w:rFonts w:ascii="Arial" w:hAnsi="Arial"/>
          <w:bCs/>
          <w:noProof/>
        </w:rPr>
        <w:drawing>
          <wp:inline distT="0" distB="0" distL="0" distR="0" wp14:anchorId="405865A5" wp14:editId="4C6187BA">
            <wp:extent cx="6118227" cy="3419335"/>
            <wp:effectExtent l="0" t="0" r="0" b="0"/>
            <wp:docPr id="56" name="Picture 56"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25"/>
                    <pic:cNvPicPr/>
                  </pic:nvPicPr>
                  <pic:blipFill>
                    <a:blip r:embed="rId53"/>
                    <a:stretch>
                      <a:fillRect/>
                    </a:stretch>
                  </pic:blipFill>
                  <pic:spPr>
                    <a:xfrm>
                      <a:off x="0" y="0"/>
                      <a:ext cx="6118227" cy="3419335"/>
                    </a:xfrm>
                    <a:prstGeom prst="rect">
                      <a:avLst/>
                    </a:prstGeom>
                  </pic:spPr>
                </pic:pic>
              </a:graphicData>
            </a:graphic>
          </wp:inline>
        </w:drawing>
      </w:r>
    </w:p>
    <w:p w14:paraId="2C9515DE" w14:textId="77777777" w:rsidR="00C66C61" w:rsidRDefault="00C66C61" w:rsidP="00985E92">
      <w:pPr>
        <w:keepNext/>
        <w:spacing w:before="0" w:after="0"/>
        <w:contextualSpacing/>
        <w:rPr>
          <w:rFonts w:ascii="Arial" w:hAnsi="Arial"/>
          <w:bCs/>
        </w:rPr>
      </w:pPr>
    </w:p>
    <w:p w14:paraId="4EC0193F" w14:textId="77D0BC3B" w:rsidR="00A37563" w:rsidRPr="00A37563" w:rsidRDefault="00A37563" w:rsidP="00A37563">
      <w:pPr>
        <w:keepNext/>
        <w:spacing w:before="0" w:after="0"/>
        <w:rPr>
          <w:rFonts w:ascii="Arial" w:hAnsi="Arial"/>
          <w:bCs/>
        </w:rPr>
      </w:pPr>
      <w:r w:rsidRPr="00A37563">
        <w:rPr>
          <w:rFonts w:ascii="Arial" w:hAnsi="Arial"/>
          <w:b/>
        </w:rPr>
        <w:t>Figure 2</w:t>
      </w:r>
      <w:r w:rsidR="00181F3B">
        <w:rPr>
          <w:rFonts w:ascii="Arial" w:hAnsi="Arial"/>
          <w:b/>
        </w:rPr>
        <w:t>6</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iCs/>
        </w:rPr>
        <w:t>Salmonella</w:t>
      </w:r>
      <w:r w:rsidRPr="00A37563">
        <w:rPr>
          <w:rFonts w:ascii="Arial" w:hAnsi="Arial"/>
          <w:bCs/>
        </w:rPr>
        <w:t xml:space="preserve"> species, by resistance phenotype, national, 2017–2023</w:t>
      </w:r>
      <w:r w:rsidR="0084397F">
        <w:rPr>
          <w:rFonts w:ascii="Arial" w:hAnsi="Arial"/>
          <w:bCs/>
          <w:noProof/>
        </w:rPr>
        <w:drawing>
          <wp:inline distT="0" distB="0" distL="0" distR="0" wp14:anchorId="1DD21374" wp14:editId="41676AB5">
            <wp:extent cx="6118227" cy="3239224"/>
            <wp:effectExtent l="0" t="0" r="0" b="0"/>
            <wp:docPr id="57" name="Picture 57"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26"/>
                    <pic:cNvPicPr/>
                  </pic:nvPicPr>
                  <pic:blipFill>
                    <a:blip r:embed="rId54"/>
                    <a:stretch>
                      <a:fillRect/>
                    </a:stretch>
                  </pic:blipFill>
                  <pic:spPr>
                    <a:xfrm>
                      <a:off x="0" y="0"/>
                      <a:ext cx="6118227" cy="3239224"/>
                    </a:xfrm>
                    <a:prstGeom prst="rect">
                      <a:avLst/>
                    </a:prstGeom>
                  </pic:spPr>
                </pic:pic>
              </a:graphicData>
            </a:graphic>
          </wp:inline>
        </w:drawing>
      </w:r>
    </w:p>
    <w:p w14:paraId="3A9563C6" w14:textId="77777777" w:rsidR="00A37563" w:rsidRPr="00A37563" w:rsidRDefault="00A37563" w:rsidP="003566EB">
      <w:pPr>
        <w:spacing w:after="0"/>
        <w:rPr>
          <w:rFonts w:ascii="Arial" w:hAnsi="Arial"/>
          <w:sz w:val="16"/>
          <w:szCs w:val="16"/>
        </w:rPr>
      </w:pPr>
      <w:proofErr w:type="spellStart"/>
      <w:r w:rsidRPr="00A37563">
        <w:rPr>
          <w:rFonts w:ascii="Arial" w:hAnsi="Arial"/>
          <w:sz w:val="16"/>
          <w:szCs w:val="16"/>
        </w:rPr>
        <w:t>AmpC</w:t>
      </w:r>
      <w:proofErr w:type="spellEnd"/>
      <w:r w:rsidRPr="00A37563">
        <w:rPr>
          <w:rFonts w:ascii="Arial" w:hAnsi="Arial"/>
          <w:sz w:val="16"/>
          <w:szCs w:val="16"/>
        </w:rPr>
        <w:t xml:space="preserve"> = plasmid-mediated </w:t>
      </w:r>
      <w:proofErr w:type="spellStart"/>
      <w:r w:rsidRPr="00A37563">
        <w:rPr>
          <w:rFonts w:ascii="Arial" w:hAnsi="Arial"/>
          <w:sz w:val="16"/>
          <w:szCs w:val="16"/>
        </w:rPr>
        <w:t>AmpC</w:t>
      </w:r>
      <w:proofErr w:type="spellEnd"/>
      <w:r w:rsidRPr="00A37563">
        <w:rPr>
          <w:rFonts w:ascii="Arial" w:hAnsi="Arial"/>
          <w:sz w:val="16"/>
          <w:szCs w:val="16"/>
        </w:rPr>
        <w:t xml:space="preserve">; ESBL = extended-spectrum </w:t>
      </w:r>
      <w:r w:rsidRPr="00A37563">
        <w:rPr>
          <w:rFonts w:ascii="Arial" w:hAnsi="Arial" w:cs="Arial"/>
          <w:sz w:val="16"/>
          <w:szCs w:val="16"/>
        </w:rPr>
        <w:t>β</w:t>
      </w:r>
      <w:r w:rsidRPr="00A37563">
        <w:rPr>
          <w:rFonts w:ascii="Arial" w:hAnsi="Arial"/>
          <w:sz w:val="16"/>
          <w:szCs w:val="16"/>
        </w:rPr>
        <w:t>-lactamase</w:t>
      </w:r>
      <w:r w:rsidRPr="00A37563">
        <w:rPr>
          <w:rFonts w:ascii="Arial" w:hAnsi="Arial"/>
          <w:sz w:val="16"/>
          <w:szCs w:val="16"/>
        </w:rPr>
        <w:br w:type="page"/>
      </w:r>
    </w:p>
    <w:p w14:paraId="10216D43" w14:textId="77777777" w:rsidR="00A37563" w:rsidRPr="00A37563" w:rsidRDefault="00A37563" w:rsidP="001B6E7A">
      <w:pPr>
        <w:pStyle w:val="Heading4"/>
      </w:pPr>
      <w:r w:rsidRPr="00A37563">
        <w:lastRenderedPageBreak/>
        <w:t>State and territory data</w:t>
      </w:r>
    </w:p>
    <w:p w14:paraId="6D695E02" w14:textId="4BD8EC53" w:rsidR="00A37563" w:rsidRPr="00A37563" w:rsidRDefault="00A37563" w:rsidP="00A37563">
      <w:pPr>
        <w:spacing w:before="0" w:after="0"/>
        <w:contextualSpacing/>
        <w:rPr>
          <w:rFonts w:ascii="Arial" w:hAnsi="Arial"/>
          <w:b/>
        </w:rPr>
      </w:pPr>
      <w:r w:rsidRPr="00A37563">
        <w:rPr>
          <w:rFonts w:ascii="Arial" w:hAnsi="Arial"/>
          <w:b/>
        </w:rPr>
        <w:t>Figure 2</w:t>
      </w:r>
      <w:r w:rsidR="00181F3B">
        <w:rPr>
          <w:rFonts w:ascii="Arial" w:hAnsi="Arial"/>
          <w:b/>
        </w:rPr>
        <w:t>7</w:t>
      </w:r>
      <w:r w:rsidRPr="00A37563">
        <w:rPr>
          <w:rFonts w:ascii="Arial" w:hAnsi="Arial"/>
          <w:b/>
        </w:rPr>
        <w:t xml:space="preserve">: </w:t>
      </w:r>
      <w:r w:rsidRPr="00A37563">
        <w:rPr>
          <w:rFonts w:ascii="Arial" w:hAnsi="Arial"/>
          <w:bCs/>
        </w:rPr>
        <w:t xml:space="preserve">Ceftriaxone-nonsusceptible </w:t>
      </w:r>
      <w:r w:rsidRPr="00A37563">
        <w:rPr>
          <w:rFonts w:ascii="Arial" w:hAnsi="Arial"/>
          <w:bCs/>
          <w:i/>
          <w:iCs/>
        </w:rPr>
        <w:t>Salmonella</w:t>
      </w:r>
      <w:r w:rsidRPr="00A37563">
        <w:rPr>
          <w:rFonts w:ascii="Arial" w:hAnsi="Arial"/>
          <w:bCs/>
        </w:rPr>
        <w:t xml:space="preserve"> species, number reported to CARAlert by state and territory, 2017–2023</w:t>
      </w:r>
      <w:r w:rsidR="0084397F">
        <w:rPr>
          <w:rFonts w:ascii="Arial" w:hAnsi="Arial"/>
          <w:b/>
          <w:noProof/>
        </w:rPr>
        <w:drawing>
          <wp:inline distT="0" distB="0" distL="0" distR="0" wp14:anchorId="5BEF0863" wp14:editId="53A5ED3E">
            <wp:extent cx="6118227" cy="3239224"/>
            <wp:effectExtent l="0" t="0" r="0" b="0"/>
            <wp:docPr id="58" name="Picture 58"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27"/>
                    <pic:cNvPicPr/>
                  </pic:nvPicPr>
                  <pic:blipFill>
                    <a:blip r:embed="rId55"/>
                    <a:stretch>
                      <a:fillRect/>
                    </a:stretch>
                  </pic:blipFill>
                  <pic:spPr>
                    <a:xfrm>
                      <a:off x="0" y="0"/>
                      <a:ext cx="6118227" cy="3239224"/>
                    </a:xfrm>
                    <a:prstGeom prst="rect">
                      <a:avLst/>
                    </a:prstGeom>
                  </pic:spPr>
                </pic:pic>
              </a:graphicData>
            </a:graphic>
          </wp:inline>
        </w:drawing>
      </w:r>
    </w:p>
    <w:p w14:paraId="0697E1F3" w14:textId="77777777" w:rsidR="00EB6106" w:rsidRDefault="00EB6106" w:rsidP="00EB6106">
      <w:pPr>
        <w:pStyle w:val="Normal-beforebullets"/>
        <w:rPr>
          <w:highlight w:val="yellow"/>
        </w:rPr>
      </w:pPr>
    </w:p>
    <w:p w14:paraId="0BC3D510" w14:textId="77777777" w:rsidR="00EB6106" w:rsidRPr="00A556BB" w:rsidRDefault="00EB6106" w:rsidP="00EB6106">
      <w:pPr>
        <w:pStyle w:val="FigureTitle"/>
        <w:rPr>
          <w:rStyle w:val="IntenseReference"/>
          <w:bCs w:val="0"/>
          <w:i w:val="0"/>
          <w:smallCaps w:val="0"/>
        </w:rPr>
      </w:pPr>
      <w:r w:rsidRPr="00FB75A4">
        <w:t>Table 6:</w:t>
      </w:r>
      <w:r>
        <w:t xml:space="preserve"> </w:t>
      </w:r>
      <w:r>
        <w:rPr>
          <w:b w:val="0"/>
          <w:bCs/>
        </w:rPr>
        <w:t>Ceftriaxone-nonsusceptible</w:t>
      </w:r>
      <w:r w:rsidRPr="00910402">
        <w:rPr>
          <w:b w:val="0"/>
          <w:bCs/>
        </w:rPr>
        <w:t xml:space="preserve"> </w:t>
      </w:r>
      <w:r w:rsidRPr="00910402">
        <w:rPr>
          <w:b w:val="0"/>
          <w:bCs/>
          <w:i/>
          <w:iCs/>
        </w:rPr>
        <w:t>Salmonella</w:t>
      </w:r>
      <w:r w:rsidRPr="00910402">
        <w:rPr>
          <w:b w:val="0"/>
          <w:bCs/>
        </w:rPr>
        <w:t xml:space="preserve"> species, number reported</w:t>
      </w:r>
      <w:r w:rsidRPr="00E961B6">
        <w:rPr>
          <w:b w:val="0"/>
          <w:bCs/>
        </w:rPr>
        <w:t xml:space="preserve"> to CARAlert </w:t>
      </w:r>
      <w:r w:rsidRPr="00910402">
        <w:rPr>
          <w:b w:val="0"/>
          <w:bCs/>
        </w:rPr>
        <w:t xml:space="preserve">by setting, state and territory, </w:t>
      </w:r>
      <w:proofErr w:type="gramStart"/>
      <w:r w:rsidRPr="00AD3DA2">
        <w:rPr>
          <w:b w:val="0"/>
          <w:bCs/>
        </w:rPr>
        <w:t>202</w:t>
      </w:r>
      <w:r>
        <w:rPr>
          <w:b w:val="0"/>
          <w:bCs/>
        </w:rPr>
        <w:t>3</w:t>
      </w:r>
      <w:proofErr w:type="gramEnd"/>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6"/>
      </w:tblPr>
      <w:tblGrid>
        <w:gridCol w:w="1802"/>
        <w:gridCol w:w="869"/>
        <w:gridCol w:w="869"/>
        <w:gridCol w:w="861"/>
        <w:gridCol w:w="861"/>
        <w:gridCol w:w="850"/>
        <w:gridCol w:w="850"/>
        <w:gridCol w:w="850"/>
        <w:gridCol w:w="911"/>
        <w:gridCol w:w="909"/>
      </w:tblGrid>
      <w:tr w:rsidR="00EB6106" w:rsidRPr="001876CF" w14:paraId="61207D17" w14:textId="77777777" w:rsidTr="002C1AF6">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72D1799C" w14:textId="77777777" w:rsidR="00EB6106" w:rsidRDefault="00EB6106" w:rsidP="000E7D5C">
            <w:pPr>
              <w:pStyle w:val="Normal-beforebullets"/>
              <w:rPr>
                <w:rFonts w:cstheme="minorHAnsi"/>
                <w:b w:val="0"/>
                <w:szCs w:val="18"/>
              </w:rPr>
            </w:pPr>
          </w:p>
        </w:tc>
        <w:tc>
          <w:tcPr>
            <w:tcW w:w="3592" w:type="pct"/>
            <w:gridSpan w:val="8"/>
            <w:tcBorders>
              <w:top w:val="single" w:sz="4" w:space="0" w:color="auto"/>
              <w:left w:val="single" w:sz="2" w:space="0" w:color="auto"/>
              <w:bottom w:val="single" w:sz="4" w:space="0" w:color="auto"/>
              <w:right w:val="single" w:sz="2" w:space="0" w:color="auto"/>
            </w:tcBorders>
            <w:shd w:val="clear" w:color="auto" w:fill="86D3F2" w:themeFill="background2" w:themeFillTint="66"/>
            <w:vAlign w:val="center"/>
          </w:tcPr>
          <w:p w14:paraId="69335BB7" w14:textId="77777777" w:rsidR="00EB6106" w:rsidRPr="001876CF" w:rsidRDefault="00EB6106" w:rsidP="003566EB">
            <w:pPr>
              <w:pStyle w:val="Normal-beforebullets"/>
              <w:jc w:val="center"/>
              <w:rPr>
                <w:rFonts w:cstheme="minorHAnsi"/>
                <w:b w:val="0"/>
                <w:szCs w:val="18"/>
              </w:rPr>
            </w:pPr>
            <w:r w:rsidRPr="001876CF">
              <w:rPr>
                <w:rFonts w:cstheme="minorHAnsi"/>
                <w:szCs w:val="18"/>
              </w:rPr>
              <w:t>State or territory</w:t>
            </w:r>
          </w:p>
        </w:tc>
        <w:tc>
          <w:tcPr>
            <w:tcW w:w="472"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72527A08" w14:textId="77777777" w:rsidR="00EB6106" w:rsidRPr="001876CF" w:rsidRDefault="00EB6106" w:rsidP="000E7D5C">
            <w:pPr>
              <w:pStyle w:val="Normal-beforebullets"/>
              <w:rPr>
                <w:rFonts w:cstheme="minorHAnsi"/>
                <w:b w:val="0"/>
                <w:szCs w:val="18"/>
              </w:rPr>
            </w:pPr>
          </w:p>
        </w:tc>
      </w:tr>
      <w:tr w:rsidR="003566EB" w:rsidRPr="001876CF" w14:paraId="5CDE360F" w14:textId="77777777" w:rsidTr="002C1AF6">
        <w:trPr>
          <w:trHeight w:hRule="exact" w:val="340"/>
        </w:trPr>
        <w:tc>
          <w:tcPr>
            <w:tcW w:w="936"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366BC2AF" w14:textId="77777777" w:rsidR="00EB6106" w:rsidRPr="00DD2BB0" w:rsidRDefault="00EB6106" w:rsidP="000E7D5C">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themeFill="background2" w:themeFillTint="66"/>
            <w:vAlign w:val="center"/>
          </w:tcPr>
          <w:p w14:paraId="5F18798E" w14:textId="77777777" w:rsidR="00EB6106" w:rsidRPr="00DD2BB0" w:rsidRDefault="00EB6106" w:rsidP="000E7D5C">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themeFill="background2" w:themeFillTint="66"/>
            <w:vAlign w:val="center"/>
          </w:tcPr>
          <w:p w14:paraId="48FC2F73" w14:textId="77777777" w:rsidR="00EB6106" w:rsidRPr="00DD2BB0" w:rsidRDefault="00EB6106" w:rsidP="000E7D5C">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themeFill="background2" w:themeFillTint="66"/>
            <w:vAlign w:val="center"/>
          </w:tcPr>
          <w:p w14:paraId="0DB53A14" w14:textId="77777777" w:rsidR="00EB6106" w:rsidRPr="001876CF" w:rsidRDefault="00EB6106" w:rsidP="000E7D5C">
            <w:pPr>
              <w:pStyle w:val="Normal-beforebullets"/>
              <w:jc w:val="center"/>
              <w:rPr>
                <w:rFonts w:cstheme="minorHAnsi"/>
                <w:b/>
                <w:szCs w:val="18"/>
              </w:rPr>
            </w:pPr>
            <w:r w:rsidRPr="001876CF">
              <w:rPr>
                <w:rFonts w:cstheme="minorHAnsi"/>
                <w:b/>
                <w:szCs w:val="18"/>
              </w:rPr>
              <w:t>Qld</w:t>
            </w:r>
          </w:p>
        </w:tc>
        <w:tc>
          <w:tcPr>
            <w:tcW w:w="447" w:type="pct"/>
            <w:tcBorders>
              <w:top w:val="single" w:sz="4" w:space="0" w:color="auto"/>
              <w:bottom w:val="single" w:sz="4" w:space="0" w:color="auto"/>
            </w:tcBorders>
            <w:shd w:val="clear" w:color="auto" w:fill="86D3F2" w:themeFill="background2" w:themeFillTint="66"/>
            <w:vAlign w:val="center"/>
          </w:tcPr>
          <w:p w14:paraId="7C81C8EF" w14:textId="77777777" w:rsidR="00EB6106" w:rsidRPr="001876CF" w:rsidRDefault="00EB6106" w:rsidP="000E7D5C">
            <w:pPr>
              <w:pStyle w:val="Normal-beforebullets"/>
              <w:jc w:val="center"/>
              <w:rPr>
                <w:rFonts w:cstheme="minorHAnsi"/>
                <w:b/>
                <w:szCs w:val="18"/>
              </w:rPr>
            </w:pPr>
            <w:r w:rsidRPr="001876CF">
              <w:rPr>
                <w:rFonts w:cstheme="minorHAnsi"/>
                <w:b/>
                <w:szCs w:val="18"/>
              </w:rPr>
              <w:t>SA</w:t>
            </w:r>
          </w:p>
        </w:tc>
        <w:tc>
          <w:tcPr>
            <w:tcW w:w="441" w:type="pct"/>
            <w:tcBorders>
              <w:top w:val="single" w:sz="4" w:space="0" w:color="auto"/>
              <w:bottom w:val="single" w:sz="4" w:space="0" w:color="auto"/>
            </w:tcBorders>
            <w:shd w:val="clear" w:color="auto" w:fill="86D3F2" w:themeFill="background2" w:themeFillTint="66"/>
            <w:vAlign w:val="center"/>
          </w:tcPr>
          <w:p w14:paraId="1A067775" w14:textId="77777777" w:rsidR="00EB6106" w:rsidRPr="001876CF" w:rsidRDefault="00EB6106" w:rsidP="000E7D5C">
            <w:pPr>
              <w:pStyle w:val="Normal-beforebullets"/>
              <w:jc w:val="center"/>
              <w:rPr>
                <w:rFonts w:cstheme="minorHAnsi"/>
                <w:b/>
                <w:szCs w:val="18"/>
              </w:rPr>
            </w:pPr>
            <w:r w:rsidRPr="001876CF">
              <w:rPr>
                <w:rFonts w:cstheme="minorHAnsi"/>
                <w:b/>
                <w:szCs w:val="18"/>
              </w:rPr>
              <w:t>WA</w:t>
            </w:r>
          </w:p>
        </w:tc>
        <w:tc>
          <w:tcPr>
            <w:tcW w:w="441" w:type="pct"/>
            <w:tcBorders>
              <w:top w:val="single" w:sz="4" w:space="0" w:color="auto"/>
              <w:bottom w:val="single" w:sz="4" w:space="0" w:color="auto"/>
            </w:tcBorders>
            <w:shd w:val="clear" w:color="auto" w:fill="86D3F2" w:themeFill="background2" w:themeFillTint="66"/>
            <w:vAlign w:val="center"/>
          </w:tcPr>
          <w:p w14:paraId="05217616" w14:textId="77777777" w:rsidR="00EB6106" w:rsidRPr="001876CF" w:rsidRDefault="00EB6106" w:rsidP="000E7D5C">
            <w:pPr>
              <w:pStyle w:val="Normal-beforebullets"/>
              <w:jc w:val="center"/>
              <w:rPr>
                <w:rFonts w:cstheme="minorHAnsi"/>
                <w:b/>
                <w:szCs w:val="18"/>
              </w:rPr>
            </w:pPr>
            <w:r w:rsidRPr="001876CF">
              <w:rPr>
                <w:rFonts w:cstheme="minorHAnsi"/>
                <w:b/>
                <w:szCs w:val="18"/>
              </w:rPr>
              <w:t>Tas</w:t>
            </w:r>
          </w:p>
        </w:tc>
        <w:tc>
          <w:tcPr>
            <w:tcW w:w="441" w:type="pct"/>
            <w:tcBorders>
              <w:top w:val="single" w:sz="4" w:space="0" w:color="auto"/>
              <w:bottom w:val="single" w:sz="4" w:space="0" w:color="auto"/>
            </w:tcBorders>
            <w:shd w:val="clear" w:color="auto" w:fill="86D3F2" w:themeFill="background2" w:themeFillTint="66"/>
            <w:vAlign w:val="center"/>
          </w:tcPr>
          <w:p w14:paraId="6FBBCE68" w14:textId="77777777" w:rsidR="00EB6106" w:rsidRPr="001876CF" w:rsidRDefault="00EB6106" w:rsidP="000E7D5C">
            <w:pPr>
              <w:pStyle w:val="Normal-beforebullets"/>
              <w:jc w:val="center"/>
              <w:rPr>
                <w:rFonts w:cstheme="minorHAnsi"/>
                <w:b/>
                <w:szCs w:val="18"/>
              </w:rPr>
            </w:pPr>
            <w:r w:rsidRPr="001876CF">
              <w:rPr>
                <w:rFonts w:cstheme="minorHAnsi"/>
                <w:b/>
                <w:szCs w:val="18"/>
              </w:rPr>
              <w:t>NT</w:t>
            </w:r>
          </w:p>
        </w:tc>
        <w:tc>
          <w:tcPr>
            <w:tcW w:w="473" w:type="pct"/>
            <w:tcBorders>
              <w:top w:val="single" w:sz="4" w:space="0" w:color="auto"/>
              <w:bottom w:val="single" w:sz="4" w:space="0" w:color="auto"/>
              <w:right w:val="single" w:sz="2" w:space="0" w:color="auto"/>
            </w:tcBorders>
            <w:shd w:val="clear" w:color="auto" w:fill="86D3F2" w:themeFill="background2" w:themeFillTint="66"/>
            <w:vAlign w:val="center"/>
          </w:tcPr>
          <w:p w14:paraId="12EA5043" w14:textId="77777777" w:rsidR="00EB6106" w:rsidRPr="001876CF" w:rsidRDefault="00EB6106" w:rsidP="000E7D5C">
            <w:pPr>
              <w:pStyle w:val="Normal-beforebullets"/>
              <w:jc w:val="center"/>
              <w:rPr>
                <w:rFonts w:cstheme="minorHAnsi"/>
                <w:b/>
                <w:szCs w:val="18"/>
              </w:rPr>
            </w:pPr>
            <w:r w:rsidRPr="001876CF">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4215E425" w14:textId="77777777" w:rsidR="00EB6106" w:rsidRPr="001876CF" w:rsidRDefault="00EB6106" w:rsidP="000E7D5C">
            <w:pPr>
              <w:pStyle w:val="Normal-beforebullets"/>
              <w:jc w:val="center"/>
              <w:rPr>
                <w:rFonts w:cstheme="minorHAnsi"/>
                <w:b/>
                <w:szCs w:val="18"/>
              </w:rPr>
            </w:pPr>
            <w:r w:rsidRPr="001876CF">
              <w:rPr>
                <w:rFonts w:cstheme="minorHAnsi"/>
                <w:b/>
                <w:szCs w:val="18"/>
              </w:rPr>
              <w:t>Total</w:t>
            </w:r>
          </w:p>
        </w:tc>
      </w:tr>
      <w:tr w:rsidR="003566EB" w:rsidRPr="001876CF" w14:paraId="3C2D370A" w14:textId="77777777" w:rsidTr="002C1AF6">
        <w:trPr>
          <w:trHeight w:val="227"/>
        </w:trPr>
        <w:tc>
          <w:tcPr>
            <w:tcW w:w="936"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53CCB663" w14:textId="77777777" w:rsidR="00EB6106" w:rsidRPr="007C61C5" w:rsidRDefault="00EB6106" w:rsidP="000E7D5C">
            <w:pPr>
              <w:spacing w:after="0"/>
              <w:contextualSpacing/>
              <w:rPr>
                <w:rFonts w:cstheme="minorHAnsi"/>
                <w:b/>
                <w:color w:val="000000"/>
                <w:szCs w:val="18"/>
              </w:rPr>
            </w:pPr>
            <w:r w:rsidRPr="007C61C5">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center"/>
          </w:tcPr>
          <w:p w14:paraId="6F7DE51B"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17</w:t>
            </w:r>
          </w:p>
        </w:tc>
        <w:tc>
          <w:tcPr>
            <w:tcW w:w="451" w:type="pct"/>
            <w:tcBorders>
              <w:top w:val="single" w:sz="4" w:space="0" w:color="auto"/>
              <w:bottom w:val="single" w:sz="2" w:space="0" w:color="BFBFBF" w:themeColor="background1" w:themeShade="BF"/>
            </w:tcBorders>
            <w:shd w:val="clear" w:color="auto" w:fill="C2E9F8" w:themeFill="background2" w:themeFillTint="33"/>
            <w:vAlign w:val="center"/>
          </w:tcPr>
          <w:p w14:paraId="4BCB2149"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39</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4AC8DDB0"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22</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16ED7F8F"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2</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30434387"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15</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1F825CD3"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0</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672FC8C4"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0</w:t>
            </w:r>
          </w:p>
        </w:tc>
        <w:tc>
          <w:tcPr>
            <w:tcW w:w="473"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center"/>
          </w:tcPr>
          <w:p w14:paraId="2F35F74C"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0</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445CEE42" w14:textId="77777777" w:rsidR="00EB6106" w:rsidRPr="00FB75A4" w:rsidRDefault="00EB6106" w:rsidP="000E7D5C">
            <w:pPr>
              <w:spacing w:after="0"/>
              <w:contextualSpacing/>
              <w:jc w:val="center"/>
              <w:rPr>
                <w:rFonts w:cs="Arial"/>
                <w:b/>
                <w:color w:val="auto"/>
                <w:szCs w:val="18"/>
              </w:rPr>
            </w:pPr>
            <w:r w:rsidRPr="00FB75A4">
              <w:rPr>
                <w:rFonts w:cs="Arial"/>
                <w:b/>
                <w:bCs/>
                <w:color w:val="auto"/>
                <w:szCs w:val="18"/>
              </w:rPr>
              <w:t>95</w:t>
            </w:r>
          </w:p>
        </w:tc>
      </w:tr>
      <w:tr w:rsidR="00EB6106" w:rsidRPr="001876CF" w14:paraId="20282C34" w14:textId="77777777" w:rsidTr="002C1AF6">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DA5450A" w14:textId="77777777" w:rsidR="00EB6106" w:rsidRPr="00BD10A4" w:rsidRDefault="00EB6106" w:rsidP="000E7D5C">
            <w:pPr>
              <w:spacing w:after="0"/>
              <w:contextualSpacing/>
              <w:rPr>
                <w:rFonts w:cstheme="minorHAnsi"/>
                <w:color w:val="000000"/>
                <w:szCs w:val="18"/>
              </w:rPr>
            </w:pPr>
            <w:r w:rsidRPr="00DD2BB0">
              <w:rPr>
                <w:rFonts w:cstheme="minorHAnsi"/>
                <w:szCs w:val="18"/>
              </w:rPr>
              <w:t>Public hospital</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8565245"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629EFF66"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9</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8B8E032"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12</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77DA679"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682E4C"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4</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9C4F83F"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4744C2C"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C9B122C"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414E1D3"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35</w:t>
            </w:r>
          </w:p>
        </w:tc>
      </w:tr>
      <w:tr w:rsidR="00EB6106" w:rsidRPr="001876CF" w14:paraId="0ED57C98" w14:textId="77777777" w:rsidTr="002C1AF6">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4034847B" w14:textId="77777777" w:rsidR="00EB6106" w:rsidRPr="00BD10A4" w:rsidRDefault="00EB6106" w:rsidP="000E7D5C">
            <w:pPr>
              <w:spacing w:after="0"/>
              <w:contextualSpacing/>
              <w:rPr>
                <w:rFonts w:cstheme="minorHAnsi"/>
                <w:color w:val="000000"/>
                <w:szCs w:val="18"/>
              </w:rPr>
            </w:pPr>
            <w:r w:rsidRPr="00DD2BB0">
              <w:rPr>
                <w:rFonts w:cstheme="minorHAnsi"/>
                <w:szCs w:val="18"/>
              </w:rPr>
              <w:t>Private hospital</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9CB485D"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6A3DDEB"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55AD0"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1F99A40"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F9F8E67"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2</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726B059"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248499C"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4A3CA224"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132508F6"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3</w:t>
            </w:r>
          </w:p>
        </w:tc>
      </w:tr>
      <w:tr w:rsidR="00EB6106" w:rsidRPr="001876CF" w14:paraId="6D9D0C10" w14:textId="77777777" w:rsidTr="002C1AF6">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F1981AD" w14:textId="77777777" w:rsidR="00EB6106" w:rsidRPr="00DD2BB0" w:rsidRDefault="00EB6106" w:rsidP="000E7D5C">
            <w:pPr>
              <w:spacing w:after="0"/>
              <w:contextualSpacing/>
              <w:rPr>
                <w:rFonts w:cstheme="minorHAnsi"/>
                <w:color w:val="000000"/>
                <w:szCs w:val="18"/>
              </w:rPr>
            </w:pPr>
            <w:r w:rsidRPr="00DD2BB0">
              <w:rPr>
                <w:rFonts w:cstheme="minorHAnsi"/>
                <w:szCs w:val="18"/>
              </w:rPr>
              <w:t>Aged care home</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0909501"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5B101F5"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2A4EF7E"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C8491C2"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D8A947"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6E2CE8E"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61AD52F"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0E713D60"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94C426D"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r>
      <w:tr w:rsidR="00EB6106" w:rsidRPr="001876CF" w14:paraId="3997D59A" w14:textId="77777777" w:rsidTr="002C1AF6">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CE4B20E" w14:textId="77777777" w:rsidR="00EB6106" w:rsidRPr="00DD2BB0" w:rsidRDefault="00EB6106" w:rsidP="000E7D5C">
            <w:pPr>
              <w:spacing w:after="0"/>
              <w:contextualSpacing/>
              <w:rPr>
                <w:rFonts w:cstheme="minorHAnsi"/>
                <w:color w:val="000000"/>
                <w:szCs w:val="18"/>
              </w:rPr>
            </w:pPr>
            <w:r w:rsidRPr="00DD2BB0">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tcBorders>
            <w:vAlign w:val="center"/>
          </w:tcPr>
          <w:p w14:paraId="2C8FA0D3"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w:t>
            </w:r>
          </w:p>
        </w:tc>
        <w:tc>
          <w:tcPr>
            <w:tcW w:w="451" w:type="pct"/>
            <w:tcBorders>
              <w:top w:val="single" w:sz="2" w:space="0" w:color="BFBFBF" w:themeColor="background1" w:themeShade="BF"/>
              <w:bottom w:val="single" w:sz="2" w:space="0" w:color="BFBFBF" w:themeColor="background1" w:themeShade="BF"/>
            </w:tcBorders>
            <w:vAlign w:val="center"/>
          </w:tcPr>
          <w:p w14:paraId="1D197B0C"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22</w:t>
            </w:r>
          </w:p>
        </w:tc>
        <w:tc>
          <w:tcPr>
            <w:tcW w:w="447" w:type="pct"/>
            <w:tcBorders>
              <w:top w:val="single" w:sz="2" w:space="0" w:color="BFBFBF" w:themeColor="background1" w:themeShade="BF"/>
              <w:bottom w:val="single" w:sz="2" w:space="0" w:color="BFBFBF" w:themeColor="background1" w:themeShade="BF"/>
            </w:tcBorders>
            <w:vAlign w:val="center"/>
          </w:tcPr>
          <w:p w14:paraId="75923E44"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8</w:t>
            </w:r>
          </w:p>
        </w:tc>
        <w:tc>
          <w:tcPr>
            <w:tcW w:w="447" w:type="pct"/>
            <w:tcBorders>
              <w:top w:val="single" w:sz="2" w:space="0" w:color="BFBFBF" w:themeColor="background1" w:themeShade="BF"/>
              <w:bottom w:val="single" w:sz="2" w:space="0" w:color="BFBFBF" w:themeColor="background1" w:themeShade="BF"/>
            </w:tcBorders>
            <w:vAlign w:val="center"/>
          </w:tcPr>
          <w:p w14:paraId="066BBEC7"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2</w:t>
            </w:r>
          </w:p>
        </w:tc>
        <w:tc>
          <w:tcPr>
            <w:tcW w:w="441" w:type="pct"/>
            <w:tcBorders>
              <w:top w:val="single" w:sz="2" w:space="0" w:color="BFBFBF" w:themeColor="background1" w:themeShade="BF"/>
              <w:bottom w:val="single" w:sz="2" w:space="0" w:color="BFBFBF" w:themeColor="background1" w:themeShade="BF"/>
            </w:tcBorders>
            <w:vAlign w:val="center"/>
          </w:tcPr>
          <w:p w14:paraId="6E82865F"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8</w:t>
            </w:r>
          </w:p>
        </w:tc>
        <w:tc>
          <w:tcPr>
            <w:tcW w:w="441" w:type="pct"/>
            <w:tcBorders>
              <w:top w:val="single" w:sz="2" w:space="0" w:color="BFBFBF" w:themeColor="background1" w:themeShade="BF"/>
              <w:bottom w:val="single" w:sz="2" w:space="0" w:color="BFBFBF" w:themeColor="background1" w:themeShade="BF"/>
            </w:tcBorders>
            <w:vAlign w:val="center"/>
          </w:tcPr>
          <w:p w14:paraId="2069DF8D"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18B1F393"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3" w:type="pct"/>
            <w:tcBorders>
              <w:top w:val="single" w:sz="2" w:space="0" w:color="BFBFBF" w:themeColor="background1" w:themeShade="BF"/>
              <w:bottom w:val="single" w:sz="2" w:space="0" w:color="BFBFBF" w:themeColor="background1" w:themeShade="BF"/>
              <w:right w:val="single" w:sz="2" w:space="0" w:color="auto"/>
            </w:tcBorders>
            <w:vAlign w:val="center"/>
          </w:tcPr>
          <w:p w14:paraId="7DDA0F96"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3194EEBF"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41</w:t>
            </w:r>
          </w:p>
        </w:tc>
      </w:tr>
      <w:tr w:rsidR="00EB6106" w:rsidRPr="001876CF" w14:paraId="7C91F239" w14:textId="77777777" w:rsidTr="002C1AF6">
        <w:trPr>
          <w:trHeight w:val="227"/>
        </w:trPr>
        <w:tc>
          <w:tcPr>
            <w:tcW w:w="936" w:type="pct"/>
            <w:tcBorders>
              <w:top w:val="single" w:sz="2" w:space="0" w:color="BFBFBF" w:themeColor="background1" w:themeShade="BF"/>
              <w:left w:val="single" w:sz="2" w:space="0" w:color="auto"/>
              <w:bottom w:val="single" w:sz="4" w:space="0" w:color="auto"/>
              <w:right w:val="single" w:sz="2" w:space="0" w:color="auto"/>
            </w:tcBorders>
            <w:vAlign w:val="center"/>
          </w:tcPr>
          <w:p w14:paraId="10EA41FA" w14:textId="77777777" w:rsidR="00EB6106" w:rsidRPr="00DD2BB0" w:rsidRDefault="00EB6106" w:rsidP="000E7D5C">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05F1BCCF"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6</w:t>
            </w:r>
          </w:p>
        </w:tc>
        <w:tc>
          <w:tcPr>
            <w:tcW w:w="451" w:type="pct"/>
            <w:tcBorders>
              <w:top w:val="single" w:sz="2" w:space="0" w:color="BFBFBF" w:themeColor="background1" w:themeShade="BF"/>
              <w:bottom w:val="single" w:sz="4" w:space="0" w:color="auto"/>
            </w:tcBorders>
            <w:vAlign w:val="center"/>
          </w:tcPr>
          <w:p w14:paraId="25E51264"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7</w:t>
            </w:r>
          </w:p>
        </w:tc>
        <w:tc>
          <w:tcPr>
            <w:tcW w:w="447" w:type="pct"/>
            <w:tcBorders>
              <w:top w:val="single" w:sz="2" w:space="0" w:color="BFBFBF" w:themeColor="background1" w:themeShade="BF"/>
              <w:bottom w:val="single" w:sz="4" w:space="0" w:color="auto"/>
            </w:tcBorders>
            <w:vAlign w:val="center"/>
          </w:tcPr>
          <w:p w14:paraId="5FFF3ADA"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2</w:t>
            </w:r>
          </w:p>
        </w:tc>
        <w:tc>
          <w:tcPr>
            <w:tcW w:w="447" w:type="pct"/>
            <w:tcBorders>
              <w:top w:val="single" w:sz="2" w:space="0" w:color="BFBFBF" w:themeColor="background1" w:themeShade="BF"/>
              <w:bottom w:val="single" w:sz="4" w:space="0" w:color="auto"/>
            </w:tcBorders>
            <w:vAlign w:val="center"/>
          </w:tcPr>
          <w:p w14:paraId="5D81A3B2"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5171D016"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w:t>
            </w:r>
          </w:p>
        </w:tc>
        <w:tc>
          <w:tcPr>
            <w:tcW w:w="441" w:type="pct"/>
            <w:tcBorders>
              <w:top w:val="single" w:sz="2" w:space="0" w:color="BFBFBF" w:themeColor="background1" w:themeShade="BF"/>
              <w:bottom w:val="single" w:sz="4" w:space="0" w:color="auto"/>
            </w:tcBorders>
            <w:vAlign w:val="center"/>
          </w:tcPr>
          <w:p w14:paraId="1648AF77"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41" w:type="pct"/>
            <w:tcBorders>
              <w:top w:val="single" w:sz="2" w:space="0" w:color="BFBFBF" w:themeColor="background1" w:themeShade="BF"/>
              <w:bottom w:val="single" w:sz="4" w:space="0" w:color="auto"/>
            </w:tcBorders>
            <w:vAlign w:val="center"/>
          </w:tcPr>
          <w:p w14:paraId="7D80290A"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3" w:type="pct"/>
            <w:tcBorders>
              <w:top w:val="single" w:sz="2" w:space="0" w:color="BFBFBF" w:themeColor="background1" w:themeShade="BF"/>
              <w:bottom w:val="single" w:sz="4" w:space="0" w:color="auto"/>
              <w:right w:val="single" w:sz="2" w:space="0" w:color="auto"/>
            </w:tcBorders>
            <w:vAlign w:val="center"/>
          </w:tcPr>
          <w:p w14:paraId="38B36968"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0</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55DF8F86" w14:textId="77777777" w:rsidR="00EB6106" w:rsidRPr="00FB75A4" w:rsidRDefault="00EB6106" w:rsidP="000E7D5C">
            <w:pPr>
              <w:spacing w:after="0"/>
              <w:contextualSpacing/>
              <w:jc w:val="center"/>
              <w:rPr>
                <w:rFonts w:cs="Arial"/>
                <w:color w:val="auto"/>
                <w:szCs w:val="18"/>
              </w:rPr>
            </w:pPr>
            <w:r w:rsidRPr="00FB75A4">
              <w:rPr>
                <w:rFonts w:cs="Arial"/>
                <w:color w:val="auto"/>
                <w:szCs w:val="18"/>
              </w:rPr>
              <w:t>16</w:t>
            </w:r>
          </w:p>
        </w:tc>
      </w:tr>
    </w:tbl>
    <w:p w14:paraId="426F0CFE" w14:textId="77777777" w:rsidR="00EB6106" w:rsidRDefault="00EB6106" w:rsidP="00EB6106">
      <w:pPr>
        <w:pStyle w:val="Heading3"/>
      </w:pPr>
      <w:bookmarkStart w:id="30" w:name="_Toc166585583"/>
      <w:r w:rsidRPr="00256775">
        <w:rPr>
          <w:i/>
        </w:rPr>
        <w:t>Shigella</w:t>
      </w:r>
      <w:r w:rsidRPr="00256775">
        <w:t xml:space="preserve"> species</w:t>
      </w:r>
      <w:bookmarkEnd w:id="30"/>
    </w:p>
    <w:p w14:paraId="24ABF475" w14:textId="35BFAE41" w:rsidR="00EB6106" w:rsidRPr="00924650" w:rsidRDefault="00EB6106" w:rsidP="00EB6106">
      <w:r w:rsidRPr="00485DFE">
        <w:rPr>
          <w:i/>
          <w:iCs/>
        </w:rPr>
        <w:t>Shigella</w:t>
      </w:r>
      <w:r w:rsidRPr="00485DFE">
        <w:t xml:space="preserve"> species infections are commonly food-borne or sexually transmitted. In 2023, there was a 4.7-fold increase in the number of MDR </w:t>
      </w:r>
      <w:r w:rsidRPr="00485DFE">
        <w:rPr>
          <w:i/>
          <w:iCs/>
        </w:rPr>
        <w:t xml:space="preserve">Shigella </w:t>
      </w:r>
      <w:r w:rsidRPr="00485DFE">
        <w:t>species reports compared to 2022 (</w:t>
      </w:r>
      <w:r w:rsidRPr="00485DFE">
        <w:rPr>
          <w:i/>
          <w:iCs/>
        </w:rPr>
        <w:t>n</w:t>
      </w:r>
      <w:r w:rsidRPr="00485DFE">
        <w:t xml:space="preserve"> = 469 in 2023; </w:t>
      </w:r>
      <w:r w:rsidRPr="00485DFE">
        <w:rPr>
          <w:i/>
          <w:iCs/>
        </w:rPr>
        <w:t>n</w:t>
      </w:r>
      <w:r w:rsidRPr="00485DFE">
        <w:t> = 99 in 2022); there were 42 reports in 2021</w:t>
      </w:r>
      <w:r w:rsidR="00306A17">
        <w:t xml:space="preserve"> (Figure 2</w:t>
      </w:r>
      <w:r w:rsidR="00181F3B">
        <w:t>8</w:t>
      </w:r>
      <w:r w:rsidR="00306A17">
        <w:t>)</w:t>
      </w:r>
      <w:r w:rsidRPr="00485DFE">
        <w:t>. The reports were predominantly from Victoria (202/469, 43.1%) and NSW (178/469, 38</w:t>
      </w:r>
      <w:r w:rsidR="003F35A6">
        <w:t>.0</w:t>
      </w:r>
      <w:r w:rsidRPr="00485DFE">
        <w:t xml:space="preserve">%). </w:t>
      </w:r>
      <w:r w:rsidRPr="0099565A">
        <w:t xml:space="preserve">Reports increased </w:t>
      </w:r>
      <w:r w:rsidR="0099565A" w:rsidRPr="0099565A">
        <w:t>across all states and territories</w:t>
      </w:r>
      <w:r w:rsidR="005778A8">
        <w:t>, of which</w:t>
      </w:r>
      <w:r w:rsidR="007A5C97">
        <w:t>,</w:t>
      </w:r>
      <w:r w:rsidR="005778A8">
        <w:t xml:space="preserve"> </w:t>
      </w:r>
      <w:r w:rsidRPr="00924650">
        <w:rPr>
          <w:i/>
          <w:iCs/>
        </w:rPr>
        <w:t>S. </w:t>
      </w:r>
      <w:proofErr w:type="spellStart"/>
      <w:r w:rsidRPr="00924650">
        <w:rPr>
          <w:i/>
          <w:iCs/>
        </w:rPr>
        <w:t>sonnei</w:t>
      </w:r>
      <w:proofErr w:type="spellEnd"/>
      <w:r w:rsidRPr="00924650">
        <w:rPr>
          <w:i/>
          <w:iCs/>
        </w:rPr>
        <w:t xml:space="preserve"> </w:t>
      </w:r>
      <w:r w:rsidRPr="00924650">
        <w:t>was the predominant species (</w:t>
      </w:r>
      <w:r>
        <w:t>338</w:t>
      </w:r>
      <w:r w:rsidRPr="00924650">
        <w:t>/469, 72.1%)</w:t>
      </w:r>
      <w:r w:rsidR="007A5C97">
        <w:t xml:space="preserve"> </w:t>
      </w:r>
      <w:r w:rsidRPr="00924650">
        <w:t>(Figure 2</w:t>
      </w:r>
      <w:r w:rsidR="00181F3B">
        <w:t>9</w:t>
      </w:r>
      <w:r w:rsidRPr="00924650">
        <w:t>).</w:t>
      </w:r>
    </w:p>
    <w:p w14:paraId="73CE0178" w14:textId="562C59AD" w:rsidR="00EB6106" w:rsidRPr="00AE16F9" w:rsidRDefault="00EB6106" w:rsidP="00EB6106">
      <w:r w:rsidRPr="00AE16F9">
        <w:t xml:space="preserve">The estimated proportion of shigellosis notifications to the National Notifiable Diseases Surveillance System that were MDR </w:t>
      </w:r>
      <w:r w:rsidR="00AE16F9">
        <w:t>increased</w:t>
      </w:r>
      <w:r w:rsidR="00AE16F9" w:rsidRPr="00AE16F9">
        <w:t xml:space="preserve"> </w:t>
      </w:r>
      <w:r w:rsidRPr="00AE16F9">
        <w:t xml:space="preserve">from </w:t>
      </w:r>
      <w:r w:rsidR="00AE16F9">
        <w:t>7.0</w:t>
      </w:r>
      <w:r w:rsidRPr="00AE16F9">
        <w:t>% (</w:t>
      </w:r>
      <w:r w:rsidR="00AE16F9">
        <w:t>99</w:t>
      </w:r>
      <w:r w:rsidRPr="00AE16F9">
        <w:t>/</w:t>
      </w:r>
      <w:r w:rsidR="00AE16F9">
        <w:t>1,410</w:t>
      </w:r>
      <w:r w:rsidRPr="00AE16F9">
        <w:t>) nationally in 202</w:t>
      </w:r>
      <w:r w:rsidR="00AE16F9">
        <w:t>2</w:t>
      </w:r>
      <w:r w:rsidRPr="00AE16F9">
        <w:t xml:space="preserve"> to </w:t>
      </w:r>
      <w:r w:rsidR="00AE16F9">
        <w:t>16.1</w:t>
      </w:r>
      <w:r w:rsidRPr="00AE16F9">
        <w:t>% in 202</w:t>
      </w:r>
      <w:r w:rsidR="00AE16F9">
        <w:t>3</w:t>
      </w:r>
      <w:r w:rsidRPr="00AE16F9">
        <w:t xml:space="preserve"> (</w:t>
      </w:r>
      <w:r w:rsidR="00AE16F9">
        <w:t>469</w:t>
      </w:r>
      <w:r w:rsidRPr="00AE16F9">
        <w:t>/</w:t>
      </w:r>
      <w:r w:rsidR="00AE16F9">
        <w:t>2,913</w:t>
      </w:r>
      <w:r w:rsidRPr="00AE16F9">
        <w:t xml:space="preserve">: range, </w:t>
      </w:r>
      <w:r w:rsidR="00AE16F9">
        <w:t>2.9</w:t>
      </w:r>
      <w:r w:rsidRPr="00AE16F9">
        <w:t>% [</w:t>
      </w:r>
      <w:r w:rsidR="00AE16F9">
        <w:t>5</w:t>
      </w:r>
      <w:r w:rsidRPr="00AE16F9">
        <w:t>/1</w:t>
      </w:r>
      <w:r w:rsidR="00AE16F9">
        <w:t>71</w:t>
      </w:r>
      <w:r w:rsidRPr="00AE16F9">
        <w:t xml:space="preserve">] in the NT to </w:t>
      </w:r>
      <w:r w:rsidR="00AE16F9">
        <w:t>30.5</w:t>
      </w:r>
      <w:r w:rsidRPr="00AE16F9">
        <w:t>% [</w:t>
      </w:r>
      <w:r w:rsidR="00AE16F9">
        <w:t>202</w:t>
      </w:r>
      <w:r w:rsidRPr="00AE16F9">
        <w:t>/</w:t>
      </w:r>
      <w:r w:rsidR="00AE16F9">
        <w:t>663</w:t>
      </w:r>
      <w:r w:rsidRPr="00AE16F9">
        <w:t>] in Victoria) (Figure </w:t>
      </w:r>
      <w:r w:rsidR="00181F3B">
        <w:t>30</w:t>
      </w:r>
      <w:r w:rsidRPr="00AE16F9">
        <w:t>). In 202</w:t>
      </w:r>
      <w:r w:rsidR="00AE16F9">
        <w:t>1</w:t>
      </w:r>
      <w:r w:rsidRPr="00AE16F9">
        <w:t xml:space="preserve">, the proportion was </w:t>
      </w:r>
      <w:r w:rsidR="00185F44">
        <w:t>9.0</w:t>
      </w:r>
      <w:r w:rsidRPr="00AE16F9">
        <w:t>% (</w:t>
      </w:r>
      <w:r w:rsidR="00AE16F9">
        <w:t>42</w:t>
      </w:r>
      <w:r w:rsidRPr="00AE16F9">
        <w:t>/</w:t>
      </w:r>
      <w:r w:rsidR="00AE16F9">
        <w:t>4</w:t>
      </w:r>
      <w:r w:rsidR="00185F44">
        <w:t>68</w:t>
      </w:r>
      <w:r w:rsidRPr="00AE16F9">
        <w:t>).</w:t>
      </w:r>
    </w:p>
    <w:p w14:paraId="411B580C" w14:textId="7B1A08FC" w:rsidR="00EB6106" w:rsidRPr="00924650" w:rsidRDefault="00EB6106" w:rsidP="00EB6106">
      <w:r w:rsidRPr="00924650">
        <w:t xml:space="preserve">Where setting was known (341/469, </w:t>
      </w:r>
      <w:r>
        <w:t>72.7</w:t>
      </w:r>
      <w:r w:rsidRPr="00412F92">
        <w:t>%), a little over one-half (20</w:t>
      </w:r>
      <w:r w:rsidR="00787CE6">
        <w:t>6</w:t>
      </w:r>
      <w:r w:rsidRPr="00924650">
        <w:t xml:space="preserve">/341, 60.4%) of the MDR </w:t>
      </w:r>
      <w:r w:rsidRPr="00924650">
        <w:rPr>
          <w:i/>
          <w:iCs/>
        </w:rPr>
        <w:t>Shigella</w:t>
      </w:r>
      <w:r w:rsidRPr="00924650">
        <w:t xml:space="preserve"> species were reported from community settings (Table 7).</w:t>
      </w:r>
    </w:p>
    <w:p w14:paraId="510D9D26" w14:textId="7DA93370" w:rsidR="00EB6106" w:rsidRPr="00A0241B" w:rsidRDefault="00EB6106" w:rsidP="00EB6106">
      <w:pPr>
        <w:rPr>
          <w:rFonts w:cs="Arial"/>
          <w:lang w:val="en-GB"/>
        </w:rPr>
      </w:pPr>
      <w:r w:rsidRPr="00CC7DC0">
        <w:rPr>
          <w:rFonts w:cs="Arial"/>
          <w:lang w:val="en-GB"/>
        </w:rPr>
        <w:lastRenderedPageBreak/>
        <w:t xml:space="preserve">Reports of MDR </w:t>
      </w:r>
      <w:r w:rsidRPr="00CC7DC0">
        <w:rPr>
          <w:rFonts w:cs="Arial"/>
          <w:i/>
          <w:iCs/>
          <w:lang w:val="en-GB"/>
        </w:rPr>
        <w:t>Shigella</w:t>
      </w:r>
      <w:r w:rsidRPr="00CC7DC0">
        <w:rPr>
          <w:rFonts w:cs="Arial"/>
          <w:lang w:val="en-GB"/>
        </w:rPr>
        <w:t xml:space="preserve"> species increased rapidly from 2018 due to a prolonged clonal outbreak of </w:t>
      </w:r>
      <w:r w:rsidRPr="00CC7DC0">
        <w:rPr>
          <w:rFonts w:cs="Arial"/>
          <w:i/>
          <w:iCs/>
          <w:lang w:val="en-GB"/>
        </w:rPr>
        <w:t>S. </w:t>
      </w:r>
      <w:proofErr w:type="spellStart"/>
      <w:r w:rsidRPr="00CC7DC0">
        <w:rPr>
          <w:rFonts w:cs="Arial"/>
          <w:i/>
          <w:iCs/>
          <w:lang w:val="en-GB"/>
        </w:rPr>
        <w:t>sonnei</w:t>
      </w:r>
      <w:proofErr w:type="spellEnd"/>
      <w:r w:rsidRPr="00CC7DC0">
        <w:rPr>
          <w:rFonts w:cs="Arial"/>
          <w:lang w:val="en-GB"/>
        </w:rPr>
        <w:t xml:space="preserve"> with </w:t>
      </w:r>
      <w:r w:rsidRPr="00CC7DC0">
        <w:rPr>
          <w:rFonts w:cstheme="minorHAnsi"/>
          <w:i/>
          <w:iCs/>
          <w:lang w:val="en-GB"/>
        </w:rPr>
        <w:t>bla</w:t>
      </w:r>
      <w:r w:rsidRPr="00CC7DC0">
        <w:rPr>
          <w:rFonts w:cstheme="minorHAnsi"/>
          <w:vertAlign w:val="subscript"/>
          <w:lang w:val="en-GB"/>
        </w:rPr>
        <w:t>CTX</w:t>
      </w:r>
      <w:r w:rsidRPr="00CC7DC0">
        <w:rPr>
          <w:rFonts w:cstheme="minorHAnsi"/>
          <w:vertAlign w:val="subscript"/>
          <w:lang w:val="en-GB"/>
        </w:rPr>
        <w:noBreakHyphen/>
        <w:t>M</w:t>
      </w:r>
      <w:r w:rsidRPr="00CC7DC0">
        <w:rPr>
          <w:rFonts w:cs="Arial"/>
          <w:vertAlign w:val="subscript"/>
          <w:lang w:val="en-GB"/>
        </w:rPr>
        <w:noBreakHyphen/>
        <w:t>27</w:t>
      </w:r>
      <w:r w:rsidRPr="00CC7DC0">
        <w:rPr>
          <w:rFonts w:cs="Arial"/>
          <w:lang w:val="en-GB"/>
        </w:rPr>
        <w:t xml:space="preserve"> associated with men who have sex with men. There were two large outbreaks across two states, with a peak in numbers in April 2019 (74.5% from Victoria) and another in January 2020 (61.4% from NSW). There was a sharp fall in the monthly number of reports of this CAR from April 2020 onwards, continuing throughout 2021 to reach the lowest level since CARAlert began. This fall coincided with the introduction of COVID-19 restrictions throughout </w:t>
      </w:r>
      <w:r w:rsidRPr="00A0241B">
        <w:rPr>
          <w:rFonts w:cs="Arial"/>
          <w:lang w:val="en-GB"/>
        </w:rPr>
        <w:t xml:space="preserve">Australia. However, as borders re-opened, the number of reports of ESBL-producing </w:t>
      </w:r>
      <w:r w:rsidRPr="00A0241B">
        <w:rPr>
          <w:rFonts w:cs="Arial"/>
          <w:i/>
          <w:iCs/>
          <w:lang w:val="en-GB"/>
        </w:rPr>
        <w:t>S. </w:t>
      </w:r>
      <w:proofErr w:type="spellStart"/>
      <w:r w:rsidRPr="00A0241B">
        <w:rPr>
          <w:rFonts w:cs="Arial"/>
          <w:i/>
          <w:iCs/>
          <w:lang w:val="en-GB"/>
        </w:rPr>
        <w:t>sonnei</w:t>
      </w:r>
      <w:proofErr w:type="spellEnd"/>
      <w:r w:rsidRPr="00A0241B">
        <w:rPr>
          <w:rFonts w:cs="Arial"/>
          <w:lang w:val="en-GB"/>
        </w:rPr>
        <w:t xml:space="preserve"> has again increased from 17 in 2021</w:t>
      </w:r>
      <w:r w:rsidR="00306A17" w:rsidRPr="00A0241B">
        <w:rPr>
          <w:rFonts w:cs="Arial"/>
          <w:lang w:val="en-GB"/>
        </w:rPr>
        <w:t xml:space="preserve"> and </w:t>
      </w:r>
      <w:r w:rsidRPr="00A0241B">
        <w:rPr>
          <w:rFonts w:cs="Arial"/>
          <w:lang w:val="en-GB"/>
        </w:rPr>
        <w:t>62 in 2022</w:t>
      </w:r>
      <w:r w:rsidR="00306A17" w:rsidRPr="00A0241B">
        <w:rPr>
          <w:rFonts w:cs="Arial"/>
          <w:lang w:val="en-GB"/>
        </w:rPr>
        <w:t xml:space="preserve"> to</w:t>
      </w:r>
      <w:r w:rsidR="00282E99" w:rsidRPr="00A0241B">
        <w:rPr>
          <w:rFonts w:cs="Arial"/>
          <w:lang w:val="en-GB"/>
        </w:rPr>
        <w:t xml:space="preserve"> 321</w:t>
      </w:r>
      <w:r w:rsidR="00306A17" w:rsidRPr="00A0241B">
        <w:rPr>
          <w:rFonts w:cs="Arial"/>
          <w:lang w:val="en-GB"/>
        </w:rPr>
        <w:t xml:space="preserve"> in 2023</w:t>
      </w:r>
      <w:r w:rsidRPr="00A0241B">
        <w:rPr>
          <w:rFonts w:cs="Arial"/>
          <w:lang w:val="en-GB"/>
        </w:rPr>
        <w:t xml:space="preserve">. </w:t>
      </w:r>
      <w:bookmarkStart w:id="31" w:name="_Hlk131653463"/>
      <w:r w:rsidRPr="00A0241B">
        <w:rPr>
          <w:rFonts w:cs="Arial"/>
          <w:lang w:val="en-GB"/>
        </w:rPr>
        <w:t xml:space="preserve">Of isolates that were sequenced, a little over </w:t>
      </w:r>
      <w:r w:rsidR="00201062" w:rsidRPr="00A0241B">
        <w:rPr>
          <w:rFonts w:cs="Arial"/>
          <w:lang w:val="en-GB"/>
        </w:rPr>
        <w:t>two</w:t>
      </w:r>
      <w:r w:rsidRPr="00A0241B">
        <w:rPr>
          <w:rFonts w:cs="Arial"/>
          <w:lang w:val="en-GB"/>
        </w:rPr>
        <w:t>-third</w:t>
      </w:r>
      <w:r w:rsidR="00201062" w:rsidRPr="00A0241B">
        <w:rPr>
          <w:rFonts w:cs="Arial"/>
          <w:lang w:val="en-GB"/>
        </w:rPr>
        <w:t>s</w:t>
      </w:r>
      <w:r w:rsidRPr="00A0241B">
        <w:rPr>
          <w:rFonts w:cs="Arial"/>
          <w:lang w:val="en-GB"/>
        </w:rPr>
        <w:t xml:space="preserve"> of ceftriaxone-nonsusceptible </w:t>
      </w:r>
      <w:r w:rsidRPr="00A0241B">
        <w:rPr>
          <w:rFonts w:cs="Arial"/>
          <w:i/>
          <w:iCs/>
          <w:lang w:val="en-GB"/>
        </w:rPr>
        <w:t>S.</w:t>
      </w:r>
      <w:r w:rsidR="00325748">
        <w:rPr>
          <w:rFonts w:cs="Arial"/>
          <w:i/>
          <w:iCs/>
          <w:lang w:val="en-GB"/>
        </w:rPr>
        <w:t> </w:t>
      </w:r>
      <w:proofErr w:type="spellStart"/>
      <w:r w:rsidRPr="00A0241B">
        <w:rPr>
          <w:rFonts w:cs="Arial"/>
          <w:i/>
          <w:iCs/>
          <w:lang w:val="en-GB"/>
        </w:rPr>
        <w:t>sonnei</w:t>
      </w:r>
      <w:proofErr w:type="spellEnd"/>
      <w:r w:rsidRPr="00A0241B">
        <w:rPr>
          <w:rFonts w:cs="Arial"/>
          <w:lang w:val="en-GB"/>
        </w:rPr>
        <w:t xml:space="preserve"> in 202</w:t>
      </w:r>
      <w:r w:rsidR="00201062" w:rsidRPr="00A0241B">
        <w:rPr>
          <w:rFonts w:cs="Arial"/>
          <w:lang w:val="en-GB"/>
        </w:rPr>
        <w:t>3</w:t>
      </w:r>
      <w:r w:rsidRPr="00A0241B">
        <w:rPr>
          <w:rFonts w:cs="Arial"/>
          <w:lang w:val="en-GB"/>
        </w:rPr>
        <w:t xml:space="preserve"> (</w:t>
      </w:r>
      <w:r w:rsidR="00201062" w:rsidRPr="00A0241B">
        <w:rPr>
          <w:rFonts w:cs="Arial"/>
          <w:lang w:val="en-GB"/>
        </w:rPr>
        <w:t>198</w:t>
      </w:r>
      <w:r w:rsidRPr="00A0241B">
        <w:rPr>
          <w:rFonts w:cs="Arial"/>
          <w:lang w:val="en-GB"/>
        </w:rPr>
        <w:t>/</w:t>
      </w:r>
      <w:r w:rsidR="00201062" w:rsidRPr="00A0241B">
        <w:rPr>
          <w:rFonts w:cs="Arial"/>
          <w:lang w:val="en-GB"/>
        </w:rPr>
        <w:t>282</w:t>
      </w:r>
      <w:r w:rsidRPr="00A0241B">
        <w:rPr>
          <w:rFonts w:cs="Arial"/>
          <w:lang w:val="en-GB"/>
        </w:rPr>
        <w:t xml:space="preserve">, </w:t>
      </w:r>
      <w:r w:rsidR="00201062" w:rsidRPr="00A0241B">
        <w:rPr>
          <w:rFonts w:cs="Arial"/>
          <w:lang w:val="en-GB"/>
        </w:rPr>
        <w:t>70.2</w:t>
      </w:r>
      <w:r w:rsidRPr="00A0241B">
        <w:rPr>
          <w:rFonts w:cs="Arial"/>
          <w:lang w:val="en-GB"/>
        </w:rPr>
        <w:t xml:space="preserve">%) harboured </w:t>
      </w:r>
      <w:r w:rsidRPr="00A0241B">
        <w:rPr>
          <w:rFonts w:cs="Arial"/>
          <w:i/>
          <w:iCs/>
          <w:lang w:val="en-GB"/>
        </w:rPr>
        <w:t>bla</w:t>
      </w:r>
      <w:r w:rsidRPr="00A0241B">
        <w:rPr>
          <w:rFonts w:cs="Arial"/>
          <w:vertAlign w:val="subscript"/>
          <w:lang w:val="en-GB"/>
        </w:rPr>
        <w:t>CTX-M-</w:t>
      </w:r>
      <w:r w:rsidR="00201062" w:rsidRPr="00A0241B">
        <w:rPr>
          <w:rFonts w:cs="Arial"/>
          <w:vertAlign w:val="subscript"/>
          <w:lang w:val="en-GB"/>
        </w:rPr>
        <w:t>27</w:t>
      </w:r>
      <w:r w:rsidRPr="00A0241B">
        <w:rPr>
          <w:rFonts w:cs="Arial"/>
          <w:lang w:val="en-GB"/>
        </w:rPr>
        <w:t>.</w:t>
      </w:r>
      <w:bookmarkEnd w:id="31"/>
      <w:r w:rsidRPr="00A0241B">
        <w:rPr>
          <w:rFonts w:cs="Arial"/>
          <w:lang w:val="en-GB"/>
        </w:rPr>
        <w:t xml:space="preserve"> </w:t>
      </w:r>
      <w:r w:rsidR="00201062" w:rsidRPr="00A0241B">
        <w:rPr>
          <w:rFonts w:cs="Arial"/>
          <w:lang w:val="en-GB"/>
        </w:rPr>
        <w:t xml:space="preserve">In 2022 </w:t>
      </w:r>
      <w:r w:rsidR="00A0241B" w:rsidRPr="00A0241B">
        <w:rPr>
          <w:rFonts w:cs="Arial"/>
          <w:lang w:val="en-GB"/>
        </w:rPr>
        <w:t>almost two-thirds (35/55, 63.6%) harboured</w:t>
      </w:r>
      <w:r w:rsidR="00A0241B" w:rsidRPr="00A0241B">
        <w:rPr>
          <w:rFonts w:cs="Arial"/>
          <w:i/>
          <w:iCs/>
          <w:lang w:val="en-GB"/>
        </w:rPr>
        <w:t xml:space="preserve"> bla</w:t>
      </w:r>
      <w:r w:rsidR="00A0241B" w:rsidRPr="00A0241B">
        <w:rPr>
          <w:rFonts w:cs="Arial"/>
          <w:vertAlign w:val="subscript"/>
          <w:lang w:val="en-GB"/>
        </w:rPr>
        <w:t>CTX-M-27</w:t>
      </w:r>
      <w:r w:rsidR="00A0241B">
        <w:rPr>
          <w:rFonts w:cs="Arial"/>
          <w:lang w:val="en-GB"/>
        </w:rPr>
        <w:t>; while</w:t>
      </w:r>
      <w:r w:rsidRPr="00A0241B">
        <w:rPr>
          <w:rFonts w:cs="Arial"/>
          <w:lang w:val="en-GB"/>
        </w:rPr>
        <w:t xml:space="preserve"> </w:t>
      </w:r>
      <w:r w:rsidR="00A0241B">
        <w:rPr>
          <w:rFonts w:cs="Arial"/>
          <w:lang w:val="en-GB"/>
        </w:rPr>
        <w:t xml:space="preserve">in </w:t>
      </w:r>
      <w:r w:rsidRPr="00A0241B">
        <w:rPr>
          <w:rFonts w:cs="Arial"/>
          <w:lang w:val="en-GB"/>
        </w:rPr>
        <w:t xml:space="preserve">2021, </w:t>
      </w:r>
      <w:r w:rsidR="00FD21EE">
        <w:rPr>
          <w:rFonts w:cs="Arial"/>
          <w:lang w:val="en-GB"/>
        </w:rPr>
        <w:t>the vast majority</w:t>
      </w:r>
      <w:r w:rsidRPr="00A0241B">
        <w:rPr>
          <w:rFonts w:cs="Arial"/>
          <w:lang w:val="en-GB"/>
        </w:rPr>
        <w:t xml:space="preserve"> harboured </w:t>
      </w:r>
      <w:r w:rsidRPr="00A0241B">
        <w:rPr>
          <w:rFonts w:cs="Arial"/>
          <w:i/>
          <w:iCs/>
          <w:lang w:val="en-GB"/>
        </w:rPr>
        <w:t>bla</w:t>
      </w:r>
      <w:r w:rsidRPr="00A0241B">
        <w:rPr>
          <w:rFonts w:cs="Arial"/>
          <w:vertAlign w:val="subscript"/>
          <w:lang w:val="en-GB"/>
        </w:rPr>
        <w:t>CTX-M-27</w:t>
      </w:r>
      <w:r w:rsidRPr="00A0241B">
        <w:rPr>
          <w:rFonts w:cs="Arial"/>
          <w:lang w:val="en-GB"/>
        </w:rPr>
        <w:t xml:space="preserve"> (15/16, 93.8%).</w:t>
      </w:r>
    </w:p>
    <w:p w14:paraId="12529E03" w14:textId="111CB583" w:rsidR="00EB6106" w:rsidRPr="00201062" w:rsidRDefault="00EB6106" w:rsidP="00EB6106">
      <w:pPr>
        <w:rPr>
          <w:rFonts w:cs="Arial"/>
          <w:lang w:val="en-GB"/>
        </w:rPr>
      </w:pPr>
      <w:r w:rsidRPr="00282E99">
        <w:rPr>
          <w:rFonts w:cs="Arial"/>
          <w:lang w:val="en-GB"/>
        </w:rPr>
        <w:t xml:space="preserve">The majority of MDR </w:t>
      </w:r>
      <w:r w:rsidRPr="00282E99">
        <w:rPr>
          <w:rStyle w:val="Emphasis"/>
          <w:rFonts w:cs="Arial"/>
        </w:rPr>
        <w:t>S. </w:t>
      </w:r>
      <w:proofErr w:type="spellStart"/>
      <w:r w:rsidRPr="00282E99">
        <w:rPr>
          <w:rStyle w:val="Emphasis"/>
          <w:rFonts w:cs="Arial"/>
        </w:rPr>
        <w:t>flexneri</w:t>
      </w:r>
      <w:proofErr w:type="spellEnd"/>
      <w:r w:rsidRPr="00282E99">
        <w:rPr>
          <w:rFonts w:cs="Arial"/>
          <w:lang w:val="en-GB"/>
        </w:rPr>
        <w:t xml:space="preserve"> were ceftriaxone-susceptible (</w:t>
      </w:r>
      <w:r w:rsidR="00282E99" w:rsidRPr="00282E99">
        <w:rPr>
          <w:rFonts w:cs="Arial"/>
          <w:lang w:val="en-GB"/>
        </w:rPr>
        <w:t>97</w:t>
      </w:r>
      <w:r w:rsidRPr="00282E99">
        <w:rPr>
          <w:rFonts w:cs="Arial"/>
          <w:lang w:val="en-GB"/>
        </w:rPr>
        <w:t>/</w:t>
      </w:r>
      <w:r w:rsidR="00282E99" w:rsidRPr="00282E99">
        <w:rPr>
          <w:rFonts w:cs="Arial"/>
          <w:lang w:val="en-GB"/>
        </w:rPr>
        <w:t>124</w:t>
      </w:r>
      <w:r w:rsidRPr="00282E99">
        <w:rPr>
          <w:rFonts w:cs="Arial"/>
          <w:lang w:val="en-GB"/>
        </w:rPr>
        <w:t xml:space="preserve">, </w:t>
      </w:r>
      <w:r w:rsidR="00282E99" w:rsidRPr="00282E99">
        <w:rPr>
          <w:rFonts w:cs="Arial"/>
          <w:lang w:val="en-GB"/>
        </w:rPr>
        <w:t>78.2</w:t>
      </w:r>
      <w:r w:rsidRPr="00282E99">
        <w:rPr>
          <w:rFonts w:cs="Arial"/>
          <w:lang w:val="en-GB"/>
        </w:rPr>
        <w:t>% in 202</w:t>
      </w:r>
      <w:r w:rsidR="00282E99" w:rsidRPr="00282E99">
        <w:rPr>
          <w:rFonts w:cs="Arial"/>
          <w:lang w:val="en-GB"/>
        </w:rPr>
        <w:t>3</w:t>
      </w:r>
      <w:r w:rsidRPr="00282E99">
        <w:rPr>
          <w:rFonts w:cs="Arial"/>
          <w:lang w:val="en-GB"/>
        </w:rPr>
        <w:t xml:space="preserve">; </w:t>
      </w:r>
      <w:r w:rsidR="00282E99" w:rsidRPr="00282E99">
        <w:rPr>
          <w:rFonts w:cs="Arial"/>
          <w:lang w:val="en-GB"/>
        </w:rPr>
        <w:t>19</w:t>
      </w:r>
      <w:r w:rsidRPr="00282E99">
        <w:rPr>
          <w:rFonts w:cs="Arial"/>
          <w:lang w:val="en-GB"/>
        </w:rPr>
        <w:t>/</w:t>
      </w:r>
      <w:r w:rsidR="00282E99" w:rsidRPr="00282E99">
        <w:rPr>
          <w:rFonts w:cs="Arial"/>
          <w:lang w:val="en-GB"/>
        </w:rPr>
        <w:t>28</w:t>
      </w:r>
      <w:r w:rsidRPr="00282E99">
        <w:rPr>
          <w:rFonts w:cs="Arial"/>
          <w:lang w:val="en-GB"/>
        </w:rPr>
        <w:t xml:space="preserve">, </w:t>
      </w:r>
      <w:r w:rsidR="00282E99" w:rsidRPr="00282E99">
        <w:rPr>
          <w:rFonts w:cs="Arial"/>
          <w:lang w:val="en-GB"/>
        </w:rPr>
        <w:t>67.9</w:t>
      </w:r>
      <w:r w:rsidRPr="00282E99">
        <w:rPr>
          <w:rFonts w:cs="Arial"/>
          <w:lang w:val="en-GB"/>
        </w:rPr>
        <w:t>% in 202</w:t>
      </w:r>
      <w:r w:rsidR="00282E99" w:rsidRPr="00282E99">
        <w:rPr>
          <w:rFonts w:cs="Arial"/>
          <w:lang w:val="en-GB"/>
        </w:rPr>
        <w:t>2</w:t>
      </w:r>
      <w:r w:rsidRPr="00282E99">
        <w:rPr>
          <w:rFonts w:cs="Arial"/>
          <w:lang w:val="en-GB"/>
        </w:rPr>
        <w:t xml:space="preserve">). However, both ESBL (CTX-M) and </w:t>
      </w:r>
      <w:proofErr w:type="spellStart"/>
      <w:r w:rsidRPr="00282E99">
        <w:rPr>
          <w:rFonts w:cs="Arial"/>
          <w:lang w:val="en-GB"/>
        </w:rPr>
        <w:t>pAmpC</w:t>
      </w:r>
      <w:proofErr w:type="spellEnd"/>
      <w:r w:rsidRPr="00282E99">
        <w:rPr>
          <w:rFonts w:cs="Arial"/>
          <w:lang w:val="en-GB"/>
        </w:rPr>
        <w:t xml:space="preserve"> (</w:t>
      </w:r>
      <w:proofErr w:type="spellStart"/>
      <w:r w:rsidRPr="00282E99">
        <w:rPr>
          <w:rStyle w:val="Emphasis"/>
          <w:rFonts w:cs="Arial"/>
        </w:rPr>
        <w:t>bla</w:t>
      </w:r>
      <w:proofErr w:type="spellEnd"/>
      <w:r w:rsidRPr="00282E99">
        <w:rPr>
          <w:rFonts w:cs="Arial"/>
          <w:vertAlign w:val="subscript"/>
          <w:lang w:val="en-GB"/>
        </w:rPr>
        <w:t>DHA</w:t>
      </w:r>
      <w:r w:rsidRPr="00282E99">
        <w:rPr>
          <w:rFonts w:cs="Arial"/>
          <w:lang w:val="en-GB"/>
        </w:rPr>
        <w:t>) types were detected in low numbers.</w:t>
      </w:r>
    </w:p>
    <w:p w14:paraId="06849F74" w14:textId="77777777" w:rsidR="00EB6106" w:rsidRDefault="00EB6106" w:rsidP="00EB6106">
      <w:pPr>
        <w:pStyle w:val="Heading4"/>
      </w:pPr>
      <w:r>
        <w:t>National data</w:t>
      </w:r>
    </w:p>
    <w:p w14:paraId="1DA06EC8" w14:textId="38ACA10A" w:rsidR="00BB0134" w:rsidRPr="00BB0134" w:rsidRDefault="00BB0134" w:rsidP="000759B8">
      <w:pPr>
        <w:keepNext/>
        <w:spacing w:before="0" w:after="0"/>
        <w:contextualSpacing/>
        <w:rPr>
          <w:rFonts w:ascii="Arial" w:hAnsi="Arial"/>
          <w:b/>
          <w:bCs/>
        </w:rPr>
      </w:pPr>
      <w:r w:rsidRPr="00BB0134">
        <w:rPr>
          <w:rFonts w:ascii="Arial" w:hAnsi="Arial"/>
          <w:b/>
        </w:rPr>
        <w:t>Figure 2</w:t>
      </w:r>
      <w:r w:rsidR="00181F3B">
        <w:rPr>
          <w:rFonts w:ascii="Arial" w:hAnsi="Arial"/>
          <w:b/>
        </w:rPr>
        <w:t>8</w:t>
      </w:r>
      <w:r w:rsidRPr="00BB0134">
        <w:rPr>
          <w:rFonts w:ascii="Arial" w:hAnsi="Arial"/>
          <w:b/>
        </w:rPr>
        <w:t xml:space="preserve">: </w:t>
      </w:r>
      <w:r w:rsidRPr="00BB0134">
        <w:rPr>
          <w:rFonts w:ascii="Arial" w:hAnsi="Arial"/>
          <w:bCs/>
        </w:rPr>
        <w:t xml:space="preserve">Multidrug-resistant </w:t>
      </w:r>
      <w:r w:rsidRPr="00BB0134">
        <w:rPr>
          <w:rFonts w:ascii="Arial" w:hAnsi="Arial"/>
          <w:bCs/>
          <w:i/>
        </w:rPr>
        <w:t>Shigella</w:t>
      </w:r>
      <w:r w:rsidRPr="00BB0134">
        <w:rPr>
          <w:rFonts w:ascii="Arial" w:hAnsi="Arial"/>
          <w:bCs/>
        </w:rPr>
        <w:t xml:space="preserve"> species, number reported to CARAlert by month, national, 2017–2023</w:t>
      </w:r>
      <w:r w:rsidR="0084397F">
        <w:rPr>
          <w:rFonts w:ascii="Arial" w:hAnsi="Arial"/>
          <w:bCs/>
          <w:noProof/>
        </w:rPr>
        <w:drawing>
          <wp:inline distT="0" distB="0" distL="0" distR="0" wp14:anchorId="51AACA8F" wp14:editId="5A2F44EE">
            <wp:extent cx="6118227" cy="3239224"/>
            <wp:effectExtent l="0" t="0" r="0" b="0"/>
            <wp:docPr id="59" name="Picture 59"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28"/>
                    <pic:cNvPicPr/>
                  </pic:nvPicPr>
                  <pic:blipFill>
                    <a:blip r:embed="rId56"/>
                    <a:stretch>
                      <a:fillRect/>
                    </a:stretch>
                  </pic:blipFill>
                  <pic:spPr>
                    <a:xfrm>
                      <a:off x="0" y="0"/>
                      <a:ext cx="6118227" cy="3239224"/>
                    </a:xfrm>
                    <a:prstGeom prst="rect">
                      <a:avLst/>
                    </a:prstGeom>
                  </pic:spPr>
                </pic:pic>
              </a:graphicData>
            </a:graphic>
          </wp:inline>
        </w:drawing>
      </w:r>
      <w:r w:rsidRPr="00BB0134">
        <w:rPr>
          <w:rFonts w:ascii="Arial" w:hAnsi="Arial"/>
          <w:bCs/>
        </w:rPr>
        <w:br w:type="page"/>
      </w:r>
    </w:p>
    <w:p w14:paraId="2EC6A6C7" w14:textId="77777777" w:rsidR="00BB0134" w:rsidRPr="00BB0134" w:rsidRDefault="00BB0134" w:rsidP="001B6E7A">
      <w:pPr>
        <w:pStyle w:val="Heading4"/>
      </w:pPr>
      <w:r w:rsidRPr="00BB0134">
        <w:lastRenderedPageBreak/>
        <w:t>State and territory data</w:t>
      </w:r>
    </w:p>
    <w:p w14:paraId="15F8FC02" w14:textId="3776B926" w:rsidR="00BB0134" w:rsidRPr="00BB0134" w:rsidRDefault="00BB0134" w:rsidP="000759B8">
      <w:pPr>
        <w:spacing w:before="0" w:after="0"/>
        <w:contextualSpacing/>
        <w:rPr>
          <w:rFonts w:ascii="Arial" w:hAnsi="Arial"/>
          <w:b/>
        </w:rPr>
      </w:pPr>
      <w:r w:rsidRPr="00BB0134">
        <w:rPr>
          <w:rFonts w:ascii="Arial" w:hAnsi="Arial"/>
          <w:b/>
        </w:rPr>
        <w:t>Figure 2</w:t>
      </w:r>
      <w:r w:rsidR="00181F3B">
        <w:rPr>
          <w:rFonts w:ascii="Arial" w:hAnsi="Arial"/>
          <w:b/>
        </w:rPr>
        <w:t>9</w:t>
      </w:r>
      <w:r w:rsidRPr="00BB0134">
        <w:rPr>
          <w:rFonts w:ascii="Arial" w:hAnsi="Arial"/>
          <w:b/>
        </w:rPr>
        <w:t xml:space="preserve">: </w:t>
      </w:r>
      <w:r w:rsidRPr="00BB0134">
        <w:rPr>
          <w:rFonts w:ascii="Arial" w:hAnsi="Arial"/>
          <w:bCs/>
        </w:rPr>
        <w:t xml:space="preserve">Multidrug-resistant </w:t>
      </w:r>
      <w:r w:rsidRPr="00BB0134">
        <w:rPr>
          <w:rFonts w:ascii="Arial" w:hAnsi="Arial"/>
          <w:bCs/>
          <w:i/>
          <w:iCs/>
        </w:rPr>
        <w:t>Shigella</w:t>
      </w:r>
      <w:r w:rsidRPr="00BB0134">
        <w:rPr>
          <w:rFonts w:ascii="Arial" w:hAnsi="Arial"/>
          <w:bCs/>
        </w:rPr>
        <w:t xml:space="preserve"> species, number reported to CARAlert by state and territory, 2017–2023</w:t>
      </w:r>
      <w:r w:rsidR="003E0C6C">
        <w:rPr>
          <w:rFonts w:ascii="Arial" w:hAnsi="Arial"/>
          <w:b/>
          <w:noProof/>
        </w:rPr>
        <w:drawing>
          <wp:inline distT="0" distB="0" distL="0" distR="0" wp14:anchorId="60A9A9CA" wp14:editId="0393A26D">
            <wp:extent cx="6118227" cy="3239224"/>
            <wp:effectExtent l="0" t="0" r="0" b="0"/>
            <wp:docPr id="60" name="Picture 60"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29"/>
                    <pic:cNvPicPr/>
                  </pic:nvPicPr>
                  <pic:blipFill>
                    <a:blip r:embed="rId57"/>
                    <a:stretch>
                      <a:fillRect/>
                    </a:stretch>
                  </pic:blipFill>
                  <pic:spPr>
                    <a:xfrm>
                      <a:off x="0" y="0"/>
                      <a:ext cx="6118227" cy="3239224"/>
                    </a:xfrm>
                    <a:prstGeom prst="rect">
                      <a:avLst/>
                    </a:prstGeom>
                  </pic:spPr>
                </pic:pic>
              </a:graphicData>
            </a:graphic>
          </wp:inline>
        </w:drawing>
      </w:r>
    </w:p>
    <w:p w14:paraId="400D6910" w14:textId="77777777" w:rsidR="00EB6106" w:rsidRDefault="00EB6106" w:rsidP="00EB6106">
      <w:pPr>
        <w:spacing w:after="80"/>
      </w:pPr>
    </w:p>
    <w:p w14:paraId="5D846FBD" w14:textId="77777777" w:rsidR="00EB6106" w:rsidRDefault="00EB6106" w:rsidP="00EB6106">
      <w:pPr>
        <w:pStyle w:val="FigureTitle"/>
      </w:pPr>
      <w:r w:rsidRPr="00CC2469">
        <w:t>Table 7:</w:t>
      </w:r>
      <w:r>
        <w:t xml:space="preserve"> </w:t>
      </w:r>
      <w:r w:rsidRPr="00910402">
        <w:rPr>
          <w:b w:val="0"/>
          <w:bCs/>
        </w:rPr>
        <w:t xml:space="preserve">Multidrug-resistant </w:t>
      </w:r>
      <w:r w:rsidRPr="00910402">
        <w:rPr>
          <w:b w:val="0"/>
          <w:bCs/>
          <w:i/>
          <w:iCs/>
        </w:rPr>
        <w:t>Shigella</w:t>
      </w:r>
      <w:r w:rsidRPr="00910402">
        <w:rPr>
          <w:b w:val="0"/>
          <w:bCs/>
        </w:rPr>
        <w:t xml:space="preserve"> species, number reported</w:t>
      </w:r>
      <w:r w:rsidRPr="00E961B6">
        <w:rPr>
          <w:b w:val="0"/>
          <w:bCs/>
        </w:rPr>
        <w:t xml:space="preserve"> to CARAlert </w:t>
      </w:r>
      <w:r w:rsidRPr="00910402">
        <w:rPr>
          <w:b w:val="0"/>
          <w:bCs/>
        </w:rPr>
        <w:t>by setting, state and territory</w:t>
      </w:r>
      <w:r w:rsidRPr="00C0163D">
        <w:rPr>
          <w:b w:val="0"/>
          <w:bCs/>
        </w:rPr>
        <w:t xml:space="preserve">, </w:t>
      </w:r>
      <w:proofErr w:type="gramStart"/>
      <w:r w:rsidRPr="00C0163D">
        <w:rPr>
          <w:b w:val="0"/>
          <w:bCs/>
        </w:rPr>
        <w:t>202</w:t>
      </w:r>
      <w:r>
        <w:rPr>
          <w:b w:val="0"/>
          <w:bCs/>
        </w:rPr>
        <w:t>3</w:t>
      </w:r>
      <w:proofErr w:type="gramEnd"/>
    </w:p>
    <w:tbl>
      <w:tblPr>
        <w:tblStyle w:val="TableGrid"/>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20" w:firstRow="1" w:lastRow="0" w:firstColumn="0" w:lastColumn="0" w:noHBand="1" w:noVBand="1"/>
        <w:tblCaption w:val="Table 7"/>
      </w:tblPr>
      <w:tblGrid>
        <w:gridCol w:w="1802"/>
        <w:gridCol w:w="869"/>
        <w:gridCol w:w="869"/>
        <w:gridCol w:w="861"/>
        <w:gridCol w:w="861"/>
        <w:gridCol w:w="850"/>
        <w:gridCol w:w="850"/>
        <w:gridCol w:w="850"/>
        <w:gridCol w:w="911"/>
        <w:gridCol w:w="909"/>
      </w:tblGrid>
      <w:tr w:rsidR="00EB6106" w:rsidRPr="00842F87" w14:paraId="23462EA7" w14:textId="77777777" w:rsidTr="00AE61DC">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3CBF9933" w14:textId="77777777" w:rsidR="00EB6106" w:rsidRDefault="00EB6106" w:rsidP="000E7D5C">
            <w:pPr>
              <w:pStyle w:val="Normal-beforebullets"/>
              <w:rPr>
                <w:rFonts w:cstheme="minorHAnsi"/>
                <w:b w:val="0"/>
                <w:szCs w:val="18"/>
              </w:rPr>
            </w:pPr>
          </w:p>
        </w:tc>
        <w:tc>
          <w:tcPr>
            <w:tcW w:w="3592" w:type="pct"/>
            <w:gridSpan w:val="8"/>
            <w:tcBorders>
              <w:top w:val="single" w:sz="4" w:space="0" w:color="auto"/>
              <w:left w:val="single" w:sz="2" w:space="0" w:color="auto"/>
              <w:bottom w:val="single" w:sz="4" w:space="0" w:color="auto"/>
              <w:right w:val="single" w:sz="2" w:space="0" w:color="auto"/>
            </w:tcBorders>
            <w:shd w:val="clear" w:color="auto" w:fill="86D3F2" w:themeFill="background2" w:themeFillTint="66"/>
            <w:vAlign w:val="center"/>
          </w:tcPr>
          <w:p w14:paraId="1D6516D1" w14:textId="77777777" w:rsidR="00EB6106" w:rsidRPr="00842F87" w:rsidRDefault="00EB6106" w:rsidP="003566EB">
            <w:pPr>
              <w:pStyle w:val="Normal-beforebullets"/>
              <w:jc w:val="center"/>
              <w:rPr>
                <w:rFonts w:cstheme="minorHAnsi"/>
                <w:b w:val="0"/>
                <w:szCs w:val="18"/>
              </w:rPr>
            </w:pPr>
            <w:r w:rsidRPr="00842F87">
              <w:rPr>
                <w:rFonts w:cstheme="minorHAnsi"/>
                <w:szCs w:val="18"/>
              </w:rPr>
              <w:t>State or territory</w:t>
            </w:r>
          </w:p>
        </w:tc>
        <w:tc>
          <w:tcPr>
            <w:tcW w:w="472" w:type="pct"/>
            <w:tcBorders>
              <w:top w:val="single" w:sz="4" w:space="0" w:color="auto"/>
              <w:left w:val="single" w:sz="2" w:space="0" w:color="auto"/>
              <w:bottom w:val="nil"/>
              <w:right w:val="single" w:sz="2" w:space="0" w:color="auto"/>
            </w:tcBorders>
            <w:shd w:val="clear" w:color="auto" w:fill="86D3F2" w:themeFill="background2" w:themeFillTint="66"/>
            <w:vAlign w:val="center"/>
          </w:tcPr>
          <w:p w14:paraId="4A2908DF" w14:textId="77777777" w:rsidR="00EB6106" w:rsidRPr="00842F87" w:rsidRDefault="00EB6106" w:rsidP="000E7D5C">
            <w:pPr>
              <w:pStyle w:val="Normal-beforebullets"/>
              <w:rPr>
                <w:rFonts w:cstheme="minorHAnsi"/>
                <w:b w:val="0"/>
                <w:szCs w:val="18"/>
              </w:rPr>
            </w:pPr>
          </w:p>
        </w:tc>
      </w:tr>
      <w:tr w:rsidR="003566EB" w:rsidRPr="00842F87" w14:paraId="2B7F7C79" w14:textId="77777777" w:rsidTr="00AE61DC">
        <w:trPr>
          <w:trHeight w:hRule="exact" w:val="340"/>
        </w:trPr>
        <w:tc>
          <w:tcPr>
            <w:tcW w:w="936"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567875C3" w14:textId="77777777" w:rsidR="00EB6106" w:rsidRPr="00DD2BB0" w:rsidRDefault="00EB6106" w:rsidP="000E7D5C">
            <w:pPr>
              <w:pStyle w:val="Normal-beforebullets"/>
              <w:rPr>
                <w:rFonts w:cstheme="minorHAnsi"/>
                <w:b/>
                <w:szCs w:val="18"/>
              </w:rPr>
            </w:pPr>
            <w:r>
              <w:rPr>
                <w:rFonts w:cstheme="minorHAnsi"/>
                <w:b/>
                <w:szCs w:val="18"/>
              </w:rPr>
              <w:t>Setting</w:t>
            </w:r>
          </w:p>
        </w:tc>
        <w:tc>
          <w:tcPr>
            <w:tcW w:w="451" w:type="pct"/>
            <w:tcBorders>
              <w:top w:val="single" w:sz="4" w:space="0" w:color="auto"/>
              <w:left w:val="single" w:sz="2" w:space="0" w:color="auto"/>
              <w:bottom w:val="single" w:sz="4" w:space="0" w:color="auto"/>
            </w:tcBorders>
            <w:shd w:val="clear" w:color="auto" w:fill="86D3F2" w:themeFill="background2" w:themeFillTint="66"/>
            <w:vAlign w:val="center"/>
          </w:tcPr>
          <w:p w14:paraId="664AA369" w14:textId="77777777" w:rsidR="00EB6106" w:rsidRPr="00DD2BB0" w:rsidRDefault="00EB6106" w:rsidP="000E7D5C">
            <w:pPr>
              <w:pStyle w:val="Normal-beforebullets"/>
              <w:jc w:val="center"/>
              <w:rPr>
                <w:rFonts w:cstheme="minorHAnsi"/>
                <w:b/>
                <w:szCs w:val="18"/>
              </w:rPr>
            </w:pPr>
            <w:r w:rsidRPr="00DD2BB0">
              <w:rPr>
                <w:rFonts w:cstheme="minorHAnsi"/>
                <w:b/>
                <w:szCs w:val="18"/>
              </w:rPr>
              <w:t>NSW</w:t>
            </w:r>
          </w:p>
        </w:tc>
        <w:tc>
          <w:tcPr>
            <w:tcW w:w="451" w:type="pct"/>
            <w:tcBorders>
              <w:top w:val="single" w:sz="4" w:space="0" w:color="auto"/>
              <w:bottom w:val="single" w:sz="4" w:space="0" w:color="auto"/>
            </w:tcBorders>
            <w:shd w:val="clear" w:color="auto" w:fill="86D3F2" w:themeFill="background2" w:themeFillTint="66"/>
            <w:vAlign w:val="center"/>
          </w:tcPr>
          <w:p w14:paraId="586BF0B9" w14:textId="77777777" w:rsidR="00EB6106" w:rsidRPr="00DD2BB0" w:rsidRDefault="00EB6106" w:rsidP="000E7D5C">
            <w:pPr>
              <w:pStyle w:val="Normal-beforebullets"/>
              <w:jc w:val="center"/>
              <w:rPr>
                <w:rFonts w:cstheme="minorHAnsi"/>
                <w:b/>
                <w:szCs w:val="18"/>
              </w:rPr>
            </w:pPr>
            <w:r w:rsidRPr="00DD2BB0">
              <w:rPr>
                <w:rFonts w:cstheme="minorHAnsi"/>
                <w:b/>
                <w:szCs w:val="18"/>
              </w:rPr>
              <w:t>Vic</w:t>
            </w:r>
          </w:p>
        </w:tc>
        <w:tc>
          <w:tcPr>
            <w:tcW w:w="447" w:type="pct"/>
            <w:tcBorders>
              <w:top w:val="single" w:sz="4" w:space="0" w:color="auto"/>
              <w:bottom w:val="single" w:sz="4" w:space="0" w:color="auto"/>
            </w:tcBorders>
            <w:shd w:val="clear" w:color="auto" w:fill="86D3F2" w:themeFill="background2" w:themeFillTint="66"/>
            <w:vAlign w:val="center"/>
          </w:tcPr>
          <w:p w14:paraId="3FFED388" w14:textId="77777777" w:rsidR="00EB6106" w:rsidRPr="00842F87" w:rsidRDefault="00EB6106" w:rsidP="000E7D5C">
            <w:pPr>
              <w:pStyle w:val="Normal-beforebullets"/>
              <w:jc w:val="center"/>
              <w:rPr>
                <w:rFonts w:cstheme="minorHAnsi"/>
                <w:b/>
                <w:szCs w:val="18"/>
              </w:rPr>
            </w:pPr>
            <w:r w:rsidRPr="00842F87">
              <w:rPr>
                <w:rFonts w:cstheme="minorHAnsi"/>
                <w:b/>
                <w:szCs w:val="18"/>
              </w:rPr>
              <w:t>Qld</w:t>
            </w:r>
          </w:p>
        </w:tc>
        <w:tc>
          <w:tcPr>
            <w:tcW w:w="447" w:type="pct"/>
            <w:tcBorders>
              <w:top w:val="single" w:sz="4" w:space="0" w:color="auto"/>
              <w:bottom w:val="single" w:sz="4" w:space="0" w:color="auto"/>
            </w:tcBorders>
            <w:shd w:val="clear" w:color="auto" w:fill="86D3F2" w:themeFill="background2" w:themeFillTint="66"/>
            <w:vAlign w:val="center"/>
          </w:tcPr>
          <w:p w14:paraId="2E05D895" w14:textId="77777777" w:rsidR="00EB6106" w:rsidRPr="00842F87" w:rsidRDefault="00EB6106" w:rsidP="000E7D5C">
            <w:pPr>
              <w:pStyle w:val="Normal-beforebullets"/>
              <w:jc w:val="center"/>
              <w:rPr>
                <w:rFonts w:cstheme="minorHAnsi"/>
                <w:b/>
                <w:szCs w:val="18"/>
              </w:rPr>
            </w:pPr>
            <w:r w:rsidRPr="00842F87">
              <w:rPr>
                <w:rFonts w:cstheme="minorHAnsi"/>
                <w:b/>
                <w:szCs w:val="18"/>
              </w:rPr>
              <w:t>SA</w:t>
            </w:r>
          </w:p>
        </w:tc>
        <w:tc>
          <w:tcPr>
            <w:tcW w:w="441" w:type="pct"/>
            <w:tcBorders>
              <w:top w:val="single" w:sz="4" w:space="0" w:color="auto"/>
              <w:bottom w:val="single" w:sz="4" w:space="0" w:color="auto"/>
            </w:tcBorders>
            <w:shd w:val="clear" w:color="auto" w:fill="86D3F2" w:themeFill="background2" w:themeFillTint="66"/>
            <w:vAlign w:val="center"/>
          </w:tcPr>
          <w:p w14:paraId="31528D3E" w14:textId="77777777" w:rsidR="00EB6106" w:rsidRPr="00842F87" w:rsidRDefault="00EB6106" w:rsidP="000E7D5C">
            <w:pPr>
              <w:pStyle w:val="Normal-beforebullets"/>
              <w:jc w:val="center"/>
              <w:rPr>
                <w:rFonts w:cstheme="minorHAnsi"/>
                <w:b/>
                <w:szCs w:val="18"/>
              </w:rPr>
            </w:pPr>
            <w:r w:rsidRPr="00842F87">
              <w:rPr>
                <w:rFonts w:cstheme="minorHAnsi"/>
                <w:b/>
                <w:szCs w:val="18"/>
              </w:rPr>
              <w:t>WA</w:t>
            </w:r>
          </w:p>
        </w:tc>
        <w:tc>
          <w:tcPr>
            <w:tcW w:w="441" w:type="pct"/>
            <w:tcBorders>
              <w:top w:val="single" w:sz="4" w:space="0" w:color="auto"/>
              <w:bottom w:val="single" w:sz="4" w:space="0" w:color="auto"/>
            </w:tcBorders>
            <w:shd w:val="clear" w:color="auto" w:fill="86D3F2" w:themeFill="background2" w:themeFillTint="66"/>
            <w:vAlign w:val="center"/>
          </w:tcPr>
          <w:p w14:paraId="47015771" w14:textId="77777777" w:rsidR="00EB6106" w:rsidRPr="00842F87" w:rsidRDefault="00EB6106" w:rsidP="000E7D5C">
            <w:pPr>
              <w:pStyle w:val="Normal-beforebullets"/>
              <w:jc w:val="center"/>
              <w:rPr>
                <w:rFonts w:cstheme="minorHAnsi"/>
                <w:b/>
                <w:szCs w:val="18"/>
              </w:rPr>
            </w:pPr>
            <w:r w:rsidRPr="00842F87">
              <w:rPr>
                <w:rFonts w:cstheme="minorHAnsi"/>
                <w:b/>
                <w:szCs w:val="18"/>
              </w:rPr>
              <w:t>Tas</w:t>
            </w:r>
          </w:p>
        </w:tc>
        <w:tc>
          <w:tcPr>
            <w:tcW w:w="441" w:type="pct"/>
            <w:tcBorders>
              <w:top w:val="single" w:sz="4" w:space="0" w:color="auto"/>
              <w:bottom w:val="single" w:sz="4" w:space="0" w:color="auto"/>
            </w:tcBorders>
            <w:shd w:val="clear" w:color="auto" w:fill="86D3F2" w:themeFill="background2" w:themeFillTint="66"/>
            <w:vAlign w:val="center"/>
          </w:tcPr>
          <w:p w14:paraId="198474AD" w14:textId="77777777" w:rsidR="00EB6106" w:rsidRPr="00842F87" w:rsidRDefault="00EB6106" w:rsidP="000E7D5C">
            <w:pPr>
              <w:pStyle w:val="Normal-beforebullets"/>
              <w:jc w:val="center"/>
              <w:rPr>
                <w:rFonts w:cstheme="minorHAnsi"/>
                <w:b/>
                <w:szCs w:val="18"/>
              </w:rPr>
            </w:pPr>
            <w:r w:rsidRPr="00842F87">
              <w:rPr>
                <w:rFonts w:cstheme="minorHAnsi"/>
                <w:b/>
                <w:szCs w:val="18"/>
              </w:rPr>
              <w:t>NT</w:t>
            </w:r>
          </w:p>
        </w:tc>
        <w:tc>
          <w:tcPr>
            <w:tcW w:w="473" w:type="pct"/>
            <w:tcBorders>
              <w:top w:val="single" w:sz="4" w:space="0" w:color="auto"/>
              <w:bottom w:val="single" w:sz="4" w:space="0" w:color="auto"/>
              <w:right w:val="single" w:sz="2" w:space="0" w:color="auto"/>
            </w:tcBorders>
            <w:shd w:val="clear" w:color="auto" w:fill="86D3F2" w:themeFill="background2" w:themeFillTint="66"/>
            <w:vAlign w:val="center"/>
          </w:tcPr>
          <w:p w14:paraId="097CD689" w14:textId="77777777" w:rsidR="00EB6106" w:rsidRPr="00842F87" w:rsidRDefault="00EB6106" w:rsidP="000E7D5C">
            <w:pPr>
              <w:pStyle w:val="Normal-beforebullets"/>
              <w:jc w:val="center"/>
              <w:rPr>
                <w:rFonts w:cstheme="minorHAnsi"/>
                <w:b/>
                <w:szCs w:val="18"/>
              </w:rPr>
            </w:pPr>
            <w:r w:rsidRPr="00842F87">
              <w:rPr>
                <w:rFonts w:cstheme="minorHAnsi"/>
                <w:b/>
                <w:szCs w:val="18"/>
              </w:rPr>
              <w:t>ACT</w:t>
            </w:r>
          </w:p>
        </w:tc>
        <w:tc>
          <w:tcPr>
            <w:tcW w:w="472" w:type="pct"/>
            <w:tcBorders>
              <w:top w:val="nil"/>
              <w:left w:val="single" w:sz="2" w:space="0" w:color="auto"/>
              <w:bottom w:val="single" w:sz="4" w:space="0" w:color="auto"/>
              <w:right w:val="single" w:sz="2" w:space="0" w:color="auto"/>
            </w:tcBorders>
            <w:shd w:val="clear" w:color="auto" w:fill="86D3F2" w:themeFill="background2" w:themeFillTint="66"/>
            <w:vAlign w:val="center"/>
          </w:tcPr>
          <w:p w14:paraId="153EF667" w14:textId="77777777" w:rsidR="00EB6106" w:rsidRPr="00842F87" w:rsidRDefault="00EB6106" w:rsidP="000E7D5C">
            <w:pPr>
              <w:pStyle w:val="Normal-beforebullets"/>
              <w:jc w:val="center"/>
              <w:rPr>
                <w:rFonts w:cstheme="minorHAnsi"/>
                <w:b/>
                <w:szCs w:val="18"/>
              </w:rPr>
            </w:pPr>
            <w:r w:rsidRPr="00842F87">
              <w:rPr>
                <w:rFonts w:cstheme="minorHAnsi"/>
                <w:b/>
                <w:szCs w:val="18"/>
              </w:rPr>
              <w:t>Total</w:t>
            </w:r>
          </w:p>
        </w:tc>
      </w:tr>
      <w:tr w:rsidR="003566EB" w:rsidRPr="00842F87" w14:paraId="1036E203" w14:textId="77777777" w:rsidTr="00AE61DC">
        <w:trPr>
          <w:trHeight w:val="227"/>
        </w:trPr>
        <w:tc>
          <w:tcPr>
            <w:tcW w:w="936"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54D70A7E" w14:textId="77777777" w:rsidR="00EB6106" w:rsidRPr="007C61C5" w:rsidRDefault="00EB6106" w:rsidP="000E7D5C">
            <w:pPr>
              <w:spacing w:after="0"/>
              <w:contextualSpacing/>
              <w:rPr>
                <w:rFonts w:cstheme="minorHAnsi"/>
                <w:b/>
                <w:color w:val="000000"/>
                <w:szCs w:val="18"/>
              </w:rPr>
            </w:pPr>
            <w:r w:rsidRPr="007C61C5">
              <w:rPr>
                <w:rFonts w:cstheme="minorHAnsi"/>
                <w:b/>
                <w:color w:val="000000"/>
                <w:szCs w:val="18"/>
              </w:rPr>
              <w:t>Total</w:t>
            </w:r>
          </w:p>
        </w:tc>
        <w:tc>
          <w:tcPr>
            <w:tcW w:w="451" w:type="pct"/>
            <w:tcBorders>
              <w:top w:val="single" w:sz="4" w:space="0" w:color="auto"/>
              <w:left w:val="single" w:sz="2" w:space="0" w:color="auto"/>
              <w:bottom w:val="single" w:sz="2" w:space="0" w:color="BFBFBF" w:themeColor="background1" w:themeShade="BF"/>
            </w:tcBorders>
            <w:shd w:val="clear" w:color="auto" w:fill="C2E9F8" w:themeFill="background2" w:themeFillTint="33"/>
            <w:vAlign w:val="center"/>
          </w:tcPr>
          <w:p w14:paraId="58BA6A20"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178</w:t>
            </w:r>
          </w:p>
        </w:tc>
        <w:tc>
          <w:tcPr>
            <w:tcW w:w="451" w:type="pct"/>
            <w:tcBorders>
              <w:top w:val="single" w:sz="4" w:space="0" w:color="auto"/>
              <w:bottom w:val="single" w:sz="2" w:space="0" w:color="BFBFBF" w:themeColor="background1" w:themeShade="BF"/>
            </w:tcBorders>
            <w:shd w:val="clear" w:color="auto" w:fill="C2E9F8" w:themeFill="background2" w:themeFillTint="33"/>
            <w:vAlign w:val="center"/>
          </w:tcPr>
          <w:p w14:paraId="02862C1D"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202</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705709E2"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27</w:t>
            </w:r>
          </w:p>
        </w:tc>
        <w:tc>
          <w:tcPr>
            <w:tcW w:w="447" w:type="pct"/>
            <w:tcBorders>
              <w:top w:val="single" w:sz="4" w:space="0" w:color="auto"/>
              <w:bottom w:val="single" w:sz="2" w:space="0" w:color="BFBFBF" w:themeColor="background1" w:themeShade="BF"/>
            </w:tcBorders>
            <w:shd w:val="clear" w:color="auto" w:fill="C2E9F8" w:themeFill="background2" w:themeFillTint="33"/>
            <w:vAlign w:val="center"/>
          </w:tcPr>
          <w:p w14:paraId="56230988"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21</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19317C80"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30</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1A820907"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2</w:t>
            </w:r>
          </w:p>
        </w:tc>
        <w:tc>
          <w:tcPr>
            <w:tcW w:w="441" w:type="pct"/>
            <w:tcBorders>
              <w:top w:val="single" w:sz="4" w:space="0" w:color="auto"/>
              <w:bottom w:val="single" w:sz="2" w:space="0" w:color="BFBFBF" w:themeColor="background1" w:themeShade="BF"/>
            </w:tcBorders>
            <w:shd w:val="clear" w:color="auto" w:fill="C2E9F8" w:themeFill="background2" w:themeFillTint="33"/>
            <w:vAlign w:val="center"/>
          </w:tcPr>
          <w:p w14:paraId="09A112CF"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5</w:t>
            </w:r>
          </w:p>
        </w:tc>
        <w:tc>
          <w:tcPr>
            <w:tcW w:w="473" w:type="pct"/>
            <w:tcBorders>
              <w:top w:val="single" w:sz="4" w:space="0" w:color="auto"/>
              <w:bottom w:val="single" w:sz="2" w:space="0" w:color="BFBFBF" w:themeColor="background1" w:themeShade="BF"/>
              <w:right w:val="single" w:sz="2" w:space="0" w:color="auto"/>
            </w:tcBorders>
            <w:shd w:val="clear" w:color="auto" w:fill="C2E9F8" w:themeFill="background2" w:themeFillTint="33"/>
            <w:vAlign w:val="center"/>
          </w:tcPr>
          <w:p w14:paraId="035B4AB2"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4</w:t>
            </w:r>
          </w:p>
        </w:tc>
        <w:tc>
          <w:tcPr>
            <w:tcW w:w="472" w:type="pct"/>
            <w:tcBorders>
              <w:top w:val="single" w:sz="4" w:space="0" w:color="auto"/>
              <w:left w:val="single" w:sz="2" w:space="0" w:color="auto"/>
              <w:bottom w:val="single" w:sz="2" w:space="0" w:color="BFBFBF" w:themeColor="background1" w:themeShade="BF"/>
              <w:right w:val="single" w:sz="2" w:space="0" w:color="auto"/>
            </w:tcBorders>
            <w:shd w:val="clear" w:color="auto" w:fill="C2E9F8" w:themeFill="background2" w:themeFillTint="33"/>
            <w:vAlign w:val="center"/>
          </w:tcPr>
          <w:p w14:paraId="604D4AAE" w14:textId="77777777" w:rsidR="00EB6106" w:rsidRPr="00CC2469" w:rsidRDefault="00EB6106" w:rsidP="000E7D5C">
            <w:pPr>
              <w:spacing w:after="0"/>
              <w:contextualSpacing/>
              <w:jc w:val="center"/>
              <w:rPr>
                <w:rFonts w:cs="Arial"/>
                <w:b/>
                <w:bCs/>
                <w:color w:val="auto"/>
                <w:szCs w:val="18"/>
              </w:rPr>
            </w:pPr>
            <w:r w:rsidRPr="00CC2469">
              <w:rPr>
                <w:rFonts w:cs="Arial"/>
                <w:b/>
                <w:bCs/>
                <w:color w:val="000000"/>
                <w:szCs w:val="18"/>
              </w:rPr>
              <w:t>469</w:t>
            </w:r>
          </w:p>
        </w:tc>
      </w:tr>
      <w:tr w:rsidR="00EB6106" w:rsidRPr="00842F87" w14:paraId="67D68FFF" w14:textId="77777777" w:rsidTr="00AE61D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48936AD" w14:textId="77777777" w:rsidR="00EB6106" w:rsidRPr="00781D8D" w:rsidRDefault="00EB6106" w:rsidP="000E7D5C">
            <w:pPr>
              <w:spacing w:after="0"/>
              <w:contextualSpacing/>
              <w:rPr>
                <w:rFonts w:cstheme="minorHAnsi"/>
                <w:color w:val="000000"/>
                <w:szCs w:val="18"/>
              </w:rPr>
            </w:pPr>
            <w:r w:rsidRPr="00781D8D">
              <w:rPr>
                <w:rFonts w:cstheme="minorHAnsi"/>
                <w:szCs w:val="18"/>
              </w:rPr>
              <w:t>Public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F035D6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72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F23B227"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35</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766BA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50D4F5F"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6</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AAAB797"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8</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2521204"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18A0E74"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28593A4E"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21E84BA"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127</w:t>
            </w:r>
          </w:p>
        </w:tc>
      </w:tr>
      <w:tr w:rsidR="00EB6106" w:rsidRPr="00842F87" w14:paraId="69C58B1A" w14:textId="77777777" w:rsidTr="00AE61D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2D5F2995" w14:textId="77777777" w:rsidR="00EB6106" w:rsidRPr="00781D8D" w:rsidRDefault="00EB6106" w:rsidP="000E7D5C">
            <w:pPr>
              <w:spacing w:after="0"/>
              <w:contextualSpacing/>
              <w:rPr>
                <w:rFonts w:cstheme="minorHAnsi"/>
                <w:color w:val="000000"/>
                <w:szCs w:val="18"/>
              </w:rPr>
            </w:pPr>
            <w:r w:rsidRPr="00781D8D">
              <w:rPr>
                <w:rFonts w:cstheme="minorHAnsi"/>
                <w:szCs w:val="18"/>
              </w:rPr>
              <w:t>Private hospital</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36CAF632"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353B76E"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DB0B394"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4</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EE60C94"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A7D8579"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C764886"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0C92727"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1FEFE15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0A51FE6"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8</w:t>
            </w:r>
          </w:p>
        </w:tc>
      </w:tr>
      <w:tr w:rsidR="00EB6106" w:rsidRPr="00842F87" w14:paraId="221337E7" w14:textId="77777777" w:rsidTr="00AE61D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A764866" w14:textId="77777777" w:rsidR="00EB6106" w:rsidRPr="00781D8D" w:rsidRDefault="00EB6106" w:rsidP="000E7D5C">
            <w:pPr>
              <w:spacing w:after="0"/>
              <w:contextualSpacing/>
              <w:rPr>
                <w:rFonts w:cstheme="minorHAnsi"/>
                <w:color w:val="000000"/>
                <w:szCs w:val="18"/>
              </w:rPr>
            </w:pPr>
            <w:r w:rsidRPr="00781D8D">
              <w:rPr>
                <w:rFonts w:cstheme="minorHAnsi"/>
                <w:szCs w:val="18"/>
              </w:rPr>
              <w:t>Aged care home</w:t>
            </w:r>
            <w:r>
              <w:rPr>
                <w:rFonts w:cstheme="minorHAnsi"/>
                <w:szCs w:val="18"/>
              </w:rPr>
              <w:t>s</w:t>
            </w:r>
          </w:p>
        </w:tc>
        <w:tc>
          <w:tcPr>
            <w:tcW w:w="451" w:type="pct"/>
            <w:tcBorders>
              <w:top w:val="single" w:sz="2" w:space="0" w:color="BFBFBF" w:themeColor="background1" w:themeShade="BF"/>
              <w:left w:val="single" w:sz="2" w:space="0" w:color="auto"/>
              <w:bottom w:val="single" w:sz="2" w:space="0" w:color="BFBFBF" w:themeColor="background1" w:themeShade="BF"/>
              <w:right w:val="nil"/>
            </w:tcBorders>
            <w:vAlign w:val="center"/>
          </w:tcPr>
          <w:p w14:paraId="06C456BC"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540306E"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7A8EC665"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25E1A1C"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F1C831A"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3DE81F9"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2CD4F3"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73" w:type="pct"/>
            <w:tcBorders>
              <w:top w:val="single" w:sz="2" w:space="0" w:color="BFBFBF" w:themeColor="background1" w:themeShade="BF"/>
              <w:left w:val="nil"/>
              <w:bottom w:val="single" w:sz="2" w:space="0" w:color="BFBFBF" w:themeColor="background1" w:themeShade="BF"/>
              <w:right w:val="single" w:sz="2" w:space="0" w:color="auto"/>
            </w:tcBorders>
            <w:vAlign w:val="center"/>
          </w:tcPr>
          <w:p w14:paraId="74F2172F"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06706D06" w14:textId="77777777" w:rsidR="00EB6106" w:rsidRPr="00CC2469" w:rsidRDefault="00EB6106" w:rsidP="000E7D5C">
            <w:pPr>
              <w:spacing w:after="0"/>
              <w:contextualSpacing/>
              <w:jc w:val="center"/>
              <w:rPr>
                <w:rFonts w:cs="Arial"/>
                <w:color w:val="auto"/>
                <w:szCs w:val="18"/>
              </w:rPr>
            </w:pPr>
            <w:r w:rsidRPr="00CC2469">
              <w:rPr>
                <w:rFonts w:cs="Arial"/>
                <w:color w:val="auto"/>
                <w:szCs w:val="18"/>
              </w:rPr>
              <w:t>0</w:t>
            </w:r>
          </w:p>
        </w:tc>
      </w:tr>
      <w:tr w:rsidR="00EB6106" w:rsidRPr="00842F87" w14:paraId="495E33B0" w14:textId="77777777" w:rsidTr="00AE61DC">
        <w:trPr>
          <w:trHeight w:val="227"/>
        </w:trPr>
        <w:tc>
          <w:tcPr>
            <w:tcW w:w="936"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56545FA6" w14:textId="77777777" w:rsidR="00EB6106" w:rsidRPr="00781D8D" w:rsidRDefault="00EB6106" w:rsidP="000E7D5C">
            <w:pPr>
              <w:spacing w:after="0"/>
              <w:contextualSpacing/>
              <w:rPr>
                <w:rFonts w:cstheme="minorHAnsi"/>
                <w:color w:val="000000"/>
                <w:szCs w:val="18"/>
              </w:rPr>
            </w:pPr>
            <w:r w:rsidRPr="00781D8D">
              <w:rPr>
                <w:rFonts w:cstheme="minorHAnsi"/>
                <w:szCs w:val="18"/>
              </w:rPr>
              <w:t>Community</w:t>
            </w:r>
          </w:p>
        </w:tc>
        <w:tc>
          <w:tcPr>
            <w:tcW w:w="451" w:type="pct"/>
            <w:tcBorders>
              <w:top w:val="single" w:sz="2" w:space="0" w:color="BFBFBF" w:themeColor="background1" w:themeShade="BF"/>
              <w:left w:val="single" w:sz="2" w:space="0" w:color="auto"/>
              <w:bottom w:val="single" w:sz="2" w:space="0" w:color="BFBFBF" w:themeColor="background1" w:themeShade="BF"/>
            </w:tcBorders>
            <w:vAlign w:val="center"/>
          </w:tcPr>
          <w:p w14:paraId="7DE64F1F"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34</w:t>
            </w:r>
          </w:p>
        </w:tc>
        <w:tc>
          <w:tcPr>
            <w:tcW w:w="451" w:type="pct"/>
            <w:tcBorders>
              <w:top w:val="single" w:sz="2" w:space="0" w:color="BFBFBF" w:themeColor="background1" w:themeShade="BF"/>
              <w:bottom w:val="single" w:sz="2" w:space="0" w:color="BFBFBF" w:themeColor="background1" w:themeShade="BF"/>
            </w:tcBorders>
            <w:vAlign w:val="center"/>
          </w:tcPr>
          <w:p w14:paraId="07766714"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116</w:t>
            </w:r>
          </w:p>
        </w:tc>
        <w:tc>
          <w:tcPr>
            <w:tcW w:w="447" w:type="pct"/>
            <w:tcBorders>
              <w:top w:val="single" w:sz="2" w:space="0" w:color="BFBFBF" w:themeColor="background1" w:themeShade="BF"/>
              <w:bottom w:val="single" w:sz="2" w:space="0" w:color="BFBFBF" w:themeColor="background1" w:themeShade="BF"/>
            </w:tcBorders>
            <w:vAlign w:val="center"/>
          </w:tcPr>
          <w:p w14:paraId="645D25D5"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19</w:t>
            </w:r>
          </w:p>
        </w:tc>
        <w:tc>
          <w:tcPr>
            <w:tcW w:w="447" w:type="pct"/>
            <w:tcBorders>
              <w:top w:val="single" w:sz="2" w:space="0" w:color="BFBFBF" w:themeColor="background1" w:themeShade="BF"/>
              <w:bottom w:val="single" w:sz="2" w:space="0" w:color="BFBFBF" w:themeColor="background1" w:themeShade="BF"/>
            </w:tcBorders>
            <w:vAlign w:val="center"/>
          </w:tcPr>
          <w:p w14:paraId="648145BA"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11</w:t>
            </w:r>
          </w:p>
        </w:tc>
        <w:tc>
          <w:tcPr>
            <w:tcW w:w="441" w:type="pct"/>
            <w:tcBorders>
              <w:top w:val="single" w:sz="2" w:space="0" w:color="BFBFBF" w:themeColor="background1" w:themeShade="BF"/>
              <w:bottom w:val="single" w:sz="2" w:space="0" w:color="BFBFBF" w:themeColor="background1" w:themeShade="BF"/>
            </w:tcBorders>
            <w:vAlign w:val="center"/>
          </w:tcPr>
          <w:p w14:paraId="4E5CD93F"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19</w:t>
            </w:r>
          </w:p>
        </w:tc>
        <w:tc>
          <w:tcPr>
            <w:tcW w:w="441" w:type="pct"/>
            <w:tcBorders>
              <w:top w:val="single" w:sz="2" w:space="0" w:color="BFBFBF" w:themeColor="background1" w:themeShade="BF"/>
              <w:bottom w:val="single" w:sz="2" w:space="0" w:color="BFBFBF" w:themeColor="background1" w:themeShade="BF"/>
            </w:tcBorders>
            <w:vAlign w:val="center"/>
          </w:tcPr>
          <w:p w14:paraId="5B071635"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1" w:type="pct"/>
            <w:tcBorders>
              <w:top w:val="single" w:sz="2" w:space="0" w:color="BFBFBF" w:themeColor="background1" w:themeShade="BF"/>
              <w:bottom w:val="single" w:sz="2" w:space="0" w:color="BFBFBF" w:themeColor="background1" w:themeShade="BF"/>
            </w:tcBorders>
            <w:vAlign w:val="center"/>
          </w:tcPr>
          <w:p w14:paraId="39EBE4A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4</w:t>
            </w:r>
          </w:p>
        </w:tc>
        <w:tc>
          <w:tcPr>
            <w:tcW w:w="473" w:type="pct"/>
            <w:tcBorders>
              <w:top w:val="single" w:sz="2" w:space="0" w:color="BFBFBF" w:themeColor="background1" w:themeShade="BF"/>
              <w:bottom w:val="single" w:sz="2" w:space="0" w:color="BFBFBF" w:themeColor="background1" w:themeShade="BF"/>
              <w:right w:val="single" w:sz="2" w:space="0" w:color="auto"/>
            </w:tcBorders>
            <w:vAlign w:val="center"/>
          </w:tcPr>
          <w:p w14:paraId="29B03FCD"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2</w:t>
            </w:r>
          </w:p>
        </w:tc>
        <w:tc>
          <w:tcPr>
            <w:tcW w:w="472" w:type="pct"/>
            <w:tcBorders>
              <w:top w:val="single" w:sz="2" w:space="0" w:color="BFBFBF" w:themeColor="background1" w:themeShade="BF"/>
              <w:left w:val="single" w:sz="2" w:space="0" w:color="auto"/>
              <w:bottom w:val="single" w:sz="2" w:space="0" w:color="BFBFBF" w:themeColor="background1" w:themeShade="BF"/>
              <w:right w:val="single" w:sz="2" w:space="0" w:color="auto"/>
            </w:tcBorders>
            <w:vAlign w:val="center"/>
          </w:tcPr>
          <w:p w14:paraId="698C607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206</w:t>
            </w:r>
          </w:p>
        </w:tc>
      </w:tr>
      <w:tr w:rsidR="00EB6106" w:rsidRPr="00842F87" w14:paraId="18D64212" w14:textId="77777777" w:rsidTr="00AE61DC">
        <w:trPr>
          <w:trHeight w:val="227"/>
        </w:trPr>
        <w:tc>
          <w:tcPr>
            <w:tcW w:w="936" w:type="pct"/>
            <w:tcBorders>
              <w:top w:val="single" w:sz="2" w:space="0" w:color="BFBFBF" w:themeColor="background1" w:themeShade="BF"/>
              <w:left w:val="single" w:sz="2" w:space="0" w:color="auto"/>
              <w:bottom w:val="single" w:sz="4" w:space="0" w:color="auto"/>
              <w:right w:val="single" w:sz="2" w:space="0" w:color="auto"/>
            </w:tcBorders>
            <w:vAlign w:val="center"/>
          </w:tcPr>
          <w:p w14:paraId="3DF1BB15" w14:textId="77777777" w:rsidR="00EB6106" w:rsidRPr="00781D8D" w:rsidRDefault="00EB6106" w:rsidP="000E7D5C">
            <w:pPr>
              <w:spacing w:after="0"/>
              <w:contextualSpacing/>
              <w:rPr>
                <w:rFonts w:cstheme="minorHAnsi"/>
                <w:szCs w:val="18"/>
              </w:rPr>
            </w:pPr>
            <w:r w:rsidRPr="00781D8D">
              <w:rPr>
                <w:rFonts w:cstheme="minorHAnsi"/>
                <w:szCs w:val="18"/>
              </w:rPr>
              <w:t>Unknown</w:t>
            </w:r>
          </w:p>
        </w:tc>
        <w:tc>
          <w:tcPr>
            <w:tcW w:w="451" w:type="pct"/>
            <w:tcBorders>
              <w:top w:val="single" w:sz="2" w:space="0" w:color="BFBFBF" w:themeColor="background1" w:themeShade="BF"/>
              <w:left w:val="single" w:sz="2" w:space="0" w:color="auto"/>
              <w:bottom w:val="single" w:sz="4" w:space="0" w:color="auto"/>
            </w:tcBorders>
            <w:vAlign w:val="center"/>
          </w:tcPr>
          <w:p w14:paraId="7DA2EDCA"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71</w:t>
            </w:r>
          </w:p>
        </w:tc>
        <w:tc>
          <w:tcPr>
            <w:tcW w:w="451" w:type="pct"/>
            <w:tcBorders>
              <w:top w:val="single" w:sz="2" w:space="0" w:color="BFBFBF" w:themeColor="background1" w:themeShade="BF"/>
              <w:bottom w:val="single" w:sz="4" w:space="0" w:color="auto"/>
            </w:tcBorders>
            <w:vAlign w:val="center"/>
          </w:tcPr>
          <w:p w14:paraId="6E89646D"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50</w:t>
            </w:r>
          </w:p>
        </w:tc>
        <w:tc>
          <w:tcPr>
            <w:tcW w:w="447" w:type="pct"/>
            <w:tcBorders>
              <w:top w:val="single" w:sz="2" w:space="0" w:color="BFBFBF" w:themeColor="background1" w:themeShade="BF"/>
              <w:bottom w:val="single" w:sz="4" w:space="0" w:color="auto"/>
            </w:tcBorders>
            <w:vAlign w:val="center"/>
          </w:tcPr>
          <w:p w14:paraId="27DEA827"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47" w:type="pct"/>
            <w:tcBorders>
              <w:top w:val="single" w:sz="2" w:space="0" w:color="BFBFBF" w:themeColor="background1" w:themeShade="BF"/>
              <w:bottom w:val="single" w:sz="4" w:space="0" w:color="auto"/>
            </w:tcBorders>
            <w:vAlign w:val="center"/>
          </w:tcPr>
          <w:p w14:paraId="23E5B211"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3</w:t>
            </w:r>
          </w:p>
        </w:tc>
        <w:tc>
          <w:tcPr>
            <w:tcW w:w="441" w:type="pct"/>
            <w:tcBorders>
              <w:top w:val="single" w:sz="2" w:space="0" w:color="BFBFBF" w:themeColor="background1" w:themeShade="BF"/>
              <w:bottom w:val="single" w:sz="4" w:space="0" w:color="auto"/>
            </w:tcBorders>
            <w:vAlign w:val="center"/>
          </w:tcPr>
          <w:p w14:paraId="3DECFE1B"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2</w:t>
            </w:r>
          </w:p>
        </w:tc>
        <w:tc>
          <w:tcPr>
            <w:tcW w:w="441" w:type="pct"/>
            <w:tcBorders>
              <w:top w:val="single" w:sz="2" w:space="0" w:color="BFBFBF" w:themeColor="background1" w:themeShade="BF"/>
              <w:bottom w:val="single" w:sz="4" w:space="0" w:color="auto"/>
            </w:tcBorders>
            <w:vAlign w:val="center"/>
          </w:tcPr>
          <w:p w14:paraId="47DD3A09"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0</w:t>
            </w:r>
          </w:p>
        </w:tc>
        <w:tc>
          <w:tcPr>
            <w:tcW w:w="441" w:type="pct"/>
            <w:tcBorders>
              <w:top w:val="single" w:sz="2" w:space="0" w:color="BFBFBF" w:themeColor="background1" w:themeShade="BF"/>
              <w:bottom w:val="single" w:sz="4" w:space="0" w:color="auto"/>
            </w:tcBorders>
            <w:vAlign w:val="center"/>
          </w:tcPr>
          <w:p w14:paraId="0D083826"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0</w:t>
            </w:r>
          </w:p>
        </w:tc>
        <w:tc>
          <w:tcPr>
            <w:tcW w:w="473" w:type="pct"/>
            <w:tcBorders>
              <w:top w:val="single" w:sz="2" w:space="0" w:color="BFBFBF" w:themeColor="background1" w:themeShade="BF"/>
              <w:bottom w:val="single" w:sz="4" w:space="0" w:color="auto"/>
              <w:right w:val="single" w:sz="2" w:space="0" w:color="auto"/>
            </w:tcBorders>
            <w:vAlign w:val="center"/>
          </w:tcPr>
          <w:p w14:paraId="0F5ECB38"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w:t>
            </w:r>
          </w:p>
        </w:tc>
        <w:tc>
          <w:tcPr>
            <w:tcW w:w="472" w:type="pct"/>
            <w:tcBorders>
              <w:top w:val="single" w:sz="2" w:space="0" w:color="BFBFBF" w:themeColor="background1" w:themeShade="BF"/>
              <w:left w:val="single" w:sz="2" w:space="0" w:color="auto"/>
              <w:bottom w:val="single" w:sz="4" w:space="0" w:color="auto"/>
              <w:right w:val="single" w:sz="2" w:space="0" w:color="auto"/>
            </w:tcBorders>
            <w:vAlign w:val="center"/>
          </w:tcPr>
          <w:p w14:paraId="42A6ECC6" w14:textId="77777777" w:rsidR="00EB6106" w:rsidRPr="00CC2469" w:rsidRDefault="00EB6106" w:rsidP="000E7D5C">
            <w:pPr>
              <w:spacing w:after="0"/>
              <w:contextualSpacing/>
              <w:jc w:val="center"/>
              <w:rPr>
                <w:rFonts w:cs="Arial"/>
                <w:color w:val="auto"/>
                <w:szCs w:val="18"/>
              </w:rPr>
            </w:pPr>
            <w:r w:rsidRPr="00CC2469">
              <w:rPr>
                <w:rFonts w:cs="Arial"/>
                <w:color w:val="000000"/>
                <w:szCs w:val="18"/>
              </w:rPr>
              <w:t>128</w:t>
            </w:r>
          </w:p>
        </w:tc>
      </w:tr>
    </w:tbl>
    <w:p w14:paraId="6EB173B8" w14:textId="77777777" w:rsidR="00EB6106" w:rsidRDefault="00EB6106" w:rsidP="00EB6106">
      <w:pPr>
        <w:spacing w:after="80"/>
      </w:pPr>
      <w:r>
        <w:br w:type="page"/>
      </w:r>
    </w:p>
    <w:p w14:paraId="28B1491D" w14:textId="74428E9C" w:rsidR="00EB6106" w:rsidRDefault="00EB6106" w:rsidP="000759B8">
      <w:pPr>
        <w:spacing w:before="0" w:after="0"/>
      </w:pPr>
      <w:r w:rsidRPr="00554E98">
        <w:rPr>
          <w:b/>
          <w:bCs/>
        </w:rPr>
        <w:lastRenderedPageBreak/>
        <w:t>Figure</w:t>
      </w:r>
      <w:r w:rsidRPr="00CC2469">
        <w:rPr>
          <w:b/>
          <w:bCs/>
        </w:rPr>
        <w:t xml:space="preserve"> </w:t>
      </w:r>
      <w:r w:rsidR="00181F3B">
        <w:rPr>
          <w:b/>
          <w:bCs/>
        </w:rPr>
        <w:t>30</w:t>
      </w:r>
      <w:r w:rsidRPr="00CC2469">
        <w:rPr>
          <w:b/>
          <w:bCs/>
        </w:rPr>
        <w:t>:</w:t>
      </w:r>
      <w:r w:rsidRPr="00867B3E">
        <w:rPr>
          <w:b/>
          <w:bCs/>
        </w:rPr>
        <w:t xml:space="preserve"> </w:t>
      </w:r>
      <w:r w:rsidRPr="00867B3E">
        <w:t xml:space="preserve">Multidrug-resistant </w:t>
      </w:r>
      <w:r w:rsidRPr="00867B3E">
        <w:rPr>
          <w:i/>
          <w:iCs/>
        </w:rPr>
        <w:t xml:space="preserve">Shigella </w:t>
      </w:r>
      <w:r w:rsidRPr="00867B3E">
        <w:t>species</w:t>
      </w:r>
      <w:r>
        <w:t xml:space="preserve"> as reported to CARAlert as a percentage of shigellosis</w:t>
      </w:r>
      <w:r w:rsidRPr="00867B3E">
        <w:t xml:space="preserve"> notifications</w:t>
      </w:r>
      <w:r>
        <w:t xml:space="preserve">, </w:t>
      </w:r>
      <w:r w:rsidRPr="00867B3E">
        <w:t>by state and territory, 2017</w:t>
      </w:r>
      <w:r w:rsidRPr="00910402">
        <w:t>–202</w:t>
      </w:r>
      <w:r>
        <w:t>3</w:t>
      </w:r>
      <w:r w:rsidR="003E0C6C">
        <w:rPr>
          <w:noProof/>
        </w:rPr>
        <w:drawing>
          <wp:inline distT="0" distB="0" distL="0" distR="0" wp14:anchorId="3865EE09" wp14:editId="70F385EB">
            <wp:extent cx="6118227" cy="2879003"/>
            <wp:effectExtent l="0" t="0" r="0" b="0"/>
            <wp:docPr id="61" name="Picture 61"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30"/>
                    <pic:cNvPicPr/>
                  </pic:nvPicPr>
                  <pic:blipFill>
                    <a:blip r:embed="rId58"/>
                    <a:stretch>
                      <a:fillRect/>
                    </a:stretch>
                  </pic:blipFill>
                  <pic:spPr>
                    <a:xfrm>
                      <a:off x="0" y="0"/>
                      <a:ext cx="6118227" cy="2879003"/>
                    </a:xfrm>
                    <a:prstGeom prst="rect">
                      <a:avLst/>
                    </a:prstGeom>
                  </pic:spPr>
                </pic:pic>
              </a:graphicData>
            </a:graphic>
          </wp:inline>
        </w:drawing>
      </w:r>
    </w:p>
    <w:p w14:paraId="344EAD56" w14:textId="77777777" w:rsidR="00EB6106" w:rsidRPr="008F7D64" w:rsidRDefault="00EB6106" w:rsidP="008F7D64">
      <w:pPr>
        <w:spacing w:after="0"/>
        <w:rPr>
          <w:rFonts w:ascii="Arial" w:hAnsi="Arial" w:cs="Arial"/>
          <w:color w:val="000000"/>
          <w:sz w:val="16"/>
          <w:szCs w:val="16"/>
        </w:rPr>
      </w:pPr>
      <w:r w:rsidRPr="008F7D64">
        <w:rPr>
          <w:rFonts w:ascii="Arial" w:hAnsi="Arial" w:cs="Arial"/>
          <w:color w:val="000000"/>
          <w:sz w:val="16"/>
          <w:szCs w:val="16"/>
        </w:rPr>
        <w:t>Note: Notifications of shigellosis may include diagnosis by PCR only.</w:t>
      </w:r>
    </w:p>
    <w:p w14:paraId="495C80E0" w14:textId="6087C2DA" w:rsidR="00EB6106" w:rsidRPr="008F7D64" w:rsidRDefault="00EB6106" w:rsidP="008F7D64">
      <w:pPr>
        <w:autoSpaceDE w:val="0"/>
        <w:autoSpaceDN w:val="0"/>
        <w:adjustRightInd w:val="0"/>
        <w:spacing w:before="0" w:after="0"/>
        <w:rPr>
          <w:rFonts w:ascii="Arial" w:hAnsi="Arial" w:cs="Arial"/>
          <w:color w:val="000000"/>
          <w:sz w:val="16"/>
          <w:szCs w:val="16"/>
        </w:rPr>
      </w:pPr>
      <w:r w:rsidRPr="008F7D64">
        <w:rPr>
          <w:rFonts w:ascii="Arial" w:hAnsi="Arial" w:cs="Arial"/>
          <w:color w:val="000000"/>
          <w:sz w:val="16"/>
          <w:szCs w:val="16"/>
        </w:rPr>
        <w:t>Source: National Notifiable Diseases Surveillance System</w:t>
      </w:r>
      <w:r w:rsidRPr="008F7D64">
        <w:rPr>
          <w:rFonts w:ascii="Arial" w:hAnsi="Arial" w:cs="Arial"/>
          <w:color w:val="000000"/>
          <w:sz w:val="16"/>
          <w:szCs w:val="16"/>
        </w:rPr>
        <w:fldChar w:fldCharType="begin"/>
      </w:r>
      <w:r w:rsidR="00B17B22">
        <w:rPr>
          <w:rFonts w:ascii="Arial" w:hAnsi="Arial" w:cs="Arial"/>
          <w:color w:val="000000"/>
          <w:sz w:val="16"/>
          <w:szCs w:val="16"/>
        </w:rPr>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db-id="wtev2ss0rtrrwme0r0opprfvtfvztrraaz9e" timestamp="1679895352" guid="3851e972-1a88-4033-8919-a219a15b16b5"&gt;230&lt;/key&gt;&lt;/foreign-keys&gt;&lt;ref-type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2023&lt;/number&gt;&lt;dates&gt;&lt;year&gt;2023&lt;/year&gt;&lt;/dates&gt;&lt;pub-location&gt;Canberra&lt;/pub-location&gt;&lt;publisher&gt;Department of Health and Aged Care&lt;/publisher&gt;&lt;urls&gt;&lt;related-urls&gt;&lt;url&gt;https://nindss.health.gov.au/pbi-dashboard/&lt;/url&gt;&lt;/related-urls&gt;&lt;/urls&gt;&lt;/record&gt;&lt;/Cite&gt;&lt;/EndNote&gt;</w:instrText>
      </w:r>
      <w:r w:rsidRPr="008F7D64">
        <w:rPr>
          <w:rFonts w:ascii="Arial" w:hAnsi="Arial" w:cs="Arial"/>
          <w:color w:val="000000"/>
          <w:sz w:val="16"/>
          <w:szCs w:val="16"/>
        </w:rPr>
        <w:fldChar w:fldCharType="separate"/>
      </w:r>
      <w:r w:rsidRPr="008F7D64">
        <w:rPr>
          <w:rFonts w:ascii="Arial" w:hAnsi="Arial" w:cs="Arial"/>
          <w:noProof/>
          <w:color w:val="000000"/>
          <w:sz w:val="16"/>
          <w:szCs w:val="16"/>
          <w:vertAlign w:val="superscript"/>
        </w:rPr>
        <w:t>9</w:t>
      </w:r>
      <w:r w:rsidRPr="008F7D64">
        <w:rPr>
          <w:rFonts w:ascii="Arial" w:hAnsi="Arial" w:cs="Arial"/>
          <w:color w:val="000000"/>
          <w:sz w:val="16"/>
          <w:szCs w:val="16"/>
        </w:rPr>
        <w:fldChar w:fldCharType="end"/>
      </w:r>
    </w:p>
    <w:p w14:paraId="7CC8F9E6" w14:textId="77777777" w:rsidR="00EB6106" w:rsidRDefault="00EB6106" w:rsidP="00EB6106">
      <w:pPr>
        <w:pStyle w:val="Heading3"/>
        <w:rPr>
          <w:i/>
        </w:rPr>
      </w:pPr>
      <w:bookmarkStart w:id="32" w:name="_Toc166585584"/>
      <w:r w:rsidRPr="00256775">
        <w:rPr>
          <w:i/>
        </w:rPr>
        <w:t>Staphylococcus aureus</w:t>
      </w:r>
      <w:bookmarkEnd w:id="32"/>
    </w:p>
    <w:p w14:paraId="60F226F6" w14:textId="77777777" w:rsidR="00CA00DA" w:rsidRDefault="00EB6106" w:rsidP="00CA00DA">
      <w:r w:rsidRPr="005D4201">
        <w:rPr>
          <w:i/>
          <w:iCs/>
        </w:rPr>
        <w:t>S</w:t>
      </w:r>
      <w:r w:rsidR="00187CBB" w:rsidRPr="00256775">
        <w:rPr>
          <w:i/>
        </w:rPr>
        <w:t>taphylococcus</w:t>
      </w:r>
      <w:r w:rsidRPr="005D4201">
        <w:rPr>
          <w:i/>
          <w:iCs/>
        </w:rPr>
        <w:t> aureus</w:t>
      </w:r>
      <w:r w:rsidRPr="005D4201">
        <w:t xml:space="preserve"> is a common pathogen causing a wide variety of infections of varying </w:t>
      </w:r>
      <w:r w:rsidRPr="00D723E1">
        <w:t>severity.</w:t>
      </w:r>
    </w:p>
    <w:p w14:paraId="2CAE8E7A" w14:textId="2A1661F0" w:rsidR="00CA00DA" w:rsidRPr="00D723E1" w:rsidRDefault="00CA00DA" w:rsidP="00CA00DA">
      <w:pPr>
        <w:rPr>
          <w:iCs/>
        </w:rPr>
      </w:pPr>
      <w:r>
        <w:rPr>
          <w:iCs/>
        </w:rPr>
        <w:t>R</w:t>
      </w:r>
      <w:r w:rsidRPr="00D723E1">
        <w:rPr>
          <w:iCs/>
        </w:rPr>
        <w:t xml:space="preserve">eporting of </w:t>
      </w:r>
      <w:r w:rsidRPr="00D723E1">
        <w:t xml:space="preserve">daptomycin-nonsusceptible </w:t>
      </w:r>
      <w:r w:rsidRPr="00D723E1">
        <w:rPr>
          <w:i/>
          <w:iCs/>
        </w:rPr>
        <w:t>Staphylococcus aureus</w:t>
      </w:r>
      <w:r w:rsidRPr="00D723E1">
        <w:t xml:space="preserve"> </w:t>
      </w:r>
      <w:r>
        <w:t xml:space="preserve">(DNSA) </w:t>
      </w:r>
      <w:r w:rsidRPr="00D723E1">
        <w:t>to CARAlert was suspended from 1</w:t>
      </w:r>
      <w:r w:rsidR="0039013D">
        <w:t> </w:t>
      </w:r>
      <w:r w:rsidRPr="00D723E1">
        <w:t>January 2023 given variation in testing and reporting practices by originating laboratories and difficulty in interpreting phenotypic data (Appendix 1).</w:t>
      </w:r>
    </w:p>
    <w:p w14:paraId="0186A169" w14:textId="634BA270" w:rsidR="00D723E1" w:rsidRPr="00D723E1" w:rsidRDefault="002907D9" w:rsidP="00EB6106">
      <w:pPr>
        <w:rPr>
          <w:iCs/>
        </w:rPr>
      </w:pPr>
      <w:r>
        <w:t>There was one</w:t>
      </w:r>
      <w:r w:rsidR="00EB6106" w:rsidRPr="00D723E1">
        <w:t xml:space="preserve"> </w:t>
      </w:r>
      <w:r>
        <w:t xml:space="preserve">vancomycin-nonsusceptible </w:t>
      </w:r>
      <w:r w:rsidR="00EB6106" w:rsidRPr="00D723E1">
        <w:rPr>
          <w:i/>
        </w:rPr>
        <w:t>S. aureus</w:t>
      </w:r>
      <w:r w:rsidR="00EB6106" w:rsidRPr="00D723E1">
        <w:rPr>
          <w:iCs/>
        </w:rPr>
        <w:t xml:space="preserve"> report</w:t>
      </w:r>
      <w:r>
        <w:rPr>
          <w:iCs/>
        </w:rPr>
        <w:t xml:space="preserve">ed in </w:t>
      </w:r>
      <w:r w:rsidR="00EB6106" w:rsidRPr="00D723E1">
        <w:rPr>
          <w:iCs/>
        </w:rPr>
        <w:t>202</w:t>
      </w:r>
      <w:r w:rsidR="003769AE" w:rsidRPr="00D723E1">
        <w:rPr>
          <w:iCs/>
        </w:rPr>
        <w:t>3</w:t>
      </w:r>
      <w:r w:rsidR="00EB6106" w:rsidRPr="00D723E1">
        <w:rPr>
          <w:iCs/>
        </w:rPr>
        <w:t xml:space="preserve"> </w:t>
      </w:r>
      <w:r w:rsidR="00D723E1" w:rsidRPr="00D723E1">
        <w:rPr>
          <w:iCs/>
        </w:rPr>
        <w:t xml:space="preserve">from a public hospital in WA. This compares to </w:t>
      </w:r>
      <w:r>
        <w:rPr>
          <w:iCs/>
        </w:rPr>
        <w:t>two</w:t>
      </w:r>
      <w:r w:rsidR="00D723E1" w:rsidRPr="00D723E1">
        <w:rPr>
          <w:iCs/>
        </w:rPr>
        <w:t xml:space="preserve"> reports 2022</w:t>
      </w:r>
      <w:r>
        <w:rPr>
          <w:iCs/>
        </w:rPr>
        <w:t xml:space="preserve">. No linezolid-non-susceptible </w:t>
      </w:r>
      <w:r w:rsidRPr="00554E98">
        <w:rPr>
          <w:i/>
        </w:rPr>
        <w:t>S. aureus</w:t>
      </w:r>
      <w:r>
        <w:rPr>
          <w:iCs/>
        </w:rPr>
        <w:t xml:space="preserve"> were reported in 2023; three were confirmed in 2022 (Figure</w:t>
      </w:r>
      <w:r w:rsidR="00561911">
        <w:rPr>
          <w:iCs/>
        </w:rPr>
        <w:t>s</w:t>
      </w:r>
      <w:r w:rsidR="0039013D">
        <w:rPr>
          <w:iCs/>
        </w:rPr>
        <w:t> </w:t>
      </w:r>
      <w:r>
        <w:rPr>
          <w:iCs/>
        </w:rPr>
        <w:t>3</w:t>
      </w:r>
      <w:r w:rsidR="00250E1D">
        <w:rPr>
          <w:iCs/>
        </w:rPr>
        <w:t>1</w:t>
      </w:r>
      <w:r w:rsidR="00561911">
        <w:rPr>
          <w:iCs/>
        </w:rPr>
        <w:t xml:space="preserve"> and</w:t>
      </w:r>
      <w:r w:rsidR="0039013D">
        <w:rPr>
          <w:iCs/>
        </w:rPr>
        <w:t> </w:t>
      </w:r>
      <w:r w:rsidR="00561911">
        <w:rPr>
          <w:iCs/>
        </w:rPr>
        <w:t>3</w:t>
      </w:r>
      <w:r w:rsidR="00250E1D">
        <w:rPr>
          <w:iCs/>
        </w:rPr>
        <w:t>2</w:t>
      </w:r>
      <w:r>
        <w:rPr>
          <w:iCs/>
        </w:rPr>
        <w:t>).</w:t>
      </w:r>
    </w:p>
    <w:p w14:paraId="71112FB4" w14:textId="77777777" w:rsidR="00EB6106" w:rsidRPr="004074C8" w:rsidRDefault="00EB6106" w:rsidP="004074C8">
      <w:pPr>
        <w:pStyle w:val="Heading4"/>
      </w:pPr>
      <w:r w:rsidRPr="004074C8">
        <w:lastRenderedPageBreak/>
        <w:t>National data</w:t>
      </w:r>
    </w:p>
    <w:p w14:paraId="145E97AE" w14:textId="3420B238" w:rsidR="00851189" w:rsidRPr="00851189" w:rsidRDefault="00851189" w:rsidP="00851189">
      <w:pPr>
        <w:spacing w:before="0" w:after="0"/>
        <w:contextualSpacing/>
        <w:rPr>
          <w:rFonts w:ascii="Arial" w:hAnsi="Arial"/>
          <w:b/>
        </w:rPr>
      </w:pPr>
      <w:r w:rsidRPr="00A21AA2">
        <w:rPr>
          <w:rFonts w:ascii="Arial" w:hAnsi="Arial"/>
          <w:b/>
        </w:rPr>
        <w:t xml:space="preserve">Figure </w:t>
      </w:r>
      <w:r w:rsidR="0015205D" w:rsidRPr="00A21AA2">
        <w:rPr>
          <w:rFonts w:ascii="Arial" w:hAnsi="Arial"/>
          <w:b/>
        </w:rPr>
        <w:t>3</w:t>
      </w:r>
      <w:r w:rsidR="00520218" w:rsidRPr="00A21AA2">
        <w:rPr>
          <w:rFonts w:ascii="Arial" w:hAnsi="Arial"/>
          <w:b/>
        </w:rPr>
        <w:t>1</w:t>
      </w:r>
      <w:r w:rsidRPr="00A21AA2">
        <w:rPr>
          <w:rFonts w:ascii="Arial" w:hAnsi="Arial"/>
          <w:b/>
        </w:rPr>
        <w:t>:</w:t>
      </w:r>
      <w:r w:rsidRPr="00851189">
        <w:rPr>
          <w:rFonts w:ascii="Arial" w:hAnsi="Arial"/>
          <w:b/>
        </w:rPr>
        <w:t xml:space="preserve"> </w:t>
      </w:r>
      <w:r w:rsidRPr="00851189">
        <w:rPr>
          <w:rFonts w:ascii="Arial" w:hAnsi="Arial"/>
          <w:bCs/>
        </w:rPr>
        <w:t xml:space="preserve">Vancomycin-, linezolid- or daptomycin-nonsusceptible </w:t>
      </w:r>
      <w:r w:rsidRPr="00851189">
        <w:rPr>
          <w:rFonts w:ascii="Arial" w:hAnsi="Arial"/>
          <w:bCs/>
          <w:i/>
        </w:rPr>
        <w:t xml:space="preserve">Staphylococcus aureus, </w:t>
      </w:r>
      <w:r w:rsidRPr="00851189">
        <w:rPr>
          <w:rFonts w:ascii="Arial" w:hAnsi="Arial"/>
          <w:bCs/>
        </w:rPr>
        <w:t>number reported to CARAlert by month, national, 2017–2023</w:t>
      </w:r>
      <w:r w:rsidR="00A017A4">
        <w:rPr>
          <w:rFonts w:ascii="Arial" w:hAnsi="Arial"/>
          <w:b/>
          <w:noProof/>
        </w:rPr>
        <w:drawing>
          <wp:inline distT="0" distB="0" distL="0" distR="0" wp14:anchorId="6561EEED" wp14:editId="6C2A3581">
            <wp:extent cx="6118227" cy="3239224"/>
            <wp:effectExtent l="0" t="0" r="0" b="0"/>
            <wp:docPr id="62" name="Picture 62"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31"/>
                    <pic:cNvPicPr/>
                  </pic:nvPicPr>
                  <pic:blipFill>
                    <a:blip r:embed="rId59"/>
                    <a:stretch>
                      <a:fillRect/>
                    </a:stretch>
                  </pic:blipFill>
                  <pic:spPr>
                    <a:xfrm>
                      <a:off x="0" y="0"/>
                      <a:ext cx="6118227" cy="3239224"/>
                    </a:xfrm>
                    <a:prstGeom prst="rect">
                      <a:avLst/>
                    </a:prstGeom>
                  </pic:spPr>
                </pic:pic>
              </a:graphicData>
            </a:graphic>
          </wp:inline>
        </w:drawing>
      </w:r>
    </w:p>
    <w:p w14:paraId="0BEDAB81" w14:textId="77777777" w:rsidR="00851189" w:rsidRPr="00851189" w:rsidRDefault="00851189" w:rsidP="00851189">
      <w:pPr>
        <w:spacing w:before="0" w:after="0"/>
        <w:rPr>
          <w:rFonts w:ascii="Arial" w:hAnsi="Arial"/>
          <w:sz w:val="18"/>
          <w:szCs w:val="18"/>
        </w:rPr>
      </w:pPr>
      <w:r w:rsidRPr="00851189">
        <w:rPr>
          <w:rFonts w:ascii="Arial" w:hAnsi="Arial"/>
          <w:sz w:val="18"/>
          <w:szCs w:val="18"/>
        </w:rPr>
        <w:t xml:space="preserve">Notes: </w:t>
      </w:r>
    </w:p>
    <w:p w14:paraId="37D93DAB" w14:textId="77777777" w:rsidR="00851189" w:rsidRPr="00851189" w:rsidRDefault="00851189" w:rsidP="00851189">
      <w:pPr>
        <w:numPr>
          <w:ilvl w:val="0"/>
          <w:numId w:val="8"/>
        </w:numPr>
        <w:spacing w:before="0" w:after="0"/>
        <w:ind w:left="426"/>
        <w:contextualSpacing/>
        <w:rPr>
          <w:rFonts w:ascii="Arial" w:hAnsi="Arial"/>
          <w:sz w:val="18"/>
          <w:szCs w:val="18"/>
          <w:lang w:eastAsia="en-US"/>
        </w:rPr>
      </w:pPr>
      <w:r w:rsidRPr="00851189">
        <w:rPr>
          <w:rFonts w:ascii="Arial" w:hAnsi="Arial"/>
          <w:sz w:val="18"/>
          <w:szCs w:val="18"/>
          <w:lang w:eastAsia="en-US"/>
        </w:rPr>
        <w:t xml:space="preserve">For CARAlert, </w:t>
      </w:r>
      <w:r w:rsidRPr="00851189">
        <w:rPr>
          <w:rFonts w:ascii="Arial" w:hAnsi="Arial"/>
          <w:i/>
          <w:iCs/>
          <w:sz w:val="18"/>
          <w:szCs w:val="18"/>
          <w:lang w:eastAsia="en-US"/>
        </w:rPr>
        <w:t>S. aureus</w:t>
      </w:r>
      <w:r w:rsidRPr="00851189">
        <w:rPr>
          <w:rFonts w:ascii="Arial" w:hAnsi="Arial"/>
          <w:sz w:val="18"/>
          <w:szCs w:val="18"/>
          <w:lang w:eastAsia="en-US"/>
        </w:rPr>
        <w:t xml:space="preserve"> complex includes </w:t>
      </w:r>
      <w:r w:rsidRPr="00851189">
        <w:rPr>
          <w:rFonts w:ascii="Arial" w:hAnsi="Arial"/>
          <w:i/>
          <w:iCs/>
          <w:sz w:val="18"/>
          <w:szCs w:val="18"/>
          <w:lang w:eastAsia="en-US"/>
        </w:rPr>
        <w:t>S. argenteus</w:t>
      </w:r>
      <w:r w:rsidRPr="00851189">
        <w:rPr>
          <w:rFonts w:ascii="Arial" w:hAnsi="Arial"/>
          <w:sz w:val="18"/>
          <w:szCs w:val="18"/>
          <w:lang w:eastAsia="en-US"/>
        </w:rPr>
        <w:t xml:space="preserve"> and </w:t>
      </w:r>
      <w:r w:rsidRPr="00851189">
        <w:rPr>
          <w:rFonts w:ascii="Arial" w:hAnsi="Arial"/>
          <w:i/>
          <w:iCs/>
          <w:sz w:val="18"/>
          <w:szCs w:val="18"/>
          <w:lang w:eastAsia="en-US"/>
        </w:rPr>
        <w:t>S. </w:t>
      </w:r>
      <w:proofErr w:type="spellStart"/>
      <w:r w:rsidRPr="00851189">
        <w:rPr>
          <w:rFonts w:ascii="Arial" w:hAnsi="Arial"/>
          <w:i/>
          <w:iCs/>
          <w:sz w:val="18"/>
          <w:szCs w:val="18"/>
          <w:lang w:eastAsia="en-US"/>
        </w:rPr>
        <w:t>schweitzeri</w:t>
      </w:r>
      <w:proofErr w:type="spellEnd"/>
      <w:r w:rsidRPr="00851189">
        <w:rPr>
          <w:rFonts w:ascii="Arial" w:hAnsi="Arial"/>
          <w:sz w:val="18"/>
          <w:szCs w:val="18"/>
          <w:lang w:eastAsia="en-US"/>
        </w:rPr>
        <w:t>.</w:t>
      </w:r>
    </w:p>
    <w:p w14:paraId="241F9FBD" w14:textId="77777777" w:rsidR="00851189" w:rsidRPr="00A21AA2" w:rsidRDefault="00851189" w:rsidP="00851189">
      <w:pPr>
        <w:numPr>
          <w:ilvl w:val="0"/>
          <w:numId w:val="8"/>
        </w:numPr>
        <w:spacing w:before="0" w:after="0"/>
        <w:ind w:left="426"/>
        <w:contextualSpacing/>
        <w:rPr>
          <w:rFonts w:ascii="Arial" w:hAnsi="Arial"/>
          <w:sz w:val="18"/>
          <w:szCs w:val="18"/>
          <w:lang w:eastAsia="en-US"/>
        </w:rPr>
      </w:pPr>
      <w:r w:rsidRPr="00A21AA2">
        <w:rPr>
          <w:rFonts w:ascii="Arial" w:hAnsi="Arial"/>
          <w:sz w:val="18"/>
          <w:szCs w:val="18"/>
          <w:lang w:eastAsia="en-US"/>
        </w:rPr>
        <w:t xml:space="preserve">No </w:t>
      </w:r>
      <w:r w:rsidRPr="00A21AA2">
        <w:rPr>
          <w:rFonts w:ascii="Arial" w:hAnsi="Arial"/>
          <w:i/>
          <w:iCs/>
          <w:sz w:val="18"/>
          <w:szCs w:val="18"/>
          <w:lang w:eastAsia="en-US"/>
        </w:rPr>
        <w:t>S. argenteus</w:t>
      </w:r>
      <w:r w:rsidRPr="00A21AA2">
        <w:rPr>
          <w:rFonts w:ascii="Arial" w:hAnsi="Arial"/>
          <w:sz w:val="18"/>
          <w:szCs w:val="18"/>
          <w:lang w:eastAsia="en-US"/>
        </w:rPr>
        <w:t xml:space="preserve"> and </w:t>
      </w:r>
      <w:r w:rsidRPr="00A21AA2">
        <w:rPr>
          <w:rFonts w:ascii="Arial" w:hAnsi="Arial"/>
          <w:i/>
          <w:iCs/>
          <w:sz w:val="18"/>
          <w:szCs w:val="18"/>
          <w:lang w:eastAsia="en-US"/>
        </w:rPr>
        <w:t>S. </w:t>
      </w:r>
      <w:proofErr w:type="spellStart"/>
      <w:r w:rsidRPr="00A21AA2">
        <w:rPr>
          <w:rFonts w:ascii="Arial" w:hAnsi="Arial"/>
          <w:i/>
          <w:iCs/>
          <w:sz w:val="18"/>
          <w:szCs w:val="18"/>
          <w:lang w:eastAsia="en-US"/>
        </w:rPr>
        <w:t>schweitzeri</w:t>
      </w:r>
      <w:proofErr w:type="spellEnd"/>
      <w:r w:rsidRPr="00A21AA2">
        <w:rPr>
          <w:rFonts w:ascii="Arial" w:hAnsi="Arial"/>
          <w:sz w:val="18"/>
          <w:szCs w:val="18"/>
          <w:lang w:eastAsia="en-US"/>
        </w:rPr>
        <w:t xml:space="preserve"> were reported from 2017 to 2023.</w:t>
      </w:r>
    </w:p>
    <w:p w14:paraId="39A748AF" w14:textId="4D695B10" w:rsidR="00C83BDA" w:rsidRPr="00851189" w:rsidRDefault="00C83BDA" w:rsidP="00851189">
      <w:pPr>
        <w:numPr>
          <w:ilvl w:val="0"/>
          <w:numId w:val="8"/>
        </w:numPr>
        <w:spacing w:before="0" w:after="0"/>
        <w:ind w:left="426"/>
        <w:contextualSpacing/>
        <w:rPr>
          <w:rFonts w:ascii="Arial" w:hAnsi="Arial"/>
          <w:sz w:val="18"/>
          <w:szCs w:val="18"/>
          <w:lang w:eastAsia="en-US"/>
        </w:rPr>
      </w:pPr>
      <w:r>
        <w:rPr>
          <w:rFonts w:ascii="Arial" w:hAnsi="Arial"/>
          <w:sz w:val="18"/>
          <w:szCs w:val="18"/>
          <w:lang w:eastAsia="en-US"/>
        </w:rPr>
        <w:t xml:space="preserve">Daptomycin-nonsusceptible </w:t>
      </w:r>
      <w:r w:rsidRPr="00C83BDA">
        <w:rPr>
          <w:rFonts w:ascii="Arial" w:hAnsi="Arial"/>
          <w:i/>
          <w:iCs/>
          <w:sz w:val="18"/>
          <w:szCs w:val="18"/>
          <w:lang w:eastAsia="en-US"/>
        </w:rPr>
        <w:t>S. aureus</w:t>
      </w:r>
      <w:r>
        <w:rPr>
          <w:rFonts w:ascii="Arial" w:hAnsi="Arial"/>
          <w:sz w:val="18"/>
          <w:szCs w:val="18"/>
          <w:lang w:eastAsia="en-US"/>
        </w:rPr>
        <w:t xml:space="preserve"> was suspended from </w:t>
      </w:r>
      <w:r w:rsidR="004C0E8B">
        <w:rPr>
          <w:rFonts w:ascii="Arial" w:hAnsi="Arial"/>
          <w:sz w:val="18"/>
          <w:szCs w:val="18"/>
          <w:lang w:eastAsia="en-US"/>
        </w:rPr>
        <w:t xml:space="preserve">reporting to CARAlert on </w:t>
      </w:r>
      <w:r>
        <w:rPr>
          <w:rFonts w:ascii="Arial" w:hAnsi="Arial"/>
          <w:sz w:val="18"/>
          <w:szCs w:val="18"/>
          <w:lang w:eastAsia="en-US"/>
        </w:rPr>
        <w:t>1 January 2023.</w:t>
      </w:r>
    </w:p>
    <w:p w14:paraId="6C3FEE99" w14:textId="77777777" w:rsidR="00851189" w:rsidRDefault="00851189" w:rsidP="00851189">
      <w:pPr>
        <w:spacing w:before="0" w:after="200"/>
        <w:rPr>
          <w:rFonts w:ascii="Arial" w:hAnsi="Arial"/>
        </w:rPr>
      </w:pPr>
    </w:p>
    <w:p w14:paraId="0FD82278" w14:textId="28E1814E" w:rsidR="00520218" w:rsidRPr="00CD130D" w:rsidRDefault="00851189" w:rsidP="001B6E7A">
      <w:pPr>
        <w:pStyle w:val="Heading4"/>
      </w:pPr>
      <w:r w:rsidRPr="00851189">
        <w:t>State and territory data</w:t>
      </w:r>
    </w:p>
    <w:p w14:paraId="4E5D79D2" w14:textId="01B1CB8B" w:rsidR="00A82F89" w:rsidRDefault="00A82F89" w:rsidP="000759B8">
      <w:pPr>
        <w:pStyle w:val="FigureTitle"/>
        <w:spacing w:after="0"/>
        <w:rPr>
          <w:rFonts w:ascii="Arial" w:hAnsi="Arial"/>
          <w:b w:val="0"/>
          <w:bCs/>
        </w:rPr>
      </w:pPr>
      <w:r w:rsidRPr="00A21AA2">
        <w:rPr>
          <w:rFonts w:ascii="Arial" w:hAnsi="Arial"/>
          <w:bCs/>
        </w:rPr>
        <w:t>Figure 3</w:t>
      </w:r>
      <w:r w:rsidR="00520218" w:rsidRPr="00A21AA2">
        <w:rPr>
          <w:rFonts w:ascii="Arial" w:hAnsi="Arial"/>
          <w:bCs/>
        </w:rPr>
        <w:t>2</w:t>
      </w:r>
      <w:r w:rsidRPr="00A21AA2">
        <w:rPr>
          <w:rFonts w:ascii="Arial" w:hAnsi="Arial"/>
          <w:bCs/>
        </w:rPr>
        <w:t>:</w:t>
      </w:r>
      <w:r w:rsidRPr="00B36811">
        <w:rPr>
          <w:rFonts w:ascii="Arial" w:hAnsi="Arial"/>
          <w:bCs/>
        </w:rPr>
        <w:t xml:space="preserve"> </w:t>
      </w:r>
      <w:r w:rsidRPr="00851189">
        <w:rPr>
          <w:rFonts w:ascii="Arial" w:hAnsi="Arial"/>
          <w:b w:val="0"/>
          <w:bCs/>
        </w:rPr>
        <w:t xml:space="preserve">Vancomycin- </w:t>
      </w:r>
      <w:r>
        <w:rPr>
          <w:rFonts w:ascii="Arial" w:hAnsi="Arial"/>
          <w:b w:val="0"/>
          <w:bCs/>
        </w:rPr>
        <w:t xml:space="preserve">or </w:t>
      </w:r>
      <w:r w:rsidRPr="00851189">
        <w:rPr>
          <w:rFonts w:ascii="Arial" w:hAnsi="Arial"/>
          <w:b w:val="0"/>
          <w:bCs/>
        </w:rPr>
        <w:t xml:space="preserve">linezolid-nonsusceptible </w:t>
      </w:r>
      <w:r w:rsidRPr="00851189">
        <w:rPr>
          <w:rFonts w:ascii="Arial" w:hAnsi="Arial"/>
          <w:b w:val="0"/>
          <w:bCs/>
          <w:i/>
        </w:rPr>
        <w:t xml:space="preserve">Staphylococcus aureus, </w:t>
      </w:r>
      <w:r w:rsidRPr="00851189">
        <w:rPr>
          <w:rFonts w:ascii="Arial" w:hAnsi="Arial"/>
          <w:b w:val="0"/>
          <w:bCs/>
        </w:rPr>
        <w:t>number reported to CARAlert, national, 2017–2023</w:t>
      </w:r>
      <w:r w:rsidR="00A017A4">
        <w:rPr>
          <w:rFonts w:ascii="Arial" w:hAnsi="Arial"/>
          <w:b w:val="0"/>
          <w:bCs/>
          <w:noProof/>
        </w:rPr>
        <w:drawing>
          <wp:inline distT="0" distB="0" distL="0" distR="0" wp14:anchorId="1CDA4D6B" wp14:editId="6E8AD7E1">
            <wp:extent cx="6118227" cy="3239224"/>
            <wp:effectExtent l="0" t="0" r="0" b="0"/>
            <wp:docPr id="63" name="Picture 63"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32"/>
                    <pic:cNvPicPr/>
                  </pic:nvPicPr>
                  <pic:blipFill>
                    <a:blip r:embed="rId60"/>
                    <a:stretch>
                      <a:fillRect/>
                    </a:stretch>
                  </pic:blipFill>
                  <pic:spPr>
                    <a:xfrm>
                      <a:off x="0" y="0"/>
                      <a:ext cx="6118227" cy="3239224"/>
                    </a:xfrm>
                    <a:prstGeom prst="rect">
                      <a:avLst/>
                    </a:prstGeom>
                  </pic:spPr>
                </pic:pic>
              </a:graphicData>
            </a:graphic>
          </wp:inline>
        </w:drawing>
      </w:r>
    </w:p>
    <w:p w14:paraId="1A1EFC30" w14:textId="29E57BC2" w:rsidR="005E2030" w:rsidRPr="00E365CD" w:rsidRDefault="00561911" w:rsidP="000759B8">
      <w:pPr>
        <w:pStyle w:val="FigureTitle"/>
        <w:spacing w:after="0"/>
        <w:rPr>
          <w:rFonts w:ascii="Arial" w:hAnsi="Arial"/>
          <w:b w:val="0"/>
          <w:bCs/>
          <w:sz w:val="18"/>
          <w:szCs w:val="18"/>
        </w:rPr>
      </w:pPr>
      <w:r w:rsidRPr="00E365CD">
        <w:rPr>
          <w:rFonts w:ascii="Arial" w:hAnsi="Arial"/>
          <w:b w:val="0"/>
          <w:bCs/>
          <w:sz w:val="18"/>
          <w:szCs w:val="18"/>
        </w:rPr>
        <w:t xml:space="preserve">Note: </w:t>
      </w:r>
      <w:r w:rsidRPr="005B55E8">
        <w:rPr>
          <w:rFonts w:ascii="Arial" w:hAnsi="Arial"/>
          <w:b w:val="0"/>
          <w:bCs/>
          <w:sz w:val="18"/>
          <w:szCs w:val="18"/>
          <w:lang w:eastAsia="en-US"/>
        </w:rPr>
        <w:t xml:space="preserve">Daptomycin-nonsusceptible </w:t>
      </w:r>
      <w:r w:rsidRPr="005B55E8">
        <w:rPr>
          <w:rFonts w:ascii="Arial" w:hAnsi="Arial"/>
          <w:b w:val="0"/>
          <w:bCs/>
          <w:i/>
          <w:iCs/>
          <w:sz w:val="18"/>
          <w:szCs w:val="18"/>
          <w:lang w:eastAsia="en-US"/>
        </w:rPr>
        <w:t>S. aureus</w:t>
      </w:r>
      <w:r w:rsidRPr="005B55E8">
        <w:rPr>
          <w:rFonts w:ascii="Arial" w:hAnsi="Arial"/>
          <w:b w:val="0"/>
          <w:bCs/>
          <w:sz w:val="18"/>
          <w:szCs w:val="18"/>
          <w:lang w:eastAsia="en-US"/>
        </w:rPr>
        <w:t xml:space="preserve"> was suspended from</w:t>
      </w:r>
      <w:r w:rsidR="00E365CD">
        <w:rPr>
          <w:rFonts w:ascii="Arial" w:hAnsi="Arial"/>
          <w:b w:val="0"/>
          <w:bCs/>
          <w:sz w:val="18"/>
          <w:szCs w:val="18"/>
          <w:lang w:eastAsia="en-US"/>
        </w:rPr>
        <w:t xml:space="preserve"> reporting to CARAlert on</w:t>
      </w:r>
      <w:r w:rsidRPr="005B55E8">
        <w:rPr>
          <w:rFonts w:ascii="Arial" w:hAnsi="Arial"/>
          <w:b w:val="0"/>
          <w:bCs/>
          <w:sz w:val="18"/>
          <w:szCs w:val="18"/>
          <w:lang w:eastAsia="en-US"/>
        </w:rPr>
        <w:t xml:space="preserve"> 1 January 2023.</w:t>
      </w:r>
    </w:p>
    <w:p w14:paraId="7CFE07A7" w14:textId="77777777" w:rsidR="00EB6106" w:rsidRPr="00C80A7D" w:rsidRDefault="00EB6106" w:rsidP="00EB6106">
      <w:pPr>
        <w:pStyle w:val="Heading3"/>
        <w:rPr>
          <w:i/>
        </w:rPr>
      </w:pPr>
      <w:bookmarkStart w:id="33" w:name="_Table_2:_Number"/>
      <w:bookmarkStart w:id="34" w:name="_Figure_1:_Critical"/>
      <w:bookmarkStart w:id="35" w:name="_Toc166585585"/>
      <w:bookmarkStart w:id="36" w:name="_Toc491785920"/>
      <w:bookmarkStart w:id="37" w:name="_Toc491077706"/>
      <w:bookmarkEnd w:id="33"/>
      <w:bookmarkEnd w:id="34"/>
      <w:r w:rsidRPr="00CA052E">
        <w:rPr>
          <w:i/>
        </w:rPr>
        <w:lastRenderedPageBreak/>
        <w:t>Streptococcus pyogenes</w:t>
      </w:r>
      <w:bookmarkEnd w:id="35"/>
    </w:p>
    <w:p w14:paraId="38787F97" w14:textId="77777777" w:rsidR="00EB6106" w:rsidRDefault="00EB6106" w:rsidP="00EB6106">
      <w:pPr>
        <w:spacing w:after="80"/>
      </w:pPr>
      <w:r>
        <w:rPr>
          <w:i/>
          <w:iCs/>
        </w:rPr>
        <w:t xml:space="preserve">Streptococcus </w:t>
      </w:r>
      <w:r w:rsidRPr="00105948">
        <w:rPr>
          <w:i/>
          <w:iCs/>
        </w:rPr>
        <w:t>pyogenes</w:t>
      </w:r>
      <w:r>
        <w:rPr>
          <w:i/>
          <w:iCs/>
        </w:rPr>
        <w:t xml:space="preserve"> </w:t>
      </w:r>
      <w:r w:rsidRPr="00105948">
        <w:t xml:space="preserve">most commonly causes skin and soft tissue infections, and acute pharyngitis, but </w:t>
      </w:r>
      <w:r>
        <w:t>may</w:t>
      </w:r>
      <w:r w:rsidRPr="00105948">
        <w:t xml:space="preserve"> cause serious and life-threatening infections such as scarlet fever, </w:t>
      </w:r>
      <w:r>
        <w:t>bloodstream infections</w:t>
      </w:r>
      <w:r w:rsidRPr="00105948">
        <w:t>, bone and joint infections, toxic shock syndrome, necrotising fasciitis and pneumonia.</w:t>
      </w:r>
    </w:p>
    <w:p w14:paraId="4577AA83" w14:textId="2F5D1ADC" w:rsidR="00EB6106" w:rsidRDefault="00EB6106" w:rsidP="00EB6106">
      <w:pPr>
        <w:spacing w:after="80"/>
      </w:pPr>
      <w:r>
        <w:t xml:space="preserve">There have been no reports of </w:t>
      </w:r>
      <w:r w:rsidRPr="009D4392">
        <w:rPr>
          <w:i/>
        </w:rPr>
        <w:t>S. pyogenes</w:t>
      </w:r>
      <w:r>
        <w:t xml:space="preserve"> with reduced susceptibility to penicillin between 2017 and 2023.</w:t>
      </w:r>
      <w:r>
        <w:br w:type="page"/>
      </w:r>
    </w:p>
    <w:p w14:paraId="1AD54560" w14:textId="77777777" w:rsidR="00EB6106" w:rsidRDefault="00EB6106" w:rsidP="00FE0619">
      <w:pPr>
        <w:pStyle w:val="Heading2"/>
      </w:pPr>
      <w:bookmarkStart w:id="38" w:name="_Toc166585586"/>
      <w:r w:rsidRPr="00B0771B">
        <w:lastRenderedPageBreak/>
        <w:t>Discussion</w:t>
      </w:r>
      <w:bookmarkEnd w:id="38"/>
    </w:p>
    <w:p w14:paraId="02D33FEE" w14:textId="77777777" w:rsidR="00EB6106" w:rsidRPr="009859EE" w:rsidRDefault="00EB6106" w:rsidP="00991E6C">
      <w:pPr>
        <w:pStyle w:val="Heading4"/>
      </w:pPr>
      <w:r w:rsidRPr="009859EE">
        <w:t xml:space="preserve">Rates of carbapenemase-producing </w:t>
      </w:r>
      <w:r w:rsidRPr="009859EE">
        <w:rPr>
          <w:i/>
        </w:rPr>
        <w:t>Enterobacterales</w:t>
      </w:r>
      <w:r w:rsidRPr="009859EE">
        <w:t xml:space="preserve"> in Australian hospitals</w:t>
      </w:r>
    </w:p>
    <w:p w14:paraId="7D484EF2" w14:textId="77777777" w:rsidR="00EB6106" w:rsidRPr="00B77C8C" w:rsidRDefault="00EB6106" w:rsidP="00EB6106">
      <w:r w:rsidRPr="00B77C8C">
        <w:rPr>
          <w:i/>
        </w:rPr>
        <w:t>Enterobacterales</w:t>
      </w:r>
      <w:r w:rsidRPr="00B77C8C">
        <w:t xml:space="preserve"> commonly cause urinary tract, biliary tract and other intra-abdominal infections, and bloodstream infections. Patients are likely to be affected by CPE predominantly where they have been hospitalised.</w:t>
      </w:r>
    </w:p>
    <w:p w14:paraId="49BEC39E" w14:textId="187B34DF" w:rsidR="00594860" w:rsidRPr="00CE1D34" w:rsidRDefault="00EB6106" w:rsidP="00AC5B93">
      <w:r w:rsidRPr="00CE1D34">
        <w:t xml:space="preserve">There was a </w:t>
      </w:r>
      <w:r w:rsidR="00C22604" w:rsidRPr="00CE1D34">
        <w:t>45.4</w:t>
      </w:r>
      <w:r w:rsidRPr="00CE1D34">
        <w:t xml:space="preserve">% increase in the number of carbapenemase- and/or ribosomal methyltransferase-producing </w:t>
      </w:r>
      <w:r w:rsidRPr="00CE1D34">
        <w:rPr>
          <w:i/>
          <w:iCs/>
        </w:rPr>
        <w:t>Enterobacterales</w:t>
      </w:r>
      <w:r w:rsidRPr="00CE1D34">
        <w:t xml:space="preserve"> reports </w:t>
      </w:r>
      <w:r w:rsidR="00C22604" w:rsidRPr="00CE1D34">
        <w:t xml:space="preserve">from 2022 to 2023. </w:t>
      </w:r>
      <w:r w:rsidR="00AC5B93" w:rsidRPr="00CE1D34">
        <w:t xml:space="preserve">This increase was evident in isolates from hospitals and </w:t>
      </w:r>
      <w:r w:rsidR="00C22604" w:rsidRPr="00CE1D34">
        <w:t xml:space="preserve">continues the increasing trend from the beginning of 2022, which followed a decline of CPE reports since 2019. </w:t>
      </w:r>
      <w:r w:rsidRPr="00CE1D34">
        <w:t xml:space="preserve">Factors that may have contributed to the decline of CPE reported to CARAlert </w:t>
      </w:r>
      <w:r w:rsidR="0084411F">
        <w:t xml:space="preserve">from </w:t>
      </w:r>
      <w:r w:rsidRPr="00CE1D34">
        <w:t xml:space="preserve">2019 </w:t>
      </w:r>
      <w:r w:rsidR="0084411F">
        <w:t>to 202</w:t>
      </w:r>
      <w:r w:rsidR="00594860">
        <w:t>1</w:t>
      </w:r>
      <w:r w:rsidR="0084411F">
        <w:t xml:space="preserve"> </w:t>
      </w:r>
      <w:r w:rsidRPr="00CE1D34">
        <w:t>include improvements in recognition and infection prevention and control efforts over this period</w:t>
      </w:r>
      <w:r w:rsidR="00F30A63">
        <w:t xml:space="preserve">, </w:t>
      </w:r>
      <w:r w:rsidR="0084411F">
        <w:t xml:space="preserve">including </w:t>
      </w:r>
      <w:r w:rsidR="00F30A63">
        <w:t xml:space="preserve">the public health measures that were introduced during the COVID-19 epidemic response. </w:t>
      </w:r>
      <w:r w:rsidR="00594860">
        <w:t xml:space="preserve">It is possible </w:t>
      </w:r>
      <w:r w:rsidR="003E6045">
        <w:t xml:space="preserve">resumption of </w:t>
      </w:r>
      <w:r w:rsidR="00594860">
        <w:t>international travel ha</w:t>
      </w:r>
      <w:r w:rsidR="003E6045">
        <w:t>s</w:t>
      </w:r>
      <w:r w:rsidR="00594860">
        <w:t xml:space="preserve"> contributed to the increase in report</w:t>
      </w:r>
      <w:r w:rsidR="00250E1D">
        <w:t>s</w:t>
      </w:r>
      <w:r w:rsidR="00594860">
        <w:t xml:space="preserve"> of CPE to CARAlert since 2022.</w:t>
      </w:r>
      <w:r w:rsidR="00172F3E">
        <w:t xml:space="preserve"> </w:t>
      </w:r>
      <w:r w:rsidR="00772C72" w:rsidRPr="00FB3CDF">
        <w:t xml:space="preserve">CPE </w:t>
      </w:r>
      <w:r w:rsidR="00772C72">
        <w:t xml:space="preserve">have also become </w:t>
      </w:r>
      <w:r w:rsidR="00772C72" w:rsidRPr="00FB3CDF">
        <w:t xml:space="preserve">notifiable in </w:t>
      </w:r>
      <w:r w:rsidR="00772C72">
        <w:t>some states and territories</w:t>
      </w:r>
      <w:r w:rsidR="00772C72" w:rsidRPr="00FB3CDF">
        <w:t xml:space="preserve">, which may </w:t>
      </w:r>
      <w:r w:rsidR="00772C72">
        <w:t>have contributed to this upward trend.</w:t>
      </w:r>
    </w:p>
    <w:p w14:paraId="3C0029DE" w14:textId="27DBC2FB" w:rsidR="00EB6106" w:rsidRPr="00FC4708" w:rsidRDefault="0031471F" w:rsidP="00EB6106">
      <w:bookmarkStart w:id="39" w:name="_Hlk166585455"/>
      <w:r w:rsidRPr="0031471F">
        <w:t xml:space="preserve">In 2023, </w:t>
      </w:r>
      <w:r w:rsidR="00EB6106" w:rsidRPr="0031471F">
        <w:t xml:space="preserve">CPE </w:t>
      </w:r>
      <w:r w:rsidRPr="0031471F">
        <w:t xml:space="preserve">were </w:t>
      </w:r>
      <w:r w:rsidR="00EB6106" w:rsidRPr="0031471F">
        <w:t>dominated by IMP</w:t>
      </w:r>
      <w:r w:rsidR="00530B2C">
        <w:t>-types</w:t>
      </w:r>
      <w:r w:rsidR="00EB6106" w:rsidRPr="0031471F">
        <w:t xml:space="preserve"> </w:t>
      </w:r>
      <w:r w:rsidRPr="0031471F">
        <w:t>and NDM-types</w:t>
      </w:r>
      <w:r w:rsidR="00530B2C">
        <w:t xml:space="preserve"> alone</w:t>
      </w:r>
      <w:r w:rsidR="00EB6106" w:rsidRPr="0031471F">
        <w:t xml:space="preserve">. NDM-producing </w:t>
      </w:r>
      <w:r w:rsidR="00EB6106" w:rsidRPr="0031471F">
        <w:rPr>
          <w:i/>
          <w:iCs/>
        </w:rPr>
        <w:t>Enterobacterales</w:t>
      </w:r>
      <w:r w:rsidR="00EB6106" w:rsidRPr="0031471F">
        <w:t xml:space="preserve"> were reported from all states and territories</w:t>
      </w:r>
      <w:r w:rsidR="00E161B3">
        <w:t xml:space="preserve"> and showed an increasing trend over 2022 to 2023. By contrast, reporting of IMP-types remained relatively steady over the period 2017</w:t>
      </w:r>
      <w:r w:rsidR="00E42363">
        <w:t xml:space="preserve"> to </w:t>
      </w:r>
      <w:r w:rsidR="00E161B3">
        <w:t>2023</w:t>
      </w:r>
      <w:r w:rsidR="00EB6106" w:rsidRPr="00CE1D34">
        <w:rPr>
          <w:color w:val="0070C0"/>
        </w:rPr>
        <w:t xml:space="preserve">. </w:t>
      </w:r>
      <w:bookmarkEnd w:id="39"/>
      <w:r w:rsidR="00EB6106" w:rsidRPr="00AC3ACD">
        <w:t xml:space="preserve">Although NDM types are generally thought to be acquired overseas, identification of local transmission and appropriate infection prevention and control actions are important priorities. The range and number of CPE types will continue to evolve because of changing local and global epidemiology. Each carbapenemase type has a slightly different spectrum of activity against different </w:t>
      </w:r>
      <w:r w:rsidR="00EB6106" w:rsidRPr="00AC3ACD">
        <w:rPr>
          <w:rFonts w:cstheme="minorHAnsi"/>
        </w:rPr>
        <w:t>β</w:t>
      </w:r>
      <w:r w:rsidR="00EB6106" w:rsidRPr="00AC3ACD">
        <w:t>-lactam antimicrobials. Typing of CPE is important for supporting appropriate antimicrobial prescribing to treat infections caused by CPE.</w:t>
      </w:r>
    </w:p>
    <w:p w14:paraId="6D530E80" w14:textId="77777777" w:rsidR="00EB6106" w:rsidRPr="003B065D" w:rsidRDefault="00EB6106" w:rsidP="00EB6106">
      <w:r w:rsidRPr="003B065D">
        <w:t xml:space="preserve">The differences between states and territories in the proportion of screening isolates may indicate local variations in surveillance, infection prevention and control, and screening practices. </w:t>
      </w:r>
      <w:r w:rsidRPr="003B065D">
        <w:rPr>
          <w:rFonts w:asciiTheme="majorHAnsi" w:hAnsiTheme="majorHAnsi" w:cstheme="majorHAnsi"/>
          <w:lang w:val="en-GB"/>
        </w:rPr>
        <w:t xml:space="preserve">Local outbreaks are likely to have required increased infection prevention and control and surveillance resources in affected hospitals over short periods of time. </w:t>
      </w:r>
      <w:r w:rsidRPr="003B065D">
        <w:t>The impact of outbreaks on other aspects of hospital work and patient flows may be substantial in the absence of timely infection prevention and control action. The variation between states and territories in reports of CPE as a proportion of all CARs, and the frequency of reporting of CPE, indicates the need for local decisions about containment priorities.</w:t>
      </w:r>
    </w:p>
    <w:p w14:paraId="26603113" w14:textId="769C3A46" w:rsidR="00EB6106" w:rsidRPr="003B065D" w:rsidRDefault="00EB6106" w:rsidP="00EB6106">
      <w:r w:rsidRPr="003B065D">
        <w:t xml:space="preserve">A total </w:t>
      </w:r>
      <w:r w:rsidRPr="00EA3CB3">
        <w:t xml:space="preserve">of </w:t>
      </w:r>
      <w:r w:rsidR="00EA3CB3" w:rsidRPr="00EA3CB3">
        <w:t>4.4</w:t>
      </w:r>
      <w:r w:rsidRPr="00EA3CB3">
        <w:t>%</w:t>
      </w:r>
      <w:r w:rsidRPr="003B065D">
        <w:t xml:space="preserve"> of all CPE reports occurred in the 0–4-year age group. The mode of acquisition of these CARs is not known; however, CPE outbreaks can occur in the neonatal intensive care unit setting. The long-term impact of this type of resistance on neonates is unknown. Education of clinicians on the risks of neonatal acquisition of antimicrobial-resistant organisms, and review of the appropriateness of antimicrobial use and infection prevention and control in the neonatal care setting are encouraged.</w:t>
      </w:r>
    </w:p>
    <w:p w14:paraId="53476105" w14:textId="77777777" w:rsidR="00EB6106" w:rsidRPr="003B065D" w:rsidRDefault="00EB6106" w:rsidP="00EB6106">
      <w:r w:rsidRPr="003B065D">
        <w:t>Patients are likely to be affected by CPE if they are hospitalised for a prolonged period; have been hospitalised or had surgery overseas; have had multiple, or recent exposure to different antimicrobial agents, especially cephalosporins, fluoroquinolones and carbapenems; have diabetes mellitus; are on mechanical ventilation; are admitted to the intensive care unit; or have an indwelling medical device (such as a central venous catheter, urinary catheter or biliary catheter).</w:t>
      </w:r>
    </w:p>
    <w:p w14:paraId="7461E2B7" w14:textId="390682C6" w:rsidR="00EB6106" w:rsidRPr="00CD130D" w:rsidRDefault="00EB6106" w:rsidP="00EB6106">
      <w:r w:rsidRPr="003B065D">
        <w:t xml:space="preserve">Ongoing reports of CPE albeit at low levels, highlight the value of active surveillance and the importance of compliance with the </w:t>
      </w:r>
      <w:r w:rsidRPr="003B065D">
        <w:rPr>
          <w:i/>
          <w:iCs/>
        </w:rPr>
        <w:t xml:space="preserve">Australian Guidelines for the Prevention and Control of Infection in </w:t>
      </w:r>
      <w:r w:rsidRPr="00CD130D">
        <w:rPr>
          <w:i/>
          <w:iCs/>
        </w:rPr>
        <w:t>Healthcare</w:t>
      </w:r>
      <w:r w:rsidRPr="00CD130D">
        <w:fldChar w:fldCharType="begin"/>
      </w:r>
      <w:r w:rsidR="0029488B">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CD130D">
        <w:fldChar w:fldCharType="separate"/>
      </w:r>
      <w:r w:rsidRPr="00CD130D">
        <w:rPr>
          <w:noProof/>
          <w:vertAlign w:val="superscript"/>
        </w:rPr>
        <w:t>1</w:t>
      </w:r>
      <w:r w:rsidRPr="00CD130D">
        <w:fldChar w:fldCharType="end"/>
      </w:r>
      <w:r w:rsidRPr="00CD130D">
        <w:t xml:space="preserve">, and use of guidance for specific organisms, such as </w:t>
      </w:r>
      <w:r w:rsidRPr="00CD130D">
        <w:rPr>
          <w:i/>
          <w:iCs/>
        </w:rPr>
        <w:t xml:space="preserve">Recommendations for the control of carbapenemase-producing </w:t>
      </w:r>
      <w:r w:rsidRPr="00CD130D">
        <w:t xml:space="preserve">Enterobacterales </w:t>
      </w:r>
      <w:r w:rsidRPr="00CD130D">
        <w:rPr>
          <w:i/>
          <w:iCs/>
        </w:rPr>
        <w:t>(CPE): A guide for acute health service organisations</w:t>
      </w:r>
      <w:r w:rsidRPr="00CD130D">
        <w:t>.</w:t>
      </w:r>
      <w:r w:rsidRPr="00CD130D">
        <w:fldChar w:fldCharType="begin"/>
      </w:r>
      <w:r w:rsidR="00B17B22" w:rsidRPr="00CD130D">
        <w:instrText xml:space="preserve"> ADDIN EN.CITE &lt;EndNote&gt;&lt;Cite&gt;&lt;Author&gt;Australian Commission on Safety and Quality in Health Care&lt;/Author&gt;&lt;Year&gt;2021&lt;/Year&gt;&lt;RecNum&gt;565&lt;/RecNum&gt;&lt;DisplayText&gt;&lt;style face="superscript"&gt;3&lt;/style&gt;&lt;/DisplayText&gt;&lt;record&gt;&lt;rec-number&gt;565&lt;/rec-number&gt;&lt;foreign-keys&gt;&lt;key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Pr="00CD130D">
        <w:fldChar w:fldCharType="separate"/>
      </w:r>
      <w:r w:rsidRPr="00CD130D">
        <w:rPr>
          <w:noProof/>
          <w:vertAlign w:val="superscript"/>
        </w:rPr>
        <w:t>3</w:t>
      </w:r>
      <w:r w:rsidRPr="00CD130D">
        <w:fldChar w:fldCharType="end"/>
      </w:r>
    </w:p>
    <w:p w14:paraId="6A4387E1" w14:textId="3B07CE9E" w:rsidR="00EB6106" w:rsidRPr="003B065D" w:rsidRDefault="00EB6106" w:rsidP="00EB6106">
      <w:r w:rsidRPr="00CD130D">
        <w:t xml:space="preserve">Arrangements for specialist oversight of and access to restricted antimicrobials, such as carbapenems, should continue to be a priority </w:t>
      </w:r>
      <w:r w:rsidR="00172F3E">
        <w:t xml:space="preserve">for </w:t>
      </w:r>
      <w:r w:rsidRPr="00CD130D">
        <w:t>all Australian hospitals</w:t>
      </w:r>
      <w:r w:rsidR="00172F3E">
        <w:t>,</w:t>
      </w:r>
      <w:r w:rsidRPr="00CD130D">
        <w:t xml:space="preserve"> along with </w:t>
      </w:r>
      <w:r w:rsidR="00172F3E">
        <w:t xml:space="preserve">the </w:t>
      </w:r>
      <w:r w:rsidRPr="00CD130D">
        <w:lastRenderedPageBreak/>
        <w:t>implementation of systems that meet the antimicrobial stewardship (AMS) actions of the National Safety and Quality Health Service (NSQHS) Standards.</w:t>
      </w:r>
      <w:r w:rsidRPr="00CD130D">
        <w:fldChar w:fldCharType="begin"/>
      </w:r>
      <w:r w:rsidRPr="00CD130D">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Pr="00CD130D">
        <w:fldChar w:fldCharType="separate"/>
      </w:r>
      <w:r w:rsidRPr="00CD130D">
        <w:rPr>
          <w:noProof/>
          <w:vertAlign w:val="superscript"/>
        </w:rPr>
        <w:t>2</w:t>
      </w:r>
      <w:r w:rsidRPr="00CD130D">
        <w:fldChar w:fldCharType="end"/>
      </w:r>
    </w:p>
    <w:p w14:paraId="3BC0B741" w14:textId="77777777" w:rsidR="00EB6106" w:rsidRPr="009859EE" w:rsidRDefault="00EB6106" w:rsidP="00EB6106">
      <w:pPr>
        <w:pStyle w:val="Heading4"/>
      </w:pPr>
      <w:r w:rsidRPr="009859EE">
        <w:t>Changes in community-onset critical antimicrobial resistances</w:t>
      </w:r>
    </w:p>
    <w:p w14:paraId="145EDAFA" w14:textId="3036DF27" w:rsidR="00AA2CF4" w:rsidRPr="00EA3CB3" w:rsidRDefault="00EB6106" w:rsidP="00EB6106">
      <w:r w:rsidRPr="00E41302">
        <w:rPr>
          <w:i/>
          <w:iCs/>
        </w:rPr>
        <w:t xml:space="preserve">N. gonorrhoeae </w:t>
      </w:r>
      <w:r w:rsidRPr="00E41302">
        <w:t xml:space="preserve">was the most commonly reported CAR from the community setting for all years since CARAlert commenced, except for 2019 where MDR </w:t>
      </w:r>
      <w:r w:rsidRPr="00E41302">
        <w:rPr>
          <w:i/>
          <w:iCs/>
        </w:rPr>
        <w:t>Shigella</w:t>
      </w:r>
      <w:r w:rsidRPr="00E41302">
        <w:t xml:space="preserve"> species dominated. Reports of azithromycin-nonsusceptible </w:t>
      </w:r>
      <w:r w:rsidRPr="00E41302">
        <w:rPr>
          <w:i/>
          <w:iCs/>
        </w:rPr>
        <w:t xml:space="preserve">N. gonorrhoeae </w:t>
      </w:r>
      <w:r w:rsidRPr="00E41302">
        <w:t xml:space="preserve">(LLR) </w:t>
      </w:r>
      <w:r w:rsidR="00721146" w:rsidRPr="00E41302">
        <w:t>increased in 2023 following a decline</w:t>
      </w:r>
      <w:r w:rsidRPr="00E41302">
        <w:t xml:space="preserve"> from its peak in 2017. Reports of </w:t>
      </w:r>
      <w:r w:rsidR="007E2321" w:rsidRPr="00E41302">
        <w:t xml:space="preserve">azithromycin-nonsusceptible </w:t>
      </w:r>
      <w:r w:rsidR="007E2321" w:rsidRPr="00E41302">
        <w:rPr>
          <w:i/>
          <w:iCs/>
        </w:rPr>
        <w:t xml:space="preserve">N. gonorrhoeae </w:t>
      </w:r>
      <w:r w:rsidR="007E2321" w:rsidRPr="00E41302">
        <w:t xml:space="preserve">(HLR) increased in 2023, while reports of ceftriaxone-nonsusceptible </w:t>
      </w:r>
      <w:r w:rsidR="007E2321" w:rsidRPr="00E41302">
        <w:rPr>
          <w:i/>
          <w:iCs/>
        </w:rPr>
        <w:t>N. gonorrhoeae</w:t>
      </w:r>
      <w:r w:rsidR="007E2321" w:rsidRPr="00E41302">
        <w:t xml:space="preserve"> declined</w:t>
      </w:r>
      <w:r w:rsidRPr="00E41302">
        <w:t xml:space="preserve">. </w:t>
      </w:r>
      <w:r w:rsidR="007E2321" w:rsidRPr="00E41302">
        <w:t xml:space="preserve">Ceftriaxone-nonsusceptible and azithromycin-nonsusceptible (HLR) </w:t>
      </w:r>
      <w:r w:rsidR="007E2321" w:rsidRPr="00E41302">
        <w:rPr>
          <w:i/>
          <w:iCs/>
        </w:rPr>
        <w:t xml:space="preserve">N. gonorrhoeae </w:t>
      </w:r>
      <w:r w:rsidR="007E2321" w:rsidRPr="00E41302">
        <w:t>was reported for the first time since 2018</w:t>
      </w:r>
      <w:r w:rsidR="007E2321" w:rsidRPr="00EA3CB3">
        <w:t>.</w:t>
      </w:r>
    </w:p>
    <w:p w14:paraId="04000228" w14:textId="6A7A1B89" w:rsidR="00EB6106" w:rsidRPr="003537F7" w:rsidRDefault="00EB6106" w:rsidP="00EB6106">
      <w:r w:rsidRPr="00EA3CB3">
        <w:t xml:space="preserve">Reports of MDR </w:t>
      </w:r>
      <w:r w:rsidRPr="00EA3CB3">
        <w:rPr>
          <w:i/>
          <w:iCs/>
        </w:rPr>
        <w:t xml:space="preserve">Shigella </w:t>
      </w:r>
      <w:r w:rsidRPr="00EA3CB3">
        <w:t xml:space="preserve">species </w:t>
      </w:r>
      <w:r w:rsidR="00E41302" w:rsidRPr="00EA3CB3">
        <w:t>more than quadrupled from 2022 to 2023</w:t>
      </w:r>
      <w:r w:rsidRPr="00EA3CB3">
        <w:t xml:space="preserve">. </w:t>
      </w:r>
      <w:r w:rsidR="00EA3CB3" w:rsidRPr="00EA3CB3">
        <w:t>T</w:t>
      </w:r>
      <w:r w:rsidRPr="00EA3CB3">
        <w:t xml:space="preserve">he proportion of shigellosis notifications that were MDR </w:t>
      </w:r>
      <w:r w:rsidR="00EA3CB3">
        <w:t>increased</w:t>
      </w:r>
      <w:r w:rsidRPr="00EA3CB3">
        <w:t xml:space="preserve"> overall in 202</w:t>
      </w:r>
      <w:r w:rsidR="00EA3CB3">
        <w:t>3</w:t>
      </w:r>
      <w:r w:rsidRPr="00EA3CB3">
        <w:t xml:space="preserve"> compared to 202</w:t>
      </w:r>
      <w:r w:rsidR="00EA3CB3">
        <w:t>2</w:t>
      </w:r>
      <w:r w:rsidRPr="00EA3CB3">
        <w:t xml:space="preserve">. The </w:t>
      </w:r>
      <w:r w:rsidR="00EA3CB3">
        <w:t>in</w:t>
      </w:r>
      <w:r w:rsidRPr="00EA3CB3">
        <w:t xml:space="preserve">crease was noted in all states and territories where there were five or more reports, except in Queensland, where the proportion </w:t>
      </w:r>
      <w:r w:rsidR="00EA3CB3">
        <w:t>de</w:t>
      </w:r>
      <w:r w:rsidRPr="00EA3CB3">
        <w:t>creased.</w:t>
      </w:r>
    </w:p>
    <w:p w14:paraId="0F5F72C1" w14:textId="7D8E1E3F" w:rsidR="00EB6106" w:rsidRPr="0063571F" w:rsidRDefault="00EB6106" w:rsidP="00EB6106">
      <w:r w:rsidRPr="0063571F">
        <w:t>The</w:t>
      </w:r>
      <w:r w:rsidR="00F9372D" w:rsidRPr="0063571F">
        <w:t xml:space="preserve"> ongoing</w:t>
      </w:r>
      <w:r w:rsidRPr="0063571F">
        <w:t xml:space="preserve"> </w:t>
      </w:r>
      <w:r w:rsidR="00E41302" w:rsidRPr="0063571F">
        <w:t xml:space="preserve">overall </w:t>
      </w:r>
      <w:r w:rsidRPr="0063571F">
        <w:t xml:space="preserve">increase in reports </w:t>
      </w:r>
      <w:r w:rsidR="00E41302" w:rsidRPr="0063571F">
        <w:t xml:space="preserve">of </w:t>
      </w:r>
      <w:r w:rsidRPr="0063571F">
        <w:t xml:space="preserve">these CARs </w:t>
      </w:r>
      <w:r w:rsidR="00E41302" w:rsidRPr="0063571F">
        <w:t xml:space="preserve">in 2023 </w:t>
      </w:r>
      <w:r w:rsidRPr="0063571F">
        <w:t>correspond</w:t>
      </w:r>
      <w:r w:rsidR="00F9372D" w:rsidRPr="0063571F">
        <w:t>s</w:t>
      </w:r>
      <w:r w:rsidRPr="0063571F">
        <w:t xml:space="preserve"> with the</w:t>
      </w:r>
      <w:r w:rsidR="00F9372D" w:rsidRPr="0063571F">
        <w:t xml:space="preserve"> increased </w:t>
      </w:r>
      <w:r w:rsidRPr="0063571F">
        <w:t>resumption of usual social interaction and international travel following easing of COVID-19 restrictions from late 2021. These changes indicate that ongoing monitoring of resistance in gonococcal disease and shigellosis is required because of the importance of emerging changes in susceptibility for treatment guidelines.</w:t>
      </w:r>
    </w:p>
    <w:p w14:paraId="5BC20EC2" w14:textId="187AEC9B" w:rsidR="00EB6106" w:rsidRPr="003B065D" w:rsidRDefault="0084411F" w:rsidP="00EB6106">
      <w:r>
        <w:t>I</w:t>
      </w:r>
      <w:r w:rsidR="00EB6106" w:rsidRPr="003B065D">
        <w:t xml:space="preserve">ncreases in reports of MDR </w:t>
      </w:r>
      <w:r w:rsidR="00EB6106" w:rsidRPr="003B065D">
        <w:rPr>
          <w:i/>
          <w:iCs/>
        </w:rPr>
        <w:t>Shigella</w:t>
      </w:r>
      <w:r w:rsidR="00EB6106" w:rsidRPr="003B065D">
        <w:t xml:space="preserve"> suggest that empirical antimicrobial therapy recommendations for shigellosis may need to be reconsidered. Increases also require ongoing close review by states and territories. Public health messaging should continue to highlight the risk of sexual transmission of </w:t>
      </w:r>
      <w:r w:rsidR="00EB6106" w:rsidRPr="003B065D">
        <w:rPr>
          <w:i/>
          <w:iCs/>
        </w:rPr>
        <w:t>Shigella</w:t>
      </w:r>
      <w:r w:rsidR="00EB6106" w:rsidRPr="003B065D">
        <w:t xml:space="preserve"> species, particularly in men who have sex with men, and provide guidance on ways to reduce the risk of transmission.</w:t>
      </w:r>
    </w:p>
    <w:p w14:paraId="3EBD0E9B" w14:textId="6419D261" w:rsidR="00EB6106" w:rsidRPr="00D47D8E" w:rsidRDefault="00EB6106" w:rsidP="00EB6106">
      <w:r w:rsidRPr="00BC493D">
        <w:t>The emergence of gonococcal antimicrobial resistance (AMR) in Australia has long been influenced by the introduction of MDR strains from overseas.</w:t>
      </w:r>
      <w:r w:rsidRPr="00BC493D">
        <w:fldChar w:fldCharType="begin">
          <w:fldData xml:space="preserve">PEVuZE5vdGU+PENpdGU+PEF1dGhvcj5IYW5yYWhhbjwvQXV0aG9yPjxZZWFyPjIwMTk8L1llYXI+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</w:fldData>
        </w:fldChar>
      </w:r>
      <w:r w:rsidR="00B17B22">
        <w:instrText xml:space="preserve"> ADDIN EN.CITE </w:instrText>
      </w:r>
      <w:r w:rsidR="00B17B22">
        <w:fldChar w:fldCharType="begin">
          <w:fldData xml:space="preserve">PEVuZE5vdGU+PENpdGU+PEF1dGhvcj5IYW5yYWhhbjwvQXV0aG9yPjxZZWFyPjIwMTk8L1llYXI+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</w:fldData>
        </w:fldChar>
      </w:r>
      <w:r w:rsidR="00B17B22">
        <w:instrText xml:space="preserve"> ADDIN EN.CITE.DATA </w:instrText>
      </w:r>
      <w:r w:rsidR="00B17B22">
        <w:fldChar w:fldCharType="end"/>
      </w:r>
      <w:r w:rsidRPr="00BC493D">
        <w:fldChar w:fldCharType="separate"/>
      </w:r>
      <w:r w:rsidR="00B17B22" w:rsidRPr="00B17B22">
        <w:rPr>
          <w:noProof/>
          <w:vertAlign w:val="superscript"/>
        </w:rPr>
        <w:t>10, 11</w:t>
      </w:r>
      <w:r w:rsidRPr="00BC493D">
        <w:fldChar w:fldCharType="end"/>
      </w:r>
      <w:r w:rsidRPr="00BC493D">
        <w:t xml:space="preserve"> A number of reports from other countries of ceftriaxone-resistant </w:t>
      </w:r>
      <w:r w:rsidRPr="00BC493D">
        <w:rPr>
          <w:i/>
          <w:iCs/>
        </w:rPr>
        <w:t>N. gonorrhoeae</w:t>
      </w:r>
      <w:r w:rsidRPr="00BC493D">
        <w:t xml:space="preserve"> strains have raised global concerns about the effectiveness of current recommended </w:t>
      </w:r>
      <w:r w:rsidRPr="00CD130D">
        <w:t>treatments.</w:t>
      </w:r>
      <w:r w:rsidRPr="00CD130D">
        <w:fldChar w:fldCharType="begin">
          <w:fldData xml:space="preserve">PEVuZE5vdGU+PENpdGU+PEF1dGhvcj5FeXJlPC9BdXRob3I+PFllYXI+MjAxOTwvWWVhcj48UmVj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</w:fldData>
        </w:fldChar>
      </w:r>
      <w:r w:rsidR="00B17B22" w:rsidRPr="00CD130D">
        <w:instrText xml:space="preserve"> ADDIN EN.CITE </w:instrText>
      </w:r>
      <w:r w:rsidR="00B17B22" w:rsidRPr="00CD130D">
        <w:fldChar w:fldCharType="begin">
          <w:fldData xml:space="preserve">PEVuZE5vdGU+PENpdGU+PEF1dGhvcj5FeXJlPC9BdXRob3I+PFllYXI+MjAxOTwvWWVhcj48UmVj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</w:fldData>
        </w:fldChar>
      </w:r>
      <w:r w:rsidR="00B17B22" w:rsidRPr="00CD130D">
        <w:instrText xml:space="preserve"> ADDIN EN.CITE.DATA </w:instrText>
      </w:r>
      <w:r w:rsidR="00B17B22" w:rsidRPr="00CD130D">
        <w:fldChar w:fldCharType="end"/>
      </w:r>
      <w:r w:rsidRPr="00CD130D">
        <w:fldChar w:fldCharType="separate"/>
      </w:r>
      <w:r w:rsidRPr="00CD130D">
        <w:rPr>
          <w:noProof/>
          <w:vertAlign w:val="superscript"/>
        </w:rPr>
        <w:t>12-14</w:t>
      </w:r>
      <w:r w:rsidRPr="00CD130D">
        <w:fldChar w:fldCharType="end"/>
      </w:r>
      <w:r w:rsidRPr="00CD130D">
        <w:t xml:space="preserve"> </w:t>
      </w:r>
      <w:r w:rsidR="00BC493D" w:rsidRPr="00CD130D">
        <w:t xml:space="preserve">This also prompted the addition of reporting of gentamicin-resistant </w:t>
      </w:r>
      <w:r w:rsidR="00BC493D" w:rsidRPr="00CD130D">
        <w:rPr>
          <w:i/>
          <w:iCs/>
        </w:rPr>
        <w:t xml:space="preserve">N. gonorrhoeae </w:t>
      </w:r>
      <w:r w:rsidR="00BC493D" w:rsidRPr="00CD130D">
        <w:t xml:space="preserve">to CARAlert from 2023. </w:t>
      </w:r>
      <w:r w:rsidRPr="00CD130D">
        <w:t xml:space="preserve">In Australia, the recommended treatment for </w:t>
      </w:r>
      <w:r w:rsidRPr="00CD130D">
        <w:rPr>
          <w:i/>
          <w:iCs/>
        </w:rPr>
        <w:t>N. gonorrhoeae</w:t>
      </w:r>
      <w:r w:rsidRPr="00CD130D">
        <w:t xml:space="preserve"> is ceftriaxone in conjunction with azithromycin. This regimen was introduced in Australia in 2014 to limit further development of resistance to ceftriaxone.</w:t>
      </w:r>
      <w:r w:rsidRPr="00CD130D">
        <w:fldChar w:fldCharType="begin"/>
      </w:r>
      <w:r w:rsidRPr="00CD130D">
        <w:instrText xml:space="preserve"> ADDIN EN.CITE &lt;EndNote&gt;&lt;Cite&gt;&lt;Author&gt;Lahra&lt;/Author&gt;&lt;Year&gt;2022&lt;/Year&gt;&lt;RecNum&gt;234&lt;/RecNum&gt;&lt;DisplayText&gt;&lt;style face="superscript"&gt;15&lt;/style&gt;&lt;/DisplayText&gt;&lt;record&gt;&lt;rec-number&gt;234&lt;/rec-number&gt;&lt;foreign-keys&gt;&lt;key app="EN" db-id="vzwf0pfzpvev5nezsr65z5xvafz5xzavdxw9" timestamp="1680222853"&gt;234&lt;/key&gt;&lt;/foreign-keys&gt;&lt;ref-type name="Journal Article"&gt;17&lt;/ref-type&gt;&lt;contributors&gt;&lt;authors&gt;&lt;author&gt;Lahra, M. M. &lt;/author&gt;&lt;author&gt;Hogan, T.R.&lt;/author&gt;&lt;author&gt;Armstrong, B. H.&lt;/author&gt;&lt;/authors&gt;&lt;/contributors&gt;&lt;titles&gt;&lt;title&gt;Australian Gonococcal Surveillance Program Annual Report, 2021&lt;/title&gt;&lt;secondary-title&gt;Commun Dis Intell&lt;/secondary-title&gt;&lt;/titles&gt;&lt;dates&gt;&lt;year&gt;2022&lt;/year&gt;&lt;/dates&gt;&lt;urls&gt;&lt;/urls&gt;&lt;/record&gt;&lt;/Cite&gt;&lt;/EndNote&gt;</w:instrText>
      </w:r>
      <w:r w:rsidRPr="00CD130D">
        <w:fldChar w:fldCharType="separate"/>
      </w:r>
      <w:r w:rsidRPr="00CD130D">
        <w:rPr>
          <w:noProof/>
          <w:vertAlign w:val="superscript"/>
        </w:rPr>
        <w:t>15</w:t>
      </w:r>
      <w:r w:rsidRPr="00CD130D">
        <w:fldChar w:fldCharType="end"/>
      </w:r>
      <w:r w:rsidRPr="00CD130D">
        <w:t xml:space="preserve"> The low background rate of azithromycin-nonsusceptible </w:t>
      </w:r>
      <w:r w:rsidRPr="00CD130D">
        <w:rPr>
          <w:i/>
          <w:iCs/>
        </w:rPr>
        <w:t>N. gonorrhoeae</w:t>
      </w:r>
      <w:r w:rsidRPr="00CD130D">
        <w:t xml:space="preserve"> (LLR) in Australia is well established.</w:t>
      </w:r>
      <w:r w:rsidR="0029488B">
        <w:fldChar w:fldCharType="begin">
          <w:fldData xml:space="preserve">PEVuZE5vdGU+PENpdGU+PEF1dGhvcj5MYWhyYTwvQXV0aG9yPjxZZWFyPjIwMjM8L1llYXI+PFJl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</w:fldData>
        </w:fldChar>
      </w:r>
      <w:r w:rsidR="0029488B">
        <w:instrText xml:space="preserve"> ADDIN EN.CITE </w:instrText>
      </w:r>
      <w:r w:rsidR="0029488B">
        <w:fldChar w:fldCharType="begin">
          <w:fldData xml:space="preserve">PEVuZE5vdGU+PENpdGU+PEF1dGhvcj5MYWhyYTwvQXV0aG9yPjxZZWFyPjIwMjM8L1llYXI+PFJl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</w:fldData>
        </w:fldChar>
      </w:r>
      <w:r w:rsidR="0029488B">
        <w:instrText xml:space="preserve"> ADDIN EN.CITE.DATA </w:instrText>
      </w:r>
      <w:r w:rsidR="0029488B">
        <w:fldChar w:fldCharType="end"/>
      </w:r>
      <w:r w:rsidR="0029488B">
        <w:fldChar w:fldCharType="separate"/>
      </w:r>
      <w:r w:rsidR="0029488B" w:rsidRPr="0029488B">
        <w:rPr>
          <w:noProof/>
          <w:vertAlign w:val="superscript"/>
        </w:rPr>
        <w:t>16</w:t>
      </w:r>
      <w:r w:rsidR="0029488B">
        <w:fldChar w:fldCharType="end"/>
      </w:r>
      <w:r w:rsidR="00BC493D" w:rsidRPr="00CD130D">
        <w:t xml:space="preserve"> </w:t>
      </w:r>
      <w:r w:rsidRPr="00CD130D">
        <w:t xml:space="preserve">Reports of this CAR declined </w:t>
      </w:r>
      <w:r w:rsidR="0084411F" w:rsidRPr="00CD130D">
        <w:t>from</w:t>
      </w:r>
      <w:r w:rsidRPr="00CD130D">
        <w:t xml:space="preserve"> 2019 </w:t>
      </w:r>
      <w:r w:rsidR="0084411F" w:rsidRPr="00CD130D">
        <w:t xml:space="preserve">to 2022, and increased dramatically in 2023, particularly </w:t>
      </w:r>
      <w:r w:rsidR="00D47D8E" w:rsidRPr="00CD130D">
        <w:t>in</w:t>
      </w:r>
      <w:r w:rsidR="0084411F" w:rsidRPr="00CD130D">
        <w:t xml:space="preserve"> NSW and Victoria </w:t>
      </w:r>
      <w:r w:rsidRPr="00CD130D">
        <w:t>.</w:t>
      </w:r>
      <w:r w:rsidRPr="00CD130D">
        <w:fldChar w:fldCharType="begin"/>
      </w:r>
      <w:r w:rsidR="00B17B22" w:rsidRPr="00CD130D">
        <w:instrText xml:space="preserve"> ADDIN EN.CITE &lt;EndNote&gt;&lt;Cite&gt;&lt;Author&gt;Australian Government Department of Health and Aged Care&lt;/Author&gt;&lt;Year&gt;2023&lt;/Year&gt;&lt;RecNum&gt;230&lt;/RecNum&gt;&lt;DisplayText&gt;&lt;style face="superscript"&gt;9&lt;/style&gt;&lt;/DisplayText&gt;&lt;record&gt;&lt;rec-number&gt;230&lt;/rec-number&gt;&lt;foreign-keys&gt;&lt;key app="EN" db-id="wtev2ss0rtrrwme0r0opprfvtfvztrraaz9e" timestamp="1679895352" guid="3851e972-1a88-4033-8919-a219a15b16b5"&gt;230&lt;/key&gt;&lt;/foreign-keys&gt;&lt;ref-type name="Web Page"&gt;12&lt;/ref-type&gt;&lt;contributors&gt;&lt;authors&gt;&lt;author&gt;Australian Government Department of Health and Aged Care,&lt;/author&gt;&lt;/authors&gt;&lt;/contributors&gt;&lt;titles&gt;&lt;title&gt;National Notifiable Diseases Surveillance Dashboard&lt;/title&gt;&lt;/titles&gt;&lt;number&gt;March 2023&lt;/number&gt;&lt;dates&gt;&lt;year&gt;2023&lt;/year&gt;&lt;/dates&gt;&lt;pub-location&gt;Canberra&lt;/pub-location&gt;&lt;publisher&gt;Department of Health and Aged Care&lt;/publisher&gt;&lt;urls&gt;&lt;related-urls&gt;&lt;url&gt;https://nindss.health.gov.au/pbi-dashboard/&lt;/url&gt;&lt;/related-urls&gt;&lt;/urls&gt;&lt;/record&gt;&lt;/Cite&gt;&lt;/EndNote&gt;</w:instrText>
      </w:r>
      <w:r w:rsidRPr="00CD130D">
        <w:fldChar w:fldCharType="separate"/>
      </w:r>
      <w:r w:rsidRPr="00CD130D">
        <w:rPr>
          <w:noProof/>
          <w:vertAlign w:val="superscript"/>
        </w:rPr>
        <w:t>9</w:t>
      </w:r>
      <w:r w:rsidRPr="00CD130D">
        <w:fldChar w:fldCharType="end"/>
      </w:r>
      <w:r w:rsidRPr="00CD130D">
        <w:t xml:space="preserve"> The clinical implications of this low-level resistance are not clear. </w:t>
      </w:r>
      <w:r w:rsidR="00FC02CE">
        <w:t>Despite low numbers, c</w:t>
      </w:r>
      <w:r w:rsidRPr="00CD130D">
        <w:t>ontinuing reports</w:t>
      </w:r>
      <w:r w:rsidRPr="00D47D8E">
        <w:t xml:space="preserve"> of ceftriaxone-nonsusceptibility are concerning.</w:t>
      </w:r>
    </w:p>
    <w:p w14:paraId="75E619E3" w14:textId="77777777" w:rsidR="00EB6106" w:rsidRPr="009859EE" w:rsidRDefault="00EB6106" w:rsidP="00EB6106">
      <w:pPr>
        <w:pStyle w:val="Heading4"/>
      </w:pPr>
      <w:r>
        <w:t>Critical antimicrobial resistances in a</w:t>
      </w:r>
      <w:r w:rsidRPr="009859EE">
        <w:t>ged care homes</w:t>
      </w:r>
    </w:p>
    <w:p w14:paraId="46CA0220" w14:textId="0679334E" w:rsidR="009B69D0" w:rsidRPr="009B69D0" w:rsidRDefault="00EB6106" w:rsidP="00EB6106">
      <w:r w:rsidRPr="009B69D0">
        <w:t xml:space="preserve">In </w:t>
      </w:r>
      <w:r w:rsidRPr="00EA3CB3">
        <w:t>202</w:t>
      </w:r>
      <w:r w:rsidR="009B69D0" w:rsidRPr="00EA3CB3">
        <w:t>3</w:t>
      </w:r>
      <w:r w:rsidRPr="00EA3CB3">
        <w:t xml:space="preserve">, there were </w:t>
      </w:r>
      <w:r w:rsidR="00E42363">
        <w:t>eight</w:t>
      </w:r>
      <w:r w:rsidR="009B69D0" w:rsidRPr="00EA3CB3">
        <w:t xml:space="preserve"> </w:t>
      </w:r>
      <w:r w:rsidRPr="00EA3CB3">
        <w:t>CARs reported from aged care homes</w:t>
      </w:r>
      <w:r w:rsidR="009B69D0" w:rsidRPr="00EA3CB3">
        <w:t xml:space="preserve">. All reports were CPE from clinical isolates. </w:t>
      </w:r>
      <w:r w:rsidR="009B69D0" w:rsidRPr="009B69D0">
        <w:t xml:space="preserve">This is down from 24 in 2022 following the suspension of reporting DNSA to CARAlert. </w:t>
      </w:r>
      <w:r w:rsidR="0084411F">
        <w:t>While the number of reports is extremely low, aged care home residents have increased vulnerability to infections, and are at risk of acquiring or transmitting</w:t>
      </w:r>
      <w:r w:rsidR="000C424B">
        <w:t xml:space="preserve"> infections due to </w:t>
      </w:r>
      <w:r w:rsidR="000C424B" w:rsidRPr="000C424B">
        <w:t xml:space="preserve">the frequent movement of aged care home residents between </w:t>
      </w:r>
      <w:r w:rsidR="00F66484">
        <w:t>acute</w:t>
      </w:r>
      <w:r w:rsidR="000C424B" w:rsidRPr="000C424B">
        <w:t xml:space="preserve"> settings</w:t>
      </w:r>
      <w:r w:rsidR="000C424B">
        <w:t>.</w:t>
      </w:r>
    </w:p>
    <w:p w14:paraId="0B53F084" w14:textId="32FEE007" w:rsidR="00EB6106" w:rsidRPr="0052179D" w:rsidRDefault="00EB6106" w:rsidP="00EB6106">
      <w:r w:rsidRPr="009B69D0">
        <w:t xml:space="preserve">In aged care homes, </w:t>
      </w:r>
      <w:r w:rsidR="009B69D0" w:rsidRPr="009B69D0">
        <w:t xml:space="preserve">infections of the </w:t>
      </w:r>
      <w:r w:rsidRPr="009B69D0">
        <w:t xml:space="preserve">skin and soft tissue </w:t>
      </w:r>
      <w:r w:rsidR="009B69D0" w:rsidRPr="009B69D0">
        <w:t xml:space="preserve">and urinary tract </w:t>
      </w:r>
      <w:r w:rsidRPr="009B69D0">
        <w:t>are the most common reason for antimicrobial prescriptions</w:t>
      </w:r>
      <w:r w:rsidR="00B17B22">
        <w:fldChar w:fldCharType="begin"/>
      </w:r>
      <w:r w:rsidR="0029488B">
        <w:instrText xml:space="preserve"> ADDIN EN.CITE &lt;EndNote&gt;&lt;Cite&gt;&lt;Author&gt;Australian Commission on Safety and Quality in Health Care&lt;/Author&gt;&lt;Year&gt;2023&lt;/Year&gt;&lt;RecNum&gt;1911&lt;/RecNum&gt;&lt;DisplayText&gt;&lt;style face="superscript"&gt;17&lt;/style&gt;&lt;/DisplayText&gt;&lt;record&gt;&lt;rec-number&gt;1911&lt;/rec-number&gt;&lt;foreign-keys&gt;&lt;key app="EN" db-id="50sdzz5rpr5pp3ev5wcv00w55dtazdrrfws9" timestamp="1712616978"&gt;1911&lt;/key&gt;&lt;/foreign-keys&gt;&lt;ref-type name="Report"&gt;27&lt;/ref-type&gt;&lt;contributors&gt;&lt;authors&gt;&lt;author&gt;Australian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related-urls&gt;&lt;url&gt;https://www.safetyandquality.gov.au/publications-and-resources/resource-library/aura-2023-fifth-australian-report-antimicrobial-use-and-resistance-human-health-report&lt;/url&gt;&lt;/related-urls&gt;&lt;/urls&gt;&lt;/record&gt;&lt;/Cite&gt;&lt;/EndNote&gt;</w:instrText>
      </w:r>
      <w:r w:rsidR="00B17B22">
        <w:fldChar w:fldCharType="separate"/>
      </w:r>
      <w:r w:rsidR="0029488B" w:rsidRPr="0029488B">
        <w:rPr>
          <w:noProof/>
          <w:vertAlign w:val="superscript"/>
        </w:rPr>
        <w:t>17</w:t>
      </w:r>
      <w:r w:rsidR="00B17B22">
        <w:fldChar w:fldCharType="end"/>
      </w:r>
      <w:r w:rsidR="007F05A4">
        <w:t xml:space="preserve">, and are commonly </w:t>
      </w:r>
      <w:r w:rsidR="007F05A4" w:rsidRPr="0052179D">
        <w:t xml:space="preserve">caused by </w:t>
      </w:r>
      <w:r w:rsidR="007F05A4" w:rsidRPr="0052179D">
        <w:rPr>
          <w:i/>
          <w:iCs/>
        </w:rPr>
        <w:t>S. aureus</w:t>
      </w:r>
      <w:r w:rsidR="007F05A4" w:rsidRPr="0052179D">
        <w:t xml:space="preserve"> and </w:t>
      </w:r>
      <w:r w:rsidR="00F77D64" w:rsidRPr="00F77D64">
        <w:rPr>
          <w:i/>
          <w:iCs/>
        </w:rPr>
        <w:t>Enterobacterales</w:t>
      </w:r>
      <w:r w:rsidR="007F05A4">
        <w:t xml:space="preserve">, respectively. These </w:t>
      </w:r>
      <w:r w:rsidR="0084411F">
        <w:t xml:space="preserve">organisms </w:t>
      </w:r>
      <w:r w:rsidRPr="0052179D">
        <w:t xml:space="preserve">may be spread by contact with contaminated surfaces </w:t>
      </w:r>
      <w:r w:rsidR="007F05A4" w:rsidRPr="0052179D">
        <w:t xml:space="preserve">or medical equipment </w:t>
      </w:r>
      <w:r w:rsidRPr="0052179D">
        <w:t xml:space="preserve">and hands of healthcare workers, visitors and residents. Environmental cleaning and hand hygiene are important prevention and control strategies. In group living situations, </w:t>
      </w:r>
      <w:r w:rsidR="006F1FAC">
        <w:t>i</w:t>
      </w:r>
      <w:r w:rsidR="000C424B">
        <w:t>nfection</w:t>
      </w:r>
      <w:r w:rsidR="007F05A4" w:rsidRPr="0052179D">
        <w:t>s</w:t>
      </w:r>
      <w:r w:rsidR="007F05A4" w:rsidRPr="0052179D">
        <w:rPr>
          <w:i/>
          <w:iCs/>
        </w:rPr>
        <w:t xml:space="preserve"> </w:t>
      </w:r>
      <w:r w:rsidRPr="0052179D">
        <w:t>may also be inadvertently spread from person to person, for example by sharing personal items such as bed linen, towels or clothing.</w:t>
      </w:r>
    </w:p>
    <w:p w14:paraId="2E3EA237" w14:textId="63E70973" w:rsidR="00EB6106" w:rsidRPr="009B69D0" w:rsidRDefault="00EB6106" w:rsidP="00EB6106">
      <w:r w:rsidRPr="009B69D0">
        <w:t xml:space="preserve">Specific measures are required in all care settings for CPE. To support the capacity to prevent and control transmission of CPE, aged care homes should comply with the infection prevention and </w:t>
      </w:r>
      <w:r w:rsidRPr="009B69D0">
        <w:lastRenderedPageBreak/>
        <w:t>control requirements of the Aged Care Quality Standards</w:t>
      </w:r>
      <w:r w:rsidRPr="009B69D0">
        <w:fldChar w:fldCharType="begin"/>
      </w:r>
      <w:r w:rsidRPr="009B69D0">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Pr="009B69D0">
        <w:fldChar w:fldCharType="separate"/>
      </w:r>
      <w:r w:rsidRPr="009B69D0">
        <w:rPr>
          <w:noProof/>
          <w:vertAlign w:val="superscript"/>
        </w:rPr>
        <w:t>6</w:t>
      </w:r>
      <w:r w:rsidRPr="009B69D0">
        <w:fldChar w:fldCharType="end"/>
      </w:r>
      <w:r w:rsidRPr="009B69D0">
        <w:t xml:space="preserve">, which include compliance with national </w:t>
      </w:r>
      <w:r w:rsidRPr="00CD130D">
        <w:t>guidelines.</w:t>
      </w:r>
      <w:r w:rsidRPr="00CD130D">
        <w:fldChar w:fldCharType="begin"/>
      </w:r>
      <w:r w:rsidR="0029488B">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CD130D">
        <w:fldChar w:fldCharType="separate"/>
      </w:r>
      <w:r w:rsidRPr="00CD130D">
        <w:rPr>
          <w:noProof/>
          <w:vertAlign w:val="superscript"/>
        </w:rPr>
        <w:t>1</w:t>
      </w:r>
      <w:r w:rsidRPr="00CD130D">
        <w:fldChar w:fldCharType="end"/>
      </w:r>
    </w:p>
    <w:p w14:paraId="33E1DC8A" w14:textId="77777777" w:rsidR="00EB6106" w:rsidRDefault="00EB6106" w:rsidP="00EB6106">
      <w:pPr>
        <w:pStyle w:val="Heading4"/>
      </w:pPr>
      <w:r w:rsidRPr="00B77C8C">
        <w:t>Health service demand and complexity of care</w:t>
      </w:r>
    </w:p>
    <w:p w14:paraId="7AD67BB0" w14:textId="06E7134A" w:rsidR="00EB6106" w:rsidRPr="00CA1A38" w:rsidRDefault="00EB6106" w:rsidP="00EB6106">
      <w:r w:rsidRPr="00CA1A38">
        <w:t xml:space="preserve">CARs increase hospital length of stay, deaths, and health service resource needs. Estimates of the impacts of AMR vary by organism and are not available for the majority of CARs. Recent estimates of the impact of CPE include an additional 29 inpatient days, compared to non-CPE cases, after the isolation </w:t>
      </w:r>
      <w:r w:rsidRPr="00CD130D">
        <w:t>of the organism.</w:t>
      </w:r>
      <w:r w:rsidRPr="00CD130D">
        <w:fldChar w:fldCharType="begin">
          <w:fldData xml:space="preserve">PEVuZE5vdGU+PENpdGU+PEF1dGhvcj5IYXlha2F3YTwvQXV0aG9yPjxZZWFyPjIwMjA8L1llYXI+
PFJlY051bT4xNDY5PC9SZWNOdW0+PERpc3BsYXlUZXh0PjxzdHlsZSBmYWNlPSJzdXBlcnNjcmlw
dCI+MTg8L3N0eWxlPjwvRGlzcGxheVRleHQ+PHJlY29yZD48cmVjLW51bWJlcj4xNDY5PC9yZWMt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29488B">
        <w:instrText xml:space="preserve"> ADDIN EN.CITE </w:instrText>
      </w:r>
      <w:r w:rsidR="0029488B">
        <w:fldChar w:fldCharType="begin">
          <w:fldData xml:space="preserve">PEVuZE5vdGU+PENpdGU+PEF1dGhvcj5IYXlha2F3YTwvQXV0aG9yPjxZZWFyPjIwMjA8L1llYXI+
PFJlY051bT4xNDY5PC9SZWNOdW0+PERpc3BsYXlUZXh0PjxzdHlsZSBmYWNlPSJzdXBlcnNjcmlw
dCI+MTg8L3N0eWxlPjwvRGlzcGxheVRleHQ+PHJlY29yZD48cmVjLW51bWJlcj4xNDY5PC9yZWMt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29488B">
        <w:instrText xml:space="preserve"> ADDIN EN.CITE.DATA </w:instrText>
      </w:r>
      <w:r w:rsidR="0029488B">
        <w:fldChar w:fldCharType="end"/>
      </w:r>
      <w:r w:rsidRPr="00CD130D">
        <w:fldChar w:fldCharType="separate"/>
      </w:r>
      <w:r w:rsidR="0029488B" w:rsidRPr="0029488B">
        <w:rPr>
          <w:noProof/>
          <w:vertAlign w:val="superscript"/>
        </w:rPr>
        <w:t>18</w:t>
      </w:r>
      <w:r w:rsidRPr="00CD130D">
        <w:fldChar w:fldCharType="end"/>
      </w:r>
      <w:r w:rsidRPr="00CD130D">
        <w:t xml:space="preserve"> Patients with MDR infections were also less likely to receive appropriate antimicrobial therapy initially.</w:t>
      </w:r>
      <w:r w:rsidRPr="00CD130D">
        <w:fldChar w:fldCharType="begin">
          <w:fldData xml:space="preserve">PEVuZE5vdGU+PENpdGU+PEF1dGhvcj5IYXlha2F3YTwvQXV0aG9yPjxZZWFyPjIwMjA8L1llYXI+
PFJlY051bT4xNDY5PC9SZWNOdW0+PERpc3BsYXlUZXh0PjxzdHlsZSBmYWNlPSJzdXBlcnNjcmlw
dCI+MTg8L3N0eWxlPjwvRGlzcGxheVRleHQ+PHJlY29yZD48cmVjLW51bWJlcj4xNDY5PC9yZWMt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29488B">
        <w:instrText xml:space="preserve"> ADDIN EN.CITE </w:instrText>
      </w:r>
      <w:r w:rsidR="0029488B">
        <w:fldChar w:fldCharType="begin">
          <w:fldData xml:space="preserve">PEVuZE5vdGU+PENpdGU+PEF1dGhvcj5IYXlha2F3YTwvQXV0aG9yPjxZZWFyPjIwMjA8L1llYXI+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=
</w:fldData>
        </w:fldChar>
      </w:r>
      <w:r w:rsidR="0029488B">
        <w:instrText xml:space="preserve"> ADDIN EN.CITE.DATA </w:instrText>
      </w:r>
      <w:r w:rsidR="0029488B">
        <w:fldChar w:fldCharType="end"/>
      </w:r>
      <w:r w:rsidRPr="00CD130D">
        <w:fldChar w:fldCharType="separate"/>
      </w:r>
      <w:r w:rsidR="0029488B" w:rsidRPr="0029488B">
        <w:rPr>
          <w:noProof/>
          <w:vertAlign w:val="superscript"/>
        </w:rPr>
        <w:t>18</w:t>
      </w:r>
      <w:r w:rsidRPr="00CD130D">
        <w:fldChar w:fldCharType="end"/>
      </w:r>
      <w:r w:rsidRPr="00CD130D">
        <w:t xml:space="preserve"> For vancomycin-resistant enterococci, when they first emerged, estimated increases per case were 61.9% for hospital costs and an additional 13.8 days length of stay.</w:t>
      </w:r>
      <w:r w:rsidRPr="00CD130D">
        <w:fldChar w:fldCharType="begin">
          <w:fldData xml:space="preserve">PEVuZE5vdGU+PENpdGU+PEF1dGhvcj5MbG95ZC1TbWl0aDwvQXV0aG9yPjxZZWFyPjIwMTM8L1ll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</w:fldData>
        </w:fldChar>
      </w:r>
      <w:r w:rsidR="0029488B">
        <w:instrText xml:space="preserve"> ADDIN EN.CITE </w:instrText>
      </w:r>
      <w:r w:rsidR="0029488B">
        <w:fldChar w:fldCharType="begin">
          <w:fldData xml:space="preserve">PEVuZE5vdGU+PENpdGU+PEF1dGhvcj5MbG95ZC1TbWl0aDwvQXV0aG9yPjxZZWFyPjIwMTM8L1ll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</w:fldData>
        </w:fldChar>
      </w:r>
      <w:r w:rsidR="0029488B">
        <w:instrText xml:space="preserve"> ADDIN EN.CITE.DATA </w:instrText>
      </w:r>
      <w:r w:rsidR="0029488B">
        <w:fldChar w:fldCharType="end"/>
      </w:r>
      <w:r w:rsidRPr="00CD130D">
        <w:fldChar w:fldCharType="separate"/>
      </w:r>
      <w:r w:rsidR="0029488B" w:rsidRPr="0029488B">
        <w:rPr>
          <w:noProof/>
          <w:vertAlign w:val="superscript"/>
        </w:rPr>
        <w:t>19</w:t>
      </w:r>
      <w:r w:rsidRPr="00CD130D">
        <w:fldChar w:fldCharType="end"/>
      </w:r>
    </w:p>
    <w:p w14:paraId="1153FBD0" w14:textId="77777777" w:rsidR="00EB6106" w:rsidRPr="00CA1A38" w:rsidRDefault="00EB6106" w:rsidP="00EB6106">
      <w:pPr>
        <w:pStyle w:val="Normal-beforebullets"/>
      </w:pPr>
      <w:r w:rsidRPr="00CA1A38">
        <w:t>Increases in CARs also require ongoing close review by states and territories as there are limited oral antimicrobial options, and intravenous antimicrobials may be required to treat MDR infections. There may also be resource implications for the health system because of increased testing, hospital admissions and transmission in the community.</w:t>
      </w:r>
    </w:p>
    <w:p w14:paraId="5DF00B31" w14:textId="77777777" w:rsidR="00EB6106" w:rsidRPr="005C2AC2" w:rsidRDefault="00EB6106" w:rsidP="00EB6106">
      <w:pPr>
        <w:pStyle w:val="Heading4"/>
      </w:pPr>
      <w:r w:rsidRPr="00A958D2">
        <w:t>What will be done to improve patient safety?</w:t>
      </w:r>
    </w:p>
    <w:p w14:paraId="2D95F427" w14:textId="77777777" w:rsidR="00991E6C" w:rsidRDefault="00991E6C" w:rsidP="00991E6C">
      <w:pPr>
        <w:pStyle w:val="Normal-beforebullets"/>
        <w:spacing w:after="120"/>
      </w:pPr>
      <w:r w:rsidRPr="00B77C8C">
        <w:t>In response to the issues identified in analyses of CARAlert data between 2017 and 202</w:t>
      </w:r>
      <w:r>
        <w:t>3</w:t>
      </w:r>
      <w:r w:rsidRPr="00B77C8C">
        <w:t xml:space="preserve">, the </w:t>
      </w:r>
      <w:r w:rsidRPr="0050196A">
        <w:t>Commission will continue to:</w:t>
      </w:r>
    </w:p>
    <w:p w14:paraId="6CC43D21" w14:textId="77777777" w:rsidR="00991E6C" w:rsidRPr="00D46928" w:rsidRDefault="00991E6C" w:rsidP="0052179D">
      <w:pPr>
        <w:pStyle w:val="ListParagraph"/>
        <w:numPr>
          <w:ilvl w:val="0"/>
          <w:numId w:val="9"/>
        </w:numPr>
        <w:spacing w:before="0" w:after="60"/>
        <w:ind w:left="568" w:hanging="284"/>
        <w:contextualSpacing w:val="0"/>
      </w:pPr>
      <w:r w:rsidRPr="00D46928">
        <w:t xml:space="preserve">Monitor CARs reported to CARAlert, maintain the CARAlert system and communicate CARAlert and other Antimicrobial Use and Resistance in Australia (AURA) surveillance data and key findings to states, territories, the Department of Health and Aged Care and relevant </w:t>
      </w:r>
      <w:proofErr w:type="gramStart"/>
      <w:r w:rsidRPr="00D46928">
        <w:t>experts</w:t>
      </w:r>
      <w:proofErr w:type="gramEnd"/>
    </w:p>
    <w:p w14:paraId="3F6A0756" w14:textId="09D2F65D" w:rsidR="00991E6C" w:rsidRPr="00D46928" w:rsidRDefault="00991E6C" w:rsidP="0052179D">
      <w:pPr>
        <w:pStyle w:val="ListParagraph"/>
        <w:numPr>
          <w:ilvl w:val="0"/>
          <w:numId w:val="9"/>
        </w:numPr>
        <w:spacing w:before="0" w:after="60"/>
        <w:ind w:left="568" w:hanging="284"/>
        <w:contextualSpacing w:val="0"/>
      </w:pPr>
      <w:r w:rsidRPr="00D46928">
        <w:t xml:space="preserve">Maintain the currency of and promote compliance with the </w:t>
      </w:r>
      <w:r w:rsidRPr="00D46928">
        <w:rPr>
          <w:i/>
          <w:iCs/>
        </w:rPr>
        <w:t>Australian Guidelines for the Prevention and Control of Infection in Healthcare</w:t>
      </w:r>
      <w:r w:rsidRPr="00D46928">
        <w:rPr>
          <w:vertAlign w:val="superscript"/>
        </w:rPr>
        <w:fldChar w:fldCharType="begin"/>
      </w:r>
      <w:r w:rsidR="0029488B">
        <w:rPr>
          <w:vertAlign w:val="superscript"/>
        </w:rPr>
        <w:instrText xml:space="preserve"> ADDIN EN.CITE &lt;EndNote&gt;&lt;Cite&gt;&lt;Author&gt;National Health and Medical Research Council&lt;/Author&gt;&lt;Year&gt;2019&lt;/Year&gt;&lt;RecNum&gt;1569&lt;/RecNum&gt;&lt;DisplayText&gt;&lt;style face="superscript"&gt;1&lt;/style&gt;&lt;/DisplayText&gt;&lt;record&gt;&lt;rec-number&gt;1569&lt;/rec-number&gt;&lt;foreign-keys&gt;&lt;key app="EN" db-id="50sdzz5rpr5pp3ev5wcv00w55dtazdrrfws9" timestamp="1613958205"&gt;1569&lt;/key&gt;&lt;/foreign-keys&gt;&lt;ref-type name="Report"&gt;27&lt;/ref-type&gt;&lt;contributors&gt;&lt;authors&gt;&lt;author&gt;National Health and Medical Research Council,&lt;/author&gt;&lt;author&gt;Australian Commission on Safety and Quality in Health Care,&lt;/author&gt;&lt;/authors&gt;&lt;/contributors&gt;&lt;titles&gt;&lt;title&gt;Australian Guidelines for the Prevention and Control of Infection in Healthcare&lt;/title&gt;&lt;/titles&gt;&lt;dates&gt;&lt;year&gt;2019&lt;/year&gt;&lt;/dates&gt;&lt;pub-location&gt;Sydney&lt;/pub-location&gt;&lt;publisher&gt;NHMRC&lt;/publisher&gt;&lt;urls&gt;&lt;related-urls&gt;&lt;url&gt;https://www.nhmrc.gov.au/sites/default/files/documents/infection-control-guidelines-feb2020.pdf&lt;/url&gt;&lt;/related-urls&gt;&lt;/urls&gt;&lt;/record&gt;&lt;/Cite&gt;&lt;/EndNote&gt;</w:instrText>
      </w:r>
      <w:r w:rsidRPr="00D46928">
        <w:rPr>
          <w:vertAlign w:val="superscript"/>
        </w:rPr>
        <w:fldChar w:fldCharType="separate"/>
      </w:r>
      <w:r w:rsidRPr="00D46928">
        <w:rPr>
          <w:noProof/>
          <w:vertAlign w:val="superscript"/>
        </w:rPr>
        <w:t>1</w:t>
      </w:r>
      <w:r w:rsidRPr="00D46928">
        <w:rPr>
          <w:lang w:val="en-GB"/>
        </w:rPr>
        <w:fldChar w:fldCharType="end"/>
      </w:r>
      <w:r w:rsidRPr="00D46928">
        <w:t xml:space="preserve"> as required by the NSQHS Standards</w:t>
      </w:r>
      <w:r w:rsidRPr="00D46928">
        <w:fldChar w:fldCharType="begin"/>
      </w:r>
      <w:r w:rsidRPr="00D46928">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Pr="00D46928">
        <w:fldChar w:fldCharType="separate"/>
      </w:r>
      <w:r w:rsidRPr="00D46928">
        <w:rPr>
          <w:vertAlign w:val="superscript"/>
        </w:rPr>
        <w:t>2</w:t>
      </w:r>
      <w:r w:rsidRPr="00D46928">
        <w:rPr>
          <w:lang w:val="en-GB"/>
        </w:rPr>
        <w:fldChar w:fldCharType="end"/>
      </w:r>
      <w:r w:rsidRPr="00D46928">
        <w:rPr>
          <w:lang w:val="en-GB"/>
        </w:rPr>
        <w:t xml:space="preserve">, </w:t>
      </w:r>
      <w:r w:rsidRPr="00D46928">
        <w:t>and relevant local guidance for the response to CPE</w:t>
      </w:r>
    </w:p>
    <w:p w14:paraId="61A83AE4" w14:textId="1B78FB9E" w:rsidR="00991E6C" w:rsidRPr="00D46928" w:rsidRDefault="00991E6C" w:rsidP="0052179D">
      <w:pPr>
        <w:pStyle w:val="ListParagraph"/>
        <w:numPr>
          <w:ilvl w:val="0"/>
          <w:numId w:val="9"/>
        </w:numPr>
        <w:spacing w:before="0" w:after="60"/>
        <w:ind w:left="568" w:hanging="284"/>
        <w:contextualSpacing w:val="0"/>
      </w:pPr>
      <w:r w:rsidRPr="00D46928">
        <w:t xml:space="preserve">Maintain the currency of and promote implementation of guidance for specific organisms, such as the </w:t>
      </w:r>
      <w:r w:rsidRPr="00D46928">
        <w:rPr>
          <w:i/>
          <w:iCs/>
        </w:rPr>
        <w:t xml:space="preserve">Recommendations for the control of carbapenemase-producing </w:t>
      </w:r>
      <w:r w:rsidRPr="00D46928">
        <w:t xml:space="preserve">Enterobacterales </w:t>
      </w:r>
      <w:r w:rsidRPr="00D46928">
        <w:rPr>
          <w:i/>
          <w:iCs/>
        </w:rPr>
        <w:t>(CPE): A guide for acute care health service organisations</w:t>
      </w:r>
      <w:r w:rsidRPr="00D46928">
        <w:rPr>
          <w:vertAlign w:val="superscript"/>
        </w:rPr>
        <w:fldChar w:fldCharType="begin"/>
      </w:r>
      <w:r w:rsidR="00B17B22">
        <w:rPr>
          <w:vertAlign w:val="superscript"/>
        </w:rPr>
        <w:instrText xml:space="preserve"> ADDIN EN.CITE &lt;EndNote&gt;&lt;Cite&gt;&lt;Author&gt;Australian Commission on Safety and Quality in Health Care&lt;/Author&gt;&lt;Year&gt;2021&lt;/Year&gt;&lt;RecNum&gt;565&lt;/RecNum&gt;&lt;DisplayText&gt;&lt;style face="superscript"&gt;3&lt;/style&gt;&lt;/DisplayText&gt;&lt;record&gt;&lt;rec-number&gt;565&lt;/rec-number&gt;&lt;foreign-keys&gt;&lt;key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Pr="00D46928">
        <w:rPr>
          <w:vertAlign w:val="superscript"/>
        </w:rPr>
        <w:fldChar w:fldCharType="separate"/>
      </w:r>
      <w:r w:rsidRPr="00D46928">
        <w:rPr>
          <w:noProof/>
          <w:vertAlign w:val="superscript"/>
        </w:rPr>
        <w:t>3</w:t>
      </w:r>
      <w:r w:rsidRPr="00D46928">
        <w:rPr>
          <w:lang w:val="en-GB"/>
        </w:rPr>
        <w:fldChar w:fldCharType="end"/>
      </w:r>
      <w:r w:rsidRPr="00D46928">
        <w:rPr>
          <w:lang w:val="en-GB"/>
        </w:rPr>
        <w:t xml:space="preserve"> and </w:t>
      </w:r>
      <w:r w:rsidRPr="00D46928">
        <w:t>promote the consistency of screening, infection prevention and control practices, and outbreak responses to improve CPE containment</w:t>
      </w:r>
    </w:p>
    <w:p w14:paraId="0DE83611" w14:textId="4678EA4A" w:rsidR="00991E6C" w:rsidRPr="00D46928" w:rsidRDefault="00991E6C" w:rsidP="0052179D">
      <w:pPr>
        <w:pStyle w:val="ListParagraph"/>
        <w:numPr>
          <w:ilvl w:val="0"/>
          <w:numId w:val="9"/>
        </w:numPr>
        <w:spacing w:before="0" w:after="60"/>
        <w:ind w:left="568" w:hanging="284"/>
        <w:contextualSpacing w:val="0"/>
      </w:pPr>
      <w:r w:rsidRPr="00D46928">
        <w:t>Use CARAlert and other AURA data to refine and strengthen approaches to infection prevention and control and AMS, and support implementation of the NSQHS Standards</w:t>
      </w:r>
      <w:r w:rsidRPr="00D46928">
        <w:fldChar w:fldCharType="begin"/>
      </w:r>
      <w:r w:rsidRPr="00D46928">
        <w:instrText xml:space="preserve"> ADDIN EN.CITE &lt;EndNote&gt;&lt;Cite&gt;&lt;Author&gt;Australian Commission on Safety and Quality in Health Care&lt;/Author&gt;&lt;Year&gt;2021&lt;/Year&gt;&lt;RecNum&gt;44&lt;/RecNum&gt;&lt;DisplayText&gt;&lt;style face="superscript"&gt;2&lt;/style&gt;&lt;/DisplayText&gt;&lt;record&gt;&lt;rec-number&gt;44&lt;/rec-number&gt;&lt;foreign-keys&gt;&lt;key app="EN" db-id="vzwf0pfzpvev5nezsr65z5xvafz5xzavdxw9" timestamp="1676827759"&gt;44&lt;/key&gt;&lt;/foreign-keys&gt;&lt;ref-type name="Report"&gt;27&lt;/ref-type&gt;&lt;contributors&gt;&lt;authors&gt;&lt;author&gt;Australian Commission on Safety and Quality in Health Care,&lt;/author&gt;&lt;/authors&gt;&lt;/contributors&gt;&lt;titles&gt;&lt;title&gt;National Safety and Quality Health Service Standards. 2nd ed. – version 2&lt;/title&gt;&lt;/titles&gt;&lt;edition&gt;2nd&lt;/edition&gt;&lt;dates&gt;&lt;year&gt;2021&lt;/year&gt;&lt;/dates&gt;&lt;pub-location&gt;Sydney&lt;/pub-location&gt;&lt;publisher&gt;ACSQHC&lt;/publisher&gt;&lt;urls&gt;&lt;related-urls&gt;&lt;url&gt;https://www.safetyandquality.gov.au/sites/default/files/2019-04/National-Safety-and-Quality-Health-Service-Standards-second-edition.pdf&lt;/url&gt;&lt;/related-urls&gt;&lt;/urls&gt;&lt;/record&gt;&lt;/Cite&gt;&lt;/EndNote&gt;</w:instrText>
      </w:r>
      <w:r w:rsidRPr="00D46928">
        <w:fldChar w:fldCharType="separate"/>
      </w:r>
      <w:r w:rsidRPr="00D46928">
        <w:rPr>
          <w:vertAlign w:val="superscript"/>
        </w:rPr>
        <w:t>2</w:t>
      </w:r>
      <w:r w:rsidRPr="00D46928">
        <w:rPr>
          <w:lang w:val="en-GB"/>
        </w:rPr>
        <w:fldChar w:fldCharType="end"/>
      </w:r>
      <w:r w:rsidRPr="00D46928">
        <w:t>, the National Safety and Quality Primary and Community Healthcare Standards</w:t>
      </w:r>
      <w:r w:rsidRPr="00D46928">
        <w:fldChar w:fldCharType="begin"/>
      </w:r>
      <w:r w:rsidRPr="00D46928">
        <w:instrText xml:space="preserve"> ADDIN EN.CITE &lt;EndNote&gt;&lt;Cite&gt;&lt;Author&gt;Australian Commission on Safety and Quality in Health Care&lt;/Author&gt;&lt;Year&gt;2021&lt;/Year&gt;&lt;RecNum&gt;204&lt;/RecNum&gt;&lt;DisplayText&gt;&lt;style face="superscript"&gt;4&lt;/style&gt;&lt;/DisplayText&gt;&lt;record&gt;&lt;rec-number&gt;204&lt;/rec-number&gt;&lt;foreign-keys&gt;&lt;key app="EN" db-id="vzwf0pfzpvev5nezsr65z5xvafz5xzavdxw9" timestamp="1679278453"&gt;204&lt;/key&gt;&lt;/foreign-keys&gt;&lt;ref-type name="Generic"&gt;13&lt;/ref-type&gt;&lt;contributors&gt;&lt;authors&gt;&lt;author&gt;Australian Commission on Safety and Quality in Health Care,&lt;/author&gt;&lt;/authors&gt;&lt;/contributors&gt;&lt;titles&gt;&lt;title&gt;National Safety and Quality Health Service Primary and Community Healthcare Standards&lt;/title&gt;&lt;/titles&gt;&lt;dates&gt;&lt;year&gt;2021&lt;/year&gt;&lt;/dates&gt;&lt;pub-location&gt;Sydney&lt;/pub-location&gt;&lt;publisher&gt;ACSQHC&lt;/publisher&gt;&lt;urls&gt;&lt;/urls&gt;&lt;electronic-resource-num&gt;https://www.safetyandquality.gov.au/standards/aged-care-quality-standards-clinical-care&lt;/electronic-resource-num&gt;&lt;/record&gt;&lt;/Cite&gt;&lt;/EndNote&gt;</w:instrText>
      </w:r>
      <w:r w:rsidRPr="00D46928">
        <w:fldChar w:fldCharType="separate"/>
      </w:r>
      <w:r w:rsidRPr="00D46928">
        <w:rPr>
          <w:vertAlign w:val="superscript"/>
        </w:rPr>
        <w:t>4</w:t>
      </w:r>
      <w:r w:rsidRPr="00D46928">
        <w:rPr>
          <w:lang w:val="en-GB"/>
        </w:rPr>
        <w:fldChar w:fldCharType="end"/>
      </w:r>
      <w:r w:rsidRPr="00D46928">
        <w:t xml:space="preserve"> and the AMS Clinical Care Standard</w:t>
      </w:r>
      <w:r w:rsidRPr="00D46928">
        <w:fldChar w:fldCharType="begin"/>
      </w:r>
      <w:r w:rsidR="00B17B22">
        <w:instrText xml:space="preserve"> ADDIN EN.CITE &lt;EndNote&gt;&lt;Cite&gt;&lt;Author&gt;Australian Commission on Safety and Quality in Health Care&lt;/Author&gt;&lt;Year&gt;2020&lt;/Year&gt;&lt;RecNum&gt;168&lt;/RecNum&gt;&lt;DisplayText&gt;&lt;style face="superscript"&gt;5&lt;/style&gt;&lt;/DisplayText&gt;&lt;record&gt;&lt;rec-number&gt;168&lt;/rec-number&gt;&lt;foreign-keys&gt;&lt;key app="EN" db-id="wtev2ss0rtrrwme0r0opprfvtfvztrraaz9e" timestamp="1676827768" guid="89467ffb-4bf8-40b7-86b6-72432cae9b9a"&gt;168&lt;/key&gt;&lt;/foreign-keys&gt;&lt;ref-type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access-date&gt;24 May 2021&lt;/access-date&gt;&lt;/record&gt;&lt;/Cite&gt;&lt;/EndNote&gt;</w:instrText>
      </w:r>
      <w:r w:rsidRPr="00D46928">
        <w:fldChar w:fldCharType="separate"/>
      </w:r>
      <w:r w:rsidRPr="00D46928">
        <w:rPr>
          <w:noProof/>
          <w:vertAlign w:val="superscript"/>
        </w:rPr>
        <w:t>5</w:t>
      </w:r>
      <w:r w:rsidRPr="00D46928">
        <w:rPr>
          <w:lang w:val="en-GB"/>
        </w:rPr>
        <w:fldChar w:fldCharType="end"/>
      </w:r>
    </w:p>
    <w:p w14:paraId="206ED99C" w14:textId="77777777" w:rsidR="00991E6C" w:rsidRPr="00D46928" w:rsidRDefault="00991E6C" w:rsidP="0052179D">
      <w:pPr>
        <w:pStyle w:val="ListParagraph"/>
        <w:numPr>
          <w:ilvl w:val="0"/>
          <w:numId w:val="9"/>
        </w:numPr>
        <w:spacing w:before="0" w:after="60"/>
        <w:ind w:left="568" w:hanging="284"/>
        <w:contextualSpacing w:val="0"/>
      </w:pPr>
      <w:r w:rsidRPr="00D46928">
        <w:t>Liaise with the Aged Care Quality and Safety Commission and aged care provider organisations and develop resources to support implementation of infection prevention and control programs in aged care homes to meet the requirements of the Aged Care Quality Standards, particularly the strengthened Aged Care Clinical Standard</w:t>
      </w:r>
      <w:r w:rsidRPr="00D46928">
        <w:fldChar w:fldCharType="begin"/>
      </w:r>
      <w:r w:rsidRPr="00D46928">
        <w:instrText xml:space="preserve"> ADDIN EN.CITE &lt;EndNote&gt;&lt;Cite&gt;&lt;Author&gt;Australian Commission on Safety and Quality in Health Care&lt;/Author&gt;&lt;Year&gt;2023&lt;/Year&gt;&lt;RecNum&gt;250&lt;/RecNum&gt;&lt;DisplayText&gt;&lt;style face="superscript"&gt;6&lt;/style&gt;&lt;/DisplayText&gt;&lt;record&gt;&lt;rec-number&gt;250&lt;/rec-number&gt;&lt;foreign-keys&gt;&lt;key app="EN" db-id="vzwf0pfzpvev5nezsr65z5xvafz5xzavdxw9" timestamp="1682659375"&gt;250&lt;/key&gt;&lt;/foreign-keys&gt;&lt;ref-type name="Web Page"&gt;12&lt;/ref-type&gt;&lt;contributors&gt;&lt;authors&gt;&lt;author&gt;Australian Commission on Safety and Quality in Health Care,&lt;/author&gt;&lt;/authors&gt;&lt;/contributors&gt;&lt;titles&gt;&lt;title&gt;Aged Care Quality Standards – Clinical Care&lt;/title&gt;&lt;/titles&gt;&lt;volume&gt;2023&lt;/volume&gt;&lt;number&gt;March 2023&lt;/number&gt;&lt;dates&gt;&lt;year&gt;2023&lt;/year&gt;&lt;/dates&gt;&lt;pub-location&gt;Sydney&lt;/pub-location&gt;&lt;publisher&gt;ACSQHC&lt;/publisher&gt;&lt;urls&gt;&lt;related-urls&gt;&lt;url&gt;https://www.safetyandquality.gov.au/standards/aged-care-quality-standards-clinical-care&lt;/url&gt;&lt;/related-urls&gt;&lt;/urls&gt;&lt;/record&gt;&lt;/Cite&gt;&lt;/EndNote&gt;</w:instrText>
      </w:r>
      <w:r w:rsidRPr="00D46928">
        <w:fldChar w:fldCharType="separate"/>
      </w:r>
      <w:r w:rsidRPr="00D46928">
        <w:rPr>
          <w:vertAlign w:val="superscript"/>
        </w:rPr>
        <w:t>6</w:t>
      </w:r>
      <w:r w:rsidRPr="00D46928">
        <w:rPr>
          <w:lang w:val="en-GB"/>
        </w:rPr>
        <w:fldChar w:fldCharType="end"/>
      </w:r>
    </w:p>
    <w:p w14:paraId="5B57ACEA" w14:textId="77777777" w:rsidR="00991E6C" w:rsidRDefault="00991E6C" w:rsidP="0052179D">
      <w:pPr>
        <w:pStyle w:val="ListParagraph"/>
        <w:numPr>
          <w:ilvl w:val="0"/>
          <w:numId w:val="9"/>
        </w:numPr>
        <w:spacing w:before="0" w:after="60"/>
        <w:ind w:left="568" w:hanging="284"/>
        <w:contextualSpacing w:val="0"/>
      </w:pPr>
      <w:r w:rsidRPr="00D46928">
        <w:t xml:space="preserve">Support collaboration between states and territories and hospital and community care settings to prevent and control </w:t>
      </w:r>
      <w:proofErr w:type="gramStart"/>
      <w:r w:rsidRPr="00D46928">
        <w:t>CARs</w:t>
      </w:r>
      <w:proofErr w:type="gramEnd"/>
    </w:p>
    <w:p w14:paraId="51E74E1C" w14:textId="56FD3DF0" w:rsidR="00991E6C" w:rsidRDefault="00991E6C" w:rsidP="000B6501">
      <w:pPr>
        <w:pStyle w:val="ListParagraph"/>
        <w:numPr>
          <w:ilvl w:val="0"/>
          <w:numId w:val="9"/>
        </w:numPr>
        <w:spacing w:before="0" w:after="80"/>
      </w:pPr>
      <w:r w:rsidRPr="00D46928">
        <w:t xml:space="preserve">Prepare analyses of </w:t>
      </w:r>
      <w:r w:rsidR="00386A45">
        <w:t>AMR</w:t>
      </w:r>
      <w:r w:rsidRPr="00D46928">
        <w:t xml:space="preserve"> data for, and liaise with Therapeutic Guidelines Limited, the organisation that develops guidance on antimicrobial prescribing in Australia.</w:t>
      </w:r>
      <w:r>
        <w:br w:type="page"/>
      </w:r>
    </w:p>
    <w:p w14:paraId="6F09A4E8" w14:textId="77777777" w:rsidR="00EB6106" w:rsidRDefault="00EB6106" w:rsidP="00FE0619">
      <w:pPr>
        <w:pStyle w:val="Heading2"/>
      </w:pPr>
      <w:bookmarkStart w:id="40" w:name="_Toc166585587"/>
      <w:r>
        <w:lastRenderedPageBreak/>
        <w:t>References</w:t>
      </w:r>
      <w:bookmarkEnd w:id="40"/>
    </w:p>
    <w:p w14:paraId="076E5E36" w14:textId="77777777" w:rsidR="0029488B" w:rsidRPr="0029488B" w:rsidRDefault="00EB6106" w:rsidP="0029488B">
      <w:pPr>
        <w:pStyle w:val="EndNoteBibliography"/>
        <w:spacing w:after="0"/>
        <w:ind w:left="720" w:hanging="720"/>
      </w:pPr>
      <w:r>
        <w:fldChar w:fldCharType="begin"/>
      </w:r>
      <w:r>
        <w:instrText xml:space="preserve"> ADDIN EN.REFLIST </w:instrText>
      </w:r>
      <w:r>
        <w:fldChar w:fldCharType="separate"/>
      </w:r>
      <w:r w:rsidR="0029488B" w:rsidRPr="0029488B">
        <w:t>1.</w:t>
      </w:r>
      <w:r w:rsidR="0029488B" w:rsidRPr="0029488B">
        <w:tab/>
        <w:t>National Health and Medical Research Council, Australian Commission on Safety and Quality in Health Care. Australian Guidelines for the Prevention and Control of Infection in Healthcare. Sydney: NHMRC, 2019.</w:t>
      </w:r>
    </w:p>
    <w:p w14:paraId="54593F40" w14:textId="77777777" w:rsidR="0029488B" w:rsidRPr="0029488B" w:rsidRDefault="0029488B" w:rsidP="0029488B">
      <w:pPr>
        <w:pStyle w:val="EndNoteBibliography"/>
        <w:spacing w:after="0"/>
        <w:ind w:left="720" w:hanging="720"/>
      </w:pPr>
      <w:r w:rsidRPr="0029488B">
        <w:t>2.</w:t>
      </w:r>
      <w:r w:rsidRPr="0029488B">
        <w:tab/>
        <w:t>Australian Commission on Safety and Quality in Health Care. National Safety and Quality Health Service Standards. 2nd ed. – version 2. Sydney: ACSQHC, 2021.</w:t>
      </w:r>
    </w:p>
    <w:p w14:paraId="25784396" w14:textId="77777777" w:rsidR="0029488B" w:rsidRPr="0029488B" w:rsidRDefault="0029488B" w:rsidP="0029488B">
      <w:pPr>
        <w:pStyle w:val="EndNoteBibliography"/>
        <w:spacing w:after="0"/>
        <w:ind w:left="720" w:hanging="720"/>
      </w:pPr>
      <w:r w:rsidRPr="0029488B">
        <w:t>3.</w:t>
      </w:r>
      <w:r w:rsidRPr="0029488B">
        <w:tab/>
        <w:t xml:space="preserve">Australian Commission on Safety and Quality in Health Care. Recommendations for the control of carbapenemase-producing </w:t>
      </w:r>
      <w:r w:rsidRPr="0029488B">
        <w:rPr>
          <w:i/>
        </w:rPr>
        <w:t xml:space="preserve">Enterobacterales </w:t>
      </w:r>
      <w:r w:rsidRPr="0029488B">
        <w:t>(CPE). A guide for acute care health service organisations. Sydney: ACSQHC, 2021.</w:t>
      </w:r>
    </w:p>
    <w:p w14:paraId="6747CDAE" w14:textId="77777777" w:rsidR="0029488B" w:rsidRPr="0029488B" w:rsidRDefault="0029488B" w:rsidP="0029488B">
      <w:pPr>
        <w:pStyle w:val="EndNoteBibliography"/>
        <w:spacing w:after="0"/>
        <w:ind w:left="720" w:hanging="720"/>
      </w:pPr>
      <w:r w:rsidRPr="0029488B">
        <w:t>4.</w:t>
      </w:r>
      <w:r w:rsidRPr="0029488B">
        <w:tab/>
        <w:t>Australian Commission on Safety and Quality in Health Care. National Safety and Quality Health Service Primary and Community Healthcare Standards. Sydney: ACSQHC; 2021.</w:t>
      </w:r>
    </w:p>
    <w:p w14:paraId="31238AB9" w14:textId="77777777" w:rsidR="0029488B" w:rsidRPr="0029488B" w:rsidRDefault="0029488B" w:rsidP="0029488B">
      <w:pPr>
        <w:pStyle w:val="EndNoteBibliography"/>
        <w:spacing w:after="0"/>
        <w:ind w:left="720" w:hanging="720"/>
      </w:pPr>
      <w:r w:rsidRPr="0029488B">
        <w:t>5.</w:t>
      </w:r>
      <w:r w:rsidRPr="0029488B">
        <w:tab/>
        <w:t>Australian Commission on Safety and Quality in Health Care. Antimicrobial Stewardship Clinical Care Standard. Sydney: ACSQHC; 2020.</w:t>
      </w:r>
    </w:p>
    <w:p w14:paraId="4B76C974" w14:textId="25CDEAD3" w:rsidR="0029488B" w:rsidRPr="0029488B" w:rsidRDefault="0029488B" w:rsidP="0029488B">
      <w:pPr>
        <w:pStyle w:val="EndNoteBibliography"/>
        <w:spacing w:after="0"/>
        <w:ind w:left="720" w:hanging="720"/>
      </w:pPr>
      <w:r w:rsidRPr="0029488B">
        <w:t>6.</w:t>
      </w:r>
      <w:r w:rsidRPr="0029488B">
        <w:tab/>
        <w:t xml:space="preserve">Australian Commission on Safety and Quality in Health Care. Aged Care Quality Standards – Clinical Care. [Internet] Sydney: ACSQHC; 2023 [cited March 2023] Available from: </w:t>
      </w:r>
      <w:hyperlink r:id="rId61" w:history="1">
        <w:r w:rsidRPr="0029488B">
          <w:rPr>
            <w:rStyle w:val="Hyperlink"/>
          </w:rPr>
          <w:t>https://www.safetyandquality.gov.au/standards/aged-care-quality-standards-clinical-care</w:t>
        </w:r>
      </w:hyperlink>
      <w:r w:rsidRPr="0029488B">
        <w:t>.</w:t>
      </w:r>
    </w:p>
    <w:p w14:paraId="1E9CE6B2" w14:textId="77777777" w:rsidR="0029488B" w:rsidRPr="0029488B" w:rsidRDefault="0029488B" w:rsidP="0029488B">
      <w:pPr>
        <w:pStyle w:val="EndNoteBibliography"/>
        <w:spacing w:after="0"/>
        <w:ind w:left="720" w:hanging="720"/>
      </w:pPr>
      <w:r w:rsidRPr="0029488B">
        <w:t>7.</w:t>
      </w:r>
      <w:r w:rsidRPr="0029488B">
        <w:tab/>
        <w:t xml:space="preserve">Assis R, Lasnoy M, Adler A. Clinical and epidemiological features of patients colonised by different types of carbapenemase-producing </w:t>
      </w:r>
      <w:r w:rsidRPr="0029488B">
        <w:rPr>
          <w:i/>
        </w:rPr>
        <w:t>Enterobacterales</w:t>
      </w:r>
      <w:r w:rsidRPr="0029488B">
        <w:t>. J Glob Antimicrob Resist. 2021;26:108-113.</w:t>
      </w:r>
    </w:p>
    <w:p w14:paraId="68C08AC6" w14:textId="77777777" w:rsidR="0029488B" w:rsidRPr="0029488B" w:rsidRDefault="0029488B" w:rsidP="0029488B">
      <w:pPr>
        <w:pStyle w:val="EndNoteBibliography"/>
        <w:spacing w:after="0"/>
        <w:ind w:left="720" w:hanging="720"/>
      </w:pPr>
      <w:r w:rsidRPr="0029488B">
        <w:t>8.</w:t>
      </w:r>
      <w:r w:rsidRPr="0029488B">
        <w:tab/>
        <w:t xml:space="preserve">Tyson GH, Li C, Hsu CH, Ayers S, Borenstein S, Mukherjee S, et al. The </w:t>
      </w:r>
      <w:r w:rsidRPr="0029488B">
        <w:rPr>
          <w:i/>
        </w:rPr>
        <w:t>mcr-9</w:t>
      </w:r>
      <w:r w:rsidRPr="0029488B">
        <w:t xml:space="preserve"> Gene of </w:t>
      </w:r>
      <w:r w:rsidRPr="0029488B">
        <w:rPr>
          <w:i/>
        </w:rPr>
        <w:t>Salmonella</w:t>
      </w:r>
      <w:r w:rsidRPr="0029488B">
        <w:t xml:space="preserve"> and </w:t>
      </w:r>
      <w:r w:rsidRPr="0029488B">
        <w:rPr>
          <w:i/>
        </w:rPr>
        <w:t>Escherichia coli</w:t>
      </w:r>
      <w:r w:rsidRPr="0029488B">
        <w:t xml:space="preserve"> Is not associated with colistin resistance in the United States. Antimicrob Agents Chemother. 2020;64(8).</w:t>
      </w:r>
    </w:p>
    <w:p w14:paraId="145238A4" w14:textId="52099005" w:rsidR="0029488B" w:rsidRPr="0029488B" w:rsidRDefault="0029488B" w:rsidP="0029488B">
      <w:pPr>
        <w:pStyle w:val="EndNoteBibliography"/>
        <w:spacing w:after="0"/>
        <w:ind w:left="720" w:hanging="720"/>
      </w:pPr>
      <w:r w:rsidRPr="0029488B">
        <w:t>9.</w:t>
      </w:r>
      <w:r w:rsidRPr="0029488B">
        <w:tab/>
        <w:t xml:space="preserve">Australian Government Department of Health and Aged Care. National Notifiable Diseases Surveillance Dashboard. [Internet] Canberra: Department of Health and Aged Care; 2023 [cited March 2023] Available from: </w:t>
      </w:r>
      <w:hyperlink r:id="rId62" w:history="1">
        <w:r w:rsidRPr="0029488B">
          <w:rPr>
            <w:rStyle w:val="Hyperlink"/>
          </w:rPr>
          <w:t>https://nindss.health.gov.au/pbi-dashboard/</w:t>
        </w:r>
      </w:hyperlink>
      <w:r w:rsidRPr="0029488B">
        <w:t>.</w:t>
      </w:r>
    </w:p>
    <w:p w14:paraId="2C069D39" w14:textId="77777777" w:rsidR="0029488B" w:rsidRPr="0029488B" w:rsidRDefault="0029488B" w:rsidP="0029488B">
      <w:pPr>
        <w:pStyle w:val="EndNoteBibliography"/>
        <w:spacing w:after="0"/>
        <w:ind w:left="720" w:hanging="720"/>
      </w:pPr>
      <w:r w:rsidRPr="0029488B">
        <w:t>10.</w:t>
      </w:r>
      <w:r w:rsidRPr="0029488B">
        <w:tab/>
        <w:t xml:space="preserve">Hanrahan JK, Hogan TR, Buckley C, Trembizki E, Mitchell H, Lau CL, et al. Emergence and spread of ciprofloxacin-resistant </w:t>
      </w:r>
      <w:r w:rsidRPr="0029488B">
        <w:rPr>
          <w:i/>
        </w:rPr>
        <w:t>Neisseria gonorrhoeae</w:t>
      </w:r>
      <w:r w:rsidRPr="0029488B">
        <w:t xml:space="preserve"> in New South Wales, Australia: lessons from history. J Antimicrob Chemother. 2019;74(8):2214-2219.</w:t>
      </w:r>
    </w:p>
    <w:p w14:paraId="342CED4B" w14:textId="77777777" w:rsidR="0029488B" w:rsidRPr="0029488B" w:rsidRDefault="0029488B" w:rsidP="0029488B">
      <w:pPr>
        <w:pStyle w:val="EndNoteBibliography"/>
        <w:spacing w:after="0"/>
        <w:ind w:left="720" w:hanging="720"/>
      </w:pPr>
      <w:r w:rsidRPr="0029488B">
        <w:t>11.</w:t>
      </w:r>
      <w:r w:rsidRPr="0029488B">
        <w:tab/>
        <w:t xml:space="preserve">Tapsall JW, Limnios EA, Murphy D. Analysis of trends in antimicrobial resistance in </w:t>
      </w:r>
      <w:r w:rsidRPr="0029488B">
        <w:rPr>
          <w:i/>
        </w:rPr>
        <w:t>Neisseria gonorrhoeae</w:t>
      </w:r>
      <w:r w:rsidRPr="0029488B">
        <w:t xml:space="preserve"> isolated in Australia, 1997-2006. J Antimicrob Chemother. 2008;61(1):150-155.</w:t>
      </w:r>
    </w:p>
    <w:p w14:paraId="157897DC" w14:textId="77777777" w:rsidR="0029488B" w:rsidRPr="0029488B" w:rsidRDefault="0029488B" w:rsidP="0029488B">
      <w:pPr>
        <w:pStyle w:val="EndNoteBibliography"/>
        <w:spacing w:after="0"/>
        <w:ind w:left="720" w:hanging="720"/>
      </w:pPr>
      <w:r w:rsidRPr="0029488B">
        <w:t>12.</w:t>
      </w:r>
      <w:r w:rsidRPr="0029488B">
        <w:tab/>
        <w:t xml:space="preserve">Eyre DW, Town K, Street T, Barker L, Sanderson N, Cole MJ, et al. Detection in the United Kingdom of the </w:t>
      </w:r>
      <w:r w:rsidRPr="0029488B">
        <w:rPr>
          <w:i/>
        </w:rPr>
        <w:t>Neisseria gonorrhoeae</w:t>
      </w:r>
      <w:r w:rsidRPr="0029488B">
        <w:t xml:space="preserve"> FC428 clone, with ceftriaxone resistance and intermediate resistance to azithromycin, October to December 2018. Euro Surveill. 2019;24(10).</w:t>
      </w:r>
    </w:p>
    <w:p w14:paraId="0EF34066" w14:textId="77777777" w:rsidR="0029488B" w:rsidRPr="0029488B" w:rsidRDefault="0029488B" w:rsidP="0029488B">
      <w:pPr>
        <w:pStyle w:val="EndNoteBibliography"/>
        <w:spacing w:after="0"/>
        <w:ind w:left="720" w:hanging="720"/>
      </w:pPr>
      <w:r w:rsidRPr="0029488B">
        <w:t>13.</w:t>
      </w:r>
      <w:r w:rsidRPr="0029488B">
        <w:tab/>
        <w:t>Fifer H, Hughes G, Whiley D, Lahra MM. Lessons learnt from ceftriaxone-resistant gonorrhoea in the UK and Australia. Lancet Infect Dis. 2020;20(3):276-278.</w:t>
      </w:r>
    </w:p>
    <w:p w14:paraId="412383CC" w14:textId="77777777" w:rsidR="0029488B" w:rsidRPr="0029488B" w:rsidRDefault="0029488B" w:rsidP="0029488B">
      <w:pPr>
        <w:pStyle w:val="EndNoteBibliography"/>
        <w:spacing w:after="0"/>
        <w:ind w:left="720" w:hanging="720"/>
      </w:pPr>
      <w:r w:rsidRPr="0029488B">
        <w:t>14.</w:t>
      </w:r>
      <w:r w:rsidRPr="0029488B">
        <w:tab/>
        <w:t xml:space="preserve">Unemo M, Golparian D, Eyre DW. Antimicrobial Resistance in </w:t>
      </w:r>
      <w:r w:rsidRPr="0029488B">
        <w:rPr>
          <w:i/>
        </w:rPr>
        <w:t>Neisseria gonorrhoeae</w:t>
      </w:r>
      <w:r w:rsidRPr="0029488B">
        <w:t xml:space="preserve"> and Treatment of Gonorrhea. Methods Mol Biol. 2019;1997:37-58.</w:t>
      </w:r>
    </w:p>
    <w:p w14:paraId="04A8BF02" w14:textId="77777777" w:rsidR="0029488B" w:rsidRPr="0029488B" w:rsidRDefault="0029488B" w:rsidP="0029488B">
      <w:pPr>
        <w:pStyle w:val="EndNoteBibliography"/>
        <w:spacing w:after="0"/>
        <w:ind w:left="720" w:hanging="720"/>
      </w:pPr>
      <w:r w:rsidRPr="0029488B">
        <w:t>15.</w:t>
      </w:r>
      <w:r w:rsidRPr="0029488B">
        <w:tab/>
        <w:t>Lahra MM, Hogan TR, Armstrong BH. Australian Gonococcal Surveillance Program Annual Report, 2021. Commun Dis Intell. 2022.</w:t>
      </w:r>
    </w:p>
    <w:p w14:paraId="232F9842" w14:textId="77777777" w:rsidR="0029488B" w:rsidRPr="0029488B" w:rsidRDefault="0029488B" w:rsidP="0029488B">
      <w:pPr>
        <w:pStyle w:val="EndNoteBibliography"/>
        <w:spacing w:after="0"/>
        <w:ind w:left="720" w:hanging="720"/>
      </w:pPr>
      <w:r w:rsidRPr="0029488B">
        <w:t>16.</w:t>
      </w:r>
      <w:r w:rsidRPr="0029488B">
        <w:tab/>
        <w:t>Lahra MM, van Hal S, Hogan TR. Australian Gonococcal Surveillance Programme Annual Report, 2022. Commun Dis Intell (2018). 2023;47.</w:t>
      </w:r>
    </w:p>
    <w:p w14:paraId="79AF3729" w14:textId="77777777" w:rsidR="0029488B" w:rsidRPr="0029488B" w:rsidRDefault="0029488B" w:rsidP="0029488B">
      <w:pPr>
        <w:pStyle w:val="EndNoteBibliography"/>
        <w:spacing w:after="0"/>
        <w:ind w:left="720" w:hanging="720"/>
      </w:pPr>
      <w:r w:rsidRPr="0029488B">
        <w:t>17.</w:t>
      </w:r>
      <w:r w:rsidRPr="0029488B">
        <w:tab/>
        <w:t>Australian Commission on Safety and Quality in Health Care. AURA 2023: fifth Australian report on antimicrobial use and resistance in human health. Sydney: ACSQHC, 2023.</w:t>
      </w:r>
    </w:p>
    <w:p w14:paraId="2A658D2B" w14:textId="77777777" w:rsidR="0029488B" w:rsidRPr="0029488B" w:rsidRDefault="0029488B" w:rsidP="0029488B">
      <w:pPr>
        <w:pStyle w:val="EndNoteBibliography"/>
        <w:spacing w:after="0"/>
        <w:ind w:left="720" w:hanging="720"/>
      </w:pPr>
      <w:r w:rsidRPr="0029488B">
        <w:t>18.</w:t>
      </w:r>
      <w:r w:rsidRPr="0029488B">
        <w:tab/>
        <w:t>Hayakawa K, Nakano R, Hase R, Shimatani M, Kato H, Hasumi J, et al. Comparison between IMP carbapenemase-producing Enterobacteriaceae and non-carbapenemase-producing Enterobacteriaceae: a multicentre prospective study of the clinical and molecular epidemiology of carbapenem-resistant Enterobacteriaceae. J Antimicrob Chemother. 2020;75(3):697-708.</w:t>
      </w:r>
    </w:p>
    <w:p w14:paraId="7A3EBCF9" w14:textId="77777777" w:rsidR="0029488B" w:rsidRPr="0029488B" w:rsidRDefault="0029488B" w:rsidP="0029488B">
      <w:pPr>
        <w:pStyle w:val="EndNoteBibliography"/>
        <w:spacing w:after="0"/>
        <w:ind w:left="720" w:hanging="720"/>
      </w:pPr>
      <w:r w:rsidRPr="0029488B">
        <w:t>19.</w:t>
      </w:r>
      <w:r w:rsidRPr="0029488B">
        <w:tab/>
        <w:t>Lloyd-Smith P, Younger J, Lloyd-Smith E, Green H, Leung V, Romney MG. Economic analysis of vancomycin-resistant enterococci at a Canadian hospital: assessing attributable cost and length of stay. J Hosp Infect. 2013;85(1):54-59.</w:t>
      </w:r>
    </w:p>
    <w:p w14:paraId="2B546CA7" w14:textId="34CECCE3" w:rsidR="0029488B" w:rsidRPr="0029488B" w:rsidRDefault="0029488B" w:rsidP="0029488B">
      <w:pPr>
        <w:pStyle w:val="EndNoteBibliography"/>
        <w:spacing w:after="0"/>
        <w:ind w:left="720" w:hanging="720"/>
      </w:pPr>
      <w:r w:rsidRPr="0029488B">
        <w:lastRenderedPageBreak/>
        <w:t>20.</w:t>
      </w:r>
      <w:r w:rsidRPr="0029488B">
        <w:tab/>
        <w:t xml:space="preserve">Centers for Disease Control and Prevention. Updated Guidelines for Evaluating Public Health Surveillance Systems. Recommendations from the Guidelines Working Group. [Internet] Atlanta (GA): CDC; 2001 [cited March 2023] Available from: </w:t>
      </w:r>
      <w:hyperlink r:id="rId63" w:history="1">
        <w:r w:rsidRPr="0029488B">
          <w:rPr>
            <w:rStyle w:val="Hyperlink"/>
          </w:rPr>
          <w:t>https://www.cdc.gov/mmwr/preview/mmwrhtml/rr5013a1.htm</w:t>
        </w:r>
      </w:hyperlink>
      <w:r w:rsidRPr="0029488B">
        <w:t>.</w:t>
      </w:r>
    </w:p>
    <w:p w14:paraId="15106F4B" w14:textId="77777777" w:rsidR="0029488B" w:rsidRPr="0029488B" w:rsidRDefault="0029488B" w:rsidP="0029488B">
      <w:pPr>
        <w:pStyle w:val="EndNoteBibliography"/>
        <w:spacing w:after="0"/>
        <w:ind w:left="720" w:hanging="720"/>
      </w:pPr>
      <w:r w:rsidRPr="0029488B">
        <w:t>21.</w:t>
      </w:r>
      <w:r w:rsidRPr="0029488B">
        <w:tab/>
        <w:t>Australian Commission on Safety and Quality in Health Care. Priority organisms for national reporting in targeted surveillance programs. Sydney: ACSQHC; 2022.</w:t>
      </w:r>
    </w:p>
    <w:p w14:paraId="63AD536A" w14:textId="6D3E69A2" w:rsidR="0029488B" w:rsidRPr="0029488B" w:rsidRDefault="0029488B" w:rsidP="0029488B">
      <w:pPr>
        <w:pStyle w:val="EndNoteBibliography"/>
        <w:ind w:left="720" w:hanging="720"/>
      </w:pPr>
      <w:r w:rsidRPr="0029488B">
        <w:t>22.</w:t>
      </w:r>
      <w:r w:rsidRPr="0029488B">
        <w:tab/>
        <w:t>Centers for Disease Control Prevention. Infection Prevention and Control for</w:t>
      </w:r>
      <w:r w:rsidRPr="0029488B">
        <w:rPr>
          <w:i/>
        </w:rPr>
        <w:t xml:space="preserve"> Candida auris</w:t>
      </w:r>
      <w:r w:rsidRPr="0029488B">
        <w:t xml:space="preserve">. [Internet]: CDC; 2023 [updated 17 January 2023; cited 5 April 2024] Available from: </w:t>
      </w:r>
      <w:hyperlink r:id="rId64" w:history="1">
        <w:r w:rsidRPr="0029488B">
          <w:rPr>
            <w:rStyle w:val="Hyperlink"/>
          </w:rPr>
          <w:t>https://www.cdc.gov/fungal/candida-auris/c-auris-infection-control.html</w:t>
        </w:r>
      </w:hyperlink>
      <w:r w:rsidRPr="0029488B">
        <w:t>.</w:t>
      </w:r>
    </w:p>
    <w:p w14:paraId="1A02079E" w14:textId="7F2C5B09" w:rsidR="00EB6106" w:rsidRDefault="00EB6106" w:rsidP="00EB6106">
      <w:r>
        <w:fldChar w:fldCharType="end"/>
      </w:r>
      <w:r>
        <w:br w:type="page"/>
      </w:r>
    </w:p>
    <w:p w14:paraId="5AEAF8D6" w14:textId="77777777" w:rsidR="00EB6106" w:rsidRPr="00991E6C" w:rsidRDefault="00EB6106" w:rsidP="00FE0619">
      <w:pPr>
        <w:pStyle w:val="Heading2"/>
      </w:pPr>
      <w:bookmarkStart w:id="41" w:name="_Figure_6:_Neisseria"/>
      <w:bookmarkStart w:id="42" w:name="_Appendix_1"/>
      <w:bookmarkStart w:id="43" w:name="_Toc166585588"/>
      <w:bookmarkEnd w:id="36"/>
      <w:bookmarkEnd w:id="37"/>
      <w:bookmarkEnd w:id="41"/>
      <w:bookmarkEnd w:id="42"/>
      <w:r w:rsidRPr="00991E6C">
        <w:lastRenderedPageBreak/>
        <w:t>Appendix 1</w:t>
      </w:r>
      <w:r w:rsidRPr="00991E6C">
        <w:tab/>
        <w:t>About CARAlert</w:t>
      </w:r>
      <w:bookmarkEnd w:id="43"/>
    </w:p>
    <w:p w14:paraId="77018DAD" w14:textId="14D17657" w:rsidR="009F45FC" w:rsidRDefault="009F45FC" w:rsidP="009F45FC">
      <w:r>
        <w:t>The National Alert System for Critical Antimicrobial Resistances (</w:t>
      </w:r>
      <w:r w:rsidRPr="002B0B19">
        <w:t>CARAlert</w:t>
      </w:r>
      <w:r>
        <w:t>)</w:t>
      </w:r>
      <w:r w:rsidRPr="002B0B19">
        <w:t xml:space="preserve"> was established by the Australian Commission on Safety and Quality in Health Care (the Commission) in March 2016 as a component of the Antimicrobial Use and Resistance in Australia (AURA) </w:t>
      </w:r>
      <w:r w:rsidR="00E42363">
        <w:t>s</w:t>
      </w:r>
      <w:r w:rsidRPr="002B0B19">
        <w:t xml:space="preserve">urveillance </w:t>
      </w:r>
      <w:r w:rsidR="00E42363">
        <w:t>program</w:t>
      </w:r>
      <w:r w:rsidRPr="002B0B19">
        <w:t>.</w:t>
      </w:r>
    </w:p>
    <w:p w14:paraId="11A50C34" w14:textId="77777777" w:rsidR="009F45FC" w:rsidRDefault="009F45FC" w:rsidP="009F45FC">
      <w:r w:rsidRPr="002B0B19">
        <w:t xml:space="preserve">Funding for </w:t>
      </w:r>
      <w:r>
        <w:t xml:space="preserve">CARAlert is </w:t>
      </w:r>
      <w:r w:rsidRPr="002B0B19">
        <w:t>provided by the Australian Government Department of Health</w:t>
      </w:r>
      <w:r>
        <w:t xml:space="preserve"> and Aged Care (the Department)</w:t>
      </w:r>
      <w:r w:rsidRPr="002B0B19">
        <w:t>, with contributions from the states and territories</w:t>
      </w:r>
      <w:r>
        <w:t xml:space="preserve"> by meeting the costs of confirmatory testing and data submission processes</w:t>
      </w:r>
      <w:r w:rsidRPr="002B0B19">
        <w:t>.</w:t>
      </w:r>
    </w:p>
    <w:p w14:paraId="03D1DF2A" w14:textId="21B275D6" w:rsidR="009F45FC" w:rsidRDefault="009F45FC" w:rsidP="009F45FC">
      <w:r w:rsidRPr="002B0B19">
        <w:t xml:space="preserve">CARAlert is based on routine processes used by pathology </w:t>
      </w:r>
      <w:r w:rsidRPr="00A51084">
        <w:t xml:space="preserve">laboratories for identifying and confirming potential </w:t>
      </w:r>
      <w:r w:rsidR="001F1454">
        <w:t>critical antimicrobial resistances (</w:t>
      </w:r>
      <w:r w:rsidRPr="00A51084">
        <w:t>CARs</w:t>
      </w:r>
      <w:r w:rsidR="001F1454">
        <w:t>)</w:t>
      </w:r>
      <w:r w:rsidR="008C2971">
        <w:t>, in which</w:t>
      </w:r>
      <w:r>
        <w:t xml:space="preserve"> </w:t>
      </w:r>
      <w:r w:rsidR="008C2971">
        <w:t>p</w:t>
      </w:r>
      <w:r w:rsidRPr="002B0B19">
        <w:t>articipating confirming laboratories submit data to CARAlert on priority organisms with critical resistance to last-line antimicrobial</w:t>
      </w:r>
      <w:r>
        <w:t>s</w:t>
      </w:r>
      <w:r w:rsidRPr="002B0B19">
        <w:t xml:space="preserve">. </w:t>
      </w:r>
      <w:r>
        <w:t xml:space="preserve">Isolates collected from patients are reported to CARAlert as either a clinical isolate, that is a specimen (e.g., from blood, urine, wound) taken to guide clinical diagnosis, or as a screen for infection prevention and control purposes. </w:t>
      </w:r>
      <w:r w:rsidRPr="002B0B19">
        <w:t>No patient-level data are held in the CARAlert system.</w:t>
      </w:r>
    </w:p>
    <w:p w14:paraId="256B118C" w14:textId="77777777" w:rsidR="009F45FC" w:rsidRPr="002B0B19" w:rsidRDefault="009F45FC" w:rsidP="009F45FC">
      <w:r w:rsidRPr="00272803">
        <w:t>In 202</w:t>
      </w:r>
      <w:r>
        <w:t>3</w:t>
      </w:r>
      <w:r w:rsidRPr="00272803">
        <w:t xml:space="preserve">, </w:t>
      </w:r>
      <w:r w:rsidRPr="000A1C7F">
        <w:t>2</w:t>
      </w:r>
      <w:r w:rsidRPr="001D2B57">
        <w:t>6</w:t>
      </w:r>
      <w:r w:rsidRPr="00272803">
        <w:t xml:space="preserve"> confirming</w:t>
      </w:r>
      <w:r w:rsidRPr="002B0B19">
        <w:t xml:space="preserve"> laboratories participated in CARAlert</w:t>
      </w:r>
      <w:r>
        <w:t xml:space="preserve"> (Appendix 3) and there have been over 12,600 reports to CARAlert since reporting began. </w:t>
      </w:r>
    </w:p>
    <w:p w14:paraId="178CDFAF" w14:textId="57E0F2DF" w:rsidR="009F45FC" w:rsidRDefault="009F45FC" w:rsidP="009F45FC">
      <w:r w:rsidRPr="0013282E">
        <w:t xml:space="preserve">CARAlert </w:t>
      </w:r>
      <w:r>
        <w:t xml:space="preserve">data </w:t>
      </w:r>
      <w:r w:rsidRPr="0013282E">
        <w:t xml:space="preserve">on confirmed cases of CARs can </w:t>
      </w:r>
      <w:r>
        <w:t xml:space="preserve">be used to </w:t>
      </w:r>
      <w:r w:rsidRPr="0013282E">
        <w:t>identify seasonal</w:t>
      </w:r>
      <w:r>
        <w:t>,</w:t>
      </w:r>
      <w:r w:rsidRPr="0013282E">
        <w:t xml:space="preserve"> geographic </w:t>
      </w:r>
      <w:r>
        <w:t>and national trends</w:t>
      </w:r>
      <w:r w:rsidRPr="0013282E">
        <w:t xml:space="preserve">. </w:t>
      </w:r>
      <w:r w:rsidR="000C424B">
        <w:t xml:space="preserve">The potential for </w:t>
      </w:r>
      <w:r>
        <w:t xml:space="preserve">CARAlert to </w:t>
      </w:r>
      <w:r w:rsidRPr="0013282E">
        <w:t>act as a</w:t>
      </w:r>
      <w:r>
        <w:t>n</w:t>
      </w:r>
      <w:r w:rsidRPr="0013282E">
        <w:t xml:space="preserve"> early warning system for CAR outbreaks to enable timely infection </w:t>
      </w:r>
      <w:r>
        <w:t xml:space="preserve">prevention and </w:t>
      </w:r>
      <w:r w:rsidRPr="0013282E">
        <w:t>control responses</w:t>
      </w:r>
      <w:r>
        <w:t xml:space="preserve"> </w:t>
      </w:r>
      <w:r w:rsidR="000C424B">
        <w:t xml:space="preserve">is dependent on </w:t>
      </w:r>
      <w:r>
        <w:t>timely reporting of CARs by confirming laboratories.</w:t>
      </w:r>
    </w:p>
    <w:p w14:paraId="126DFC6B" w14:textId="533F70B5" w:rsidR="009F45FC" w:rsidRPr="002B0B19" w:rsidRDefault="009F45FC" w:rsidP="009F45FC">
      <w:pPr>
        <w:rPr>
          <w:rFonts w:cs="Arial"/>
        </w:rPr>
      </w:pPr>
      <w:r w:rsidRPr="002B0B19">
        <w:rPr>
          <w:rFonts w:cs="Arial"/>
        </w:rPr>
        <w:t xml:space="preserve">The CARs reported under CARAlert are listed in </w:t>
      </w:r>
      <w:r>
        <w:rPr>
          <w:rFonts w:cs="Arial"/>
        </w:rPr>
        <w:t>Table A1</w:t>
      </w:r>
      <w:r w:rsidRPr="002B0B19">
        <w:rPr>
          <w:rFonts w:cs="Arial"/>
        </w:rPr>
        <w:t xml:space="preserve">. These CARs were drawn from the list of high-priority organisms and antimicrobials </w:t>
      </w:r>
      <w:r>
        <w:rPr>
          <w:rFonts w:cs="Arial"/>
        </w:rPr>
        <w:t xml:space="preserve">that </w:t>
      </w:r>
      <w:r w:rsidRPr="002B0B19">
        <w:rPr>
          <w:rFonts w:cs="Arial"/>
        </w:rPr>
        <w:t xml:space="preserve">are the focus of the AURA </w:t>
      </w:r>
      <w:r w:rsidR="00E42363">
        <w:rPr>
          <w:rFonts w:cs="Arial"/>
        </w:rPr>
        <w:t>s</w:t>
      </w:r>
      <w:r w:rsidRPr="002B0B19">
        <w:rPr>
          <w:rFonts w:cs="Arial"/>
        </w:rPr>
        <w:t xml:space="preserve">urveillance </w:t>
      </w:r>
      <w:r w:rsidR="00E42363">
        <w:rPr>
          <w:rFonts w:cs="Arial"/>
        </w:rPr>
        <w:t>program</w:t>
      </w:r>
      <w:r w:rsidRPr="002B0B19">
        <w:rPr>
          <w:rFonts w:cs="Arial"/>
        </w:rPr>
        <w:t>.</w:t>
      </w:r>
    </w:p>
    <w:p w14:paraId="24CFEBD8" w14:textId="77777777" w:rsidR="00EB6106" w:rsidRPr="00B3430D" w:rsidRDefault="00EB6106" w:rsidP="000357B9">
      <w:pPr>
        <w:spacing w:before="240"/>
        <w:rPr>
          <w:rFonts w:ascii="Arial" w:hAnsi="Arial" w:cs="Arial"/>
          <w:b/>
          <w:iCs/>
          <w:lang w:eastAsia="en-US"/>
        </w:rPr>
      </w:pPr>
      <w:r w:rsidRPr="00DD453B">
        <w:rPr>
          <w:rFonts w:ascii="Arial" w:hAnsi="Arial" w:cs="Arial"/>
          <w:b/>
          <w:iCs/>
          <w:lang w:eastAsia="en-US"/>
        </w:rPr>
        <w:t>Table A1:</w:t>
      </w:r>
      <w:r w:rsidRPr="00B3430D">
        <w:rPr>
          <w:rFonts w:ascii="Arial" w:hAnsi="Arial" w:cs="Arial"/>
          <w:b/>
          <w:iCs/>
          <w:lang w:eastAsia="en-US"/>
        </w:rPr>
        <w:t xml:space="preserve"> List of critical antimicrobial resistances reported to CARAlert, 202</w:t>
      </w:r>
      <w:r>
        <w:rPr>
          <w:rFonts w:ascii="Arial" w:hAnsi="Arial" w:cs="Arial"/>
          <w:b/>
          <w:iCs/>
          <w:lang w:eastAsia="en-US"/>
        </w:rPr>
        <w:t>3</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3116"/>
        <w:gridCol w:w="6412"/>
      </w:tblGrid>
      <w:tr w:rsidR="003A4C47" w:rsidRPr="00B3430D" w14:paraId="2370A94C" w14:textId="77777777" w:rsidTr="00FD4134">
        <w:trPr>
          <w:cnfStyle w:val="100000000000" w:firstRow="1" w:lastRow="0" w:firstColumn="0" w:lastColumn="0" w:oddVBand="0" w:evenVBand="0" w:oddHBand="0" w:evenHBand="0" w:firstRowFirstColumn="0" w:firstRowLastColumn="0" w:lastRowFirstColumn="0" w:lastRowLastColumn="0"/>
          <w:trHeight w:val="227"/>
        </w:trPr>
        <w:tc>
          <w:tcPr>
            <w:tcW w:w="1635" w:type="pct"/>
            <w:tcBorders>
              <w:top w:val="single" w:sz="2" w:space="0" w:color="auto"/>
              <w:left w:val="single" w:sz="2" w:space="0" w:color="auto"/>
              <w:bottom w:val="single" w:sz="2" w:space="0" w:color="auto"/>
              <w:right w:val="single" w:sz="2" w:space="0" w:color="auto"/>
            </w:tcBorders>
            <w:shd w:val="clear" w:color="auto" w:fill="C2E9F8" w:themeFill="background2" w:themeFillTint="33"/>
            <w:hideMark/>
          </w:tcPr>
          <w:p w14:paraId="73D960A5" w14:textId="77777777" w:rsidR="003A4C47" w:rsidRPr="000357B9" w:rsidRDefault="003A4C47" w:rsidP="00FD4134">
            <w:pPr>
              <w:spacing w:before="0" w:after="0"/>
              <w:rPr>
                <w:rFonts w:eastAsiaTheme="minorHAnsi" w:cs="Arial"/>
                <w:bCs/>
                <w:sz w:val="19"/>
                <w:szCs w:val="19"/>
              </w:rPr>
            </w:pPr>
            <w:r w:rsidRPr="000357B9">
              <w:rPr>
                <w:rFonts w:cs="Arial"/>
                <w:sz w:val="19"/>
                <w:szCs w:val="19"/>
              </w:rPr>
              <w:t xml:space="preserve">Species </w:t>
            </w:r>
          </w:p>
        </w:tc>
        <w:tc>
          <w:tcPr>
            <w:tcW w:w="3365" w:type="pct"/>
            <w:tcBorders>
              <w:top w:val="single" w:sz="2" w:space="0" w:color="auto"/>
              <w:left w:val="single" w:sz="2" w:space="0" w:color="auto"/>
              <w:bottom w:val="single" w:sz="2" w:space="0" w:color="auto"/>
              <w:right w:val="single" w:sz="2" w:space="0" w:color="auto"/>
            </w:tcBorders>
            <w:shd w:val="clear" w:color="auto" w:fill="C2E9F8" w:themeFill="background2" w:themeFillTint="33"/>
            <w:hideMark/>
          </w:tcPr>
          <w:p w14:paraId="755D9D83" w14:textId="77777777" w:rsidR="003A4C47" w:rsidRPr="000357B9" w:rsidRDefault="003A4C47" w:rsidP="00FD4134">
            <w:pPr>
              <w:spacing w:before="0" w:after="0"/>
              <w:rPr>
                <w:rFonts w:eastAsiaTheme="minorHAnsi" w:cs="Arial"/>
                <w:bCs/>
                <w:i/>
                <w:iCs/>
                <w:sz w:val="19"/>
                <w:szCs w:val="19"/>
              </w:rPr>
            </w:pPr>
            <w:r w:rsidRPr="000357B9">
              <w:rPr>
                <w:rFonts w:cs="Arial"/>
                <w:sz w:val="19"/>
                <w:szCs w:val="19"/>
              </w:rPr>
              <w:t>Critical Resistance</w:t>
            </w:r>
          </w:p>
        </w:tc>
      </w:tr>
      <w:tr w:rsidR="003A4C47" w:rsidRPr="00B3430D" w14:paraId="02704F68"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tcPr>
          <w:p w14:paraId="341B8215" w14:textId="77777777" w:rsidR="003A4C47" w:rsidRPr="000357B9" w:rsidRDefault="003A4C47" w:rsidP="00FD4134">
            <w:pPr>
              <w:spacing w:before="0" w:after="0"/>
              <w:rPr>
                <w:rFonts w:cs="Arial"/>
                <w:iCs/>
                <w:sz w:val="19"/>
                <w:szCs w:val="19"/>
              </w:rPr>
            </w:pPr>
            <w:r w:rsidRPr="000357B9">
              <w:rPr>
                <w:rFonts w:cs="Arial"/>
                <w:i/>
                <w:sz w:val="19"/>
                <w:szCs w:val="19"/>
              </w:rPr>
              <w:t>Acinetobacter baumannii</w:t>
            </w:r>
            <w:r w:rsidRPr="000357B9">
              <w:rPr>
                <w:rFonts w:cs="Arial"/>
                <w:iCs/>
                <w:sz w:val="19"/>
                <w:szCs w:val="19"/>
              </w:rPr>
              <w:t xml:space="preserve"> complex</w:t>
            </w:r>
          </w:p>
        </w:tc>
        <w:tc>
          <w:tcPr>
            <w:tcW w:w="3365" w:type="pct"/>
            <w:tcBorders>
              <w:top w:val="single" w:sz="2" w:space="0" w:color="auto"/>
              <w:left w:val="single" w:sz="2" w:space="0" w:color="auto"/>
              <w:bottom w:val="single" w:sz="2" w:space="0" w:color="auto"/>
              <w:right w:val="single" w:sz="2" w:space="0" w:color="auto"/>
            </w:tcBorders>
          </w:tcPr>
          <w:p w14:paraId="1E5A1F52" w14:textId="77777777" w:rsidR="003A4C47" w:rsidRPr="000357B9" w:rsidRDefault="003A4C47" w:rsidP="00FD4134">
            <w:pPr>
              <w:spacing w:before="0" w:after="0"/>
              <w:rPr>
                <w:rFonts w:cs="Arial"/>
                <w:sz w:val="19"/>
                <w:szCs w:val="19"/>
              </w:rPr>
            </w:pPr>
            <w:r w:rsidRPr="000357B9">
              <w:rPr>
                <w:rFonts w:cs="Arial"/>
                <w:sz w:val="19"/>
                <w:szCs w:val="19"/>
              </w:rPr>
              <w:t>Carbapenemase-producing*</w:t>
            </w:r>
          </w:p>
        </w:tc>
      </w:tr>
      <w:tr w:rsidR="003A4C47" w:rsidRPr="00B3430D" w14:paraId="56D6FCE4"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tcPr>
          <w:p w14:paraId="29A2E841" w14:textId="77777777" w:rsidR="003A4C47" w:rsidRPr="000357B9" w:rsidRDefault="003A4C47" w:rsidP="00FD4134">
            <w:pPr>
              <w:spacing w:before="0" w:after="0"/>
              <w:rPr>
                <w:rFonts w:cs="Arial"/>
                <w:i/>
                <w:sz w:val="19"/>
                <w:szCs w:val="19"/>
              </w:rPr>
            </w:pPr>
            <w:r w:rsidRPr="000357B9">
              <w:rPr>
                <w:rFonts w:cs="Arial"/>
                <w:i/>
                <w:sz w:val="19"/>
                <w:szCs w:val="19"/>
              </w:rPr>
              <w:t>Candida auris*</w:t>
            </w:r>
          </w:p>
        </w:tc>
        <w:tc>
          <w:tcPr>
            <w:tcW w:w="3365" w:type="pct"/>
            <w:tcBorders>
              <w:top w:val="single" w:sz="2" w:space="0" w:color="auto"/>
              <w:left w:val="single" w:sz="2" w:space="0" w:color="auto"/>
              <w:bottom w:val="single" w:sz="2" w:space="0" w:color="auto"/>
              <w:right w:val="single" w:sz="2" w:space="0" w:color="auto"/>
            </w:tcBorders>
          </w:tcPr>
          <w:p w14:paraId="69B4C42E" w14:textId="77777777" w:rsidR="003A4C47" w:rsidRPr="000357B9" w:rsidRDefault="003A4C47" w:rsidP="00FD4134">
            <w:pPr>
              <w:spacing w:before="0" w:after="0"/>
              <w:rPr>
                <w:rFonts w:cs="Arial"/>
                <w:sz w:val="19"/>
                <w:szCs w:val="19"/>
              </w:rPr>
            </w:pPr>
            <w:r w:rsidRPr="000357B9">
              <w:rPr>
                <w:rFonts w:cs="Arial"/>
                <w:sz w:val="19"/>
                <w:szCs w:val="19"/>
              </w:rPr>
              <w:t>–</w:t>
            </w:r>
          </w:p>
        </w:tc>
      </w:tr>
      <w:tr w:rsidR="003A4C47" w:rsidRPr="00B3430D" w14:paraId="43385C56" w14:textId="77777777" w:rsidTr="00FD4134">
        <w:trPr>
          <w:trHeight w:val="227"/>
        </w:trPr>
        <w:tc>
          <w:tcPr>
            <w:tcW w:w="1635" w:type="pct"/>
            <w:vMerge w:val="restart"/>
            <w:tcBorders>
              <w:top w:val="single" w:sz="2" w:space="0" w:color="auto"/>
              <w:left w:val="single" w:sz="2" w:space="0" w:color="auto"/>
              <w:bottom w:val="single" w:sz="2" w:space="0" w:color="auto"/>
              <w:right w:val="single" w:sz="2" w:space="0" w:color="auto"/>
            </w:tcBorders>
            <w:vAlign w:val="center"/>
            <w:hideMark/>
          </w:tcPr>
          <w:p w14:paraId="10B08B0D" w14:textId="77777777" w:rsidR="003A4C47" w:rsidRPr="000357B9" w:rsidRDefault="003A4C47" w:rsidP="00FD4134">
            <w:pPr>
              <w:spacing w:before="0" w:after="0"/>
              <w:rPr>
                <w:rFonts w:eastAsiaTheme="minorHAnsi" w:cs="Arial"/>
                <w:bCs/>
                <w:iCs/>
                <w:sz w:val="19"/>
                <w:szCs w:val="19"/>
              </w:rPr>
            </w:pPr>
            <w:r w:rsidRPr="000357B9">
              <w:rPr>
                <w:rFonts w:cs="Arial"/>
                <w:i/>
                <w:iCs/>
                <w:sz w:val="19"/>
                <w:szCs w:val="19"/>
              </w:rPr>
              <w:t>Enterobacterales</w:t>
            </w:r>
          </w:p>
        </w:tc>
        <w:tc>
          <w:tcPr>
            <w:tcW w:w="3365" w:type="pct"/>
            <w:tcBorders>
              <w:top w:val="single" w:sz="2" w:space="0" w:color="auto"/>
              <w:left w:val="single" w:sz="2" w:space="0" w:color="auto"/>
              <w:bottom w:val="single" w:sz="2" w:space="0" w:color="auto"/>
              <w:right w:val="single" w:sz="2" w:space="0" w:color="auto"/>
            </w:tcBorders>
            <w:hideMark/>
          </w:tcPr>
          <w:p w14:paraId="5FD32B7E" w14:textId="77777777" w:rsidR="003A4C47" w:rsidRPr="000357B9" w:rsidRDefault="003A4C47" w:rsidP="00FD4134">
            <w:pPr>
              <w:spacing w:before="0" w:after="0"/>
              <w:rPr>
                <w:rFonts w:eastAsiaTheme="minorHAnsi" w:cs="Arial"/>
                <w:sz w:val="19"/>
                <w:szCs w:val="19"/>
              </w:rPr>
            </w:pPr>
            <w:r w:rsidRPr="000357B9">
              <w:rPr>
                <w:rFonts w:cs="Arial"/>
                <w:sz w:val="19"/>
                <w:szCs w:val="19"/>
              </w:rPr>
              <w:t>Carbapenemase-producing and/or ribosomal methyltransferase-producing</w:t>
            </w:r>
          </w:p>
        </w:tc>
      </w:tr>
      <w:tr w:rsidR="003A4C47" w:rsidRPr="00B3430D" w14:paraId="0453DD56" w14:textId="77777777" w:rsidTr="00FD4134">
        <w:trPr>
          <w:trHeight w:val="227"/>
        </w:trPr>
        <w:tc>
          <w:tcPr>
            <w:tcW w:w="1635" w:type="pct"/>
            <w:vMerge/>
            <w:tcBorders>
              <w:top w:val="single" w:sz="2" w:space="0" w:color="auto"/>
              <w:left w:val="single" w:sz="2" w:space="0" w:color="auto"/>
              <w:bottom w:val="single" w:sz="2" w:space="0" w:color="auto"/>
              <w:right w:val="single" w:sz="2" w:space="0" w:color="auto"/>
            </w:tcBorders>
          </w:tcPr>
          <w:p w14:paraId="643B27BB" w14:textId="77777777" w:rsidR="003A4C47" w:rsidRPr="000357B9" w:rsidRDefault="003A4C47" w:rsidP="00FD4134">
            <w:pPr>
              <w:spacing w:before="0" w:after="0"/>
              <w:rPr>
                <w:rFonts w:cs="Arial"/>
                <w:i/>
                <w:iCs/>
                <w:sz w:val="19"/>
                <w:szCs w:val="19"/>
              </w:rPr>
            </w:pPr>
          </w:p>
        </w:tc>
        <w:tc>
          <w:tcPr>
            <w:tcW w:w="3365" w:type="pct"/>
            <w:tcBorders>
              <w:top w:val="single" w:sz="2" w:space="0" w:color="auto"/>
              <w:left w:val="single" w:sz="2" w:space="0" w:color="auto"/>
              <w:bottom w:val="single" w:sz="2" w:space="0" w:color="auto"/>
              <w:right w:val="single" w:sz="2" w:space="0" w:color="auto"/>
            </w:tcBorders>
          </w:tcPr>
          <w:p w14:paraId="4C701EA1" w14:textId="77777777" w:rsidR="003A4C47" w:rsidRPr="000357B9" w:rsidRDefault="003A4C47" w:rsidP="00FD4134">
            <w:pPr>
              <w:spacing w:before="0" w:after="0"/>
              <w:rPr>
                <w:rFonts w:cs="Arial"/>
                <w:sz w:val="19"/>
                <w:szCs w:val="19"/>
              </w:rPr>
            </w:pPr>
            <w:r w:rsidRPr="000357B9">
              <w:rPr>
                <w:rFonts w:cs="Arial"/>
                <w:sz w:val="19"/>
                <w:szCs w:val="19"/>
              </w:rPr>
              <w:t>Transmissible colistin resistance*</w:t>
            </w:r>
          </w:p>
        </w:tc>
      </w:tr>
      <w:tr w:rsidR="003A4C47" w:rsidRPr="00B3430D" w14:paraId="4461B521"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205ECD5D"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 xml:space="preserve">Enterococcus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6FF92733" w14:textId="77777777" w:rsidR="003A4C47" w:rsidRPr="000357B9" w:rsidRDefault="003A4C47" w:rsidP="00FD4134">
            <w:pPr>
              <w:spacing w:before="0" w:after="0"/>
              <w:rPr>
                <w:rFonts w:eastAsiaTheme="minorHAnsi" w:cs="Arial"/>
                <w:sz w:val="19"/>
                <w:szCs w:val="19"/>
              </w:rPr>
            </w:pPr>
            <w:r w:rsidRPr="000357B9">
              <w:rPr>
                <w:rFonts w:cs="Arial"/>
                <w:sz w:val="19"/>
                <w:szCs w:val="19"/>
              </w:rPr>
              <w:t>Linezolid-resistant</w:t>
            </w:r>
          </w:p>
        </w:tc>
      </w:tr>
      <w:tr w:rsidR="003A4C47" w:rsidRPr="00B3430D" w14:paraId="7EAE2A6B"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736E9883"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Mycobacterium tuberculosis</w:t>
            </w:r>
          </w:p>
        </w:tc>
        <w:tc>
          <w:tcPr>
            <w:tcW w:w="3365" w:type="pct"/>
            <w:tcBorders>
              <w:top w:val="single" w:sz="2" w:space="0" w:color="auto"/>
              <w:left w:val="single" w:sz="2" w:space="0" w:color="auto"/>
              <w:bottom w:val="single" w:sz="2" w:space="0" w:color="auto"/>
              <w:right w:val="single" w:sz="2" w:space="0" w:color="auto"/>
            </w:tcBorders>
            <w:hideMark/>
          </w:tcPr>
          <w:p w14:paraId="74DDDE82" w14:textId="77777777" w:rsidR="003A4C47" w:rsidRPr="000357B9" w:rsidRDefault="003A4C47" w:rsidP="00FD4134">
            <w:pPr>
              <w:spacing w:before="0" w:after="0"/>
              <w:rPr>
                <w:rFonts w:eastAsiaTheme="minorHAnsi" w:cs="Arial"/>
                <w:sz w:val="19"/>
                <w:szCs w:val="19"/>
              </w:rPr>
            </w:pPr>
            <w:r w:rsidRPr="000357B9">
              <w:rPr>
                <w:rFonts w:cs="Arial"/>
                <w:sz w:val="19"/>
                <w:szCs w:val="19"/>
              </w:rPr>
              <w:t>Multidrug-resistant – resistant to at least rifampicin and isoniazid</w:t>
            </w:r>
          </w:p>
        </w:tc>
      </w:tr>
      <w:tr w:rsidR="003A4C47" w:rsidRPr="00B3430D" w14:paraId="096AB4EC" w14:textId="77777777" w:rsidTr="00FD4134">
        <w:trPr>
          <w:trHeight w:val="227"/>
        </w:trPr>
        <w:tc>
          <w:tcPr>
            <w:tcW w:w="1635" w:type="pct"/>
            <w:vMerge w:val="restart"/>
            <w:tcBorders>
              <w:top w:val="single" w:sz="2" w:space="0" w:color="auto"/>
              <w:left w:val="single" w:sz="2" w:space="0" w:color="auto"/>
              <w:right w:val="single" w:sz="2" w:space="0" w:color="auto"/>
            </w:tcBorders>
            <w:vAlign w:val="center"/>
            <w:hideMark/>
          </w:tcPr>
          <w:p w14:paraId="7A9E3B2F"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Neisseria gonorrhoeae</w:t>
            </w:r>
          </w:p>
        </w:tc>
        <w:tc>
          <w:tcPr>
            <w:tcW w:w="3365" w:type="pct"/>
            <w:tcBorders>
              <w:top w:val="single" w:sz="2" w:space="0" w:color="auto"/>
              <w:left w:val="single" w:sz="2" w:space="0" w:color="auto"/>
              <w:bottom w:val="single" w:sz="2" w:space="0" w:color="auto"/>
              <w:right w:val="single" w:sz="2" w:space="0" w:color="auto"/>
            </w:tcBorders>
            <w:hideMark/>
          </w:tcPr>
          <w:p w14:paraId="23518511" w14:textId="77777777" w:rsidR="003A4C47" w:rsidRPr="000357B9" w:rsidRDefault="003A4C47" w:rsidP="00FD4134">
            <w:pPr>
              <w:spacing w:before="0" w:after="0"/>
              <w:rPr>
                <w:rFonts w:eastAsiaTheme="minorHAnsi" w:cs="Arial"/>
                <w:sz w:val="19"/>
                <w:szCs w:val="19"/>
              </w:rPr>
            </w:pPr>
            <w:r w:rsidRPr="000357B9">
              <w:rPr>
                <w:rFonts w:cs="Arial"/>
                <w:sz w:val="19"/>
                <w:szCs w:val="19"/>
              </w:rPr>
              <w:t>Ceftriaxone-nonsusceptible and/or azithromycin-nonsusceptible</w:t>
            </w:r>
          </w:p>
        </w:tc>
      </w:tr>
      <w:tr w:rsidR="003A4C47" w:rsidRPr="00B3430D" w14:paraId="10312901" w14:textId="77777777" w:rsidTr="00FD4134">
        <w:trPr>
          <w:trHeight w:val="227"/>
        </w:trPr>
        <w:tc>
          <w:tcPr>
            <w:tcW w:w="1635" w:type="pct"/>
            <w:vMerge/>
            <w:tcBorders>
              <w:left w:val="single" w:sz="2" w:space="0" w:color="auto"/>
              <w:bottom w:val="single" w:sz="2" w:space="0" w:color="auto"/>
              <w:right w:val="single" w:sz="2" w:space="0" w:color="auto"/>
            </w:tcBorders>
          </w:tcPr>
          <w:p w14:paraId="5DAB69BF" w14:textId="77777777" w:rsidR="003A4C47" w:rsidRPr="000357B9" w:rsidRDefault="003A4C47" w:rsidP="00FD4134">
            <w:pPr>
              <w:spacing w:before="0" w:after="0"/>
              <w:rPr>
                <w:rFonts w:cs="Arial"/>
                <w:i/>
                <w:iCs/>
                <w:sz w:val="19"/>
                <w:szCs w:val="19"/>
              </w:rPr>
            </w:pPr>
          </w:p>
        </w:tc>
        <w:tc>
          <w:tcPr>
            <w:tcW w:w="3365" w:type="pct"/>
            <w:tcBorders>
              <w:top w:val="single" w:sz="2" w:space="0" w:color="auto"/>
              <w:left w:val="single" w:sz="2" w:space="0" w:color="auto"/>
              <w:bottom w:val="single" w:sz="2" w:space="0" w:color="auto"/>
              <w:right w:val="single" w:sz="2" w:space="0" w:color="auto"/>
            </w:tcBorders>
          </w:tcPr>
          <w:p w14:paraId="14049E14" w14:textId="77777777" w:rsidR="003A4C47" w:rsidRPr="000357B9" w:rsidRDefault="003A4C47" w:rsidP="00FD4134">
            <w:pPr>
              <w:spacing w:before="0" w:after="0"/>
              <w:rPr>
                <w:rFonts w:cs="Arial"/>
                <w:sz w:val="19"/>
                <w:szCs w:val="19"/>
              </w:rPr>
            </w:pPr>
            <w:r w:rsidRPr="000357B9">
              <w:rPr>
                <w:rFonts w:cs="Arial"/>
                <w:sz w:val="19"/>
                <w:szCs w:val="19"/>
              </w:rPr>
              <w:t>Gentamicin-resistant</w:t>
            </w:r>
            <w:r w:rsidRPr="000357B9">
              <w:rPr>
                <w:rFonts w:cstheme="minorHAnsi"/>
                <w:sz w:val="19"/>
                <w:szCs w:val="19"/>
                <w:vertAlign w:val="superscript"/>
              </w:rPr>
              <w:t>†</w:t>
            </w:r>
          </w:p>
        </w:tc>
      </w:tr>
      <w:tr w:rsidR="003A4C47" w:rsidRPr="00B3430D" w14:paraId="1AC12350"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tcPr>
          <w:p w14:paraId="48FEC6A2" w14:textId="77777777" w:rsidR="003A4C47" w:rsidRPr="000357B9" w:rsidRDefault="003A4C47" w:rsidP="00FD4134">
            <w:pPr>
              <w:spacing w:before="0" w:after="0"/>
              <w:rPr>
                <w:rFonts w:cs="Arial"/>
                <w:i/>
                <w:iCs/>
                <w:sz w:val="19"/>
                <w:szCs w:val="19"/>
              </w:rPr>
            </w:pPr>
            <w:r w:rsidRPr="000357B9">
              <w:rPr>
                <w:rFonts w:cs="Arial"/>
                <w:i/>
                <w:iCs/>
                <w:sz w:val="19"/>
                <w:szCs w:val="19"/>
              </w:rPr>
              <w:t>Neisseria meningitidis</w:t>
            </w:r>
          </w:p>
        </w:tc>
        <w:tc>
          <w:tcPr>
            <w:tcW w:w="3365" w:type="pct"/>
            <w:tcBorders>
              <w:top w:val="single" w:sz="2" w:space="0" w:color="auto"/>
              <w:left w:val="single" w:sz="2" w:space="0" w:color="auto"/>
              <w:bottom w:val="single" w:sz="2" w:space="0" w:color="auto"/>
              <w:right w:val="single" w:sz="2" w:space="0" w:color="auto"/>
            </w:tcBorders>
          </w:tcPr>
          <w:p w14:paraId="71170253" w14:textId="77777777" w:rsidR="003A4C47" w:rsidRPr="000357B9" w:rsidRDefault="003A4C47" w:rsidP="00FD4134">
            <w:pPr>
              <w:spacing w:before="0" w:after="0"/>
              <w:rPr>
                <w:rFonts w:cs="Arial"/>
                <w:sz w:val="19"/>
                <w:szCs w:val="19"/>
              </w:rPr>
            </w:pPr>
            <w:r w:rsidRPr="000357B9">
              <w:rPr>
                <w:rFonts w:cs="Arial"/>
                <w:sz w:val="19"/>
                <w:szCs w:val="19"/>
              </w:rPr>
              <w:t>Ciprofloxacin-nonsusceptible</w:t>
            </w:r>
            <w:r w:rsidRPr="000357B9">
              <w:rPr>
                <w:rFonts w:cstheme="minorHAnsi"/>
                <w:sz w:val="19"/>
                <w:szCs w:val="19"/>
                <w:vertAlign w:val="superscript"/>
              </w:rPr>
              <w:t>†</w:t>
            </w:r>
          </w:p>
        </w:tc>
      </w:tr>
      <w:tr w:rsidR="003A4C47" w:rsidRPr="00B3430D" w14:paraId="2A4C1E36"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tcPr>
          <w:p w14:paraId="7E7482F5" w14:textId="77777777" w:rsidR="003A4C47" w:rsidRPr="000357B9" w:rsidRDefault="003A4C47" w:rsidP="00FD4134">
            <w:pPr>
              <w:spacing w:before="0" w:after="0"/>
              <w:rPr>
                <w:rFonts w:cs="Arial"/>
                <w:i/>
                <w:iCs/>
                <w:sz w:val="19"/>
                <w:szCs w:val="19"/>
              </w:rPr>
            </w:pPr>
            <w:r w:rsidRPr="000357B9">
              <w:rPr>
                <w:rFonts w:cs="Arial"/>
                <w:i/>
                <w:iCs/>
                <w:sz w:val="19"/>
                <w:szCs w:val="19"/>
              </w:rPr>
              <w:t>Pseudomonas aeruginosa</w:t>
            </w:r>
          </w:p>
        </w:tc>
        <w:tc>
          <w:tcPr>
            <w:tcW w:w="3365" w:type="pct"/>
            <w:tcBorders>
              <w:top w:val="single" w:sz="2" w:space="0" w:color="auto"/>
              <w:left w:val="single" w:sz="2" w:space="0" w:color="auto"/>
              <w:bottom w:val="single" w:sz="2" w:space="0" w:color="auto"/>
              <w:right w:val="single" w:sz="2" w:space="0" w:color="auto"/>
            </w:tcBorders>
          </w:tcPr>
          <w:p w14:paraId="56D0FB78" w14:textId="77777777" w:rsidR="003A4C47" w:rsidRPr="000357B9" w:rsidRDefault="003A4C47" w:rsidP="00FD4134">
            <w:pPr>
              <w:spacing w:before="0" w:after="0"/>
              <w:rPr>
                <w:rFonts w:cs="Arial"/>
                <w:sz w:val="19"/>
                <w:szCs w:val="19"/>
              </w:rPr>
            </w:pPr>
            <w:r w:rsidRPr="000357B9">
              <w:rPr>
                <w:rFonts w:cs="Arial"/>
                <w:sz w:val="19"/>
                <w:szCs w:val="19"/>
              </w:rPr>
              <w:t>Carbapenemase-producing*</w:t>
            </w:r>
          </w:p>
        </w:tc>
      </w:tr>
      <w:tr w:rsidR="003A4C47" w:rsidRPr="00B3430D" w14:paraId="5728CF85"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452FBB82"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 xml:space="preserve">Salmonella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5339456A" w14:textId="77777777" w:rsidR="003A4C47" w:rsidRPr="000357B9" w:rsidRDefault="003A4C47" w:rsidP="00FD4134">
            <w:pPr>
              <w:spacing w:before="0" w:after="0"/>
              <w:rPr>
                <w:rFonts w:eastAsiaTheme="minorHAnsi" w:cs="Arial"/>
                <w:sz w:val="19"/>
                <w:szCs w:val="19"/>
              </w:rPr>
            </w:pPr>
            <w:r w:rsidRPr="000357B9">
              <w:rPr>
                <w:rFonts w:cs="Arial"/>
                <w:sz w:val="19"/>
                <w:szCs w:val="19"/>
              </w:rPr>
              <w:t>Ceftriaxone-nonsusceptible</w:t>
            </w:r>
          </w:p>
        </w:tc>
      </w:tr>
      <w:tr w:rsidR="003A4C47" w:rsidRPr="00B3430D" w14:paraId="3666DC38"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53ADFD41"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 xml:space="preserve">Shigella </w:t>
            </w:r>
            <w:r w:rsidRPr="000357B9">
              <w:rPr>
                <w:rFonts w:cs="Arial"/>
                <w:sz w:val="19"/>
                <w:szCs w:val="19"/>
              </w:rPr>
              <w:t>species</w:t>
            </w:r>
          </w:p>
        </w:tc>
        <w:tc>
          <w:tcPr>
            <w:tcW w:w="3365" w:type="pct"/>
            <w:tcBorders>
              <w:top w:val="single" w:sz="2" w:space="0" w:color="auto"/>
              <w:left w:val="single" w:sz="2" w:space="0" w:color="auto"/>
              <w:bottom w:val="single" w:sz="2" w:space="0" w:color="auto"/>
              <w:right w:val="single" w:sz="2" w:space="0" w:color="auto"/>
            </w:tcBorders>
            <w:hideMark/>
          </w:tcPr>
          <w:p w14:paraId="54D97B95" w14:textId="77777777" w:rsidR="003A4C47" w:rsidRPr="000357B9" w:rsidRDefault="003A4C47" w:rsidP="00FD4134">
            <w:pPr>
              <w:spacing w:before="0" w:after="0"/>
              <w:rPr>
                <w:rFonts w:eastAsiaTheme="minorHAnsi" w:cs="Arial"/>
                <w:sz w:val="19"/>
                <w:szCs w:val="19"/>
              </w:rPr>
            </w:pPr>
            <w:r w:rsidRPr="000357B9">
              <w:rPr>
                <w:rFonts w:cs="Arial"/>
                <w:sz w:val="19"/>
                <w:szCs w:val="19"/>
              </w:rPr>
              <w:t>Multidrug-resistant</w:t>
            </w:r>
          </w:p>
        </w:tc>
      </w:tr>
      <w:tr w:rsidR="003A4C47" w:rsidRPr="00B3430D" w14:paraId="623E2A6A"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231B2910" w14:textId="77777777" w:rsidR="003A4C47" w:rsidRPr="000357B9" w:rsidRDefault="003A4C47" w:rsidP="00FD4134">
            <w:pPr>
              <w:spacing w:before="0" w:after="0"/>
              <w:rPr>
                <w:rFonts w:eastAsiaTheme="minorHAnsi" w:cs="Arial"/>
                <w:bCs/>
                <w:sz w:val="19"/>
                <w:szCs w:val="19"/>
              </w:rPr>
            </w:pPr>
            <w:r w:rsidRPr="000357B9">
              <w:rPr>
                <w:rFonts w:cs="Arial"/>
                <w:i/>
                <w:iCs/>
                <w:sz w:val="19"/>
                <w:szCs w:val="19"/>
              </w:rPr>
              <w:t>Staphylococcus aureus</w:t>
            </w:r>
            <w:r w:rsidRPr="000357B9">
              <w:rPr>
                <w:rFonts w:cs="Arial"/>
                <w:sz w:val="19"/>
                <w:szCs w:val="19"/>
                <w:vertAlign w:val="superscript"/>
              </w:rPr>
              <w:t>§</w:t>
            </w:r>
          </w:p>
        </w:tc>
        <w:tc>
          <w:tcPr>
            <w:tcW w:w="3365" w:type="pct"/>
            <w:tcBorders>
              <w:top w:val="single" w:sz="2" w:space="0" w:color="auto"/>
              <w:left w:val="single" w:sz="2" w:space="0" w:color="auto"/>
              <w:bottom w:val="single" w:sz="2" w:space="0" w:color="auto"/>
              <w:right w:val="single" w:sz="2" w:space="0" w:color="auto"/>
            </w:tcBorders>
            <w:hideMark/>
          </w:tcPr>
          <w:p w14:paraId="640300AF" w14:textId="77777777" w:rsidR="003A4C47" w:rsidRPr="000357B9" w:rsidRDefault="003A4C47" w:rsidP="00FD4134">
            <w:pPr>
              <w:spacing w:before="0" w:after="0"/>
              <w:rPr>
                <w:rFonts w:eastAsiaTheme="minorHAnsi" w:cs="Arial"/>
                <w:sz w:val="19"/>
                <w:szCs w:val="19"/>
              </w:rPr>
            </w:pPr>
            <w:r w:rsidRPr="000357B9">
              <w:rPr>
                <w:rFonts w:cs="Arial"/>
                <w:sz w:val="19"/>
                <w:szCs w:val="19"/>
              </w:rPr>
              <w:t>Vancomycin- or linezolid-nonsusceptible</w:t>
            </w:r>
            <w:r w:rsidRPr="000357B9">
              <w:rPr>
                <w:rFonts w:cs="Arial"/>
                <w:sz w:val="19"/>
                <w:szCs w:val="19"/>
                <w:vertAlign w:val="superscript"/>
              </w:rPr>
              <w:t>#</w:t>
            </w:r>
          </w:p>
        </w:tc>
      </w:tr>
      <w:tr w:rsidR="003A4C47" w:rsidRPr="00B3430D" w14:paraId="2D709AEC" w14:textId="77777777" w:rsidTr="00FD4134">
        <w:trPr>
          <w:trHeight w:val="227"/>
        </w:trPr>
        <w:tc>
          <w:tcPr>
            <w:tcW w:w="1635" w:type="pct"/>
            <w:tcBorders>
              <w:top w:val="single" w:sz="2" w:space="0" w:color="auto"/>
              <w:left w:val="single" w:sz="2" w:space="0" w:color="auto"/>
              <w:bottom w:val="single" w:sz="2" w:space="0" w:color="auto"/>
              <w:right w:val="single" w:sz="2" w:space="0" w:color="auto"/>
            </w:tcBorders>
            <w:hideMark/>
          </w:tcPr>
          <w:p w14:paraId="05EE137B" w14:textId="77777777" w:rsidR="003A4C47" w:rsidRPr="000357B9" w:rsidRDefault="003A4C47" w:rsidP="00FD4134">
            <w:pPr>
              <w:spacing w:before="0" w:after="0"/>
              <w:rPr>
                <w:rFonts w:eastAsiaTheme="minorHAnsi" w:cs="Arial"/>
                <w:bCs/>
                <w:i/>
                <w:iCs/>
                <w:sz w:val="19"/>
                <w:szCs w:val="19"/>
              </w:rPr>
            </w:pPr>
            <w:r w:rsidRPr="000357B9">
              <w:rPr>
                <w:rFonts w:cs="Arial"/>
                <w:i/>
                <w:iCs/>
                <w:sz w:val="19"/>
                <w:szCs w:val="19"/>
              </w:rPr>
              <w:t>Streptococcus pyogenes</w:t>
            </w:r>
          </w:p>
        </w:tc>
        <w:tc>
          <w:tcPr>
            <w:tcW w:w="3365" w:type="pct"/>
            <w:tcBorders>
              <w:top w:val="single" w:sz="2" w:space="0" w:color="auto"/>
              <w:left w:val="single" w:sz="2" w:space="0" w:color="auto"/>
              <w:bottom w:val="single" w:sz="2" w:space="0" w:color="auto"/>
              <w:right w:val="single" w:sz="2" w:space="0" w:color="auto"/>
            </w:tcBorders>
            <w:hideMark/>
          </w:tcPr>
          <w:p w14:paraId="196E0989" w14:textId="77777777" w:rsidR="003A4C47" w:rsidRPr="000357B9" w:rsidRDefault="003A4C47" w:rsidP="00FD4134">
            <w:pPr>
              <w:spacing w:before="0" w:after="0"/>
              <w:rPr>
                <w:rFonts w:eastAsiaTheme="minorHAnsi" w:cs="Arial"/>
                <w:sz w:val="19"/>
                <w:szCs w:val="19"/>
              </w:rPr>
            </w:pPr>
            <w:r w:rsidRPr="000357B9">
              <w:rPr>
                <w:rFonts w:cs="Arial"/>
                <w:sz w:val="19"/>
                <w:szCs w:val="19"/>
              </w:rPr>
              <w:t>Penicillin reduced susceptibility</w:t>
            </w:r>
          </w:p>
        </w:tc>
      </w:tr>
    </w:tbl>
    <w:p w14:paraId="24DD52B9" w14:textId="3354F3EE" w:rsidR="00EB6106" w:rsidRDefault="00EB6106" w:rsidP="00381534">
      <w:pPr>
        <w:spacing w:after="0"/>
        <w:ind w:left="284" w:hanging="284"/>
        <w:rPr>
          <w:rFonts w:cs="Arial"/>
          <w:sz w:val="16"/>
          <w:szCs w:val="16"/>
        </w:rPr>
      </w:pPr>
      <w:r w:rsidRPr="00B3430D">
        <w:rPr>
          <w:rFonts w:cs="Arial"/>
          <w:sz w:val="16"/>
          <w:szCs w:val="16"/>
        </w:rPr>
        <w:t>*</w:t>
      </w:r>
      <w:r w:rsidRPr="00B3430D">
        <w:rPr>
          <w:rFonts w:cs="Arial"/>
          <w:sz w:val="16"/>
          <w:szCs w:val="16"/>
        </w:rPr>
        <w:tab/>
        <w:t>Reported to CARAlert from July 2019</w:t>
      </w:r>
    </w:p>
    <w:p w14:paraId="59BB4B36" w14:textId="77777777" w:rsidR="00EB6106" w:rsidRDefault="00EB6106" w:rsidP="009F45FC">
      <w:pPr>
        <w:spacing w:before="0" w:after="0"/>
        <w:ind w:left="284" w:hanging="284"/>
        <w:rPr>
          <w:rFonts w:cstheme="minorHAnsi"/>
          <w:sz w:val="16"/>
          <w:szCs w:val="16"/>
        </w:rPr>
      </w:pPr>
      <w:r w:rsidRPr="00B3430D">
        <w:rPr>
          <w:rFonts w:cstheme="minorHAnsi"/>
          <w:sz w:val="16"/>
          <w:szCs w:val="16"/>
        </w:rPr>
        <w:t>†</w:t>
      </w:r>
      <w:r>
        <w:rPr>
          <w:rFonts w:cstheme="minorHAnsi"/>
          <w:sz w:val="16"/>
          <w:szCs w:val="16"/>
        </w:rPr>
        <w:tab/>
        <w:t>Reported to CARAlert from January 2023</w:t>
      </w:r>
    </w:p>
    <w:p w14:paraId="014145D1" w14:textId="77777777" w:rsidR="00EB6106" w:rsidRDefault="00EB6106" w:rsidP="009F45FC">
      <w:pPr>
        <w:spacing w:before="0" w:after="0"/>
        <w:ind w:left="284" w:hanging="284"/>
        <w:rPr>
          <w:sz w:val="16"/>
          <w:szCs w:val="16"/>
        </w:rPr>
      </w:pPr>
      <w:r>
        <w:rPr>
          <w:rFonts w:cs="Arial"/>
          <w:sz w:val="16"/>
          <w:szCs w:val="16"/>
        </w:rPr>
        <w:t>§</w:t>
      </w:r>
      <w:r w:rsidRPr="00B3430D">
        <w:rPr>
          <w:rFonts w:cs="Arial"/>
          <w:sz w:val="16"/>
          <w:szCs w:val="16"/>
        </w:rPr>
        <w:tab/>
        <w:t xml:space="preserve">For CARAlert, </w:t>
      </w:r>
      <w:r w:rsidRPr="00B3430D">
        <w:rPr>
          <w:rFonts w:cs="Arial"/>
          <w:i/>
          <w:sz w:val="16"/>
          <w:szCs w:val="16"/>
        </w:rPr>
        <w:t>S. aureus</w:t>
      </w:r>
      <w:r w:rsidRPr="00B3430D">
        <w:rPr>
          <w:rFonts w:cs="Arial"/>
          <w:sz w:val="16"/>
          <w:szCs w:val="16"/>
        </w:rPr>
        <w:t xml:space="preserve"> includes </w:t>
      </w:r>
      <w:r w:rsidRPr="00B3430D">
        <w:rPr>
          <w:rFonts w:cs="Arial"/>
          <w:i/>
          <w:iCs/>
          <w:sz w:val="16"/>
          <w:szCs w:val="16"/>
        </w:rPr>
        <w:t>S. argenteus</w:t>
      </w:r>
      <w:r w:rsidRPr="00B3430D">
        <w:rPr>
          <w:rFonts w:cs="Arial"/>
          <w:sz w:val="16"/>
          <w:szCs w:val="16"/>
        </w:rPr>
        <w:t xml:space="preserve"> and</w:t>
      </w:r>
      <w:r w:rsidRPr="00B3430D">
        <w:rPr>
          <w:rFonts w:cs="Arial"/>
          <w:i/>
          <w:iCs/>
          <w:sz w:val="16"/>
          <w:szCs w:val="16"/>
        </w:rPr>
        <w:t xml:space="preserve"> </w:t>
      </w:r>
      <w:r w:rsidRPr="00B3430D">
        <w:rPr>
          <w:i/>
          <w:iCs/>
          <w:sz w:val="16"/>
          <w:szCs w:val="16"/>
        </w:rPr>
        <w:t xml:space="preserve">S. </w:t>
      </w:r>
      <w:proofErr w:type="spellStart"/>
      <w:r w:rsidRPr="00B3430D">
        <w:rPr>
          <w:i/>
          <w:iCs/>
          <w:sz w:val="16"/>
          <w:szCs w:val="16"/>
        </w:rPr>
        <w:t>schweitzeri</w:t>
      </w:r>
      <w:proofErr w:type="spellEnd"/>
    </w:p>
    <w:p w14:paraId="40200551" w14:textId="77777777" w:rsidR="00EB6106" w:rsidRPr="001760E6" w:rsidRDefault="00EB6106" w:rsidP="009F45FC">
      <w:pPr>
        <w:spacing w:before="0" w:after="0"/>
        <w:ind w:left="284" w:hanging="284"/>
        <w:rPr>
          <w:sz w:val="16"/>
          <w:szCs w:val="16"/>
        </w:rPr>
      </w:pPr>
      <w:r>
        <w:rPr>
          <w:sz w:val="16"/>
          <w:szCs w:val="16"/>
        </w:rPr>
        <w:t>#</w:t>
      </w:r>
      <w:r>
        <w:rPr>
          <w:sz w:val="16"/>
          <w:szCs w:val="16"/>
        </w:rPr>
        <w:tab/>
      </w:r>
      <w:r w:rsidRPr="007E550C">
        <w:rPr>
          <w:rFonts w:cs="Arial"/>
          <w:sz w:val="16"/>
          <w:szCs w:val="16"/>
        </w:rPr>
        <w:t>Reporting of daptomycin-nonsusceptible </w:t>
      </w:r>
      <w:r w:rsidRPr="007E550C">
        <w:rPr>
          <w:rFonts w:cs="Arial"/>
          <w:i/>
          <w:iCs/>
          <w:sz w:val="16"/>
          <w:szCs w:val="16"/>
        </w:rPr>
        <w:t>S. aureus</w:t>
      </w:r>
      <w:r w:rsidRPr="007E550C">
        <w:rPr>
          <w:rFonts w:cs="Arial"/>
          <w:sz w:val="16"/>
          <w:szCs w:val="16"/>
        </w:rPr>
        <w:t xml:space="preserve"> was suspended </w:t>
      </w:r>
      <w:r>
        <w:rPr>
          <w:rFonts w:cs="Arial"/>
          <w:sz w:val="16"/>
          <w:szCs w:val="16"/>
        </w:rPr>
        <w:t>from January 2023</w:t>
      </w:r>
    </w:p>
    <w:p w14:paraId="2778DC94" w14:textId="77777777" w:rsidR="00EB6106" w:rsidRPr="001760E6" w:rsidRDefault="00EB6106" w:rsidP="009F45FC">
      <w:pPr>
        <w:spacing w:before="0" w:after="0"/>
        <w:ind w:left="284" w:hanging="284"/>
        <w:rPr>
          <w:rFonts w:cs="Arial"/>
          <w:sz w:val="16"/>
          <w:szCs w:val="16"/>
        </w:rPr>
      </w:pPr>
      <w:r>
        <w:rPr>
          <w:rFonts w:cs="Arial"/>
          <w:sz w:val="16"/>
          <w:szCs w:val="16"/>
        </w:rPr>
        <w:t xml:space="preserve">Note: </w:t>
      </w:r>
      <w:r w:rsidRPr="00B3430D">
        <w:rPr>
          <w:rFonts w:cs="Arial"/>
          <w:sz w:val="16"/>
          <w:szCs w:val="16"/>
        </w:rPr>
        <w:t xml:space="preserve">Low level-azithromycin-nonsusceptible </w:t>
      </w:r>
      <w:r w:rsidRPr="00B3430D">
        <w:rPr>
          <w:rFonts w:cs="Arial"/>
          <w:i/>
          <w:iCs/>
          <w:sz w:val="16"/>
          <w:szCs w:val="16"/>
        </w:rPr>
        <w:t xml:space="preserve">N. gonorrhoeae </w:t>
      </w:r>
      <w:r w:rsidRPr="00B3430D">
        <w:rPr>
          <w:rFonts w:cs="Arial"/>
          <w:sz w:val="16"/>
          <w:szCs w:val="16"/>
        </w:rPr>
        <w:t>was excluded from the weekly summary following review in 2018</w:t>
      </w:r>
      <w:r>
        <w:rPr>
          <w:rFonts w:cs="Arial"/>
          <w:sz w:val="16"/>
          <w:szCs w:val="16"/>
        </w:rPr>
        <w:t>.</w:t>
      </w:r>
      <w:r>
        <w:br w:type="page"/>
      </w:r>
    </w:p>
    <w:p w14:paraId="5B4586EE" w14:textId="34A8014E" w:rsidR="00771492" w:rsidRPr="00A51084" w:rsidRDefault="00C83B6C" w:rsidP="00771492">
      <w:r>
        <w:lastRenderedPageBreak/>
        <w:t xml:space="preserve">The </w:t>
      </w:r>
      <w:r w:rsidR="00771492" w:rsidRPr="002B0B19">
        <w:t xml:space="preserve">CARAlert </w:t>
      </w:r>
      <w:r>
        <w:t xml:space="preserve">system </w:t>
      </w:r>
      <w:r w:rsidR="00771492" w:rsidRPr="002B0B19">
        <w:t xml:space="preserve">generates a weekly summary email to report information on confirmed </w:t>
      </w:r>
      <w:r w:rsidR="00771492">
        <w:t xml:space="preserve">CARs </w:t>
      </w:r>
      <w:r w:rsidR="00771492" w:rsidRPr="002B0B19">
        <w:t xml:space="preserve">to state and territory health authorities, the Department and confirming laboratories. </w:t>
      </w:r>
    </w:p>
    <w:p w14:paraId="15563A3F" w14:textId="77777777" w:rsidR="00771492" w:rsidRPr="002B0B19" w:rsidRDefault="00771492" w:rsidP="00771492">
      <w:r w:rsidRPr="002B0B19">
        <w:t xml:space="preserve">CARAlert data </w:t>
      </w:r>
      <w:r>
        <w:t xml:space="preserve">can </w:t>
      </w:r>
      <w:r w:rsidRPr="002B0B19">
        <w:t xml:space="preserve">support timely responses to CARs by hospitals, and state and territory health departments. Some states have made selected CARs, such as carbapenemase-producing </w:t>
      </w:r>
      <w:r w:rsidRPr="002B0B19">
        <w:rPr>
          <w:i/>
        </w:rPr>
        <w:t>Enterobacterales</w:t>
      </w:r>
      <w:r w:rsidRPr="002B0B19">
        <w:t xml:space="preserve"> and </w:t>
      </w:r>
      <w:r w:rsidRPr="002B0B19">
        <w:rPr>
          <w:i/>
        </w:rPr>
        <w:t>Candida auris</w:t>
      </w:r>
      <w:r w:rsidRPr="002B0B19">
        <w:t xml:space="preserve">, notifiable either using their public health legislation or by policy. Some states and territories have standalone systems for monitoring selected CARs, which complement CARAlert, but these are not widespread. Over time, CARAlert data </w:t>
      </w:r>
      <w:r>
        <w:t xml:space="preserve">has the potential </w:t>
      </w:r>
      <w:r w:rsidRPr="002B0B19">
        <w:t>to inform a broad range of safety and quality improvement programs.</w:t>
      </w:r>
    </w:p>
    <w:p w14:paraId="28054EF1" w14:textId="77777777" w:rsidR="00771492" w:rsidRPr="002B0B19" w:rsidRDefault="00771492" w:rsidP="00771492">
      <w:pPr>
        <w:rPr>
          <w:rFonts w:cs="Arial"/>
        </w:rPr>
      </w:pPr>
      <w:r w:rsidRPr="002B0B19">
        <w:rPr>
          <w:rFonts w:cs="Arial"/>
        </w:rPr>
        <w:t xml:space="preserve">The </w:t>
      </w:r>
      <w:r>
        <w:rPr>
          <w:rFonts w:cs="Arial"/>
        </w:rPr>
        <w:t xml:space="preserve">Commission </w:t>
      </w:r>
      <w:r w:rsidRPr="002B0B19">
        <w:rPr>
          <w:rFonts w:cs="Arial"/>
        </w:rPr>
        <w:t xml:space="preserve">reviewed </w:t>
      </w:r>
      <w:r>
        <w:rPr>
          <w:rFonts w:cs="Arial"/>
        </w:rPr>
        <w:t xml:space="preserve">the </w:t>
      </w:r>
      <w:r w:rsidRPr="002B0B19">
        <w:rPr>
          <w:rFonts w:cs="Arial"/>
        </w:rPr>
        <w:t>CAR</w:t>
      </w:r>
      <w:r>
        <w:rPr>
          <w:rFonts w:cs="Arial"/>
        </w:rPr>
        <w:t>s reported to CAR</w:t>
      </w:r>
      <w:r w:rsidRPr="002B0B19">
        <w:rPr>
          <w:rFonts w:cs="Arial"/>
        </w:rPr>
        <w:t>Alert in 2018, in conjunction with the states and territories</w:t>
      </w:r>
      <w:r>
        <w:rPr>
          <w:rFonts w:cs="Arial"/>
        </w:rPr>
        <w:t xml:space="preserve"> and a range of clinical experts</w:t>
      </w:r>
      <w:r w:rsidRPr="002B0B19">
        <w:rPr>
          <w:rFonts w:cs="Arial"/>
        </w:rPr>
        <w:t>. The review identified four new CARs that were reported to CARAlert from July 2019:</w:t>
      </w:r>
    </w:p>
    <w:p w14:paraId="6EB23509" w14:textId="77777777" w:rsidR="00771492" w:rsidRPr="00467357" w:rsidRDefault="00771492" w:rsidP="00C76970">
      <w:pPr>
        <w:pStyle w:val="Bulletlist"/>
        <w:numPr>
          <w:ilvl w:val="0"/>
          <w:numId w:val="9"/>
        </w:numPr>
        <w:spacing w:after="60"/>
      </w:pPr>
      <w:r w:rsidRPr="00467357">
        <w:t xml:space="preserve">Carbapenemase-producing </w:t>
      </w:r>
      <w:r w:rsidRPr="00111D77">
        <w:rPr>
          <w:i/>
          <w:iCs/>
        </w:rPr>
        <w:t>Acinetobacter baumannii</w:t>
      </w:r>
      <w:r w:rsidRPr="00467357">
        <w:t xml:space="preserve"> </w:t>
      </w:r>
      <w:proofErr w:type="gramStart"/>
      <w:r w:rsidRPr="00467357">
        <w:t>complex</w:t>
      </w:r>
      <w:proofErr w:type="gramEnd"/>
      <w:r w:rsidRPr="00467357">
        <w:t xml:space="preserve"> </w:t>
      </w:r>
    </w:p>
    <w:p w14:paraId="45A99108" w14:textId="77777777" w:rsidR="00771492" w:rsidRPr="00467357" w:rsidRDefault="00771492" w:rsidP="00C76970">
      <w:pPr>
        <w:pStyle w:val="Bulletlist"/>
        <w:numPr>
          <w:ilvl w:val="0"/>
          <w:numId w:val="9"/>
        </w:numPr>
        <w:spacing w:after="60"/>
      </w:pPr>
      <w:r w:rsidRPr="00111D77">
        <w:rPr>
          <w:i/>
          <w:iCs/>
        </w:rPr>
        <w:t>C. auris</w:t>
      </w:r>
    </w:p>
    <w:p w14:paraId="152DB600" w14:textId="77777777" w:rsidR="00771492" w:rsidRPr="00467357" w:rsidRDefault="00771492" w:rsidP="00C76970">
      <w:pPr>
        <w:pStyle w:val="Bulletlist"/>
        <w:numPr>
          <w:ilvl w:val="0"/>
          <w:numId w:val="9"/>
        </w:numPr>
        <w:spacing w:after="60"/>
      </w:pPr>
      <w:r w:rsidRPr="00467357">
        <w:t>Trans</w:t>
      </w:r>
      <w:r>
        <w:t>missible</w:t>
      </w:r>
      <w:r w:rsidRPr="00467357">
        <w:t xml:space="preserve"> resistance to colistin in </w:t>
      </w:r>
      <w:r w:rsidRPr="00111D77">
        <w:rPr>
          <w:i/>
          <w:iCs/>
        </w:rPr>
        <w:t>Enterobacterales</w:t>
      </w:r>
    </w:p>
    <w:p w14:paraId="15ABEC87" w14:textId="77777777" w:rsidR="00771492" w:rsidRPr="00467357" w:rsidRDefault="00771492" w:rsidP="00771492">
      <w:pPr>
        <w:pStyle w:val="Bulletlist"/>
        <w:numPr>
          <w:ilvl w:val="0"/>
          <w:numId w:val="9"/>
        </w:numPr>
      </w:pPr>
      <w:r w:rsidRPr="00467357">
        <w:t xml:space="preserve">Carbapenemase-producing </w:t>
      </w:r>
      <w:r w:rsidRPr="00111D77">
        <w:rPr>
          <w:i/>
          <w:iCs/>
        </w:rPr>
        <w:t>Pseudomonas aeruginosa</w:t>
      </w:r>
      <w:r w:rsidRPr="003A2F4A">
        <w:t>.</w:t>
      </w:r>
    </w:p>
    <w:p w14:paraId="7F9DB84D" w14:textId="77777777" w:rsidR="00771492" w:rsidRDefault="00771492" w:rsidP="00D2442E">
      <w:r>
        <w:t>The Commission completed another review of the CARs reported to CARAlert in 2022. This review followed a similar process to the 2018 review. The 2022 review identified two new CARs that were reported to CARAlert from January 2023:</w:t>
      </w:r>
    </w:p>
    <w:p w14:paraId="60B46A31" w14:textId="77777777" w:rsidR="00771492" w:rsidRPr="00467357" w:rsidRDefault="00771492" w:rsidP="00C76970">
      <w:pPr>
        <w:pStyle w:val="Bulletlist"/>
        <w:numPr>
          <w:ilvl w:val="0"/>
          <w:numId w:val="9"/>
        </w:numPr>
        <w:spacing w:after="60"/>
      </w:pPr>
      <w:r w:rsidRPr="00467357">
        <w:t xml:space="preserve">Gentamicin-resistant </w:t>
      </w:r>
      <w:r w:rsidRPr="00111D77">
        <w:rPr>
          <w:i/>
          <w:iCs/>
        </w:rPr>
        <w:t>N</w:t>
      </w:r>
      <w:r>
        <w:rPr>
          <w:i/>
          <w:iCs/>
        </w:rPr>
        <w:t xml:space="preserve">eisseria </w:t>
      </w:r>
      <w:r w:rsidRPr="00111D77">
        <w:rPr>
          <w:i/>
          <w:iCs/>
        </w:rPr>
        <w:t>gonorrhoeae</w:t>
      </w:r>
      <w:r w:rsidRPr="00467357">
        <w:t xml:space="preserve"> </w:t>
      </w:r>
    </w:p>
    <w:p w14:paraId="045ABC56" w14:textId="77777777" w:rsidR="00771492" w:rsidRPr="00467357" w:rsidRDefault="00771492" w:rsidP="00771492">
      <w:pPr>
        <w:pStyle w:val="Bulletlist"/>
        <w:numPr>
          <w:ilvl w:val="0"/>
          <w:numId w:val="9"/>
        </w:numPr>
      </w:pPr>
      <w:r w:rsidRPr="00467357">
        <w:t xml:space="preserve">Ciprofloxacin-nonsusceptible </w:t>
      </w:r>
      <w:r w:rsidRPr="00111D77">
        <w:rPr>
          <w:i/>
          <w:iCs/>
        </w:rPr>
        <w:t>N</w:t>
      </w:r>
      <w:r>
        <w:rPr>
          <w:i/>
          <w:iCs/>
        </w:rPr>
        <w:t>. </w:t>
      </w:r>
      <w:r w:rsidRPr="00111D77">
        <w:rPr>
          <w:i/>
          <w:iCs/>
        </w:rPr>
        <w:t>meningi</w:t>
      </w:r>
      <w:r>
        <w:rPr>
          <w:i/>
          <w:iCs/>
        </w:rPr>
        <w:t>t</w:t>
      </w:r>
      <w:r w:rsidRPr="00111D77">
        <w:rPr>
          <w:i/>
          <w:iCs/>
        </w:rPr>
        <w:t>i</w:t>
      </w:r>
      <w:r>
        <w:rPr>
          <w:i/>
          <w:iCs/>
        </w:rPr>
        <w:t>d</w:t>
      </w:r>
      <w:r w:rsidRPr="00111D77">
        <w:rPr>
          <w:i/>
          <w:iCs/>
        </w:rPr>
        <w:t>is</w:t>
      </w:r>
      <w:r w:rsidRPr="00467357">
        <w:t>.</w:t>
      </w:r>
    </w:p>
    <w:p w14:paraId="27F7DD40" w14:textId="24B1F209" w:rsidR="00771492" w:rsidRPr="0015195D" w:rsidRDefault="00771492" w:rsidP="00D2442E">
      <w:r>
        <w:t xml:space="preserve">Reporting of daptomycin-nonsusceptible </w:t>
      </w:r>
      <w:r>
        <w:rPr>
          <w:i/>
          <w:iCs/>
        </w:rPr>
        <w:t>Staphylococcus aureus</w:t>
      </w:r>
      <w:r>
        <w:t xml:space="preserve"> was suspended from 1 January 2023, as recommended. Reporting of this CAR will be reconsidered when more reliable testing methods are available.</w:t>
      </w:r>
    </w:p>
    <w:p w14:paraId="3B8374F8" w14:textId="77777777" w:rsidR="00597498" w:rsidRPr="00561C0F" w:rsidRDefault="00597498" w:rsidP="00D2442E">
      <w:pPr>
        <w:spacing w:line="259" w:lineRule="auto"/>
        <w:rPr>
          <w:bCs/>
        </w:rPr>
      </w:pPr>
      <w:r w:rsidRPr="00561C0F">
        <w:t>The Department regularly evaluates national surveillance systems to ensure they continue to meet their purpose and objectives. In 2022–</w:t>
      </w:r>
      <w:r>
        <w:t>20</w:t>
      </w:r>
      <w:r w:rsidRPr="00561C0F">
        <w:t xml:space="preserve">23, the Department conducted an evaluation of CARAlert, which complements the Commission’s review of CARs. </w:t>
      </w:r>
      <w:r w:rsidRPr="00561C0F">
        <w:rPr>
          <w:bCs/>
        </w:rPr>
        <w:t>The purpose of the CARAlert evaluation was to examine:</w:t>
      </w:r>
    </w:p>
    <w:p w14:paraId="3D2B1FFE" w14:textId="77777777" w:rsidR="00597498" w:rsidRPr="00561C0F" w:rsidRDefault="00597498" w:rsidP="00C76970">
      <w:pPr>
        <w:pStyle w:val="Bulletlist"/>
        <w:numPr>
          <w:ilvl w:val="0"/>
          <w:numId w:val="9"/>
        </w:numPr>
        <w:spacing w:after="60"/>
      </w:pPr>
      <w:r w:rsidRPr="00561C0F">
        <w:t xml:space="preserve">How well the system operates to meet its purposes and </w:t>
      </w:r>
      <w:proofErr w:type="gramStart"/>
      <w:r w:rsidRPr="00561C0F">
        <w:t>objectives</w:t>
      </w:r>
      <w:proofErr w:type="gramEnd"/>
    </w:p>
    <w:p w14:paraId="3A771B35" w14:textId="77777777" w:rsidR="00597498" w:rsidRPr="00561C0F" w:rsidRDefault="00597498" w:rsidP="00C76970">
      <w:pPr>
        <w:pStyle w:val="Bulletlist"/>
        <w:numPr>
          <w:ilvl w:val="0"/>
          <w:numId w:val="9"/>
        </w:numPr>
        <w:spacing w:after="60"/>
      </w:pPr>
      <w:r w:rsidRPr="00561C0F">
        <w:t xml:space="preserve">The appropriateness of the system’s purposes and objectives </w:t>
      </w:r>
    </w:p>
    <w:p w14:paraId="065B821F" w14:textId="77777777" w:rsidR="00597498" w:rsidRPr="00561C0F" w:rsidRDefault="00597498" w:rsidP="00597498">
      <w:pPr>
        <w:pStyle w:val="Bulletlist"/>
        <w:numPr>
          <w:ilvl w:val="0"/>
          <w:numId w:val="9"/>
        </w:numPr>
      </w:pPr>
      <w:r w:rsidRPr="00561C0F">
        <w:t xml:space="preserve">Improvements to enhance the system’s ability to meet these objectives. </w:t>
      </w:r>
    </w:p>
    <w:p w14:paraId="7F9B85C5" w14:textId="7FBC17E9" w:rsidR="00597498" w:rsidRDefault="00597498" w:rsidP="00D2442E">
      <w:r w:rsidRPr="00561C0F">
        <w:t xml:space="preserve">The United States </w:t>
      </w:r>
      <w:proofErr w:type="spellStart"/>
      <w:r w:rsidRPr="00561C0F">
        <w:t>Centers</w:t>
      </w:r>
      <w:proofErr w:type="spellEnd"/>
      <w:r w:rsidRPr="00561C0F">
        <w:t xml:space="preserve"> for Disease Control and Prevention </w:t>
      </w:r>
      <w:r w:rsidRPr="00561C0F">
        <w:rPr>
          <w:i/>
          <w:iCs/>
        </w:rPr>
        <w:t xml:space="preserve">Updated Guidelines for Evaluating Public Health Surveillance </w:t>
      </w:r>
      <w:r w:rsidRPr="00CD130D">
        <w:rPr>
          <w:i/>
          <w:iCs/>
        </w:rPr>
        <w:t>Systems</w:t>
      </w:r>
      <w:r w:rsidRPr="00CD130D">
        <w:fldChar w:fldCharType="begin"/>
      </w:r>
      <w:r w:rsidR="0029488B">
        <w:instrText xml:space="preserve"> ADDIN EN.CITE &lt;EndNote&gt;&lt;Cite&gt;&lt;Author&gt;Centers for Disease Control and Prevention&lt;/Author&gt;&lt;Year&gt;2001&lt;/Year&gt;&lt;RecNum&gt;189&lt;/RecNum&gt;&lt;DisplayText&gt;&lt;style face="superscript"&gt;20&lt;/style&gt;&lt;/DisplayText&gt;&lt;record&gt;&lt;rec-number&gt;189&lt;/rec-number&gt;&lt;foreign-keys&gt;&lt;key app="EN" db-id="vzwf0pfzpvev5nezsr65z5xvafz5xzavdxw9" timestamp="1676945149"&gt;189&lt;/key&gt;&lt;/foreign-keys&gt;&lt;ref-type name="Web Page"&gt;12&lt;/ref-type&gt;&lt;contributors&gt;&lt;authors&gt;&lt;author&gt;Centers for Disease Control and Prevention,&lt;/author&gt;&lt;/authors&gt;&lt;/contributors&gt;&lt;titles&gt;&lt;title&gt;Updated Guidelines for Evaluating Public Health Surveillance Systems. Recommendations from the Guidelines Working Group&lt;/title&gt;&lt;/titles&gt;&lt;number&gt;March 2023&lt;/number&gt;&lt;dates&gt;&lt;year&gt;2001&lt;/year&gt;&lt;/dates&gt;&lt;pub-location&gt;Atlanta (GA)&lt;/pub-location&gt;&lt;publisher&gt;CDC&lt;/publisher&gt;&lt;urls&gt;&lt;related-urls&gt;&lt;url&gt;https://www.cdc.gov/mmwr/preview/mmwrhtml/rr5013a1.htm&lt;/url&gt;&lt;/related-urls&gt;&lt;/urls&gt;&lt;/record&gt;&lt;/Cite&gt;&lt;/EndNote&gt;</w:instrText>
      </w:r>
      <w:r w:rsidRPr="00CD130D">
        <w:fldChar w:fldCharType="separate"/>
      </w:r>
      <w:r w:rsidR="0029488B" w:rsidRPr="0029488B">
        <w:rPr>
          <w:noProof/>
          <w:vertAlign w:val="superscript"/>
        </w:rPr>
        <w:t>20</w:t>
      </w:r>
      <w:r w:rsidRPr="00CD130D">
        <w:fldChar w:fldCharType="end"/>
      </w:r>
      <w:r w:rsidRPr="00CD130D">
        <w:t xml:space="preserve"> was used</w:t>
      </w:r>
      <w:r w:rsidRPr="00561C0F">
        <w:t xml:space="preserve"> to evaluate </w:t>
      </w:r>
      <w:r w:rsidRPr="00561C0F">
        <w:rPr>
          <w:bCs/>
        </w:rPr>
        <w:t>the system’s usefulness and performance against system attributes.</w:t>
      </w:r>
      <w:r w:rsidRPr="00561C0F">
        <w:t xml:space="preserve"> </w:t>
      </w:r>
      <w:r w:rsidR="00FC02CE">
        <w:rPr>
          <w:bCs/>
        </w:rPr>
        <w:t>T</w:t>
      </w:r>
      <w:r w:rsidRPr="00561C0F">
        <w:rPr>
          <w:bCs/>
        </w:rPr>
        <w:t>he Commission will collaborate with the Department, states and territories and confirming laboratories to consider the recommendations of the evaluation and feasibility for implementation</w:t>
      </w:r>
      <w:r>
        <w:rPr>
          <w:bCs/>
        </w:rPr>
        <w:t>.</w:t>
      </w:r>
    </w:p>
    <w:p w14:paraId="5F550166" w14:textId="708A0627" w:rsidR="00EB6106" w:rsidRDefault="00597498" w:rsidP="00AE0055">
      <w:r w:rsidRPr="002B0B19">
        <w:t>Information on CARAlert</w:t>
      </w:r>
      <w:r>
        <w:t xml:space="preserve"> </w:t>
      </w:r>
      <w:r w:rsidRPr="002B0B19">
        <w:t>processes</w:t>
      </w:r>
      <w:r>
        <w:t xml:space="preserve"> and considerations for interpreting CARAlert data </w:t>
      </w:r>
      <w:r w:rsidRPr="002B0B19">
        <w:t>is in Appendix</w:t>
      </w:r>
      <w:r>
        <w:t> 2</w:t>
      </w:r>
      <w:r w:rsidRPr="002B0B19">
        <w:t>.</w:t>
      </w:r>
      <w:r w:rsidR="00EB6106">
        <w:br w:type="page"/>
      </w:r>
    </w:p>
    <w:p w14:paraId="5B23A043" w14:textId="77777777" w:rsidR="00EB6106" w:rsidRPr="00991E6C" w:rsidRDefault="00EB6106" w:rsidP="00FE0619">
      <w:pPr>
        <w:pStyle w:val="Heading2"/>
      </w:pPr>
      <w:bookmarkStart w:id="44" w:name="_Toc166585589"/>
      <w:r w:rsidRPr="00991E6C">
        <w:lastRenderedPageBreak/>
        <w:t>Appendix 2</w:t>
      </w:r>
      <w:r w:rsidRPr="00991E6C">
        <w:tab/>
        <w:t>Methodology</w:t>
      </w:r>
      <w:bookmarkEnd w:id="44"/>
    </w:p>
    <w:p w14:paraId="00C80E00" w14:textId="77777777" w:rsidR="00EB6106" w:rsidRDefault="00EB6106" w:rsidP="00EB6106">
      <w:pPr>
        <w:pStyle w:val="Heading4"/>
      </w:pPr>
      <w:r>
        <w:t xml:space="preserve">CARAlert reporting </w:t>
      </w:r>
      <w:proofErr w:type="gramStart"/>
      <w:r>
        <w:t>processes</w:t>
      </w:r>
      <w:proofErr w:type="gramEnd"/>
    </w:p>
    <w:p w14:paraId="15CDB972" w14:textId="77777777" w:rsidR="00EB6106" w:rsidRPr="006F4DDF" w:rsidRDefault="00EB6106" w:rsidP="00EB6106">
      <w:pPr>
        <w:pStyle w:val="Normal-beforebullets"/>
        <w:spacing w:after="120"/>
      </w:pPr>
      <w:r w:rsidRPr="002B0B19">
        <w:t xml:space="preserve">All of the following criteria must be met for organisms and resistances to be categorised as a </w:t>
      </w:r>
      <w:r>
        <w:t>critical antimicrobial resistance (</w:t>
      </w:r>
      <w:r w:rsidRPr="002B0B19">
        <w:t>CAR</w:t>
      </w:r>
      <w:r>
        <w:t>)</w:t>
      </w:r>
      <w:r w:rsidRPr="002B0B19">
        <w:t xml:space="preserve"> for reporting to </w:t>
      </w:r>
      <w:r>
        <w:t xml:space="preserve">the National Alert System for Critical </w:t>
      </w:r>
      <w:r w:rsidRPr="006F4DDF">
        <w:t>Antimicrobial Resistances (CARAlert):</w:t>
      </w:r>
    </w:p>
    <w:p w14:paraId="104FFAAC" w14:textId="06B6830D" w:rsidR="00EB6106" w:rsidRPr="00CD130D" w:rsidRDefault="00EB6106" w:rsidP="00C76970">
      <w:pPr>
        <w:pStyle w:val="Bulletlist"/>
        <w:numPr>
          <w:ilvl w:val="0"/>
          <w:numId w:val="9"/>
        </w:numPr>
        <w:spacing w:after="60"/>
      </w:pPr>
      <w:r w:rsidRPr="00467357">
        <w:t xml:space="preserve">Inclusion as a priority organism for national reporting as part of the Antimicrobial Use and Resistance in Australia (AURA) </w:t>
      </w:r>
      <w:r w:rsidR="00E42363">
        <w:t>s</w:t>
      </w:r>
      <w:r w:rsidRPr="00467357">
        <w:t xml:space="preserve">urveillance </w:t>
      </w:r>
      <w:r w:rsidR="00E42363">
        <w:t>program</w:t>
      </w:r>
      <w:r w:rsidRPr="00CD130D">
        <w:fldChar w:fldCharType="begin"/>
      </w:r>
      <w:r w:rsidR="0029488B">
        <w:instrText xml:space="preserve"> ADDIN EN.CITE &lt;EndNote&gt;&lt;Cite&gt;&lt;Author&gt;Australian Commission on Safety and Quality in Health Care&lt;/Author&gt;&lt;Year&gt;2022&lt;/Year&gt;&lt;RecNum&gt;261&lt;/RecNum&gt;&lt;DisplayText&gt;&lt;style face="superscript"&gt;21&lt;/style&gt;&lt;/DisplayText&gt;&lt;record&gt;&lt;rec-number&gt;261&lt;/rec-number&gt;&lt;foreign-keys&gt;&lt;key app="EN" db-id="vzwf0pfzpvev5nezsr65z5xvafz5xzavdxw9" timestamp="1688103587"&gt;261&lt;/key&gt;&lt;/foreign-keys&gt;&lt;ref-type name="Government Document"&gt;46&lt;/ref-type&gt;&lt;contributors&gt;&lt;authors&gt;&lt;author&gt;Australian Commission on Safety and Quality in Health Care,&lt;/author&gt;&lt;/authors&gt;&lt;/contributors&gt;&lt;titles&gt;&lt;title&gt;Priority organisms for national reporting in targeted surveillance programs&lt;/title&gt;&lt;/titles&gt;&lt;dates&gt;&lt;year&gt;2022&lt;/year&gt;&lt;/dates&gt;&lt;pub-location&gt;Sydney&lt;/pub-location&gt;&lt;publisher&gt;ACSQHC&lt;/publisher&gt;&lt;urls&gt;&lt;related-urls&gt;&lt;url&gt;https://www.safetyandquality.gov.au/publications-and-resources/resource-library/fact-sheet-aura-priority-organisms-list&lt;/url&gt;&lt;/related-urls&gt;&lt;/urls&gt;&lt;/record&gt;&lt;/Cite&gt;&lt;/EndNote&gt;</w:instrText>
      </w:r>
      <w:r w:rsidRPr="00CD130D">
        <w:fldChar w:fldCharType="separate"/>
      </w:r>
      <w:r w:rsidR="0029488B" w:rsidRPr="0029488B">
        <w:rPr>
          <w:noProof/>
          <w:vertAlign w:val="superscript"/>
        </w:rPr>
        <w:t>21</w:t>
      </w:r>
      <w:r w:rsidRPr="00CD130D">
        <w:fldChar w:fldCharType="end"/>
      </w:r>
    </w:p>
    <w:p w14:paraId="6750568F" w14:textId="77777777" w:rsidR="00EB6106" w:rsidRPr="00467357" w:rsidRDefault="00EB6106" w:rsidP="00C76970">
      <w:pPr>
        <w:pStyle w:val="Bulletlist"/>
        <w:numPr>
          <w:ilvl w:val="0"/>
          <w:numId w:val="9"/>
        </w:numPr>
        <w:spacing w:after="60"/>
      </w:pPr>
      <w:r w:rsidRPr="00467357">
        <w:t>A serious threat to last-line antimicrobial agents</w:t>
      </w:r>
    </w:p>
    <w:p w14:paraId="1015ABBE" w14:textId="77777777" w:rsidR="00EB6106" w:rsidRPr="00467357" w:rsidRDefault="00EB6106" w:rsidP="00C76970">
      <w:pPr>
        <w:pStyle w:val="Bulletlist"/>
        <w:numPr>
          <w:ilvl w:val="0"/>
          <w:numId w:val="9"/>
        </w:numPr>
        <w:spacing w:after="60"/>
      </w:pPr>
      <w:r w:rsidRPr="00467357">
        <w:t>Strongly associated with resistance to other antimicrobial classes</w:t>
      </w:r>
    </w:p>
    <w:p w14:paraId="2A6A5684" w14:textId="77777777" w:rsidR="00EB6106" w:rsidRPr="00467357" w:rsidRDefault="00EB6106" w:rsidP="00C76970">
      <w:pPr>
        <w:pStyle w:val="Bulletlist"/>
        <w:numPr>
          <w:ilvl w:val="0"/>
          <w:numId w:val="9"/>
        </w:numPr>
        <w:spacing w:after="60"/>
      </w:pPr>
      <w:r w:rsidRPr="00467357">
        <w:t xml:space="preserve">At low prevalence in, or currently absent from, Australia and potentially </w:t>
      </w:r>
      <w:proofErr w:type="gramStart"/>
      <w:r w:rsidRPr="00467357">
        <w:t>containable</w:t>
      </w:r>
      <w:proofErr w:type="gramEnd"/>
    </w:p>
    <w:p w14:paraId="4C85CC29" w14:textId="77777777" w:rsidR="00EB6106" w:rsidRPr="00467357" w:rsidRDefault="00EB6106" w:rsidP="00EB6106">
      <w:pPr>
        <w:pStyle w:val="Bulletlist"/>
        <w:numPr>
          <w:ilvl w:val="0"/>
          <w:numId w:val="9"/>
        </w:numPr>
      </w:pPr>
      <w:r w:rsidRPr="00467357">
        <w:t>Data not otherwise collected nationally in a timely way.</w:t>
      </w:r>
    </w:p>
    <w:p w14:paraId="0C071152" w14:textId="30D49C89" w:rsidR="00C53B81" w:rsidRDefault="00C53B81" w:rsidP="00C53B81">
      <w:r>
        <w:rPr>
          <w:i/>
          <w:iCs/>
        </w:rPr>
        <w:t>Candida auris</w:t>
      </w:r>
      <w:r>
        <w:t xml:space="preserve"> was added as a CAR for reporting to CARAlert in 2019 despite not being an AURA </w:t>
      </w:r>
      <w:r w:rsidR="00E42363">
        <w:t>s</w:t>
      </w:r>
      <w:r>
        <w:t xml:space="preserve">urveillance </w:t>
      </w:r>
      <w:r w:rsidR="00E42363">
        <w:t xml:space="preserve">program </w:t>
      </w:r>
      <w:r>
        <w:t>priority organism.</w:t>
      </w:r>
      <w:r w:rsidR="00FC02CE" w:rsidRPr="00CD130D">
        <w:fldChar w:fldCharType="begin"/>
      </w:r>
      <w:r w:rsidR="0029488B">
        <w:instrText xml:space="preserve"> ADDIN EN.CITE &lt;EndNote&gt;&lt;Cite&gt;&lt;Author&gt;Australian Commission on Safety and Quality in Health Care&lt;/Author&gt;&lt;Year&gt;2022&lt;/Year&gt;&lt;RecNum&gt;261&lt;/RecNum&gt;&lt;DisplayText&gt;&lt;style face="superscript"&gt;21&lt;/style&gt;&lt;/DisplayText&gt;&lt;record&gt;&lt;rec-number&gt;261&lt;/rec-number&gt;&lt;foreign-keys&gt;&lt;key app="EN" db-id="vzwf0pfzpvev5nezsr65z5xvafz5xzavdxw9" timestamp="1688103587"&gt;261&lt;/key&gt;&lt;/foreign-keys&gt;&lt;ref-type name="Government Document"&gt;46&lt;/ref-type&gt;&lt;contributors&gt;&lt;authors&gt;&lt;author&gt;Australian Commission on Safety and Quality in Health Care,&lt;/author&gt;&lt;/authors&gt;&lt;/contributors&gt;&lt;titles&gt;&lt;title&gt;Priority organisms for national reporting in targeted surveillance programs&lt;/title&gt;&lt;/titles&gt;&lt;dates&gt;&lt;year&gt;2022&lt;/year&gt;&lt;/dates&gt;&lt;pub-location&gt;Sydney&lt;/pub-location&gt;&lt;publisher&gt;ACSQHC&lt;/publisher&gt;&lt;urls&gt;&lt;related-urls&gt;&lt;url&gt;https://www.safetyandquality.gov.au/publications-and-resources/resource-library/fact-sheet-aura-priority-organisms-list&lt;/url&gt;&lt;/related-urls&gt;&lt;/urls&gt;&lt;/record&gt;&lt;/Cite&gt;&lt;/EndNote&gt;</w:instrText>
      </w:r>
      <w:r w:rsidR="00FC02CE" w:rsidRPr="00CD130D">
        <w:fldChar w:fldCharType="separate"/>
      </w:r>
      <w:r w:rsidR="0029488B" w:rsidRPr="0029488B">
        <w:rPr>
          <w:noProof/>
          <w:vertAlign w:val="superscript"/>
        </w:rPr>
        <w:t>21</w:t>
      </w:r>
      <w:r w:rsidR="00FC02CE" w:rsidRPr="00CD130D">
        <w:fldChar w:fldCharType="end"/>
      </w:r>
      <w:r>
        <w:t xml:space="preserve"> This change was in response to feedback from respondents to the 2018 review of CARs, and international c</w:t>
      </w:r>
      <w:r w:rsidRPr="00E27D47">
        <w:t>oncern</w:t>
      </w:r>
      <w:r>
        <w:t>s</w:t>
      </w:r>
      <w:r w:rsidRPr="00E27D47">
        <w:t xml:space="preserve"> </w:t>
      </w:r>
      <w:r>
        <w:t>for its</w:t>
      </w:r>
      <w:r w:rsidRPr="00E27D47">
        <w:t xml:space="preserve"> multi</w:t>
      </w:r>
      <w:r>
        <w:t>-</w:t>
      </w:r>
      <w:r w:rsidRPr="00E27D47">
        <w:t>drug</w:t>
      </w:r>
      <w:r>
        <w:t xml:space="preserve"> </w:t>
      </w:r>
      <w:r w:rsidRPr="00E27D47">
        <w:t>resistan</w:t>
      </w:r>
      <w:r>
        <w:t>ce</w:t>
      </w:r>
      <w:r w:rsidRPr="00E27D47">
        <w:t xml:space="preserve"> and associat</w:t>
      </w:r>
      <w:r>
        <w:t>ion</w:t>
      </w:r>
      <w:r w:rsidRPr="00E27D47">
        <w:t xml:space="preserve"> with </w:t>
      </w:r>
      <w:r>
        <w:t xml:space="preserve">invasive infection </w:t>
      </w:r>
      <w:r w:rsidRPr="00E27D47">
        <w:t xml:space="preserve">outbreaks in healthcare facilities </w:t>
      </w:r>
      <w:r>
        <w:t>in 2017</w:t>
      </w:r>
      <w:r w:rsidRPr="00E27D47">
        <w:t>.</w:t>
      </w:r>
      <w:r w:rsidR="005867FD">
        <w:fldChar w:fldCharType="begin"/>
      </w:r>
      <w:r w:rsidR="0029488B">
        <w:instrText xml:space="preserve"> ADDIN EN.CITE &lt;EndNote&gt;&lt;Cite&gt;&lt;Author&gt;Centers for Disease Control Prevention&lt;/Author&gt;&lt;Year&gt;2023&lt;/Year&gt;&lt;RecNum&gt;365&lt;/RecNum&gt;&lt;DisplayText&gt;&lt;style face="superscript"&gt;22&lt;/style&gt;&lt;/DisplayText&gt;&lt;record&gt;&lt;rec-number&gt;365&lt;/rec-number&gt;&lt;foreign-keys&gt;&lt;key app="EN" db-id="50sdzz5rpr5pp3ev5wcv00w55dtazdrrfws9" timestamp="1588124121"&gt;365&lt;/key&gt;&lt;/foreign-keys&gt;&lt;ref-type name="Web Page"&gt;12&lt;/ref-type&gt;&lt;contributors&gt;&lt;authors&gt;&lt;author&gt;Centers for Disease Control Prevention,&lt;/author&gt;&lt;/authors&gt;&lt;/contributors&gt;&lt;titles&gt;&lt;title&gt;&lt;style face="normal" font="default" size="100%"&gt;Infection Prevention and Control for&lt;/style&gt;&lt;style face="italic" font="default" size="100%"&gt; Candida auris&lt;/style&gt;&lt;/title&gt;&lt;/titles&gt;&lt;volume&gt;2023&lt;/volume&gt;&lt;number&gt;5 April 2024&lt;/number&gt;&lt;dates&gt;&lt;year&gt;2023&lt;/year&gt;&lt;pub-dates&gt;&lt;date&gt;17 January 2023&lt;/date&gt;&lt;/pub-dates&gt;&lt;/dates&gt;&lt;publisher&gt;CDC&lt;/publisher&gt;&lt;urls&gt;&lt;related-urls&gt;&lt;url&gt;https://www.cdc.gov/fungal/candida-auris/c-auris-infection-control.html&lt;/url&gt;&lt;/related-urls&gt;&lt;/urls&gt;&lt;/record&gt;&lt;/Cite&gt;&lt;/EndNote&gt;</w:instrText>
      </w:r>
      <w:r w:rsidR="005867FD">
        <w:fldChar w:fldCharType="separate"/>
      </w:r>
      <w:r w:rsidR="0029488B" w:rsidRPr="0029488B">
        <w:rPr>
          <w:noProof/>
          <w:vertAlign w:val="superscript"/>
        </w:rPr>
        <w:t>22</w:t>
      </w:r>
      <w:r w:rsidR="005867FD">
        <w:fldChar w:fldCharType="end"/>
      </w:r>
      <w:r w:rsidRPr="00E27D47">
        <w:t xml:space="preserve"> </w:t>
      </w:r>
    </w:p>
    <w:p w14:paraId="06301F2E" w14:textId="77777777" w:rsidR="00C53B81" w:rsidRPr="007B7BB0" w:rsidRDefault="00C53B81" w:rsidP="00C53B81">
      <w:pPr>
        <w:pStyle w:val="Normal-beforebullets"/>
        <w:spacing w:after="120"/>
      </w:pPr>
      <w:r w:rsidRPr="007B7BB0">
        <w:t>CARAlert is based on the following routine processes used by pathology laboratories for identifying and confirming potential CARs:</w:t>
      </w:r>
    </w:p>
    <w:p w14:paraId="03D81D72" w14:textId="77777777" w:rsidR="00EB6106" w:rsidRPr="00467357" w:rsidRDefault="00EB6106" w:rsidP="00C76970">
      <w:pPr>
        <w:pStyle w:val="Bulletlist"/>
        <w:numPr>
          <w:ilvl w:val="0"/>
          <w:numId w:val="9"/>
        </w:numPr>
        <w:spacing w:after="60"/>
      </w:pPr>
      <w:r w:rsidRPr="00467357">
        <w:t xml:space="preserve">Collection and routine testing – the isolate </w:t>
      </w:r>
      <w:proofErr w:type="gramStart"/>
      <w:r w:rsidRPr="00467357">
        <w:t>is</w:t>
      </w:r>
      <w:proofErr w:type="gramEnd"/>
      <w:r w:rsidRPr="00467357">
        <w:t xml:space="preserve"> collected from the patient and sent to the originating laboratory for routine testing</w:t>
      </w:r>
    </w:p>
    <w:p w14:paraId="14EE45C1" w14:textId="77777777" w:rsidR="00EB6106" w:rsidRPr="00467357" w:rsidRDefault="00EB6106" w:rsidP="00C76970">
      <w:pPr>
        <w:pStyle w:val="Bulletlist"/>
        <w:numPr>
          <w:ilvl w:val="0"/>
          <w:numId w:val="9"/>
        </w:numPr>
        <w:spacing w:after="60"/>
      </w:pPr>
      <w:r w:rsidRPr="00467357">
        <w:t xml:space="preserve">Confirmation – if the originating laboratory suspects that the isolate is a CAR, it sends the isolate to a confirming laboratory that has the capacity to confirm the </w:t>
      </w:r>
      <w:proofErr w:type="gramStart"/>
      <w:r w:rsidRPr="00467357">
        <w:t>CAR</w:t>
      </w:r>
      <w:proofErr w:type="gramEnd"/>
      <w:r w:rsidRPr="00467357">
        <w:t xml:space="preserve"> </w:t>
      </w:r>
    </w:p>
    <w:p w14:paraId="13F6BE74" w14:textId="77777777" w:rsidR="00EB6106" w:rsidRPr="00467357" w:rsidRDefault="00EB6106" w:rsidP="00C76970">
      <w:pPr>
        <w:pStyle w:val="Bulletlist"/>
        <w:numPr>
          <w:ilvl w:val="0"/>
          <w:numId w:val="9"/>
        </w:numPr>
        <w:spacing w:after="60"/>
      </w:pPr>
      <w:r w:rsidRPr="00467357">
        <w:t xml:space="preserve">Reporting to clinicians in accordance with usual laboratory processes – the confirming laboratory reports back to the originating laboratory, which in turn reports to the clinician who initially requested the microbiological </w:t>
      </w:r>
      <w:proofErr w:type="gramStart"/>
      <w:r w:rsidRPr="00467357">
        <w:t>testing</w:t>
      </w:r>
      <w:proofErr w:type="gramEnd"/>
    </w:p>
    <w:p w14:paraId="7BF52A99" w14:textId="2B77B6EE" w:rsidR="00EB6106" w:rsidRPr="00467357" w:rsidRDefault="00DB2A53" w:rsidP="00EB6106">
      <w:pPr>
        <w:pStyle w:val="Bulletlist"/>
        <w:numPr>
          <w:ilvl w:val="0"/>
          <w:numId w:val="9"/>
        </w:numPr>
      </w:pPr>
      <w:r w:rsidRPr="00467357">
        <w:t>Submission to CARAlert</w:t>
      </w:r>
      <w:r>
        <w:t xml:space="preserve"> </w:t>
      </w:r>
      <w:r w:rsidRPr="00467357">
        <w:t>– the confirming laboratory advises the originating laboratory of the result</w:t>
      </w:r>
      <w:r>
        <w:t xml:space="preserve"> of the test</w:t>
      </w:r>
      <w:r w:rsidRPr="00467357">
        <w:t>, and the originating laboratory reports back to the health service that cared for the patient</w:t>
      </w:r>
      <w:r>
        <w:t xml:space="preserve"> from whom the specimen was collected</w:t>
      </w:r>
      <w:r w:rsidRPr="00467357">
        <w:t>; the confirming laboratory then submits the details of the resistance and organism to the secure CARAlert web portal</w:t>
      </w:r>
      <w:r w:rsidR="00EB6106" w:rsidRPr="00467357">
        <w:t>.</w:t>
      </w:r>
    </w:p>
    <w:p w14:paraId="00992CA2" w14:textId="77777777" w:rsidR="00572897" w:rsidRDefault="00572897" w:rsidP="00572897">
      <w:r>
        <w:t>T</w:t>
      </w:r>
      <w:r w:rsidRPr="00F13541">
        <w:t xml:space="preserve">he results </w:t>
      </w:r>
      <w:r>
        <w:t xml:space="preserve">of confirmatory testing </w:t>
      </w:r>
      <w:r w:rsidRPr="00F13541">
        <w:t>are provided to the originating laboratory as soon as possible after confirmation.</w:t>
      </w:r>
      <w:r>
        <w:t xml:space="preserve"> Generally, confirming laboratories submit a CAR report within seven days of the isolate being confirmed as a CAR. </w:t>
      </w:r>
    </w:p>
    <w:p w14:paraId="0F51F79B" w14:textId="77777777" w:rsidR="00572897" w:rsidRPr="002B0B19" w:rsidRDefault="00572897" w:rsidP="00572897">
      <w:r>
        <w:t>Information collected in CARAlert includes: the originating and confirmatory laboratory, specimen identifier, specimen collection date, CAR, CAR type or subtype if applicable, organism name, specimen type, facility type, patient age range, patient gender, and state or territory of patient residence and state or territory of record.</w:t>
      </w:r>
    </w:p>
    <w:p w14:paraId="5694A3FD" w14:textId="77777777" w:rsidR="00572897" w:rsidRPr="002B0B19" w:rsidRDefault="00572897" w:rsidP="00572897">
      <w:pPr>
        <w:rPr>
          <w:rFonts w:ascii="Arial" w:hAnsi="Arial" w:cs="Arial"/>
        </w:rPr>
      </w:pPr>
      <w:r w:rsidRPr="002B0B19">
        <w:rPr>
          <w:rFonts w:ascii="Arial" w:hAnsi="Arial" w:cs="Arial"/>
        </w:rPr>
        <w:t>No patient-level data are held in the CARAlert system. Authorised officers in each state and territory health department can access the CARAlert web portal directly for further information about their jurisdiction, including the name of the public hospital where a patient with a confirmed CAR was cared for, and to extract reports on their data.</w:t>
      </w:r>
    </w:p>
    <w:p w14:paraId="62F232F1" w14:textId="1F640C79" w:rsidR="00572897" w:rsidRDefault="00572897" w:rsidP="00572897">
      <w:pPr>
        <w:rPr>
          <w:rFonts w:ascii="Arial" w:hAnsi="Arial" w:cs="Arial"/>
        </w:rPr>
      </w:pPr>
      <w:r w:rsidRPr="002B0B19">
        <w:rPr>
          <w:rFonts w:ascii="Arial" w:hAnsi="Arial" w:cs="Arial"/>
        </w:rPr>
        <w:t>Australian public and private laboratories that have the capacity to confirm CARs were identified through consultation with state and territory health authorities, the Public Health Laboratory Network</w:t>
      </w:r>
      <w:r>
        <w:rPr>
          <w:rFonts w:ascii="Arial" w:hAnsi="Arial" w:cs="Arial"/>
        </w:rPr>
        <w:t xml:space="preserve"> </w:t>
      </w:r>
      <w:r w:rsidRPr="002B0B19">
        <w:rPr>
          <w:rFonts w:ascii="Arial" w:hAnsi="Arial" w:cs="Arial"/>
        </w:rPr>
        <w:t xml:space="preserve">and </w:t>
      </w:r>
      <w:r>
        <w:rPr>
          <w:rFonts w:ascii="Arial" w:hAnsi="Arial" w:cs="Arial"/>
        </w:rPr>
        <w:t>the Australian Group on Antimicrobial Resistance</w:t>
      </w:r>
      <w:r w:rsidRPr="00272803">
        <w:rPr>
          <w:rFonts w:ascii="Arial" w:hAnsi="Arial" w:cs="Arial"/>
        </w:rPr>
        <w:t>. In 202</w:t>
      </w:r>
      <w:r>
        <w:rPr>
          <w:rFonts w:ascii="Arial" w:hAnsi="Arial" w:cs="Arial"/>
        </w:rPr>
        <w:t>3</w:t>
      </w:r>
      <w:r w:rsidRPr="00272803">
        <w:rPr>
          <w:rFonts w:ascii="Arial" w:hAnsi="Arial" w:cs="Arial"/>
        </w:rPr>
        <w:t xml:space="preserve">, </w:t>
      </w:r>
      <w:r w:rsidRPr="009E7959">
        <w:rPr>
          <w:rFonts w:ascii="Arial" w:hAnsi="Arial" w:cs="Arial"/>
        </w:rPr>
        <w:t>2</w:t>
      </w:r>
      <w:r>
        <w:rPr>
          <w:rFonts w:ascii="Arial" w:hAnsi="Arial" w:cs="Arial"/>
        </w:rPr>
        <w:t>6</w:t>
      </w:r>
      <w:r w:rsidRPr="00272803">
        <w:rPr>
          <w:rFonts w:ascii="Arial" w:hAnsi="Arial" w:cs="Arial"/>
        </w:rPr>
        <w:t xml:space="preserve"> confirming laboratories </w:t>
      </w:r>
      <w:r>
        <w:rPr>
          <w:rFonts w:ascii="Arial" w:hAnsi="Arial" w:cs="Arial"/>
        </w:rPr>
        <w:t xml:space="preserve">submitted data to </w:t>
      </w:r>
      <w:r w:rsidRPr="00272803">
        <w:rPr>
          <w:rFonts w:ascii="Arial" w:hAnsi="Arial" w:cs="Arial"/>
        </w:rPr>
        <w:t>CARAlert</w:t>
      </w:r>
      <w:r>
        <w:rPr>
          <w:rFonts w:ascii="Arial" w:hAnsi="Arial" w:cs="Arial"/>
        </w:rPr>
        <w:t xml:space="preserve"> (Appendix 3)</w:t>
      </w:r>
      <w:r w:rsidRPr="00272803">
        <w:rPr>
          <w:rFonts w:ascii="Arial" w:hAnsi="Arial" w:cs="Arial"/>
        </w:rPr>
        <w:t xml:space="preserve">, and there was at least one confirming laboratory in each state and territory. </w:t>
      </w:r>
      <w:r w:rsidRPr="002B0B19">
        <w:rPr>
          <w:rFonts w:ascii="Arial" w:hAnsi="Arial" w:cs="Arial"/>
        </w:rPr>
        <w:t>The CARs that each of the confirming laboratories are able to confirm are regularly reviewed.</w:t>
      </w:r>
    </w:p>
    <w:p w14:paraId="658B93DB" w14:textId="77777777" w:rsidR="007D174F" w:rsidRDefault="007D174F" w:rsidP="007D174F">
      <w:r>
        <w:t xml:space="preserve">All data analyses for this report were performed using </w:t>
      </w:r>
      <w:r w:rsidRPr="009E7959">
        <w:t>Microsoft Excel 365.</w:t>
      </w:r>
    </w:p>
    <w:p w14:paraId="197533CA" w14:textId="77777777" w:rsidR="00EB6106" w:rsidRDefault="00EB6106" w:rsidP="00EB6106">
      <w:pPr>
        <w:pStyle w:val="Heading4"/>
      </w:pPr>
      <w:r>
        <w:lastRenderedPageBreak/>
        <w:t>Data considerations</w:t>
      </w:r>
    </w:p>
    <w:p w14:paraId="40509BF5" w14:textId="77777777" w:rsidR="00EB6106" w:rsidRPr="004B6201" w:rsidRDefault="00EB6106" w:rsidP="00EB6106">
      <w:pPr>
        <w:pStyle w:val="Normal-beforebullets"/>
        <w:spacing w:after="120"/>
      </w:pPr>
      <w:r w:rsidRPr="004B6201">
        <w:t>The following are important considerations for interpreting CARAlert data:</w:t>
      </w:r>
    </w:p>
    <w:p w14:paraId="7DD9A6D5" w14:textId="2FFF9871" w:rsidR="00A93BB9" w:rsidRDefault="00A93BB9" w:rsidP="00C76970">
      <w:pPr>
        <w:pStyle w:val="Bulletlist"/>
        <w:numPr>
          <w:ilvl w:val="0"/>
          <w:numId w:val="9"/>
        </w:numPr>
        <w:spacing w:after="60"/>
      </w:pPr>
      <w:r>
        <w:t xml:space="preserve">Participation in CARAlert is </w:t>
      </w:r>
      <w:proofErr w:type="gramStart"/>
      <w:r>
        <w:t>voluntary</w:t>
      </w:r>
      <w:proofErr w:type="gramEnd"/>
    </w:p>
    <w:p w14:paraId="21E23B88" w14:textId="77777777" w:rsidR="00A93BB9" w:rsidRPr="00467357" w:rsidRDefault="00A93BB9" w:rsidP="00C76970">
      <w:pPr>
        <w:pStyle w:val="Bulletlist"/>
        <w:numPr>
          <w:ilvl w:val="0"/>
          <w:numId w:val="9"/>
        </w:numPr>
        <w:spacing w:after="60"/>
      </w:pPr>
      <w:r w:rsidRPr="00467357">
        <w:t xml:space="preserve">The data are based on the date that the isolate with the confirmed CAR was </w:t>
      </w:r>
      <w:proofErr w:type="gramStart"/>
      <w:r w:rsidRPr="00467357">
        <w:t>collected</w:t>
      </w:r>
      <w:proofErr w:type="gramEnd"/>
    </w:p>
    <w:p w14:paraId="7F129782" w14:textId="77777777" w:rsidR="00A93BB9" w:rsidRPr="00467357" w:rsidRDefault="00A93BB9" w:rsidP="00C76970">
      <w:pPr>
        <w:pStyle w:val="Bulletlist"/>
        <w:numPr>
          <w:ilvl w:val="0"/>
          <w:numId w:val="9"/>
        </w:numPr>
        <w:spacing w:after="60"/>
      </w:pPr>
      <w:r>
        <w:t>S</w:t>
      </w:r>
      <w:r w:rsidRPr="00467357">
        <w:t xml:space="preserve">tate or territory </w:t>
      </w:r>
      <w:r>
        <w:t xml:space="preserve">refers to the jurisdiction </w:t>
      </w:r>
      <w:r w:rsidRPr="00467357">
        <w:t xml:space="preserve">within which the hospital is located, or within which the patient resides for isolates from the community. If place of residence is unknown or overseas, the state or territory of the originating laboratory is </w:t>
      </w:r>
      <w:proofErr w:type="gramStart"/>
      <w:r w:rsidRPr="00467357">
        <w:t>reported</w:t>
      </w:r>
      <w:proofErr w:type="gramEnd"/>
    </w:p>
    <w:p w14:paraId="074B64E5" w14:textId="77777777" w:rsidR="00A93BB9" w:rsidRPr="00467357" w:rsidRDefault="00A93BB9" w:rsidP="00C76970">
      <w:pPr>
        <w:pStyle w:val="Bulletlist"/>
        <w:numPr>
          <w:ilvl w:val="0"/>
          <w:numId w:val="9"/>
        </w:numPr>
        <w:spacing w:after="60"/>
      </w:pPr>
      <w:r w:rsidRPr="00467357">
        <w:t xml:space="preserve">The same CAR/type/species is not submitted where the sample originated from the same patient who had the </w:t>
      </w:r>
      <w:r>
        <w:t xml:space="preserve">same </w:t>
      </w:r>
      <w:r w:rsidRPr="00467357">
        <w:t xml:space="preserve">previous CAR, and the isolate was collected on the same day, or collected in the same admission or within three </w:t>
      </w:r>
      <w:proofErr w:type="gramStart"/>
      <w:r w:rsidRPr="00467357">
        <w:t>months</w:t>
      </w:r>
      <w:proofErr w:type="gramEnd"/>
    </w:p>
    <w:p w14:paraId="726A52AC" w14:textId="77777777" w:rsidR="00A93BB9" w:rsidRPr="00467357" w:rsidRDefault="00A93BB9" w:rsidP="00C76970">
      <w:pPr>
        <w:pStyle w:val="Bulletlist"/>
        <w:numPr>
          <w:ilvl w:val="0"/>
          <w:numId w:val="9"/>
        </w:numPr>
        <w:spacing w:after="60"/>
      </w:pPr>
      <w:r w:rsidRPr="00467357">
        <w:t xml:space="preserve">Number of CARs reported does not always equal the number of patients, as patients may have more than one CAR, or species, detected in a </w:t>
      </w:r>
      <w:proofErr w:type="gramStart"/>
      <w:r w:rsidRPr="00467357">
        <w:t>specimen</w:t>
      </w:r>
      <w:proofErr w:type="gramEnd"/>
    </w:p>
    <w:p w14:paraId="73F27423" w14:textId="77777777" w:rsidR="00A93BB9" w:rsidRDefault="00A93BB9" w:rsidP="00C76970">
      <w:pPr>
        <w:pStyle w:val="Bulletlist"/>
        <w:numPr>
          <w:ilvl w:val="0"/>
          <w:numId w:val="9"/>
        </w:numPr>
        <w:spacing w:after="60"/>
      </w:pPr>
      <w:r w:rsidRPr="00467357">
        <w:t xml:space="preserve">Cut-off date for data that are included in updates and reports is four weeks after the end of each reporting </w:t>
      </w:r>
      <w:proofErr w:type="gramStart"/>
      <w:r w:rsidRPr="00467357">
        <w:t>period</w:t>
      </w:r>
      <w:proofErr w:type="gramEnd"/>
    </w:p>
    <w:p w14:paraId="375E5309" w14:textId="5F43B9CF" w:rsidR="00A93BB9" w:rsidRPr="00467357" w:rsidRDefault="00FC02CE" w:rsidP="00C76970">
      <w:pPr>
        <w:pStyle w:val="Bulletlist"/>
        <w:numPr>
          <w:ilvl w:val="0"/>
          <w:numId w:val="9"/>
        </w:numPr>
        <w:spacing w:after="60"/>
      </w:pPr>
      <w:r>
        <w:t xml:space="preserve">Data may vary from that </w:t>
      </w:r>
      <w:r w:rsidR="00064979">
        <w:t xml:space="preserve">previously </w:t>
      </w:r>
      <w:r>
        <w:t xml:space="preserve">published as the reported </w:t>
      </w:r>
      <w:r w:rsidRPr="00393EE0">
        <w:t xml:space="preserve">number of CARs </w:t>
      </w:r>
      <w:r>
        <w:t xml:space="preserve">may have </w:t>
      </w:r>
      <w:r w:rsidRPr="00393EE0">
        <w:t>been updated to include additional submissions received or removed after the previous publication date</w:t>
      </w:r>
      <w:r>
        <w:t>;</w:t>
      </w:r>
      <w:r w:rsidRPr="00467357">
        <w:t xml:space="preserve"> </w:t>
      </w:r>
      <w:r w:rsidR="00A93BB9" w:rsidRPr="00467357">
        <w:t xml:space="preserve">Comparison between reports may be influenced by </w:t>
      </w:r>
      <w:r w:rsidR="00A93BB9">
        <w:t>delays in confirming laboratories reporting CARs to CARAlert</w:t>
      </w:r>
      <w:r w:rsidR="00B65865">
        <w:t xml:space="preserve"> due to late submission</w:t>
      </w:r>
      <w:r w:rsidR="00A93BB9">
        <w:t xml:space="preserve">, which </w:t>
      </w:r>
      <w:r>
        <w:t xml:space="preserve">also </w:t>
      </w:r>
      <w:r w:rsidR="00A93BB9">
        <w:t>means that the data analysed for this report may not be complete for the 2023 calendar year</w:t>
      </w:r>
      <w:r w:rsidR="00940F7D">
        <w:t xml:space="preserve"> at the time of publication</w:t>
      </w:r>
    </w:p>
    <w:p w14:paraId="38A43E89" w14:textId="77777777" w:rsidR="00A93BB9" w:rsidRDefault="00A93BB9" w:rsidP="00C76970">
      <w:pPr>
        <w:pStyle w:val="Bulletlist"/>
        <w:numPr>
          <w:ilvl w:val="0"/>
          <w:numId w:val="9"/>
        </w:numPr>
        <w:spacing w:after="60"/>
      </w:pPr>
      <w:r w:rsidRPr="00467357">
        <w:t xml:space="preserve">National summary data is provided; comparison across states and territories is provided for organisms where there are large numbers reported and a comparison is </w:t>
      </w:r>
      <w:proofErr w:type="gramStart"/>
      <w:r w:rsidRPr="00467357">
        <w:t>meaningful</w:t>
      </w:r>
      <w:proofErr w:type="gramEnd"/>
    </w:p>
    <w:p w14:paraId="592F3FC5" w14:textId="376496A2" w:rsidR="00EB6106" w:rsidRPr="001B6E7A" w:rsidRDefault="00A93BB9" w:rsidP="004F53AE">
      <w:pPr>
        <w:pStyle w:val="Bulletlist"/>
        <w:numPr>
          <w:ilvl w:val="0"/>
          <w:numId w:val="9"/>
        </w:numPr>
        <w:rPr>
          <w:rFonts w:cs="Arial"/>
          <w:b/>
          <w:iCs/>
          <w:kern w:val="28"/>
          <w:szCs w:val="20"/>
        </w:rPr>
      </w:pPr>
      <w:r>
        <w:t>Local operating procedures for laboratories may not currently include testing for all the critical resistances included in CARAlert; however, all laboratories are encouraged to actively screen for CARs</w:t>
      </w:r>
      <w:r w:rsidR="00EB6106" w:rsidRPr="00467357">
        <w:t>.</w:t>
      </w:r>
      <w:r w:rsidR="00EB6106" w:rsidRPr="002B0B19">
        <w:br w:type="page"/>
      </w:r>
    </w:p>
    <w:p w14:paraId="04AE5A89" w14:textId="77777777" w:rsidR="00EB6106" w:rsidRPr="00991E6C" w:rsidRDefault="00EB6106" w:rsidP="00FE0619">
      <w:pPr>
        <w:pStyle w:val="Heading2"/>
      </w:pPr>
      <w:bookmarkStart w:id="45" w:name="_Toc166585590"/>
      <w:r w:rsidRPr="00991E6C">
        <w:lastRenderedPageBreak/>
        <w:t>Appendix 3</w:t>
      </w:r>
      <w:r w:rsidRPr="00991E6C">
        <w:tab/>
        <w:t xml:space="preserve">CARAlert confirming laboratories, </w:t>
      </w:r>
      <w:proofErr w:type="gramStart"/>
      <w:r w:rsidRPr="00991E6C">
        <w:t>2023</w:t>
      </w:r>
      <w:bookmarkEnd w:id="45"/>
      <w:proofErr w:type="gramEnd"/>
    </w:p>
    <w:p w14:paraId="4456BCDA" w14:textId="69256570" w:rsidR="00257B29" w:rsidRDefault="00257B29" w:rsidP="00257B29">
      <w:pPr>
        <w:spacing w:after="0"/>
      </w:pPr>
      <w:r>
        <w:t xml:space="preserve">The Commission thanks all originating and confirming laboratories for their support for the National Alert System for Critical Antimicrobial Resistances (CARAlert) and the Antimicrobial Use and Resistance in Australia (AURA) </w:t>
      </w:r>
      <w:r w:rsidR="00E42363">
        <w:t>s</w:t>
      </w:r>
      <w:r>
        <w:t xml:space="preserve">urveillance </w:t>
      </w:r>
      <w:r w:rsidR="00E42363">
        <w:t>program</w:t>
      </w:r>
      <w:r>
        <w:t xml:space="preserve">. The following confirming laboratories </w:t>
      </w:r>
      <w:r w:rsidR="00EE2EA8">
        <w:t>participated in</w:t>
      </w:r>
      <w:r>
        <w:t xml:space="preserve"> CARAlert </w:t>
      </w:r>
      <w:r w:rsidRPr="00272803">
        <w:t>in 202</w:t>
      </w:r>
      <w:r>
        <w:t>3</w:t>
      </w:r>
      <w:r w:rsidRPr="00272803">
        <w:t>:</w:t>
      </w:r>
    </w:p>
    <w:p w14:paraId="5A2CD7F1" w14:textId="77777777" w:rsidR="00EE2EA8" w:rsidRDefault="00EE2EA8" w:rsidP="00EE2EA8">
      <w:pPr>
        <w:spacing w:before="0" w:after="0"/>
      </w:pPr>
    </w:p>
    <w:tbl>
      <w:tblPr>
        <w:tblStyle w:val="GridTable1Light-Accent11"/>
        <w:tblW w:w="5000" w:type="pct"/>
        <w:tblLook w:val="04A0" w:firstRow="1" w:lastRow="0" w:firstColumn="1" w:lastColumn="0" w:noHBand="0" w:noVBand="1"/>
        <w:tblCaption w:val="Appendix 3"/>
      </w:tblPr>
      <w:tblGrid>
        <w:gridCol w:w="2406"/>
        <w:gridCol w:w="7226"/>
      </w:tblGrid>
      <w:tr w:rsidR="00554B46" w:rsidRPr="00910B8A" w14:paraId="50FC5C91" w14:textId="77777777" w:rsidTr="00FD413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2" w:space="0" w:color="auto"/>
              <w:right w:val="single" w:sz="2" w:space="0" w:color="auto"/>
            </w:tcBorders>
            <w:shd w:val="clear" w:color="auto" w:fill="C2E9F8" w:themeFill="background2" w:themeFillTint="33"/>
            <w:noWrap/>
            <w:vAlign w:val="center"/>
          </w:tcPr>
          <w:p w14:paraId="079710E2"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color w:val="000000"/>
                <w:sz w:val="17"/>
                <w:szCs w:val="17"/>
              </w:rPr>
              <w:t>State or Territory</w:t>
            </w:r>
          </w:p>
        </w:tc>
        <w:tc>
          <w:tcPr>
            <w:tcW w:w="3751" w:type="pct"/>
            <w:tcBorders>
              <w:top w:val="single" w:sz="2" w:space="0" w:color="auto"/>
              <w:left w:val="single" w:sz="2" w:space="0" w:color="auto"/>
              <w:bottom w:val="single" w:sz="2" w:space="0" w:color="auto"/>
              <w:right w:val="single" w:sz="2" w:space="0" w:color="auto"/>
            </w:tcBorders>
            <w:shd w:val="clear" w:color="auto" w:fill="C2E9F8" w:themeFill="background2" w:themeFillTint="33"/>
            <w:noWrap/>
            <w:vAlign w:val="center"/>
          </w:tcPr>
          <w:p w14:paraId="496F6181" w14:textId="77777777" w:rsidR="00554B46" w:rsidRPr="000357B9" w:rsidRDefault="00554B46" w:rsidP="00FD4134">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Institution</w:t>
            </w:r>
          </w:p>
        </w:tc>
      </w:tr>
      <w:tr w:rsidR="00554B46" w:rsidRPr="00910B8A" w14:paraId="3A64AD3C"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2" w:space="0" w:color="auto"/>
              <w:left w:val="single" w:sz="2" w:space="0" w:color="auto"/>
              <w:right w:val="single" w:sz="2" w:space="0" w:color="auto"/>
            </w:tcBorders>
            <w:vAlign w:val="center"/>
            <w:hideMark/>
          </w:tcPr>
          <w:p w14:paraId="7C78042F" w14:textId="77777777" w:rsidR="00554B46" w:rsidRPr="000357B9" w:rsidRDefault="00554B46" w:rsidP="00FD4134">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New South Wales</w:t>
            </w:r>
          </w:p>
        </w:tc>
        <w:tc>
          <w:tcPr>
            <w:tcW w:w="3751" w:type="pct"/>
            <w:tcBorders>
              <w:top w:val="single" w:sz="2" w:space="0" w:color="auto"/>
              <w:left w:val="single" w:sz="2" w:space="0" w:color="auto"/>
              <w:bottom w:val="single" w:sz="2" w:space="0" w:color="auto"/>
              <w:right w:val="single" w:sz="2" w:space="0" w:color="auto"/>
            </w:tcBorders>
            <w:noWrap/>
            <w:vAlign w:val="center"/>
          </w:tcPr>
          <w:p w14:paraId="2345734A"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Children’s Hospital Westmead</w:t>
            </w:r>
          </w:p>
        </w:tc>
      </w:tr>
      <w:tr w:rsidR="00554B46" w:rsidRPr="00910B8A" w14:paraId="756C7DD3"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435697FC"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6C11796F"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Concord Hospital, Concord</w:t>
            </w:r>
          </w:p>
        </w:tc>
      </w:tr>
      <w:tr w:rsidR="00554B46" w:rsidRPr="00910B8A" w14:paraId="44B6138F"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tcPr>
          <w:p w14:paraId="5E23F412"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4575073"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John Hunter Hospital, New Lambton Heights</w:t>
            </w:r>
          </w:p>
        </w:tc>
      </w:tr>
      <w:tr w:rsidR="00554B46" w:rsidRPr="00910B8A" w14:paraId="4981E6D2"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18192F3E"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9360C48"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Liverpool Hospital, Liverpool</w:t>
            </w:r>
          </w:p>
        </w:tc>
      </w:tr>
      <w:tr w:rsidR="00554B46" w:rsidRPr="00910B8A" w14:paraId="74BA2F73"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1780D6C4"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noWrap/>
            <w:vAlign w:val="center"/>
          </w:tcPr>
          <w:p w14:paraId="44BBD3D3"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357B9">
              <w:rPr>
                <w:rFonts w:ascii="Arial" w:hAnsi="Arial" w:cs="Arial"/>
                <w:color w:val="000000"/>
                <w:sz w:val="17"/>
                <w:szCs w:val="17"/>
              </w:rPr>
              <w:t>NSW Health Pathology, Royal North Shore Hospital, St Leonards</w:t>
            </w:r>
          </w:p>
        </w:tc>
      </w:tr>
      <w:tr w:rsidR="00554B46" w:rsidRPr="00910B8A" w14:paraId="21C5E420"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25BB3AE7"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ACF6798"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sz w:val="17"/>
                <w:szCs w:val="17"/>
              </w:rPr>
              <w:t>NSW Health Pathology, Royal Prince Alfred Hospital, Camperdown</w:t>
            </w:r>
          </w:p>
        </w:tc>
      </w:tr>
      <w:tr w:rsidR="00554B46" w:rsidRPr="00910B8A" w14:paraId="7EF133D1"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3FCD520D"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2D19FEE"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St George Hospital, Kogarah</w:t>
            </w:r>
          </w:p>
        </w:tc>
      </w:tr>
      <w:tr w:rsidR="00554B46" w:rsidRPr="00910B8A" w14:paraId="57931320"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065DC846"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56D8D5E8"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The Prince of Wales Hospital, Randwick</w:t>
            </w:r>
          </w:p>
        </w:tc>
      </w:tr>
      <w:tr w:rsidR="00554B46" w:rsidRPr="00910B8A" w14:paraId="0E811559"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vAlign w:val="center"/>
            <w:hideMark/>
          </w:tcPr>
          <w:p w14:paraId="40519767" w14:textId="77777777" w:rsidR="00554B46" w:rsidRPr="000357B9" w:rsidRDefault="00554B46" w:rsidP="00FD4134">
            <w:pPr>
              <w:spacing w:before="0" w:after="0"/>
              <w:rPr>
                <w:rFonts w:ascii="Arial" w:hAnsi="Arial" w:cs="Arial"/>
                <w:b w:val="0"/>
                <w:bCs w:val="0"/>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152A3006"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NSW Health Pathology, Westmead Hospital, Westmead</w:t>
            </w:r>
          </w:p>
        </w:tc>
      </w:tr>
      <w:tr w:rsidR="00554B46" w:rsidRPr="00910B8A" w14:paraId="46368B83"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091CAF88"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C86B0BA"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St Vincent's Pathology (</w:t>
            </w:r>
            <w:proofErr w:type="spellStart"/>
            <w:r w:rsidRPr="000357B9">
              <w:rPr>
                <w:rFonts w:ascii="Arial" w:hAnsi="Arial" w:cs="Arial"/>
                <w:color w:val="000000"/>
                <w:sz w:val="17"/>
                <w:szCs w:val="17"/>
              </w:rPr>
              <w:t>SydPath</w:t>
            </w:r>
            <w:proofErr w:type="spellEnd"/>
            <w:r w:rsidRPr="000357B9">
              <w:rPr>
                <w:rFonts w:ascii="Arial" w:hAnsi="Arial" w:cs="Arial"/>
                <w:color w:val="000000"/>
                <w:sz w:val="17"/>
                <w:szCs w:val="17"/>
              </w:rPr>
              <w:t>), Darlinghurst</w:t>
            </w:r>
          </w:p>
        </w:tc>
      </w:tr>
      <w:tr w:rsidR="00554B46" w:rsidRPr="00910B8A" w14:paraId="533291BF"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3593066B"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b w:val="0"/>
                <w:bCs w:val="0"/>
                <w:color w:val="000000"/>
                <w:sz w:val="17"/>
                <w:szCs w:val="17"/>
              </w:rPr>
              <w:t>Victoria</w:t>
            </w:r>
          </w:p>
        </w:tc>
        <w:tc>
          <w:tcPr>
            <w:tcW w:w="3751" w:type="pct"/>
            <w:tcBorders>
              <w:top w:val="single" w:sz="2" w:space="0" w:color="auto"/>
              <w:left w:val="single" w:sz="2" w:space="0" w:color="auto"/>
              <w:bottom w:val="single" w:sz="2" w:space="0" w:color="auto"/>
              <w:right w:val="single" w:sz="2" w:space="0" w:color="auto"/>
            </w:tcBorders>
            <w:vAlign w:val="center"/>
          </w:tcPr>
          <w:p w14:paraId="646A0AF0"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Alfred Pathology Service, Melbourne</w:t>
            </w:r>
          </w:p>
        </w:tc>
      </w:tr>
      <w:tr w:rsidR="00554B46" w:rsidRPr="00910B8A" w14:paraId="4B0465DF"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560E3031"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795B9F8A"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proofErr w:type="spellStart"/>
            <w:r w:rsidRPr="000357B9">
              <w:rPr>
                <w:rFonts w:ascii="Arial" w:hAnsi="Arial" w:cs="Arial"/>
                <w:color w:val="000000"/>
                <w:sz w:val="17"/>
                <w:szCs w:val="17"/>
              </w:rPr>
              <w:t>Dorevitch</w:t>
            </w:r>
            <w:proofErr w:type="spellEnd"/>
            <w:r w:rsidRPr="000357B9">
              <w:rPr>
                <w:rFonts w:ascii="Arial" w:hAnsi="Arial" w:cs="Arial"/>
                <w:color w:val="000000"/>
                <w:sz w:val="17"/>
                <w:szCs w:val="17"/>
              </w:rPr>
              <w:t xml:space="preserve"> Pathology, Heidelberg</w:t>
            </w:r>
          </w:p>
        </w:tc>
      </w:tr>
      <w:tr w:rsidR="00554B46" w:rsidRPr="00910B8A" w14:paraId="1BA1870B"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02C4F5DB"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59187DDE"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Melbourne Pathology, Collingwood</w:t>
            </w:r>
          </w:p>
        </w:tc>
      </w:tr>
      <w:tr w:rsidR="00554B46" w:rsidRPr="00910B8A" w14:paraId="44DCA442"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1EC66FDD"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3DBE33F9"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Microbiological Diagnostic Unit Public Health Laboratory, Melbourne</w:t>
            </w:r>
          </w:p>
        </w:tc>
      </w:tr>
      <w:tr w:rsidR="00554B46" w:rsidRPr="00910B8A" w14:paraId="0CC58ECE"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5F9658C8"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25D8E492"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Monash Pathology, Clayton</w:t>
            </w:r>
          </w:p>
        </w:tc>
      </w:tr>
      <w:tr w:rsidR="00554B46" w:rsidRPr="00910B8A" w14:paraId="39CF7DCB"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2043F8B"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8066EA5"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Victorian Infectious Diseases Reference Laboratory (VIDRL), Melbourne</w:t>
            </w:r>
          </w:p>
        </w:tc>
      </w:tr>
      <w:tr w:rsidR="00554B46" w:rsidRPr="00910B8A" w14:paraId="7B050C0F"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6819A405"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b w:val="0"/>
                <w:bCs w:val="0"/>
                <w:color w:val="000000"/>
                <w:sz w:val="17"/>
                <w:szCs w:val="17"/>
              </w:rPr>
              <w:t>Queensland</w:t>
            </w:r>
          </w:p>
        </w:tc>
        <w:tc>
          <w:tcPr>
            <w:tcW w:w="3751" w:type="pct"/>
            <w:tcBorders>
              <w:top w:val="single" w:sz="2" w:space="0" w:color="auto"/>
              <w:left w:val="single" w:sz="2" w:space="0" w:color="auto"/>
              <w:bottom w:val="single" w:sz="2" w:space="0" w:color="auto"/>
              <w:right w:val="single" w:sz="2" w:space="0" w:color="auto"/>
            </w:tcBorders>
            <w:vAlign w:val="center"/>
          </w:tcPr>
          <w:p w14:paraId="3AB63466"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Pathology Queensland, Central laboratory, Royal Brisbane and Women’s Hospital, Herston</w:t>
            </w:r>
          </w:p>
        </w:tc>
      </w:tr>
      <w:tr w:rsidR="00554B46" w:rsidRPr="00910B8A" w14:paraId="78FCC3EE"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0BACA7F1"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79B39234"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Pathology Queensland, Forensic &amp; Scientific Services, Coopers Plains</w:t>
            </w:r>
          </w:p>
        </w:tc>
      </w:tr>
      <w:tr w:rsidR="00554B46" w:rsidRPr="00910B8A" w14:paraId="65AC1A49"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right w:val="single" w:sz="2" w:space="0" w:color="auto"/>
            </w:tcBorders>
            <w:noWrap/>
            <w:vAlign w:val="center"/>
          </w:tcPr>
          <w:p w14:paraId="13F58929"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D9B9B92"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QML Pathology, Murarrie</w:t>
            </w:r>
          </w:p>
        </w:tc>
      </w:tr>
      <w:tr w:rsidR="00554B46" w:rsidRPr="00910B8A" w14:paraId="3CFCD167"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6795217"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474F0197"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Sullivan Nicolaides Pathology, Bowen Hills</w:t>
            </w:r>
          </w:p>
        </w:tc>
      </w:tr>
      <w:tr w:rsidR="00554B46" w:rsidRPr="00910B8A" w14:paraId="1A4C310C"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2" w:space="0" w:color="auto"/>
              <w:bottom w:val="single" w:sz="4" w:space="0" w:color="auto"/>
              <w:right w:val="single" w:sz="2" w:space="0" w:color="auto"/>
            </w:tcBorders>
            <w:noWrap/>
            <w:vAlign w:val="center"/>
          </w:tcPr>
          <w:p w14:paraId="49FA2433"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b w:val="0"/>
                <w:bCs w:val="0"/>
                <w:color w:val="000000"/>
                <w:sz w:val="17"/>
                <w:szCs w:val="17"/>
              </w:rPr>
              <w:t>South Australia</w:t>
            </w:r>
          </w:p>
        </w:tc>
        <w:tc>
          <w:tcPr>
            <w:tcW w:w="3751" w:type="pct"/>
            <w:tcBorders>
              <w:top w:val="single" w:sz="2" w:space="0" w:color="auto"/>
              <w:left w:val="single" w:sz="2" w:space="0" w:color="auto"/>
              <w:bottom w:val="single" w:sz="2" w:space="0" w:color="auto"/>
              <w:right w:val="single" w:sz="2" w:space="0" w:color="auto"/>
            </w:tcBorders>
            <w:vAlign w:val="center"/>
          </w:tcPr>
          <w:p w14:paraId="1C4B92D2"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SA Pathology, Royal Adelaide Hospital, Adelaide</w:t>
            </w:r>
          </w:p>
        </w:tc>
      </w:tr>
      <w:tr w:rsidR="00554B46" w:rsidRPr="00910B8A" w14:paraId="146FABCF"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single" w:sz="4" w:space="0" w:color="auto"/>
              <w:left w:val="single" w:sz="2" w:space="0" w:color="auto"/>
              <w:right w:val="single" w:sz="2" w:space="0" w:color="auto"/>
            </w:tcBorders>
            <w:noWrap/>
            <w:vAlign w:val="center"/>
          </w:tcPr>
          <w:p w14:paraId="78025A05"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b w:val="0"/>
                <w:bCs w:val="0"/>
                <w:color w:val="000000"/>
                <w:sz w:val="17"/>
                <w:szCs w:val="17"/>
              </w:rPr>
              <w:t>Western Australia</w:t>
            </w:r>
          </w:p>
        </w:tc>
        <w:tc>
          <w:tcPr>
            <w:tcW w:w="3751" w:type="pct"/>
            <w:tcBorders>
              <w:top w:val="single" w:sz="2" w:space="0" w:color="auto"/>
              <w:left w:val="single" w:sz="2" w:space="0" w:color="auto"/>
              <w:bottom w:val="single" w:sz="2" w:space="0" w:color="auto"/>
              <w:right w:val="single" w:sz="2" w:space="0" w:color="auto"/>
            </w:tcBorders>
            <w:vAlign w:val="center"/>
          </w:tcPr>
          <w:p w14:paraId="0D4468A8"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proofErr w:type="spellStart"/>
            <w:r w:rsidRPr="000357B9">
              <w:rPr>
                <w:rFonts w:ascii="Arial" w:hAnsi="Arial" w:cs="Arial"/>
                <w:color w:val="000000"/>
                <w:sz w:val="17"/>
                <w:szCs w:val="17"/>
              </w:rPr>
              <w:t>PathWest</w:t>
            </w:r>
            <w:proofErr w:type="spellEnd"/>
            <w:r w:rsidRPr="000357B9">
              <w:rPr>
                <w:rFonts w:ascii="Arial" w:hAnsi="Arial" w:cs="Arial"/>
                <w:color w:val="000000"/>
                <w:sz w:val="17"/>
                <w:szCs w:val="17"/>
              </w:rPr>
              <w:t xml:space="preserve"> Laboratory Medicine WA, Fiona Stanley Hospital, Murdoch</w:t>
            </w:r>
          </w:p>
        </w:tc>
      </w:tr>
      <w:tr w:rsidR="00554B46" w:rsidRPr="00910B8A" w14:paraId="0444DF11"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vMerge/>
            <w:tcBorders>
              <w:left w:val="single" w:sz="2" w:space="0" w:color="auto"/>
              <w:bottom w:val="single" w:sz="4" w:space="0" w:color="auto"/>
              <w:right w:val="single" w:sz="2" w:space="0" w:color="auto"/>
            </w:tcBorders>
            <w:noWrap/>
            <w:vAlign w:val="center"/>
          </w:tcPr>
          <w:p w14:paraId="1B1ECF36" w14:textId="77777777" w:rsidR="00554B46" w:rsidRPr="000357B9" w:rsidRDefault="00554B46" w:rsidP="00FD4134">
            <w:pPr>
              <w:spacing w:before="0" w:after="0"/>
              <w:rPr>
                <w:rFonts w:ascii="Arial" w:hAnsi="Arial" w:cs="Arial"/>
                <w:color w:val="000000"/>
                <w:sz w:val="17"/>
                <w:szCs w:val="17"/>
              </w:rPr>
            </w:pPr>
          </w:p>
        </w:tc>
        <w:tc>
          <w:tcPr>
            <w:tcW w:w="3751" w:type="pct"/>
            <w:tcBorders>
              <w:top w:val="single" w:sz="2" w:space="0" w:color="auto"/>
              <w:left w:val="single" w:sz="2" w:space="0" w:color="auto"/>
              <w:bottom w:val="single" w:sz="2" w:space="0" w:color="auto"/>
              <w:right w:val="single" w:sz="2" w:space="0" w:color="auto"/>
            </w:tcBorders>
            <w:vAlign w:val="center"/>
          </w:tcPr>
          <w:p w14:paraId="08000823"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proofErr w:type="spellStart"/>
            <w:r w:rsidRPr="000357B9">
              <w:rPr>
                <w:rFonts w:ascii="Arial" w:hAnsi="Arial" w:cs="Arial"/>
                <w:color w:val="000000"/>
                <w:sz w:val="17"/>
                <w:szCs w:val="17"/>
              </w:rPr>
              <w:t>PathWest</w:t>
            </w:r>
            <w:proofErr w:type="spellEnd"/>
            <w:r w:rsidRPr="000357B9">
              <w:rPr>
                <w:rFonts w:ascii="Arial" w:hAnsi="Arial" w:cs="Arial"/>
                <w:color w:val="000000"/>
                <w:sz w:val="17"/>
                <w:szCs w:val="17"/>
              </w:rPr>
              <w:t xml:space="preserve"> Laboratory Medicine WA, QEII Medical Centre, Nedlands</w:t>
            </w:r>
          </w:p>
        </w:tc>
      </w:tr>
      <w:tr w:rsidR="00554B46" w:rsidRPr="00910B8A" w14:paraId="2EBF23BD"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2" w:space="0" w:color="auto"/>
              <w:bottom w:val="single" w:sz="2" w:space="0" w:color="auto"/>
              <w:right w:val="single" w:sz="2" w:space="0" w:color="auto"/>
            </w:tcBorders>
            <w:noWrap/>
            <w:vAlign w:val="center"/>
          </w:tcPr>
          <w:p w14:paraId="612E3311" w14:textId="77777777" w:rsidR="00554B46" w:rsidRPr="000357B9" w:rsidRDefault="00554B46" w:rsidP="00FD4134">
            <w:pPr>
              <w:spacing w:before="0" w:after="0"/>
              <w:rPr>
                <w:rFonts w:ascii="Arial" w:hAnsi="Arial" w:cs="Arial"/>
                <w:color w:val="000000"/>
                <w:sz w:val="17"/>
                <w:szCs w:val="17"/>
              </w:rPr>
            </w:pPr>
            <w:r w:rsidRPr="000357B9">
              <w:rPr>
                <w:rFonts w:ascii="Arial" w:hAnsi="Arial" w:cs="Arial"/>
                <w:b w:val="0"/>
                <w:bCs w:val="0"/>
                <w:color w:val="000000"/>
                <w:sz w:val="17"/>
                <w:szCs w:val="17"/>
              </w:rPr>
              <w:t>Tasmania</w:t>
            </w:r>
          </w:p>
        </w:tc>
        <w:tc>
          <w:tcPr>
            <w:tcW w:w="3751" w:type="pct"/>
            <w:tcBorders>
              <w:top w:val="single" w:sz="2" w:space="0" w:color="auto"/>
              <w:left w:val="single" w:sz="2" w:space="0" w:color="auto"/>
              <w:bottom w:val="single" w:sz="2" w:space="0" w:color="auto"/>
              <w:right w:val="single" w:sz="2" w:space="0" w:color="auto"/>
            </w:tcBorders>
            <w:vAlign w:val="center"/>
          </w:tcPr>
          <w:p w14:paraId="4469ED3D"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Royal Hobart Hospital, Hobart</w:t>
            </w:r>
          </w:p>
        </w:tc>
      </w:tr>
      <w:tr w:rsidR="00554B46" w:rsidRPr="00910B8A" w14:paraId="2F8DF126"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2" w:space="0" w:color="auto"/>
              <w:right w:val="single" w:sz="2" w:space="0" w:color="auto"/>
            </w:tcBorders>
            <w:noWrap/>
            <w:vAlign w:val="center"/>
            <w:hideMark/>
          </w:tcPr>
          <w:p w14:paraId="75CAD6AF" w14:textId="77777777" w:rsidR="00554B46" w:rsidRPr="000357B9" w:rsidRDefault="00554B46" w:rsidP="00FD4134">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Northern Territory</w:t>
            </w:r>
          </w:p>
        </w:tc>
        <w:tc>
          <w:tcPr>
            <w:tcW w:w="3751" w:type="pct"/>
            <w:tcBorders>
              <w:top w:val="single" w:sz="2" w:space="0" w:color="auto"/>
              <w:left w:val="single" w:sz="2" w:space="0" w:color="auto"/>
              <w:bottom w:val="single" w:sz="2" w:space="0" w:color="auto"/>
              <w:right w:val="single" w:sz="2" w:space="0" w:color="auto"/>
            </w:tcBorders>
            <w:vAlign w:val="center"/>
            <w:hideMark/>
          </w:tcPr>
          <w:p w14:paraId="019AED4A"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Territory Pathology, Tiwi</w:t>
            </w:r>
          </w:p>
        </w:tc>
      </w:tr>
      <w:tr w:rsidR="00554B46" w:rsidRPr="00910B8A" w14:paraId="32F96DF8" w14:textId="77777777" w:rsidTr="00FD4134">
        <w:trPr>
          <w:trHeight w:val="315"/>
        </w:trPr>
        <w:tc>
          <w:tcPr>
            <w:cnfStyle w:val="001000000000" w:firstRow="0" w:lastRow="0" w:firstColumn="1" w:lastColumn="0" w:oddVBand="0" w:evenVBand="0" w:oddHBand="0" w:evenHBand="0" w:firstRowFirstColumn="0" w:firstRowLastColumn="0" w:lastRowFirstColumn="0" w:lastRowLastColumn="0"/>
            <w:tcW w:w="1249" w:type="pct"/>
            <w:tcBorders>
              <w:top w:val="single" w:sz="2" w:space="0" w:color="auto"/>
              <w:left w:val="single" w:sz="2" w:space="0" w:color="auto"/>
              <w:bottom w:val="single" w:sz="4" w:space="0" w:color="auto"/>
              <w:right w:val="single" w:sz="2" w:space="0" w:color="auto"/>
            </w:tcBorders>
            <w:noWrap/>
            <w:vAlign w:val="center"/>
          </w:tcPr>
          <w:p w14:paraId="7368FA4C" w14:textId="77777777" w:rsidR="00554B46" w:rsidRPr="000357B9" w:rsidRDefault="00554B46" w:rsidP="00FD4134">
            <w:pPr>
              <w:spacing w:before="0" w:after="0"/>
              <w:rPr>
                <w:rFonts w:ascii="Arial" w:hAnsi="Arial" w:cs="Arial"/>
                <w:b w:val="0"/>
                <w:bCs w:val="0"/>
                <w:color w:val="000000"/>
                <w:sz w:val="17"/>
                <w:szCs w:val="17"/>
              </w:rPr>
            </w:pPr>
            <w:r w:rsidRPr="000357B9">
              <w:rPr>
                <w:rFonts w:ascii="Arial" w:hAnsi="Arial" w:cs="Arial"/>
                <w:b w:val="0"/>
                <w:bCs w:val="0"/>
                <w:color w:val="000000"/>
                <w:sz w:val="17"/>
                <w:szCs w:val="17"/>
              </w:rPr>
              <w:t>Australian Capital Territory</w:t>
            </w:r>
          </w:p>
        </w:tc>
        <w:tc>
          <w:tcPr>
            <w:tcW w:w="3751" w:type="pct"/>
            <w:tcBorders>
              <w:top w:val="single" w:sz="2" w:space="0" w:color="auto"/>
              <w:left w:val="single" w:sz="2" w:space="0" w:color="auto"/>
              <w:bottom w:val="single" w:sz="2" w:space="0" w:color="auto"/>
              <w:right w:val="single" w:sz="2" w:space="0" w:color="auto"/>
            </w:tcBorders>
            <w:vAlign w:val="center"/>
          </w:tcPr>
          <w:p w14:paraId="1D57237F" w14:textId="77777777" w:rsidR="00554B46" w:rsidRPr="000357B9" w:rsidRDefault="00554B46" w:rsidP="00FD413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0357B9">
              <w:rPr>
                <w:rFonts w:ascii="Arial" w:hAnsi="Arial" w:cs="Arial"/>
                <w:color w:val="000000"/>
                <w:sz w:val="17"/>
                <w:szCs w:val="17"/>
              </w:rPr>
              <w:t>ACT Pathology, Garran</w:t>
            </w:r>
          </w:p>
        </w:tc>
      </w:tr>
    </w:tbl>
    <w:p w14:paraId="2DD454FD" w14:textId="034A1532" w:rsidR="00223188" w:rsidRPr="008F4D6A" w:rsidRDefault="00223188" w:rsidP="008F4D6A">
      <w:pPr>
        <w:spacing w:after="0"/>
      </w:pPr>
    </w:p>
    <w:p w14:paraId="45CD2AD4" w14:textId="77777777" w:rsidR="00223188" w:rsidRPr="000A28AC" w:rsidRDefault="00223188" w:rsidP="00223188">
      <w:pPr>
        <w:pStyle w:val="Heading2"/>
        <w:rPr>
          <w:color w:val="E1241A" w:themeColor="accent6"/>
        </w:rPr>
        <w:sectPr w:rsidR="00223188" w:rsidRPr="000A28AC" w:rsidSect="00F84583">
          <w:headerReference w:type="default" r:id="rId65"/>
          <w:footerReference w:type="default" r:id="rId66"/>
          <w:pgSz w:w="11906" w:h="16838"/>
          <w:pgMar w:top="1418" w:right="1134" w:bottom="1418" w:left="1134" w:header="709" w:footer="709" w:gutter="0"/>
          <w:cols w:space="708"/>
          <w:docGrid w:linePitch="360"/>
        </w:sectPr>
      </w:pPr>
    </w:p>
    <w:p w14:paraId="6AF0D457" w14:textId="77777777" w:rsidR="00223188" w:rsidRPr="00B70655" w:rsidRDefault="00223188" w:rsidP="00223188">
      <w:pPr>
        <w:pStyle w:val="Backpagelogoholder"/>
        <w:spacing w:before="10440"/>
        <w:rPr>
          <w:highlight w:val="green"/>
        </w:rPr>
      </w:pPr>
      <w:r>
        <w:rPr>
          <w:rFonts w:ascii="Arial" w:eastAsia="MS Gothic" w:hAnsi="Arial"/>
        </w:rPr>
        <w:lastRenderedPageBreak/>
        <w:drawing>
          <wp:anchor distT="0" distB="0" distL="114300" distR="114300" simplePos="0" relativeHeight="251667456" behindDoc="1" locked="0" layoutInCell="1" allowOverlap="1" wp14:anchorId="05ADE9C3" wp14:editId="1050E5B2">
            <wp:simplePos x="0" y="0"/>
            <wp:positionH relativeFrom="page">
              <wp:align>right</wp:align>
            </wp:positionH>
            <wp:positionV relativeFrom="paragraph">
              <wp:posOffset>-414248</wp:posOffset>
            </wp:positionV>
            <wp:extent cx="7211659" cy="10193286"/>
            <wp:effectExtent l="0" t="0" r="889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4187" name="Picture 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11659" cy="10193286"/>
                    </a:xfrm>
                    <a:prstGeom prst="rect">
                      <a:avLst/>
                    </a:prstGeom>
                  </pic:spPr>
                </pic:pic>
              </a:graphicData>
            </a:graphic>
            <wp14:sizeRelH relativeFrom="page">
              <wp14:pctWidth>0</wp14:pctWidth>
            </wp14:sizeRelH>
            <wp14:sizeRelV relativeFrom="page">
              <wp14:pctHeight>0</wp14:pctHeight>
            </wp14:sizeRelV>
          </wp:anchor>
        </w:drawing>
      </w:r>
      <w:r w:rsidRPr="00B70655">
        <w:drawing>
          <wp:inline distT="0" distB="0" distL="0" distR="0" wp14:anchorId="65E96B34" wp14:editId="46C2A932">
            <wp:extent cx="3941445" cy="555625"/>
            <wp:effectExtent l="0" t="0" r="0" b="3175"/>
            <wp:docPr id="39" name="Picture 3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40EF8D4" w14:textId="77777777" w:rsidR="00223188" w:rsidRPr="00B70655" w:rsidRDefault="00223188" w:rsidP="00223188">
      <w:r w:rsidRPr="00B70655">
        <w:t>Level 5, 255 Elizabeth Street, Sydney NSW 2000</w:t>
      </w:r>
      <w:r w:rsidRPr="00B70655">
        <w:br/>
        <w:t>GPO Box 5480, Sydney NSW 2001</w:t>
      </w:r>
    </w:p>
    <w:p w14:paraId="3D6CB428" w14:textId="77777777" w:rsidR="00223188" w:rsidRPr="00B70655" w:rsidRDefault="00223188" w:rsidP="00223188">
      <w:r w:rsidRPr="00B70655">
        <w:t>Phone: (02) 9126 3600</w:t>
      </w:r>
    </w:p>
    <w:p w14:paraId="2A39B1B5" w14:textId="4C1BCC45" w:rsidR="00780B4E" w:rsidRPr="00AC6F6C" w:rsidRDefault="00223188" w:rsidP="00AC6F6C">
      <w:pPr>
        <w:rPr>
          <w:rStyle w:val="Hyperlink"/>
        </w:rPr>
      </w:pPr>
      <w:r w:rsidRPr="00B70655">
        <w:t xml:space="preserve">Email: </w:t>
      </w:r>
      <w:hyperlink r:id="rId69" w:history="1">
        <w:r w:rsidRPr="00B70655">
          <w:rPr>
            <w:rStyle w:val="Hyperlink"/>
          </w:rPr>
          <w:t>mail@safetyandquality.gov.au</w:t>
        </w:r>
      </w:hyperlink>
      <w:r w:rsidRPr="00B70655">
        <w:br/>
        <w:t xml:space="preserve">Website: </w:t>
      </w:r>
      <w:hyperlink r:id="rId70" w:history="1">
        <w:r w:rsidRPr="00B70655">
          <w:rPr>
            <w:rStyle w:val="Hyperlink"/>
          </w:rPr>
          <w:t>www.safetyandquality.gov.au</w:t>
        </w:r>
      </w:hyperlink>
    </w:p>
    <w:sectPr w:rsidR="00780B4E" w:rsidRPr="00AC6F6C" w:rsidSect="00F84583">
      <w:footerReference w:type="default" r:id="rId71"/>
      <w:headerReference w:type="first" r:id="rId72"/>
      <w:footerReference w:type="first" r:id="rId73"/>
      <w:footnotePr>
        <w:numFmt w:val="chicago"/>
      </w:footnotePr>
      <w:pgSz w:w="11900" w:h="16840"/>
      <w:pgMar w:top="17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8EF5B" w14:textId="77777777" w:rsidR="00160C17" w:rsidRDefault="00160C17" w:rsidP="000B0274">
      <w:r>
        <w:separator/>
      </w:r>
    </w:p>
    <w:p w14:paraId="46A3434F" w14:textId="77777777" w:rsidR="00160C17" w:rsidRDefault="00160C17"/>
    <w:p w14:paraId="005A11F5" w14:textId="77777777" w:rsidR="00160C17" w:rsidRDefault="00160C17"/>
    <w:p w14:paraId="1A6F98D5" w14:textId="77777777" w:rsidR="00160C17" w:rsidRDefault="00160C17"/>
    <w:p w14:paraId="4646D907" w14:textId="77777777" w:rsidR="00160C17" w:rsidRDefault="00160C17"/>
  </w:endnote>
  <w:endnote w:type="continuationSeparator" w:id="0">
    <w:p w14:paraId="64991BDF" w14:textId="77777777" w:rsidR="00160C17" w:rsidRDefault="00160C17" w:rsidP="000B0274">
      <w:r>
        <w:continuationSeparator/>
      </w:r>
    </w:p>
    <w:p w14:paraId="60CF2442" w14:textId="77777777" w:rsidR="00160C17" w:rsidRDefault="00160C17"/>
    <w:p w14:paraId="05AEE78C" w14:textId="77777777" w:rsidR="00160C17" w:rsidRDefault="00160C17"/>
    <w:p w14:paraId="21F5AB18" w14:textId="77777777" w:rsidR="00160C17" w:rsidRDefault="00160C17"/>
    <w:p w14:paraId="68B18B43" w14:textId="77777777" w:rsidR="00160C17" w:rsidRDefault="0016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panose1 w:val="00000000000000000000"/>
    <w:charset w:val="00"/>
    <w:family w:val="modern"/>
    <w:notTrueType/>
    <w:pitch w:val="variable"/>
    <w:sig w:usb0="A10000FF" w:usb1="4000005B" w:usb2="00000000" w:usb3="00000000" w:csb0="0000009B" w:csb1="00000000"/>
  </w:font>
  <w:font w:name="Lucida Grande">
    <w:charset w:val="00"/>
    <w:family w:val="swiss"/>
    <w:pitch w:val="variable"/>
    <w:sig w:usb0="E1000AEF" w:usb1="5000A1FF" w:usb2="00000000" w:usb3="00000000" w:csb0="000001B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0BE" w14:textId="77777777" w:rsidR="00295887" w:rsidRDefault="00295887" w:rsidP="00D84622">
    <w:pPr>
      <w:pStyle w:val="Footer"/>
    </w:pPr>
  </w:p>
  <w:p w14:paraId="1065E5FB" w14:textId="77777777" w:rsidR="00295887" w:rsidRDefault="00295887"/>
  <w:p w14:paraId="30347BB4" w14:textId="77777777" w:rsidR="00295887" w:rsidRDefault="00295887"/>
  <w:p w14:paraId="687A7C58"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F17C" w14:textId="6D5C0270" w:rsidR="00EB6106" w:rsidRDefault="00EB6106" w:rsidP="001E2697">
    <w:pPr>
      <w:pStyle w:val="Footer"/>
      <w:tabs>
        <w:tab w:val="right" w:pos="9498"/>
      </w:tabs>
    </w:pPr>
    <w:r>
      <w:t>CARAlert annual report: 2023</w:t>
    </w:r>
    <w:r>
      <w:tab/>
    </w:r>
    <w:r w:rsidRPr="00F57148">
      <w:fldChar w:fldCharType="begin"/>
    </w:r>
    <w:r w:rsidRPr="00F57148">
      <w:instrText xml:space="preserve"> PAGE   \* MERGEFORMAT </w:instrText>
    </w:r>
    <w:r w:rsidRPr="00F57148">
      <w:fldChar w:fldCharType="separate"/>
    </w:r>
    <w:r>
      <w:rPr>
        <w:noProof/>
      </w:rPr>
      <w:t>8</w:t>
    </w:r>
    <w:r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953B" w14:textId="471B1C49" w:rsidR="00EB6106" w:rsidRDefault="00EB6106" w:rsidP="001E2697">
    <w:pPr>
      <w:pStyle w:val="Footer"/>
      <w:tabs>
        <w:tab w:val="left" w:pos="83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CD5A" w14:textId="7428B723" w:rsidR="00EB6106" w:rsidRDefault="00EB6106" w:rsidP="00AE3767">
    <w:pPr>
      <w:pStyle w:val="Footer"/>
      <w:tabs>
        <w:tab w:val="right" w:pos="13892"/>
      </w:tabs>
    </w:pPr>
    <w:r>
      <w:t>CARAlert annual report: 2023</w:t>
    </w:r>
    <w:r>
      <w:tab/>
    </w:r>
    <w:r w:rsidR="00AE3767">
      <w:tab/>
    </w:r>
    <w:r w:rsidRPr="00F57148">
      <w:fldChar w:fldCharType="begin"/>
    </w:r>
    <w:r w:rsidRPr="00F57148">
      <w:instrText xml:space="preserve"> PAGE   \* MERGEFORMAT </w:instrText>
    </w:r>
    <w:r w:rsidRPr="00F57148">
      <w:fldChar w:fldCharType="separate"/>
    </w:r>
    <w:r>
      <w:rPr>
        <w:noProof/>
      </w:rPr>
      <w:t>10</w:t>
    </w:r>
    <w:r w:rsidRPr="00F5714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8BA2" w14:textId="77777777" w:rsidR="00223188" w:rsidRDefault="00223188">
    <w:pPr>
      <w:pStyle w:val="Footer"/>
    </w:pPr>
    <w:r>
      <w:t>CARAlert annual report: 2023</w:t>
    </w:r>
    <w:r>
      <w:tab/>
    </w:r>
    <w:r w:rsidRPr="00D84622">
      <w:fldChar w:fldCharType="begin"/>
    </w:r>
    <w:r w:rsidRPr="00D84622">
      <w:instrText xml:space="preserve"> PAGE   \* MERGEFORMAT </w:instrText>
    </w:r>
    <w:r w:rsidRPr="00D84622">
      <w:fldChar w:fldCharType="separate"/>
    </w:r>
    <w:r w:rsidRPr="00D84622">
      <w:t>4</w:t>
    </w:r>
    <w:r w:rsidRPr="00D8462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416A" w14:textId="198A32D6" w:rsidR="00860F73" w:rsidRDefault="00860F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D7AB"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3ECB" w14:textId="77777777" w:rsidR="00160C17" w:rsidRDefault="00160C17" w:rsidP="000B0274">
      <w:r>
        <w:separator/>
      </w:r>
    </w:p>
    <w:p w14:paraId="42209A22" w14:textId="77777777" w:rsidR="00160C17" w:rsidRDefault="00160C17"/>
    <w:p w14:paraId="77C5E084" w14:textId="77777777" w:rsidR="00160C17" w:rsidRDefault="00160C17"/>
    <w:p w14:paraId="7D4323CE" w14:textId="77777777" w:rsidR="00160C17" w:rsidRDefault="00160C17"/>
    <w:p w14:paraId="13C19FC8" w14:textId="77777777" w:rsidR="00160C17" w:rsidRDefault="00160C17"/>
  </w:footnote>
  <w:footnote w:type="continuationSeparator" w:id="0">
    <w:p w14:paraId="67D36261" w14:textId="77777777" w:rsidR="00160C17" w:rsidRDefault="00160C17" w:rsidP="000B0274">
      <w:r>
        <w:continuationSeparator/>
      </w:r>
    </w:p>
    <w:p w14:paraId="33721E0C" w14:textId="77777777" w:rsidR="00160C17" w:rsidRDefault="00160C17"/>
    <w:p w14:paraId="3BF78109" w14:textId="77777777" w:rsidR="00160C17" w:rsidRDefault="00160C17"/>
    <w:p w14:paraId="211E0579" w14:textId="77777777" w:rsidR="00160C17" w:rsidRDefault="00160C17"/>
    <w:p w14:paraId="17C4A636" w14:textId="77777777" w:rsidR="00160C17" w:rsidRDefault="00160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77BE" w14:textId="77777777" w:rsidR="00295887" w:rsidRDefault="00295887"/>
  <w:p w14:paraId="7E327D3A" w14:textId="77777777" w:rsidR="00295887" w:rsidRDefault="00295887"/>
  <w:p w14:paraId="71FB05AA" w14:textId="77777777" w:rsidR="00295887" w:rsidRDefault="00295887"/>
  <w:p w14:paraId="461544A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2714" w14:textId="3C2A6263" w:rsidR="00295887" w:rsidRDefault="00295887" w:rsidP="002E4B35">
    <w:pPr>
      <w:tabs>
        <w:tab w:val="left" w:pos="7062"/>
        <w:tab w:val="right" w:pos="9638"/>
      </w:tabs>
      <w:spacing w:before="0"/>
      <w:ind w:left="-142"/>
    </w:pPr>
    <w:r w:rsidRPr="00FB375B">
      <w:rPr>
        <w:rFonts w:eastAsiaTheme="majorEastAsia"/>
        <w:noProof/>
        <w:lang w:val="en-US" w:eastAsia="en-US"/>
      </w:rPr>
      <w:drawing>
        <wp:inline distT="0" distB="0" distL="0" distR="0" wp14:anchorId="41F30FBD" wp14:editId="24AFAD83">
          <wp:extent cx="4307149" cy="543600"/>
          <wp:effectExtent l="0" t="0" r="0" b="2540"/>
          <wp:docPr id="4" name="Picture 4"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p w14:paraId="2F28CF57" w14:textId="0E059694" w:rsidR="00860F73" w:rsidRPr="002E4B35" w:rsidRDefault="00860F73" w:rsidP="00860F73">
    <w:r>
      <w:rPr>
        <w:rFonts w:cs="Arial"/>
        <w:noProof/>
        <w:sz w:val="20"/>
        <w:szCs w:val="20"/>
      </w:rPr>
      <w:drawing>
        <wp:inline distT="0" distB="0" distL="0" distR="0" wp14:anchorId="620F7C5D" wp14:editId="0722E211">
          <wp:extent cx="1536779" cy="485030"/>
          <wp:effectExtent l="0" t="0" r="6350" b="0"/>
          <wp:docPr id="5" name="Picture 5"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microbial Use and Resistance in Australia logo"/>
                  <pic:cNvPicPr/>
                </pic:nvPicPr>
                <pic:blipFill>
                  <a:blip r:embed="rId2">
                    <a:extLst>
                      <a:ext uri="{28A0092B-C50C-407E-A947-70E740481C1C}">
                        <a14:useLocalDpi xmlns:a14="http://schemas.microsoft.com/office/drawing/2010/main" val="0"/>
                      </a:ext>
                    </a:extLst>
                  </a:blip>
                  <a:stretch>
                    <a:fillRect/>
                  </a:stretch>
                </pic:blipFill>
                <pic:spPr>
                  <a:xfrm>
                    <a:off x="0" y="0"/>
                    <a:ext cx="1536779" cy="485030"/>
                  </a:xfrm>
                  <a:prstGeom prst="rect">
                    <a:avLst/>
                  </a:prstGeom>
                </pic:spPr>
              </pic:pic>
            </a:graphicData>
          </a:graphic>
        </wp:inline>
      </w:drawing>
    </w:r>
    <w:r>
      <w:rPr>
        <w:rFonts w:cs="Arial"/>
        <w:noProof/>
        <w:sz w:val="20"/>
        <w:szCs w:val="20"/>
      </w:rPr>
      <w:drawing>
        <wp:inline distT="0" distB="0" distL="0" distR="0" wp14:anchorId="60475754" wp14:editId="2BEE115A">
          <wp:extent cx="913125" cy="468000"/>
          <wp:effectExtent l="0" t="0" r="1905" b="8255"/>
          <wp:docPr id="11" name="Picture 11" descr="National Alert System for Critical Antimicrobial Resista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Alert System for Critical Antimicrobial Resistance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3125" cy="468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9731" w14:textId="3BBF3FAF" w:rsidR="00EB6106" w:rsidRPr="00EB6106" w:rsidRDefault="00EB6106" w:rsidP="00EB6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07F9" w14:textId="7E2451DC" w:rsidR="00EB6106" w:rsidRDefault="00EB6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FFCD" w14:textId="7B4708DF" w:rsidR="00EB6106" w:rsidRDefault="00EB6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07BA" w14:textId="12BF1886" w:rsidR="00EB6106" w:rsidRDefault="00EB6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ADF2" w14:textId="77777777" w:rsidR="00223188" w:rsidRPr="002E4B35" w:rsidRDefault="00223188" w:rsidP="00E52467">
    <w:pPr>
      <w:tabs>
        <w:tab w:val="left" w:pos="7062"/>
        <w:tab w:val="right" w:pos="9638"/>
      </w:tabs>
      <w:spacing w:before="0"/>
      <w:ind w:left="-14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CD5F" w14:textId="77777777" w:rsidR="00EE552C" w:rsidRDefault="00EE552C">
    <w:pPr>
      <w:pStyle w:val="Header"/>
    </w:pPr>
    <w:r w:rsidRPr="00FB375B">
      <w:rPr>
        <w:rFonts w:eastAsiaTheme="majorEastAsia"/>
        <w:noProof/>
        <w:lang w:val="en-US" w:eastAsia="en-US"/>
      </w:rPr>
      <w:drawing>
        <wp:inline distT="0" distB="0" distL="0" distR="0" wp14:anchorId="02A04AFE" wp14:editId="5A69A1ED">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06584F"/>
    <w:multiLevelType w:val="hybridMultilevel"/>
    <w:tmpl w:val="AA1200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333B9"/>
    <w:multiLevelType w:val="hybridMultilevel"/>
    <w:tmpl w:val="F592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90AAF"/>
    <w:multiLevelType w:val="hybridMultilevel"/>
    <w:tmpl w:val="F50A30B2"/>
    <w:lvl w:ilvl="0" w:tplc="86B2C516">
      <w:start w:val="1"/>
      <w:numFmt w:val="bullet"/>
      <w:lvlText w:val=""/>
      <w:lvlJc w:val="left"/>
      <w:pPr>
        <w:ind w:left="720" w:hanging="360"/>
      </w:pPr>
      <w:rPr>
        <w:rFonts w:ascii="Symbol" w:hAnsi="Symbol"/>
      </w:rPr>
    </w:lvl>
    <w:lvl w:ilvl="1" w:tplc="5F6C2430">
      <w:start w:val="1"/>
      <w:numFmt w:val="bullet"/>
      <w:lvlText w:val=""/>
      <w:lvlJc w:val="left"/>
      <w:pPr>
        <w:ind w:left="720" w:hanging="360"/>
      </w:pPr>
      <w:rPr>
        <w:rFonts w:ascii="Symbol" w:hAnsi="Symbol"/>
      </w:rPr>
    </w:lvl>
    <w:lvl w:ilvl="2" w:tplc="91F4B784">
      <w:start w:val="1"/>
      <w:numFmt w:val="bullet"/>
      <w:lvlText w:val=""/>
      <w:lvlJc w:val="left"/>
      <w:pPr>
        <w:ind w:left="720" w:hanging="360"/>
      </w:pPr>
      <w:rPr>
        <w:rFonts w:ascii="Symbol" w:hAnsi="Symbol"/>
      </w:rPr>
    </w:lvl>
    <w:lvl w:ilvl="3" w:tplc="C284DDC4">
      <w:start w:val="1"/>
      <w:numFmt w:val="bullet"/>
      <w:lvlText w:val=""/>
      <w:lvlJc w:val="left"/>
      <w:pPr>
        <w:ind w:left="720" w:hanging="360"/>
      </w:pPr>
      <w:rPr>
        <w:rFonts w:ascii="Symbol" w:hAnsi="Symbol"/>
      </w:rPr>
    </w:lvl>
    <w:lvl w:ilvl="4" w:tplc="4154A53C">
      <w:start w:val="1"/>
      <w:numFmt w:val="bullet"/>
      <w:lvlText w:val=""/>
      <w:lvlJc w:val="left"/>
      <w:pPr>
        <w:ind w:left="720" w:hanging="360"/>
      </w:pPr>
      <w:rPr>
        <w:rFonts w:ascii="Symbol" w:hAnsi="Symbol"/>
      </w:rPr>
    </w:lvl>
    <w:lvl w:ilvl="5" w:tplc="9A60BCD4">
      <w:start w:val="1"/>
      <w:numFmt w:val="bullet"/>
      <w:lvlText w:val=""/>
      <w:lvlJc w:val="left"/>
      <w:pPr>
        <w:ind w:left="720" w:hanging="360"/>
      </w:pPr>
      <w:rPr>
        <w:rFonts w:ascii="Symbol" w:hAnsi="Symbol"/>
      </w:rPr>
    </w:lvl>
    <w:lvl w:ilvl="6" w:tplc="9992E072">
      <w:start w:val="1"/>
      <w:numFmt w:val="bullet"/>
      <w:lvlText w:val=""/>
      <w:lvlJc w:val="left"/>
      <w:pPr>
        <w:ind w:left="720" w:hanging="360"/>
      </w:pPr>
      <w:rPr>
        <w:rFonts w:ascii="Symbol" w:hAnsi="Symbol"/>
      </w:rPr>
    </w:lvl>
    <w:lvl w:ilvl="7" w:tplc="176C0522">
      <w:start w:val="1"/>
      <w:numFmt w:val="bullet"/>
      <w:lvlText w:val=""/>
      <w:lvlJc w:val="left"/>
      <w:pPr>
        <w:ind w:left="720" w:hanging="360"/>
      </w:pPr>
      <w:rPr>
        <w:rFonts w:ascii="Symbol" w:hAnsi="Symbol"/>
      </w:rPr>
    </w:lvl>
    <w:lvl w:ilvl="8" w:tplc="4544A978">
      <w:start w:val="1"/>
      <w:numFmt w:val="bullet"/>
      <w:lvlText w:val=""/>
      <w:lvlJc w:val="left"/>
      <w:pPr>
        <w:ind w:left="720" w:hanging="360"/>
      </w:pPr>
      <w:rPr>
        <w:rFonts w:ascii="Symbol" w:hAnsi="Symbol"/>
      </w:rPr>
    </w:lvl>
  </w:abstractNum>
  <w:abstractNum w:abstractNumId="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39772F2"/>
    <w:multiLevelType w:val="hybridMultilevel"/>
    <w:tmpl w:val="0810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9472A"/>
    <w:multiLevelType w:val="hybridMultilevel"/>
    <w:tmpl w:val="90023384"/>
    <w:lvl w:ilvl="0" w:tplc="ADB6A43E">
      <w:start w:val="1"/>
      <w:numFmt w:val="bullet"/>
      <w:lvlText w:val=""/>
      <w:lvlJc w:val="left"/>
      <w:pPr>
        <w:ind w:left="720" w:hanging="360"/>
      </w:pPr>
      <w:rPr>
        <w:rFonts w:ascii="Symbol" w:hAnsi="Symbol"/>
      </w:rPr>
    </w:lvl>
    <w:lvl w:ilvl="1" w:tplc="91B4448E">
      <w:start w:val="1"/>
      <w:numFmt w:val="bullet"/>
      <w:lvlText w:val=""/>
      <w:lvlJc w:val="left"/>
      <w:pPr>
        <w:ind w:left="720" w:hanging="360"/>
      </w:pPr>
      <w:rPr>
        <w:rFonts w:ascii="Symbol" w:hAnsi="Symbol"/>
      </w:rPr>
    </w:lvl>
    <w:lvl w:ilvl="2" w:tplc="684CA4F8">
      <w:start w:val="1"/>
      <w:numFmt w:val="bullet"/>
      <w:lvlText w:val=""/>
      <w:lvlJc w:val="left"/>
      <w:pPr>
        <w:ind w:left="720" w:hanging="360"/>
      </w:pPr>
      <w:rPr>
        <w:rFonts w:ascii="Symbol" w:hAnsi="Symbol"/>
      </w:rPr>
    </w:lvl>
    <w:lvl w:ilvl="3" w:tplc="2F147DA6">
      <w:start w:val="1"/>
      <w:numFmt w:val="bullet"/>
      <w:lvlText w:val=""/>
      <w:lvlJc w:val="left"/>
      <w:pPr>
        <w:ind w:left="720" w:hanging="360"/>
      </w:pPr>
      <w:rPr>
        <w:rFonts w:ascii="Symbol" w:hAnsi="Symbol"/>
      </w:rPr>
    </w:lvl>
    <w:lvl w:ilvl="4" w:tplc="B610211C">
      <w:start w:val="1"/>
      <w:numFmt w:val="bullet"/>
      <w:lvlText w:val=""/>
      <w:lvlJc w:val="left"/>
      <w:pPr>
        <w:ind w:left="720" w:hanging="360"/>
      </w:pPr>
      <w:rPr>
        <w:rFonts w:ascii="Symbol" w:hAnsi="Symbol"/>
      </w:rPr>
    </w:lvl>
    <w:lvl w:ilvl="5" w:tplc="B9E63236">
      <w:start w:val="1"/>
      <w:numFmt w:val="bullet"/>
      <w:lvlText w:val=""/>
      <w:lvlJc w:val="left"/>
      <w:pPr>
        <w:ind w:left="720" w:hanging="360"/>
      </w:pPr>
      <w:rPr>
        <w:rFonts w:ascii="Symbol" w:hAnsi="Symbol"/>
      </w:rPr>
    </w:lvl>
    <w:lvl w:ilvl="6" w:tplc="9B8A6C84">
      <w:start w:val="1"/>
      <w:numFmt w:val="bullet"/>
      <w:lvlText w:val=""/>
      <w:lvlJc w:val="left"/>
      <w:pPr>
        <w:ind w:left="720" w:hanging="360"/>
      </w:pPr>
      <w:rPr>
        <w:rFonts w:ascii="Symbol" w:hAnsi="Symbol"/>
      </w:rPr>
    </w:lvl>
    <w:lvl w:ilvl="7" w:tplc="879624C6">
      <w:start w:val="1"/>
      <w:numFmt w:val="bullet"/>
      <w:lvlText w:val=""/>
      <w:lvlJc w:val="left"/>
      <w:pPr>
        <w:ind w:left="720" w:hanging="360"/>
      </w:pPr>
      <w:rPr>
        <w:rFonts w:ascii="Symbol" w:hAnsi="Symbol"/>
      </w:rPr>
    </w:lvl>
    <w:lvl w:ilvl="8" w:tplc="239ED4FC">
      <w:start w:val="1"/>
      <w:numFmt w:val="bullet"/>
      <w:lvlText w:val=""/>
      <w:lvlJc w:val="left"/>
      <w:pPr>
        <w:ind w:left="720" w:hanging="360"/>
      </w:pPr>
      <w:rPr>
        <w:rFonts w:ascii="Symbol" w:hAnsi="Symbol"/>
      </w:rPr>
    </w:lvl>
  </w:abstractNum>
  <w:abstractNum w:abstractNumId="9" w15:restartNumberingAfterBreak="0">
    <w:nsid w:val="437639DF"/>
    <w:multiLevelType w:val="hybridMultilevel"/>
    <w:tmpl w:val="BFFEF962"/>
    <w:lvl w:ilvl="0" w:tplc="ECA07EEA">
      <w:start w:val="1"/>
      <w:numFmt w:val="bullet"/>
      <w:lvlText w:val=""/>
      <w:lvlJc w:val="left"/>
      <w:pPr>
        <w:ind w:left="720" w:hanging="360"/>
      </w:pPr>
      <w:rPr>
        <w:rFonts w:ascii="Symbol" w:hAnsi="Symbol"/>
      </w:rPr>
    </w:lvl>
    <w:lvl w:ilvl="1" w:tplc="70B09946">
      <w:start w:val="1"/>
      <w:numFmt w:val="bullet"/>
      <w:lvlText w:val=""/>
      <w:lvlJc w:val="left"/>
      <w:pPr>
        <w:ind w:left="720" w:hanging="360"/>
      </w:pPr>
      <w:rPr>
        <w:rFonts w:ascii="Symbol" w:hAnsi="Symbol"/>
      </w:rPr>
    </w:lvl>
    <w:lvl w:ilvl="2" w:tplc="7E8C31EC">
      <w:start w:val="1"/>
      <w:numFmt w:val="bullet"/>
      <w:lvlText w:val=""/>
      <w:lvlJc w:val="left"/>
      <w:pPr>
        <w:ind w:left="720" w:hanging="360"/>
      </w:pPr>
      <w:rPr>
        <w:rFonts w:ascii="Symbol" w:hAnsi="Symbol"/>
      </w:rPr>
    </w:lvl>
    <w:lvl w:ilvl="3" w:tplc="ADEAA002">
      <w:start w:val="1"/>
      <w:numFmt w:val="bullet"/>
      <w:lvlText w:val=""/>
      <w:lvlJc w:val="left"/>
      <w:pPr>
        <w:ind w:left="720" w:hanging="360"/>
      </w:pPr>
      <w:rPr>
        <w:rFonts w:ascii="Symbol" w:hAnsi="Symbol"/>
      </w:rPr>
    </w:lvl>
    <w:lvl w:ilvl="4" w:tplc="F498F7F0">
      <w:start w:val="1"/>
      <w:numFmt w:val="bullet"/>
      <w:lvlText w:val=""/>
      <w:lvlJc w:val="left"/>
      <w:pPr>
        <w:ind w:left="720" w:hanging="360"/>
      </w:pPr>
      <w:rPr>
        <w:rFonts w:ascii="Symbol" w:hAnsi="Symbol"/>
      </w:rPr>
    </w:lvl>
    <w:lvl w:ilvl="5" w:tplc="404E6B50">
      <w:start w:val="1"/>
      <w:numFmt w:val="bullet"/>
      <w:lvlText w:val=""/>
      <w:lvlJc w:val="left"/>
      <w:pPr>
        <w:ind w:left="720" w:hanging="360"/>
      </w:pPr>
      <w:rPr>
        <w:rFonts w:ascii="Symbol" w:hAnsi="Symbol"/>
      </w:rPr>
    </w:lvl>
    <w:lvl w:ilvl="6" w:tplc="38903F22">
      <w:start w:val="1"/>
      <w:numFmt w:val="bullet"/>
      <w:lvlText w:val=""/>
      <w:lvlJc w:val="left"/>
      <w:pPr>
        <w:ind w:left="720" w:hanging="360"/>
      </w:pPr>
      <w:rPr>
        <w:rFonts w:ascii="Symbol" w:hAnsi="Symbol"/>
      </w:rPr>
    </w:lvl>
    <w:lvl w:ilvl="7" w:tplc="4A5E7E4E">
      <w:start w:val="1"/>
      <w:numFmt w:val="bullet"/>
      <w:lvlText w:val=""/>
      <w:lvlJc w:val="left"/>
      <w:pPr>
        <w:ind w:left="720" w:hanging="360"/>
      </w:pPr>
      <w:rPr>
        <w:rFonts w:ascii="Symbol" w:hAnsi="Symbol"/>
      </w:rPr>
    </w:lvl>
    <w:lvl w:ilvl="8" w:tplc="F8380972">
      <w:start w:val="1"/>
      <w:numFmt w:val="bullet"/>
      <w:lvlText w:val=""/>
      <w:lvlJc w:val="left"/>
      <w:pPr>
        <w:ind w:left="720" w:hanging="360"/>
      </w:pPr>
      <w:rPr>
        <w:rFonts w:ascii="Symbol" w:hAnsi="Symbol"/>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ED0436"/>
    <w:multiLevelType w:val="hybridMultilevel"/>
    <w:tmpl w:val="8806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375110"/>
    <w:multiLevelType w:val="hybridMultilevel"/>
    <w:tmpl w:val="2C367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D42DF5"/>
    <w:multiLevelType w:val="hybridMultilevel"/>
    <w:tmpl w:val="B234E918"/>
    <w:lvl w:ilvl="0" w:tplc="CE924DC4">
      <w:start w:val="1"/>
      <w:numFmt w:val="bullet"/>
      <w:lvlText w:val=""/>
      <w:lvlJc w:val="left"/>
      <w:pPr>
        <w:ind w:left="720" w:hanging="360"/>
      </w:pPr>
      <w:rPr>
        <w:rFonts w:ascii="Symbol" w:hAnsi="Symbol"/>
      </w:rPr>
    </w:lvl>
    <w:lvl w:ilvl="1" w:tplc="DD28C8BA">
      <w:start w:val="1"/>
      <w:numFmt w:val="bullet"/>
      <w:lvlText w:val=""/>
      <w:lvlJc w:val="left"/>
      <w:pPr>
        <w:ind w:left="720" w:hanging="360"/>
      </w:pPr>
      <w:rPr>
        <w:rFonts w:ascii="Symbol" w:hAnsi="Symbol"/>
      </w:rPr>
    </w:lvl>
    <w:lvl w:ilvl="2" w:tplc="23889F6C">
      <w:start w:val="1"/>
      <w:numFmt w:val="bullet"/>
      <w:lvlText w:val=""/>
      <w:lvlJc w:val="left"/>
      <w:pPr>
        <w:ind w:left="720" w:hanging="360"/>
      </w:pPr>
      <w:rPr>
        <w:rFonts w:ascii="Symbol" w:hAnsi="Symbol"/>
      </w:rPr>
    </w:lvl>
    <w:lvl w:ilvl="3" w:tplc="63124212">
      <w:start w:val="1"/>
      <w:numFmt w:val="bullet"/>
      <w:lvlText w:val=""/>
      <w:lvlJc w:val="left"/>
      <w:pPr>
        <w:ind w:left="720" w:hanging="360"/>
      </w:pPr>
      <w:rPr>
        <w:rFonts w:ascii="Symbol" w:hAnsi="Symbol"/>
      </w:rPr>
    </w:lvl>
    <w:lvl w:ilvl="4" w:tplc="11E27002">
      <w:start w:val="1"/>
      <w:numFmt w:val="bullet"/>
      <w:lvlText w:val=""/>
      <w:lvlJc w:val="left"/>
      <w:pPr>
        <w:ind w:left="720" w:hanging="360"/>
      </w:pPr>
      <w:rPr>
        <w:rFonts w:ascii="Symbol" w:hAnsi="Symbol"/>
      </w:rPr>
    </w:lvl>
    <w:lvl w:ilvl="5" w:tplc="569887AC">
      <w:start w:val="1"/>
      <w:numFmt w:val="bullet"/>
      <w:lvlText w:val=""/>
      <w:lvlJc w:val="left"/>
      <w:pPr>
        <w:ind w:left="720" w:hanging="360"/>
      </w:pPr>
      <w:rPr>
        <w:rFonts w:ascii="Symbol" w:hAnsi="Symbol"/>
      </w:rPr>
    </w:lvl>
    <w:lvl w:ilvl="6" w:tplc="574451D4">
      <w:start w:val="1"/>
      <w:numFmt w:val="bullet"/>
      <w:lvlText w:val=""/>
      <w:lvlJc w:val="left"/>
      <w:pPr>
        <w:ind w:left="720" w:hanging="360"/>
      </w:pPr>
      <w:rPr>
        <w:rFonts w:ascii="Symbol" w:hAnsi="Symbol"/>
      </w:rPr>
    </w:lvl>
    <w:lvl w:ilvl="7" w:tplc="AC1E714A">
      <w:start w:val="1"/>
      <w:numFmt w:val="bullet"/>
      <w:lvlText w:val=""/>
      <w:lvlJc w:val="left"/>
      <w:pPr>
        <w:ind w:left="720" w:hanging="360"/>
      </w:pPr>
      <w:rPr>
        <w:rFonts w:ascii="Symbol" w:hAnsi="Symbol"/>
      </w:rPr>
    </w:lvl>
    <w:lvl w:ilvl="8" w:tplc="C1CE79CE">
      <w:start w:val="1"/>
      <w:numFmt w:val="bullet"/>
      <w:lvlText w:val=""/>
      <w:lvlJc w:val="left"/>
      <w:pPr>
        <w:ind w:left="720" w:hanging="360"/>
      </w:pPr>
      <w:rPr>
        <w:rFonts w:ascii="Symbol" w:hAnsi="Symbol"/>
      </w:rPr>
    </w:lvl>
  </w:abstractNum>
  <w:abstractNum w:abstractNumId="14" w15:restartNumberingAfterBreak="0">
    <w:nsid w:val="5F510147"/>
    <w:multiLevelType w:val="hybridMultilevel"/>
    <w:tmpl w:val="62A6D410"/>
    <w:lvl w:ilvl="0" w:tplc="215E73AC">
      <w:start w:val="1"/>
      <w:numFmt w:val="bullet"/>
      <w:lvlText w:val=""/>
      <w:lvlJc w:val="left"/>
      <w:pPr>
        <w:ind w:left="720" w:hanging="360"/>
      </w:pPr>
      <w:rPr>
        <w:rFonts w:ascii="Symbol" w:hAnsi="Symbol"/>
      </w:rPr>
    </w:lvl>
    <w:lvl w:ilvl="1" w:tplc="183E4658">
      <w:start w:val="1"/>
      <w:numFmt w:val="bullet"/>
      <w:lvlText w:val=""/>
      <w:lvlJc w:val="left"/>
      <w:pPr>
        <w:ind w:left="720" w:hanging="360"/>
      </w:pPr>
      <w:rPr>
        <w:rFonts w:ascii="Symbol" w:hAnsi="Symbol"/>
      </w:rPr>
    </w:lvl>
    <w:lvl w:ilvl="2" w:tplc="2DBE5E42">
      <w:start w:val="1"/>
      <w:numFmt w:val="bullet"/>
      <w:lvlText w:val=""/>
      <w:lvlJc w:val="left"/>
      <w:pPr>
        <w:ind w:left="720" w:hanging="360"/>
      </w:pPr>
      <w:rPr>
        <w:rFonts w:ascii="Symbol" w:hAnsi="Symbol"/>
      </w:rPr>
    </w:lvl>
    <w:lvl w:ilvl="3" w:tplc="9C342536">
      <w:start w:val="1"/>
      <w:numFmt w:val="bullet"/>
      <w:lvlText w:val=""/>
      <w:lvlJc w:val="left"/>
      <w:pPr>
        <w:ind w:left="720" w:hanging="360"/>
      </w:pPr>
      <w:rPr>
        <w:rFonts w:ascii="Symbol" w:hAnsi="Symbol"/>
      </w:rPr>
    </w:lvl>
    <w:lvl w:ilvl="4" w:tplc="CFB86E34">
      <w:start w:val="1"/>
      <w:numFmt w:val="bullet"/>
      <w:lvlText w:val=""/>
      <w:lvlJc w:val="left"/>
      <w:pPr>
        <w:ind w:left="720" w:hanging="360"/>
      </w:pPr>
      <w:rPr>
        <w:rFonts w:ascii="Symbol" w:hAnsi="Symbol"/>
      </w:rPr>
    </w:lvl>
    <w:lvl w:ilvl="5" w:tplc="58F0405E">
      <w:start w:val="1"/>
      <w:numFmt w:val="bullet"/>
      <w:lvlText w:val=""/>
      <w:lvlJc w:val="left"/>
      <w:pPr>
        <w:ind w:left="720" w:hanging="360"/>
      </w:pPr>
      <w:rPr>
        <w:rFonts w:ascii="Symbol" w:hAnsi="Symbol"/>
      </w:rPr>
    </w:lvl>
    <w:lvl w:ilvl="6" w:tplc="D528E606">
      <w:start w:val="1"/>
      <w:numFmt w:val="bullet"/>
      <w:lvlText w:val=""/>
      <w:lvlJc w:val="left"/>
      <w:pPr>
        <w:ind w:left="720" w:hanging="360"/>
      </w:pPr>
      <w:rPr>
        <w:rFonts w:ascii="Symbol" w:hAnsi="Symbol"/>
      </w:rPr>
    </w:lvl>
    <w:lvl w:ilvl="7" w:tplc="0F3E3E68">
      <w:start w:val="1"/>
      <w:numFmt w:val="bullet"/>
      <w:lvlText w:val=""/>
      <w:lvlJc w:val="left"/>
      <w:pPr>
        <w:ind w:left="720" w:hanging="360"/>
      </w:pPr>
      <w:rPr>
        <w:rFonts w:ascii="Symbol" w:hAnsi="Symbol"/>
      </w:rPr>
    </w:lvl>
    <w:lvl w:ilvl="8" w:tplc="A998BB80">
      <w:start w:val="1"/>
      <w:numFmt w:val="bullet"/>
      <w:lvlText w:val=""/>
      <w:lvlJc w:val="left"/>
      <w:pPr>
        <w:ind w:left="720" w:hanging="360"/>
      </w:pPr>
      <w:rPr>
        <w:rFonts w:ascii="Symbol" w:hAnsi="Symbol"/>
      </w:rPr>
    </w:lvl>
  </w:abstractNum>
  <w:abstractNum w:abstractNumId="15" w15:restartNumberingAfterBreak="0">
    <w:nsid w:val="61262F0E"/>
    <w:multiLevelType w:val="hybridMultilevel"/>
    <w:tmpl w:val="AA120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85E0066"/>
    <w:multiLevelType w:val="hybridMultilevel"/>
    <w:tmpl w:val="D73A6CB2"/>
    <w:lvl w:ilvl="0" w:tplc="742EA7F8">
      <w:start w:val="1"/>
      <w:numFmt w:val="decimal"/>
      <w:lvlText w:val="%1."/>
      <w:lvlJc w:val="left"/>
      <w:pPr>
        <w:ind w:left="765" w:hanging="360"/>
      </w:pPr>
      <w:rPr>
        <w:b w:val="0"/>
        <w:bCs w:val="0"/>
        <w:i w:val="0"/>
        <w:iCs w:val="0"/>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num w:numId="1" w16cid:durableId="407264671">
    <w:abstractNumId w:val="0"/>
  </w:num>
  <w:num w:numId="2" w16cid:durableId="151913477">
    <w:abstractNumId w:val="4"/>
  </w:num>
  <w:num w:numId="3" w16cid:durableId="348606052">
    <w:abstractNumId w:val="6"/>
  </w:num>
  <w:num w:numId="4" w16cid:durableId="1235355125">
    <w:abstractNumId w:val="10"/>
  </w:num>
  <w:num w:numId="5" w16cid:durableId="1305818463">
    <w:abstractNumId w:val="7"/>
  </w:num>
  <w:num w:numId="6" w16cid:durableId="1710883177">
    <w:abstractNumId w:val="11"/>
  </w:num>
  <w:num w:numId="7" w16cid:durableId="1823427061">
    <w:abstractNumId w:val="2"/>
  </w:num>
  <w:num w:numId="8" w16cid:durableId="1450396771">
    <w:abstractNumId w:val="15"/>
  </w:num>
  <w:num w:numId="9" w16cid:durableId="1444688243">
    <w:abstractNumId w:val="5"/>
  </w:num>
  <w:num w:numId="10" w16cid:durableId="1253079230">
    <w:abstractNumId w:val="12"/>
  </w:num>
  <w:num w:numId="11" w16cid:durableId="1615209120">
    <w:abstractNumId w:val="9"/>
  </w:num>
  <w:num w:numId="12" w16cid:durableId="617032628">
    <w:abstractNumId w:val="8"/>
  </w:num>
  <w:num w:numId="13" w16cid:durableId="2102792096">
    <w:abstractNumId w:val="3"/>
  </w:num>
  <w:num w:numId="14" w16cid:durableId="884173663">
    <w:abstractNumId w:val="13"/>
  </w:num>
  <w:num w:numId="15" w16cid:durableId="1494292732">
    <w:abstractNumId w:val="14"/>
  </w:num>
  <w:num w:numId="16" w16cid:durableId="157966476">
    <w:abstractNumId w:val="1"/>
  </w:num>
  <w:num w:numId="17" w16cid:durableId="211694773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dzz5rpr5pp3ev5wcv00w55dtazdrrfws9&quot;&gt;JBells EndNote Library&lt;record-ids&gt;&lt;item&gt;365&lt;/item&gt;&lt;item&gt;565&lt;/item&gt;&lt;item&gt;1469&lt;/item&gt;&lt;item&gt;1569&lt;/item&gt;&lt;item&gt;1720&lt;/item&gt;&lt;item&gt;1721&lt;/item&gt;&lt;item&gt;1722&lt;/item&gt;&lt;item&gt;1746&lt;/item&gt;&lt;item&gt;1749&lt;/item&gt;&lt;item&gt;1911&lt;/item&gt;&lt;item&gt;1936&lt;/item&gt;&lt;/record-ids&gt;&lt;/item&gt;&lt;/Libraries&gt;"/>
  </w:docVars>
  <w:rsids>
    <w:rsidRoot w:val="00860F73"/>
    <w:rsid w:val="00002668"/>
    <w:rsid w:val="00003743"/>
    <w:rsid w:val="000077FA"/>
    <w:rsid w:val="0001053B"/>
    <w:rsid w:val="0001076C"/>
    <w:rsid w:val="00012782"/>
    <w:rsid w:val="00020DBD"/>
    <w:rsid w:val="00025273"/>
    <w:rsid w:val="00025A92"/>
    <w:rsid w:val="0003162D"/>
    <w:rsid w:val="00033565"/>
    <w:rsid w:val="000357B9"/>
    <w:rsid w:val="000359B9"/>
    <w:rsid w:val="00035FC5"/>
    <w:rsid w:val="00036AB8"/>
    <w:rsid w:val="00036F5E"/>
    <w:rsid w:val="000406F8"/>
    <w:rsid w:val="00040B20"/>
    <w:rsid w:val="00043671"/>
    <w:rsid w:val="00050775"/>
    <w:rsid w:val="000509DE"/>
    <w:rsid w:val="00054B74"/>
    <w:rsid w:val="00054E14"/>
    <w:rsid w:val="00062CB2"/>
    <w:rsid w:val="00064979"/>
    <w:rsid w:val="00064B79"/>
    <w:rsid w:val="00067456"/>
    <w:rsid w:val="00067CE9"/>
    <w:rsid w:val="00070812"/>
    <w:rsid w:val="000720AA"/>
    <w:rsid w:val="00074553"/>
    <w:rsid w:val="000759B8"/>
    <w:rsid w:val="0008065C"/>
    <w:rsid w:val="00083CD1"/>
    <w:rsid w:val="00084C36"/>
    <w:rsid w:val="00090EFF"/>
    <w:rsid w:val="00091FC5"/>
    <w:rsid w:val="00092229"/>
    <w:rsid w:val="00092E65"/>
    <w:rsid w:val="00095DA6"/>
    <w:rsid w:val="00095DC5"/>
    <w:rsid w:val="000A1C7F"/>
    <w:rsid w:val="000A28AC"/>
    <w:rsid w:val="000A3F0D"/>
    <w:rsid w:val="000A4C01"/>
    <w:rsid w:val="000B0274"/>
    <w:rsid w:val="000B0BFE"/>
    <w:rsid w:val="000B0E21"/>
    <w:rsid w:val="000B4610"/>
    <w:rsid w:val="000B4BED"/>
    <w:rsid w:val="000B5661"/>
    <w:rsid w:val="000B5A0A"/>
    <w:rsid w:val="000B6A64"/>
    <w:rsid w:val="000B79D3"/>
    <w:rsid w:val="000B7DE9"/>
    <w:rsid w:val="000C1722"/>
    <w:rsid w:val="000C1DD4"/>
    <w:rsid w:val="000C324F"/>
    <w:rsid w:val="000C424B"/>
    <w:rsid w:val="000C5B0F"/>
    <w:rsid w:val="000C7A69"/>
    <w:rsid w:val="000D017D"/>
    <w:rsid w:val="000D6405"/>
    <w:rsid w:val="000E15DA"/>
    <w:rsid w:val="000E2A73"/>
    <w:rsid w:val="000E2F2E"/>
    <w:rsid w:val="000E46CB"/>
    <w:rsid w:val="000E53AD"/>
    <w:rsid w:val="000F0D77"/>
    <w:rsid w:val="000F29C7"/>
    <w:rsid w:val="000F3BB7"/>
    <w:rsid w:val="000F6B39"/>
    <w:rsid w:val="001002D1"/>
    <w:rsid w:val="001044F5"/>
    <w:rsid w:val="0010673D"/>
    <w:rsid w:val="0010677C"/>
    <w:rsid w:val="00106CF5"/>
    <w:rsid w:val="00107A6E"/>
    <w:rsid w:val="00113D15"/>
    <w:rsid w:val="00115403"/>
    <w:rsid w:val="00115AF0"/>
    <w:rsid w:val="00115E61"/>
    <w:rsid w:val="001204A3"/>
    <w:rsid w:val="00120FCB"/>
    <w:rsid w:val="001232B1"/>
    <w:rsid w:val="00131E52"/>
    <w:rsid w:val="00133846"/>
    <w:rsid w:val="00135DCA"/>
    <w:rsid w:val="00136E5B"/>
    <w:rsid w:val="00140002"/>
    <w:rsid w:val="001406B5"/>
    <w:rsid w:val="00140C54"/>
    <w:rsid w:val="0014334B"/>
    <w:rsid w:val="00143A76"/>
    <w:rsid w:val="00143FBC"/>
    <w:rsid w:val="00145091"/>
    <w:rsid w:val="001458E8"/>
    <w:rsid w:val="00145BE3"/>
    <w:rsid w:val="00146A66"/>
    <w:rsid w:val="00147F1B"/>
    <w:rsid w:val="001507C6"/>
    <w:rsid w:val="00151ABD"/>
    <w:rsid w:val="00151D93"/>
    <w:rsid w:val="0015205D"/>
    <w:rsid w:val="0015310F"/>
    <w:rsid w:val="001572A0"/>
    <w:rsid w:val="00157B31"/>
    <w:rsid w:val="00160453"/>
    <w:rsid w:val="00160C17"/>
    <w:rsid w:val="001652A9"/>
    <w:rsid w:val="001665BC"/>
    <w:rsid w:val="001673E2"/>
    <w:rsid w:val="00167B29"/>
    <w:rsid w:val="00170612"/>
    <w:rsid w:val="00171234"/>
    <w:rsid w:val="00172F3E"/>
    <w:rsid w:val="00173ACE"/>
    <w:rsid w:val="00174141"/>
    <w:rsid w:val="00174535"/>
    <w:rsid w:val="0017675C"/>
    <w:rsid w:val="00180170"/>
    <w:rsid w:val="00180A72"/>
    <w:rsid w:val="001817E3"/>
    <w:rsid w:val="00181F3B"/>
    <w:rsid w:val="00182C0F"/>
    <w:rsid w:val="00183675"/>
    <w:rsid w:val="00183C95"/>
    <w:rsid w:val="00184C86"/>
    <w:rsid w:val="00184D9A"/>
    <w:rsid w:val="001852DE"/>
    <w:rsid w:val="001859B5"/>
    <w:rsid w:val="00185F44"/>
    <w:rsid w:val="00185FAA"/>
    <w:rsid w:val="001860B2"/>
    <w:rsid w:val="00187CBB"/>
    <w:rsid w:val="001918F7"/>
    <w:rsid w:val="001921ED"/>
    <w:rsid w:val="00195458"/>
    <w:rsid w:val="001962DE"/>
    <w:rsid w:val="00196AC8"/>
    <w:rsid w:val="001A11A5"/>
    <w:rsid w:val="001A1396"/>
    <w:rsid w:val="001A1EBD"/>
    <w:rsid w:val="001A2776"/>
    <w:rsid w:val="001A2B15"/>
    <w:rsid w:val="001A4A68"/>
    <w:rsid w:val="001A6FAB"/>
    <w:rsid w:val="001B0F69"/>
    <w:rsid w:val="001B15D1"/>
    <w:rsid w:val="001B3443"/>
    <w:rsid w:val="001B6E7A"/>
    <w:rsid w:val="001B7C8B"/>
    <w:rsid w:val="001C0E00"/>
    <w:rsid w:val="001C0F51"/>
    <w:rsid w:val="001C1AD4"/>
    <w:rsid w:val="001D0D87"/>
    <w:rsid w:val="001E1042"/>
    <w:rsid w:val="001E38B8"/>
    <w:rsid w:val="001E618F"/>
    <w:rsid w:val="001E77C4"/>
    <w:rsid w:val="001F1454"/>
    <w:rsid w:val="001F16D5"/>
    <w:rsid w:val="001F5AD3"/>
    <w:rsid w:val="001F5FE5"/>
    <w:rsid w:val="001F6D10"/>
    <w:rsid w:val="0020087C"/>
    <w:rsid w:val="00201062"/>
    <w:rsid w:val="002042BE"/>
    <w:rsid w:val="00206AEE"/>
    <w:rsid w:val="00210B12"/>
    <w:rsid w:val="00210CF3"/>
    <w:rsid w:val="002132AE"/>
    <w:rsid w:val="002166E4"/>
    <w:rsid w:val="002172A3"/>
    <w:rsid w:val="00222B17"/>
    <w:rsid w:val="00223188"/>
    <w:rsid w:val="002255F7"/>
    <w:rsid w:val="0023051A"/>
    <w:rsid w:val="0023112B"/>
    <w:rsid w:val="0023231A"/>
    <w:rsid w:val="00237ADF"/>
    <w:rsid w:val="00237F1B"/>
    <w:rsid w:val="002440AF"/>
    <w:rsid w:val="00245659"/>
    <w:rsid w:val="00245D81"/>
    <w:rsid w:val="0024767D"/>
    <w:rsid w:val="00247D7F"/>
    <w:rsid w:val="002503C3"/>
    <w:rsid w:val="00250E1D"/>
    <w:rsid w:val="00251167"/>
    <w:rsid w:val="00252A4D"/>
    <w:rsid w:val="0025400B"/>
    <w:rsid w:val="002550A7"/>
    <w:rsid w:val="00255596"/>
    <w:rsid w:val="00255DCB"/>
    <w:rsid w:val="002566BA"/>
    <w:rsid w:val="00257B29"/>
    <w:rsid w:val="00261F43"/>
    <w:rsid w:val="00262327"/>
    <w:rsid w:val="002625FB"/>
    <w:rsid w:val="00263A63"/>
    <w:rsid w:val="00264387"/>
    <w:rsid w:val="00264A5A"/>
    <w:rsid w:val="002662B4"/>
    <w:rsid w:val="0026675D"/>
    <w:rsid w:val="002674D8"/>
    <w:rsid w:val="00267635"/>
    <w:rsid w:val="00267745"/>
    <w:rsid w:val="00272D76"/>
    <w:rsid w:val="002749F9"/>
    <w:rsid w:val="00277A59"/>
    <w:rsid w:val="0028150E"/>
    <w:rsid w:val="00281DA7"/>
    <w:rsid w:val="00281FD4"/>
    <w:rsid w:val="00282AF8"/>
    <w:rsid w:val="00282AF9"/>
    <w:rsid w:val="00282E99"/>
    <w:rsid w:val="002851F2"/>
    <w:rsid w:val="0028558F"/>
    <w:rsid w:val="002862B1"/>
    <w:rsid w:val="00286D4E"/>
    <w:rsid w:val="002907D9"/>
    <w:rsid w:val="00291EBD"/>
    <w:rsid w:val="00293CDE"/>
    <w:rsid w:val="0029488B"/>
    <w:rsid w:val="00295887"/>
    <w:rsid w:val="002A03FA"/>
    <w:rsid w:val="002A1A8D"/>
    <w:rsid w:val="002A5442"/>
    <w:rsid w:val="002A7A34"/>
    <w:rsid w:val="002B4227"/>
    <w:rsid w:val="002C1AF6"/>
    <w:rsid w:val="002C1CA0"/>
    <w:rsid w:val="002C3666"/>
    <w:rsid w:val="002C529B"/>
    <w:rsid w:val="002C5486"/>
    <w:rsid w:val="002C6AF0"/>
    <w:rsid w:val="002C6E07"/>
    <w:rsid w:val="002C7EFF"/>
    <w:rsid w:val="002D0EB0"/>
    <w:rsid w:val="002D247E"/>
    <w:rsid w:val="002D757B"/>
    <w:rsid w:val="002E195D"/>
    <w:rsid w:val="002E2DBA"/>
    <w:rsid w:val="002E3863"/>
    <w:rsid w:val="002E3986"/>
    <w:rsid w:val="002E4B35"/>
    <w:rsid w:val="002E6A48"/>
    <w:rsid w:val="002E6E84"/>
    <w:rsid w:val="002E7082"/>
    <w:rsid w:val="002F0B7E"/>
    <w:rsid w:val="002F38C6"/>
    <w:rsid w:val="002F3AE3"/>
    <w:rsid w:val="002F7E6F"/>
    <w:rsid w:val="003015DC"/>
    <w:rsid w:val="00303757"/>
    <w:rsid w:val="00306A17"/>
    <w:rsid w:val="0030786C"/>
    <w:rsid w:val="00311A57"/>
    <w:rsid w:val="0031272F"/>
    <w:rsid w:val="00312A62"/>
    <w:rsid w:val="003130D7"/>
    <w:rsid w:val="0031471F"/>
    <w:rsid w:val="003154C9"/>
    <w:rsid w:val="00315E35"/>
    <w:rsid w:val="00316683"/>
    <w:rsid w:val="00325748"/>
    <w:rsid w:val="003257CA"/>
    <w:rsid w:val="003258CA"/>
    <w:rsid w:val="00333416"/>
    <w:rsid w:val="00340CF2"/>
    <w:rsid w:val="00341900"/>
    <w:rsid w:val="00341A36"/>
    <w:rsid w:val="00341BEE"/>
    <w:rsid w:val="00343286"/>
    <w:rsid w:val="0034680F"/>
    <w:rsid w:val="0035066E"/>
    <w:rsid w:val="00350BE1"/>
    <w:rsid w:val="003537F7"/>
    <w:rsid w:val="00354BCF"/>
    <w:rsid w:val="003559EA"/>
    <w:rsid w:val="003566EB"/>
    <w:rsid w:val="00361C39"/>
    <w:rsid w:val="00365419"/>
    <w:rsid w:val="003657DB"/>
    <w:rsid w:val="0036588B"/>
    <w:rsid w:val="00370326"/>
    <w:rsid w:val="0037139F"/>
    <w:rsid w:val="00374F69"/>
    <w:rsid w:val="003769AE"/>
    <w:rsid w:val="00377FB3"/>
    <w:rsid w:val="00380792"/>
    <w:rsid w:val="003808E4"/>
    <w:rsid w:val="00381534"/>
    <w:rsid w:val="0038248B"/>
    <w:rsid w:val="00382B2D"/>
    <w:rsid w:val="0038363B"/>
    <w:rsid w:val="00386070"/>
    <w:rsid w:val="00386683"/>
    <w:rsid w:val="00386A45"/>
    <w:rsid w:val="003873C6"/>
    <w:rsid w:val="0039013D"/>
    <w:rsid w:val="00392002"/>
    <w:rsid w:val="00392A85"/>
    <w:rsid w:val="00396AFB"/>
    <w:rsid w:val="00397346"/>
    <w:rsid w:val="0039748F"/>
    <w:rsid w:val="003A21C3"/>
    <w:rsid w:val="003A2F4A"/>
    <w:rsid w:val="003A4C47"/>
    <w:rsid w:val="003A4E56"/>
    <w:rsid w:val="003A70CE"/>
    <w:rsid w:val="003B065D"/>
    <w:rsid w:val="003B53F1"/>
    <w:rsid w:val="003B5E18"/>
    <w:rsid w:val="003C0CAD"/>
    <w:rsid w:val="003C0E23"/>
    <w:rsid w:val="003C16A8"/>
    <w:rsid w:val="003C297A"/>
    <w:rsid w:val="003C5192"/>
    <w:rsid w:val="003C540E"/>
    <w:rsid w:val="003C5F0C"/>
    <w:rsid w:val="003D052A"/>
    <w:rsid w:val="003D17F9"/>
    <w:rsid w:val="003D1EFB"/>
    <w:rsid w:val="003D3806"/>
    <w:rsid w:val="003D437B"/>
    <w:rsid w:val="003D4829"/>
    <w:rsid w:val="003E0C6C"/>
    <w:rsid w:val="003E197F"/>
    <w:rsid w:val="003E28AD"/>
    <w:rsid w:val="003E3832"/>
    <w:rsid w:val="003E442B"/>
    <w:rsid w:val="003E6045"/>
    <w:rsid w:val="003E6E73"/>
    <w:rsid w:val="003E76C8"/>
    <w:rsid w:val="003F35A6"/>
    <w:rsid w:val="003F3F0B"/>
    <w:rsid w:val="00400141"/>
    <w:rsid w:val="00400F84"/>
    <w:rsid w:val="004010E4"/>
    <w:rsid w:val="0040152C"/>
    <w:rsid w:val="004021E3"/>
    <w:rsid w:val="00402CBA"/>
    <w:rsid w:val="004074C8"/>
    <w:rsid w:val="00412E9D"/>
    <w:rsid w:val="00413915"/>
    <w:rsid w:val="00414952"/>
    <w:rsid w:val="00416470"/>
    <w:rsid w:val="00416D2D"/>
    <w:rsid w:val="00422AED"/>
    <w:rsid w:val="00423210"/>
    <w:rsid w:val="00424205"/>
    <w:rsid w:val="00425504"/>
    <w:rsid w:val="0042727E"/>
    <w:rsid w:val="004305D6"/>
    <w:rsid w:val="00433636"/>
    <w:rsid w:val="004377EE"/>
    <w:rsid w:val="00440CC0"/>
    <w:rsid w:val="00440D73"/>
    <w:rsid w:val="00441E9C"/>
    <w:rsid w:val="004429AC"/>
    <w:rsid w:val="004437F3"/>
    <w:rsid w:val="00443D13"/>
    <w:rsid w:val="004452E5"/>
    <w:rsid w:val="00447D31"/>
    <w:rsid w:val="004515A3"/>
    <w:rsid w:val="00451E5C"/>
    <w:rsid w:val="00452849"/>
    <w:rsid w:val="00454603"/>
    <w:rsid w:val="00455560"/>
    <w:rsid w:val="00456385"/>
    <w:rsid w:val="00463334"/>
    <w:rsid w:val="00463C2C"/>
    <w:rsid w:val="00465AB0"/>
    <w:rsid w:val="00466BC0"/>
    <w:rsid w:val="00470AB8"/>
    <w:rsid w:val="004778EB"/>
    <w:rsid w:val="00477E9B"/>
    <w:rsid w:val="00480C54"/>
    <w:rsid w:val="00482ECA"/>
    <w:rsid w:val="00485776"/>
    <w:rsid w:val="00485794"/>
    <w:rsid w:val="004867E2"/>
    <w:rsid w:val="00486826"/>
    <w:rsid w:val="004868A4"/>
    <w:rsid w:val="0048712C"/>
    <w:rsid w:val="0048784D"/>
    <w:rsid w:val="00493AA0"/>
    <w:rsid w:val="004A0670"/>
    <w:rsid w:val="004A299A"/>
    <w:rsid w:val="004A4851"/>
    <w:rsid w:val="004A5C81"/>
    <w:rsid w:val="004B0417"/>
    <w:rsid w:val="004B0BCF"/>
    <w:rsid w:val="004B25CD"/>
    <w:rsid w:val="004B2999"/>
    <w:rsid w:val="004B2DF0"/>
    <w:rsid w:val="004B5D73"/>
    <w:rsid w:val="004C04EB"/>
    <w:rsid w:val="004C0E8B"/>
    <w:rsid w:val="004C186C"/>
    <w:rsid w:val="004C3664"/>
    <w:rsid w:val="004C4927"/>
    <w:rsid w:val="004C6833"/>
    <w:rsid w:val="004D448C"/>
    <w:rsid w:val="004E067A"/>
    <w:rsid w:val="004E10B5"/>
    <w:rsid w:val="004E1785"/>
    <w:rsid w:val="004E179B"/>
    <w:rsid w:val="004E2389"/>
    <w:rsid w:val="004E44D7"/>
    <w:rsid w:val="004E50C2"/>
    <w:rsid w:val="004E58C1"/>
    <w:rsid w:val="004F412D"/>
    <w:rsid w:val="00500328"/>
    <w:rsid w:val="00500D72"/>
    <w:rsid w:val="00505824"/>
    <w:rsid w:val="00506A3E"/>
    <w:rsid w:val="0051563D"/>
    <w:rsid w:val="005179C7"/>
    <w:rsid w:val="00520218"/>
    <w:rsid w:val="0052107C"/>
    <w:rsid w:val="0052179D"/>
    <w:rsid w:val="005221B7"/>
    <w:rsid w:val="0052478B"/>
    <w:rsid w:val="00530100"/>
    <w:rsid w:val="00530B2C"/>
    <w:rsid w:val="0053231E"/>
    <w:rsid w:val="00534530"/>
    <w:rsid w:val="00535009"/>
    <w:rsid w:val="00536E0C"/>
    <w:rsid w:val="005408C7"/>
    <w:rsid w:val="005422E7"/>
    <w:rsid w:val="005428DB"/>
    <w:rsid w:val="005437FD"/>
    <w:rsid w:val="00544A4E"/>
    <w:rsid w:val="0055205D"/>
    <w:rsid w:val="00552C27"/>
    <w:rsid w:val="005531AD"/>
    <w:rsid w:val="00553E33"/>
    <w:rsid w:val="005548AD"/>
    <w:rsid w:val="00554B46"/>
    <w:rsid w:val="00554E98"/>
    <w:rsid w:val="00555C4C"/>
    <w:rsid w:val="00555D6E"/>
    <w:rsid w:val="00557170"/>
    <w:rsid w:val="00561911"/>
    <w:rsid w:val="00562F72"/>
    <w:rsid w:val="0056304B"/>
    <w:rsid w:val="005644DB"/>
    <w:rsid w:val="00565356"/>
    <w:rsid w:val="00566B97"/>
    <w:rsid w:val="00570C6C"/>
    <w:rsid w:val="00572897"/>
    <w:rsid w:val="00573B2D"/>
    <w:rsid w:val="0057501C"/>
    <w:rsid w:val="005752A5"/>
    <w:rsid w:val="005778A8"/>
    <w:rsid w:val="00584334"/>
    <w:rsid w:val="005867FD"/>
    <w:rsid w:val="00587B7A"/>
    <w:rsid w:val="00591A14"/>
    <w:rsid w:val="005932B6"/>
    <w:rsid w:val="0059380A"/>
    <w:rsid w:val="00594860"/>
    <w:rsid w:val="0059724C"/>
    <w:rsid w:val="00597498"/>
    <w:rsid w:val="005A1AA7"/>
    <w:rsid w:val="005A418E"/>
    <w:rsid w:val="005A4946"/>
    <w:rsid w:val="005A4D0B"/>
    <w:rsid w:val="005A61B4"/>
    <w:rsid w:val="005A65E0"/>
    <w:rsid w:val="005A735B"/>
    <w:rsid w:val="005B04D8"/>
    <w:rsid w:val="005B55E8"/>
    <w:rsid w:val="005B709F"/>
    <w:rsid w:val="005C1496"/>
    <w:rsid w:val="005C3BEE"/>
    <w:rsid w:val="005C4D1B"/>
    <w:rsid w:val="005C5EF4"/>
    <w:rsid w:val="005C65B2"/>
    <w:rsid w:val="005C6AAE"/>
    <w:rsid w:val="005D1073"/>
    <w:rsid w:val="005D1804"/>
    <w:rsid w:val="005D2770"/>
    <w:rsid w:val="005D5D06"/>
    <w:rsid w:val="005D62B5"/>
    <w:rsid w:val="005E2030"/>
    <w:rsid w:val="005E2614"/>
    <w:rsid w:val="005E2695"/>
    <w:rsid w:val="005E502B"/>
    <w:rsid w:val="005E7144"/>
    <w:rsid w:val="005F1E4A"/>
    <w:rsid w:val="005F56CB"/>
    <w:rsid w:val="005F6A83"/>
    <w:rsid w:val="006006F0"/>
    <w:rsid w:val="00607B0B"/>
    <w:rsid w:val="00611870"/>
    <w:rsid w:val="0061367D"/>
    <w:rsid w:val="00614E29"/>
    <w:rsid w:val="00615D64"/>
    <w:rsid w:val="00617CC9"/>
    <w:rsid w:val="0062216A"/>
    <w:rsid w:val="00622517"/>
    <w:rsid w:val="0062531C"/>
    <w:rsid w:val="00625634"/>
    <w:rsid w:val="00625EC1"/>
    <w:rsid w:val="00626598"/>
    <w:rsid w:val="00626F7D"/>
    <w:rsid w:val="00627B94"/>
    <w:rsid w:val="00630199"/>
    <w:rsid w:val="006317C9"/>
    <w:rsid w:val="00632475"/>
    <w:rsid w:val="00632C35"/>
    <w:rsid w:val="006340B0"/>
    <w:rsid w:val="0063571F"/>
    <w:rsid w:val="00636395"/>
    <w:rsid w:val="00641773"/>
    <w:rsid w:val="00641CB0"/>
    <w:rsid w:val="0064239F"/>
    <w:rsid w:val="00642C8F"/>
    <w:rsid w:val="006456F1"/>
    <w:rsid w:val="006477A7"/>
    <w:rsid w:val="006501AE"/>
    <w:rsid w:val="00653E73"/>
    <w:rsid w:val="00656A90"/>
    <w:rsid w:val="00657DD2"/>
    <w:rsid w:val="00661059"/>
    <w:rsid w:val="00662E5A"/>
    <w:rsid w:val="00664B6D"/>
    <w:rsid w:val="00664F67"/>
    <w:rsid w:val="006655E2"/>
    <w:rsid w:val="00670F54"/>
    <w:rsid w:val="00671348"/>
    <w:rsid w:val="006728F9"/>
    <w:rsid w:val="006746DA"/>
    <w:rsid w:val="006765C3"/>
    <w:rsid w:val="006767BC"/>
    <w:rsid w:val="006803BA"/>
    <w:rsid w:val="00680E85"/>
    <w:rsid w:val="00684FB9"/>
    <w:rsid w:val="006852C3"/>
    <w:rsid w:val="006922F5"/>
    <w:rsid w:val="00692FB3"/>
    <w:rsid w:val="00694113"/>
    <w:rsid w:val="006947D9"/>
    <w:rsid w:val="006A16DD"/>
    <w:rsid w:val="006A2587"/>
    <w:rsid w:val="006A641D"/>
    <w:rsid w:val="006B2EBD"/>
    <w:rsid w:val="006B3802"/>
    <w:rsid w:val="006B3CFC"/>
    <w:rsid w:val="006C0CD8"/>
    <w:rsid w:val="006C2A77"/>
    <w:rsid w:val="006C45E7"/>
    <w:rsid w:val="006C5AEE"/>
    <w:rsid w:val="006C679A"/>
    <w:rsid w:val="006D090A"/>
    <w:rsid w:val="006D09FE"/>
    <w:rsid w:val="006D0C40"/>
    <w:rsid w:val="006D15C1"/>
    <w:rsid w:val="006D2783"/>
    <w:rsid w:val="006D4CD4"/>
    <w:rsid w:val="006D636A"/>
    <w:rsid w:val="006D732F"/>
    <w:rsid w:val="006E110B"/>
    <w:rsid w:val="006E27DA"/>
    <w:rsid w:val="006E2CC9"/>
    <w:rsid w:val="006E2DDB"/>
    <w:rsid w:val="006E4597"/>
    <w:rsid w:val="006E688D"/>
    <w:rsid w:val="006F1432"/>
    <w:rsid w:val="006F1FAC"/>
    <w:rsid w:val="006F44D8"/>
    <w:rsid w:val="006F618A"/>
    <w:rsid w:val="006F7964"/>
    <w:rsid w:val="007028EC"/>
    <w:rsid w:val="00703328"/>
    <w:rsid w:val="007035D8"/>
    <w:rsid w:val="0070464E"/>
    <w:rsid w:val="0070703E"/>
    <w:rsid w:val="00707D22"/>
    <w:rsid w:val="007103BE"/>
    <w:rsid w:val="00710B2C"/>
    <w:rsid w:val="00711E21"/>
    <w:rsid w:val="00712832"/>
    <w:rsid w:val="00713F05"/>
    <w:rsid w:val="00715168"/>
    <w:rsid w:val="0071637F"/>
    <w:rsid w:val="00716597"/>
    <w:rsid w:val="00716FED"/>
    <w:rsid w:val="00717734"/>
    <w:rsid w:val="00721146"/>
    <w:rsid w:val="0072122F"/>
    <w:rsid w:val="00722691"/>
    <w:rsid w:val="007238E8"/>
    <w:rsid w:val="0072413F"/>
    <w:rsid w:val="00725FB9"/>
    <w:rsid w:val="00730020"/>
    <w:rsid w:val="00733344"/>
    <w:rsid w:val="007333AD"/>
    <w:rsid w:val="007360BF"/>
    <w:rsid w:val="00737D4D"/>
    <w:rsid w:val="007406E6"/>
    <w:rsid w:val="00741955"/>
    <w:rsid w:val="00746CCD"/>
    <w:rsid w:val="007479CF"/>
    <w:rsid w:val="00747CE1"/>
    <w:rsid w:val="0075164B"/>
    <w:rsid w:val="007517A6"/>
    <w:rsid w:val="00752535"/>
    <w:rsid w:val="007545C7"/>
    <w:rsid w:val="00755C27"/>
    <w:rsid w:val="0076005C"/>
    <w:rsid w:val="0076111D"/>
    <w:rsid w:val="007635C1"/>
    <w:rsid w:val="00766B42"/>
    <w:rsid w:val="0076731D"/>
    <w:rsid w:val="00767650"/>
    <w:rsid w:val="00767A90"/>
    <w:rsid w:val="00770588"/>
    <w:rsid w:val="00770EDE"/>
    <w:rsid w:val="00771492"/>
    <w:rsid w:val="00772C72"/>
    <w:rsid w:val="00773683"/>
    <w:rsid w:val="0078070C"/>
    <w:rsid w:val="00780B4E"/>
    <w:rsid w:val="00784541"/>
    <w:rsid w:val="007853C2"/>
    <w:rsid w:val="00787790"/>
    <w:rsid w:val="00787CE6"/>
    <w:rsid w:val="00794DF2"/>
    <w:rsid w:val="007968CC"/>
    <w:rsid w:val="00796FB7"/>
    <w:rsid w:val="0079708B"/>
    <w:rsid w:val="007A0CBC"/>
    <w:rsid w:val="007A13D1"/>
    <w:rsid w:val="007A4FD1"/>
    <w:rsid w:val="007A5C97"/>
    <w:rsid w:val="007B04A9"/>
    <w:rsid w:val="007B098D"/>
    <w:rsid w:val="007B16AC"/>
    <w:rsid w:val="007B1D5C"/>
    <w:rsid w:val="007B54E0"/>
    <w:rsid w:val="007B5D05"/>
    <w:rsid w:val="007B5D1E"/>
    <w:rsid w:val="007B6D81"/>
    <w:rsid w:val="007C2217"/>
    <w:rsid w:val="007C2E29"/>
    <w:rsid w:val="007C471C"/>
    <w:rsid w:val="007C4B91"/>
    <w:rsid w:val="007C52D3"/>
    <w:rsid w:val="007C6B07"/>
    <w:rsid w:val="007D0AD8"/>
    <w:rsid w:val="007D174F"/>
    <w:rsid w:val="007D4258"/>
    <w:rsid w:val="007D567D"/>
    <w:rsid w:val="007D7110"/>
    <w:rsid w:val="007E000D"/>
    <w:rsid w:val="007E175B"/>
    <w:rsid w:val="007E1AF0"/>
    <w:rsid w:val="007E2321"/>
    <w:rsid w:val="007E3F8A"/>
    <w:rsid w:val="007E3FD0"/>
    <w:rsid w:val="007E4469"/>
    <w:rsid w:val="007E7F6B"/>
    <w:rsid w:val="007F05A4"/>
    <w:rsid w:val="007F3645"/>
    <w:rsid w:val="007F58DD"/>
    <w:rsid w:val="007F6791"/>
    <w:rsid w:val="00801DCA"/>
    <w:rsid w:val="00802131"/>
    <w:rsid w:val="00805E44"/>
    <w:rsid w:val="0081035D"/>
    <w:rsid w:val="00811C26"/>
    <w:rsid w:val="00812A44"/>
    <w:rsid w:val="008138AF"/>
    <w:rsid w:val="00816CF6"/>
    <w:rsid w:val="0081746E"/>
    <w:rsid w:val="008175BD"/>
    <w:rsid w:val="00820059"/>
    <w:rsid w:val="008226F3"/>
    <w:rsid w:val="00825F0E"/>
    <w:rsid w:val="008264EB"/>
    <w:rsid w:val="00827924"/>
    <w:rsid w:val="0083039B"/>
    <w:rsid w:val="00830756"/>
    <w:rsid w:val="008313B7"/>
    <w:rsid w:val="00837A90"/>
    <w:rsid w:val="0084088A"/>
    <w:rsid w:val="00840E37"/>
    <w:rsid w:val="0084397F"/>
    <w:rsid w:val="0084411F"/>
    <w:rsid w:val="0084624A"/>
    <w:rsid w:val="00851189"/>
    <w:rsid w:val="00853526"/>
    <w:rsid w:val="00854E1A"/>
    <w:rsid w:val="00855A49"/>
    <w:rsid w:val="00856DF5"/>
    <w:rsid w:val="00857E76"/>
    <w:rsid w:val="0086059A"/>
    <w:rsid w:val="00860F73"/>
    <w:rsid w:val="00864046"/>
    <w:rsid w:val="00865932"/>
    <w:rsid w:val="00872059"/>
    <w:rsid w:val="00873673"/>
    <w:rsid w:val="00874087"/>
    <w:rsid w:val="008803A1"/>
    <w:rsid w:val="0088122A"/>
    <w:rsid w:val="008839CD"/>
    <w:rsid w:val="0089126E"/>
    <w:rsid w:val="008912E8"/>
    <w:rsid w:val="00892AC8"/>
    <w:rsid w:val="00897E5A"/>
    <w:rsid w:val="008A07AF"/>
    <w:rsid w:val="008A4580"/>
    <w:rsid w:val="008A4AC8"/>
    <w:rsid w:val="008A4B9F"/>
    <w:rsid w:val="008A4E8B"/>
    <w:rsid w:val="008A58F9"/>
    <w:rsid w:val="008B014E"/>
    <w:rsid w:val="008C1853"/>
    <w:rsid w:val="008C2971"/>
    <w:rsid w:val="008C3AFF"/>
    <w:rsid w:val="008D09DE"/>
    <w:rsid w:val="008D26F1"/>
    <w:rsid w:val="008D5AFD"/>
    <w:rsid w:val="008D7939"/>
    <w:rsid w:val="008E3658"/>
    <w:rsid w:val="008E59EB"/>
    <w:rsid w:val="008E5D6A"/>
    <w:rsid w:val="008E676F"/>
    <w:rsid w:val="008F0106"/>
    <w:rsid w:val="008F26C0"/>
    <w:rsid w:val="008F48EC"/>
    <w:rsid w:val="008F4D6A"/>
    <w:rsid w:val="008F7D27"/>
    <w:rsid w:val="008F7D64"/>
    <w:rsid w:val="00901462"/>
    <w:rsid w:val="00901D6C"/>
    <w:rsid w:val="00902A76"/>
    <w:rsid w:val="00904474"/>
    <w:rsid w:val="00904D1C"/>
    <w:rsid w:val="009061A9"/>
    <w:rsid w:val="0091137C"/>
    <w:rsid w:val="0091384C"/>
    <w:rsid w:val="00913C3D"/>
    <w:rsid w:val="0091791A"/>
    <w:rsid w:val="009213F3"/>
    <w:rsid w:val="0092204C"/>
    <w:rsid w:val="00922DEE"/>
    <w:rsid w:val="009238AA"/>
    <w:rsid w:val="009244B8"/>
    <w:rsid w:val="00925748"/>
    <w:rsid w:val="00932407"/>
    <w:rsid w:val="00933B21"/>
    <w:rsid w:val="00933EC2"/>
    <w:rsid w:val="00936372"/>
    <w:rsid w:val="009374DD"/>
    <w:rsid w:val="00940F7D"/>
    <w:rsid w:val="00941048"/>
    <w:rsid w:val="009424A5"/>
    <w:rsid w:val="00942D3A"/>
    <w:rsid w:val="00950089"/>
    <w:rsid w:val="00950D5F"/>
    <w:rsid w:val="00953AEF"/>
    <w:rsid w:val="0095539D"/>
    <w:rsid w:val="00957E88"/>
    <w:rsid w:val="009606DF"/>
    <w:rsid w:val="00961B39"/>
    <w:rsid w:val="00961FBE"/>
    <w:rsid w:val="00964277"/>
    <w:rsid w:val="009659A2"/>
    <w:rsid w:val="00965BD6"/>
    <w:rsid w:val="00966674"/>
    <w:rsid w:val="00971BBF"/>
    <w:rsid w:val="00972775"/>
    <w:rsid w:val="00973994"/>
    <w:rsid w:val="0097582E"/>
    <w:rsid w:val="00977D26"/>
    <w:rsid w:val="00977E26"/>
    <w:rsid w:val="009805EC"/>
    <w:rsid w:val="00984227"/>
    <w:rsid w:val="00985B7E"/>
    <w:rsid w:val="00985E92"/>
    <w:rsid w:val="00987675"/>
    <w:rsid w:val="009904EA"/>
    <w:rsid w:val="00991AF5"/>
    <w:rsid w:val="00991E6C"/>
    <w:rsid w:val="0099343F"/>
    <w:rsid w:val="00995094"/>
    <w:rsid w:val="0099565A"/>
    <w:rsid w:val="00995BA0"/>
    <w:rsid w:val="009A007B"/>
    <w:rsid w:val="009A0425"/>
    <w:rsid w:val="009A263C"/>
    <w:rsid w:val="009A6169"/>
    <w:rsid w:val="009B053D"/>
    <w:rsid w:val="009B0ED3"/>
    <w:rsid w:val="009B120C"/>
    <w:rsid w:val="009B3E5D"/>
    <w:rsid w:val="009B64E3"/>
    <w:rsid w:val="009B69D0"/>
    <w:rsid w:val="009C4864"/>
    <w:rsid w:val="009C5964"/>
    <w:rsid w:val="009C672E"/>
    <w:rsid w:val="009C77A3"/>
    <w:rsid w:val="009D0B90"/>
    <w:rsid w:val="009D0D07"/>
    <w:rsid w:val="009D1A6C"/>
    <w:rsid w:val="009D3827"/>
    <w:rsid w:val="009D4D40"/>
    <w:rsid w:val="009D5D22"/>
    <w:rsid w:val="009D6852"/>
    <w:rsid w:val="009E0725"/>
    <w:rsid w:val="009E0D48"/>
    <w:rsid w:val="009E1F38"/>
    <w:rsid w:val="009E2981"/>
    <w:rsid w:val="009E2CAF"/>
    <w:rsid w:val="009E44CB"/>
    <w:rsid w:val="009E5D18"/>
    <w:rsid w:val="009E6B78"/>
    <w:rsid w:val="009E6D37"/>
    <w:rsid w:val="009F1EC9"/>
    <w:rsid w:val="009F33F8"/>
    <w:rsid w:val="009F430A"/>
    <w:rsid w:val="009F45FC"/>
    <w:rsid w:val="009F4ACF"/>
    <w:rsid w:val="009F5557"/>
    <w:rsid w:val="00A017A4"/>
    <w:rsid w:val="00A0241B"/>
    <w:rsid w:val="00A02BFF"/>
    <w:rsid w:val="00A04E4C"/>
    <w:rsid w:val="00A0554C"/>
    <w:rsid w:val="00A1015B"/>
    <w:rsid w:val="00A12B60"/>
    <w:rsid w:val="00A139AB"/>
    <w:rsid w:val="00A1457D"/>
    <w:rsid w:val="00A14828"/>
    <w:rsid w:val="00A15082"/>
    <w:rsid w:val="00A16AEE"/>
    <w:rsid w:val="00A21AA2"/>
    <w:rsid w:val="00A22856"/>
    <w:rsid w:val="00A24141"/>
    <w:rsid w:val="00A24397"/>
    <w:rsid w:val="00A25AF1"/>
    <w:rsid w:val="00A369E8"/>
    <w:rsid w:val="00A37563"/>
    <w:rsid w:val="00A4199A"/>
    <w:rsid w:val="00A44515"/>
    <w:rsid w:val="00A4512D"/>
    <w:rsid w:val="00A45295"/>
    <w:rsid w:val="00A541E1"/>
    <w:rsid w:val="00A54775"/>
    <w:rsid w:val="00A5502C"/>
    <w:rsid w:val="00A5694A"/>
    <w:rsid w:val="00A6242A"/>
    <w:rsid w:val="00A62B2E"/>
    <w:rsid w:val="00A6360A"/>
    <w:rsid w:val="00A63F5B"/>
    <w:rsid w:val="00A65795"/>
    <w:rsid w:val="00A6672E"/>
    <w:rsid w:val="00A705AF"/>
    <w:rsid w:val="00A7126D"/>
    <w:rsid w:val="00A72475"/>
    <w:rsid w:val="00A73C2F"/>
    <w:rsid w:val="00A75B58"/>
    <w:rsid w:val="00A77349"/>
    <w:rsid w:val="00A805F0"/>
    <w:rsid w:val="00A81B25"/>
    <w:rsid w:val="00A81D72"/>
    <w:rsid w:val="00A82128"/>
    <w:rsid w:val="00A82F89"/>
    <w:rsid w:val="00A845A9"/>
    <w:rsid w:val="00A85CD1"/>
    <w:rsid w:val="00A86D66"/>
    <w:rsid w:val="00A931E2"/>
    <w:rsid w:val="00A93A18"/>
    <w:rsid w:val="00A93BB9"/>
    <w:rsid w:val="00A964DB"/>
    <w:rsid w:val="00A966B8"/>
    <w:rsid w:val="00A96DED"/>
    <w:rsid w:val="00AA0055"/>
    <w:rsid w:val="00AA0A90"/>
    <w:rsid w:val="00AA2CF4"/>
    <w:rsid w:val="00AA3A3E"/>
    <w:rsid w:val="00AA52B1"/>
    <w:rsid w:val="00AA603A"/>
    <w:rsid w:val="00AA6DC2"/>
    <w:rsid w:val="00AA7B58"/>
    <w:rsid w:val="00AB05F5"/>
    <w:rsid w:val="00AB0A6E"/>
    <w:rsid w:val="00AB40AB"/>
    <w:rsid w:val="00AB578A"/>
    <w:rsid w:val="00AB64E5"/>
    <w:rsid w:val="00AB67C9"/>
    <w:rsid w:val="00AB6E76"/>
    <w:rsid w:val="00AB6ED9"/>
    <w:rsid w:val="00AB6F9B"/>
    <w:rsid w:val="00AC3ACD"/>
    <w:rsid w:val="00AC5B93"/>
    <w:rsid w:val="00AC6331"/>
    <w:rsid w:val="00AC637F"/>
    <w:rsid w:val="00AC6F6C"/>
    <w:rsid w:val="00AD01B4"/>
    <w:rsid w:val="00AD055C"/>
    <w:rsid w:val="00AD2D79"/>
    <w:rsid w:val="00AD2E69"/>
    <w:rsid w:val="00AD43AD"/>
    <w:rsid w:val="00AD52A0"/>
    <w:rsid w:val="00AD5717"/>
    <w:rsid w:val="00AD5878"/>
    <w:rsid w:val="00AE0055"/>
    <w:rsid w:val="00AE02B4"/>
    <w:rsid w:val="00AE05BB"/>
    <w:rsid w:val="00AE0BA6"/>
    <w:rsid w:val="00AE16F9"/>
    <w:rsid w:val="00AE3267"/>
    <w:rsid w:val="00AE3395"/>
    <w:rsid w:val="00AE361D"/>
    <w:rsid w:val="00AE3767"/>
    <w:rsid w:val="00AE61DC"/>
    <w:rsid w:val="00AF6154"/>
    <w:rsid w:val="00B00182"/>
    <w:rsid w:val="00B004EB"/>
    <w:rsid w:val="00B0432B"/>
    <w:rsid w:val="00B07615"/>
    <w:rsid w:val="00B163F6"/>
    <w:rsid w:val="00B17B22"/>
    <w:rsid w:val="00B17FDF"/>
    <w:rsid w:val="00B20701"/>
    <w:rsid w:val="00B213FD"/>
    <w:rsid w:val="00B2338E"/>
    <w:rsid w:val="00B24DF4"/>
    <w:rsid w:val="00B2665E"/>
    <w:rsid w:val="00B30753"/>
    <w:rsid w:val="00B328AF"/>
    <w:rsid w:val="00B32DD1"/>
    <w:rsid w:val="00B36811"/>
    <w:rsid w:val="00B37148"/>
    <w:rsid w:val="00B3720C"/>
    <w:rsid w:val="00B37974"/>
    <w:rsid w:val="00B41409"/>
    <w:rsid w:val="00B4251C"/>
    <w:rsid w:val="00B42851"/>
    <w:rsid w:val="00B42EA6"/>
    <w:rsid w:val="00B456E0"/>
    <w:rsid w:val="00B459E9"/>
    <w:rsid w:val="00B47076"/>
    <w:rsid w:val="00B5113E"/>
    <w:rsid w:val="00B5517B"/>
    <w:rsid w:val="00B55FCC"/>
    <w:rsid w:val="00B56B37"/>
    <w:rsid w:val="00B57759"/>
    <w:rsid w:val="00B603A7"/>
    <w:rsid w:val="00B60986"/>
    <w:rsid w:val="00B60D44"/>
    <w:rsid w:val="00B60D86"/>
    <w:rsid w:val="00B624CD"/>
    <w:rsid w:val="00B65865"/>
    <w:rsid w:val="00B67E80"/>
    <w:rsid w:val="00B7410A"/>
    <w:rsid w:val="00B77BBA"/>
    <w:rsid w:val="00B80D49"/>
    <w:rsid w:val="00B82D2C"/>
    <w:rsid w:val="00B904EC"/>
    <w:rsid w:val="00B91269"/>
    <w:rsid w:val="00B91454"/>
    <w:rsid w:val="00B929D9"/>
    <w:rsid w:val="00B93CD5"/>
    <w:rsid w:val="00B9432A"/>
    <w:rsid w:val="00B95A67"/>
    <w:rsid w:val="00B96A84"/>
    <w:rsid w:val="00BA0015"/>
    <w:rsid w:val="00BA2A5D"/>
    <w:rsid w:val="00BA2DE8"/>
    <w:rsid w:val="00BA4AEE"/>
    <w:rsid w:val="00BB0090"/>
    <w:rsid w:val="00BB0134"/>
    <w:rsid w:val="00BB2D0A"/>
    <w:rsid w:val="00BB33F7"/>
    <w:rsid w:val="00BC07E4"/>
    <w:rsid w:val="00BC0B8A"/>
    <w:rsid w:val="00BC158E"/>
    <w:rsid w:val="00BC4293"/>
    <w:rsid w:val="00BC493D"/>
    <w:rsid w:val="00BC4D09"/>
    <w:rsid w:val="00BC5099"/>
    <w:rsid w:val="00BD0B57"/>
    <w:rsid w:val="00BD0DD3"/>
    <w:rsid w:val="00BD5F76"/>
    <w:rsid w:val="00BD649D"/>
    <w:rsid w:val="00BD741B"/>
    <w:rsid w:val="00BE0DE7"/>
    <w:rsid w:val="00BE42C0"/>
    <w:rsid w:val="00BE6832"/>
    <w:rsid w:val="00BE76C1"/>
    <w:rsid w:val="00BF2561"/>
    <w:rsid w:val="00BF5905"/>
    <w:rsid w:val="00BF6152"/>
    <w:rsid w:val="00C025A9"/>
    <w:rsid w:val="00C034BA"/>
    <w:rsid w:val="00C06314"/>
    <w:rsid w:val="00C10135"/>
    <w:rsid w:val="00C121D5"/>
    <w:rsid w:val="00C123DF"/>
    <w:rsid w:val="00C206EE"/>
    <w:rsid w:val="00C217D4"/>
    <w:rsid w:val="00C22604"/>
    <w:rsid w:val="00C23604"/>
    <w:rsid w:val="00C261EA"/>
    <w:rsid w:val="00C26AF1"/>
    <w:rsid w:val="00C308FA"/>
    <w:rsid w:val="00C31839"/>
    <w:rsid w:val="00C31A7F"/>
    <w:rsid w:val="00C32280"/>
    <w:rsid w:val="00C33D29"/>
    <w:rsid w:val="00C35287"/>
    <w:rsid w:val="00C35DEC"/>
    <w:rsid w:val="00C35F32"/>
    <w:rsid w:val="00C436EE"/>
    <w:rsid w:val="00C477AC"/>
    <w:rsid w:val="00C51BE7"/>
    <w:rsid w:val="00C53B81"/>
    <w:rsid w:val="00C53C65"/>
    <w:rsid w:val="00C54F23"/>
    <w:rsid w:val="00C565EF"/>
    <w:rsid w:val="00C57614"/>
    <w:rsid w:val="00C618D7"/>
    <w:rsid w:val="00C62016"/>
    <w:rsid w:val="00C624CC"/>
    <w:rsid w:val="00C63431"/>
    <w:rsid w:val="00C63C14"/>
    <w:rsid w:val="00C64BBB"/>
    <w:rsid w:val="00C64D00"/>
    <w:rsid w:val="00C6540A"/>
    <w:rsid w:val="00C66C61"/>
    <w:rsid w:val="00C70C8E"/>
    <w:rsid w:val="00C74935"/>
    <w:rsid w:val="00C7543A"/>
    <w:rsid w:val="00C76970"/>
    <w:rsid w:val="00C83B6C"/>
    <w:rsid w:val="00C83BDA"/>
    <w:rsid w:val="00C84552"/>
    <w:rsid w:val="00C84B06"/>
    <w:rsid w:val="00C8527A"/>
    <w:rsid w:val="00C85E91"/>
    <w:rsid w:val="00C873D7"/>
    <w:rsid w:val="00C911AD"/>
    <w:rsid w:val="00C929AD"/>
    <w:rsid w:val="00CA00DA"/>
    <w:rsid w:val="00CA04C6"/>
    <w:rsid w:val="00CA1A38"/>
    <w:rsid w:val="00CA2056"/>
    <w:rsid w:val="00CA3173"/>
    <w:rsid w:val="00CA31C5"/>
    <w:rsid w:val="00CA477C"/>
    <w:rsid w:val="00CB0684"/>
    <w:rsid w:val="00CB2190"/>
    <w:rsid w:val="00CB57EC"/>
    <w:rsid w:val="00CB5999"/>
    <w:rsid w:val="00CB5B1A"/>
    <w:rsid w:val="00CB61D6"/>
    <w:rsid w:val="00CB733F"/>
    <w:rsid w:val="00CC1A4B"/>
    <w:rsid w:val="00CC36EF"/>
    <w:rsid w:val="00CC3B6C"/>
    <w:rsid w:val="00CC4B4F"/>
    <w:rsid w:val="00CC4B8E"/>
    <w:rsid w:val="00CC5CD8"/>
    <w:rsid w:val="00CC697B"/>
    <w:rsid w:val="00CC7207"/>
    <w:rsid w:val="00CC7DC0"/>
    <w:rsid w:val="00CD130D"/>
    <w:rsid w:val="00CD18EA"/>
    <w:rsid w:val="00CD2887"/>
    <w:rsid w:val="00CD55EE"/>
    <w:rsid w:val="00CE16CC"/>
    <w:rsid w:val="00CE1712"/>
    <w:rsid w:val="00CE1D34"/>
    <w:rsid w:val="00CE1E16"/>
    <w:rsid w:val="00CE3387"/>
    <w:rsid w:val="00CE3A39"/>
    <w:rsid w:val="00CE6C0D"/>
    <w:rsid w:val="00CE7355"/>
    <w:rsid w:val="00CF34D6"/>
    <w:rsid w:val="00CF3795"/>
    <w:rsid w:val="00CF4118"/>
    <w:rsid w:val="00CF419C"/>
    <w:rsid w:val="00CF4F58"/>
    <w:rsid w:val="00CF702F"/>
    <w:rsid w:val="00D05CB2"/>
    <w:rsid w:val="00D07C0D"/>
    <w:rsid w:val="00D07D71"/>
    <w:rsid w:val="00D10D90"/>
    <w:rsid w:val="00D116AD"/>
    <w:rsid w:val="00D139E9"/>
    <w:rsid w:val="00D13C42"/>
    <w:rsid w:val="00D1541C"/>
    <w:rsid w:val="00D16B25"/>
    <w:rsid w:val="00D20AD1"/>
    <w:rsid w:val="00D23B07"/>
    <w:rsid w:val="00D2442E"/>
    <w:rsid w:val="00D24922"/>
    <w:rsid w:val="00D24D35"/>
    <w:rsid w:val="00D24E34"/>
    <w:rsid w:val="00D301EA"/>
    <w:rsid w:val="00D31DC2"/>
    <w:rsid w:val="00D41AE5"/>
    <w:rsid w:val="00D429E0"/>
    <w:rsid w:val="00D42B9A"/>
    <w:rsid w:val="00D443A1"/>
    <w:rsid w:val="00D446AF"/>
    <w:rsid w:val="00D46928"/>
    <w:rsid w:val="00D469E4"/>
    <w:rsid w:val="00D4728F"/>
    <w:rsid w:val="00D47544"/>
    <w:rsid w:val="00D47D8E"/>
    <w:rsid w:val="00D50BCB"/>
    <w:rsid w:val="00D50F47"/>
    <w:rsid w:val="00D5354B"/>
    <w:rsid w:val="00D559CE"/>
    <w:rsid w:val="00D563D0"/>
    <w:rsid w:val="00D56DD5"/>
    <w:rsid w:val="00D576F8"/>
    <w:rsid w:val="00D57879"/>
    <w:rsid w:val="00D61E75"/>
    <w:rsid w:val="00D723E1"/>
    <w:rsid w:val="00D738DB"/>
    <w:rsid w:val="00D73FE2"/>
    <w:rsid w:val="00D7465B"/>
    <w:rsid w:val="00D77741"/>
    <w:rsid w:val="00D81026"/>
    <w:rsid w:val="00D812BD"/>
    <w:rsid w:val="00D84622"/>
    <w:rsid w:val="00D87145"/>
    <w:rsid w:val="00D87CBD"/>
    <w:rsid w:val="00D9306A"/>
    <w:rsid w:val="00D944BF"/>
    <w:rsid w:val="00D96327"/>
    <w:rsid w:val="00D9744D"/>
    <w:rsid w:val="00D975CE"/>
    <w:rsid w:val="00DA1010"/>
    <w:rsid w:val="00DA68D9"/>
    <w:rsid w:val="00DB03BF"/>
    <w:rsid w:val="00DB07A4"/>
    <w:rsid w:val="00DB1672"/>
    <w:rsid w:val="00DB2A53"/>
    <w:rsid w:val="00DB5454"/>
    <w:rsid w:val="00DB5911"/>
    <w:rsid w:val="00DB66AA"/>
    <w:rsid w:val="00DB7A6B"/>
    <w:rsid w:val="00DC0220"/>
    <w:rsid w:val="00DC0477"/>
    <w:rsid w:val="00DC0D24"/>
    <w:rsid w:val="00DC639B"/>
    <w:rsid w:val="00DD047B"/>
    <w:rsid w:val="00DD0B65"/>
    <w:rsid w:val="00DD5D99"/>
    <w:rsid w:val="00DD6F15"/>
    <w:rsid w:val="00DE283F"/>
    <w:rsid w:val="00DE3C4E"/>
    <w:rsid w:val="00DE5D9E"/>
    <w:rsid w:val="00DE75D8"/>
    <w:rsid w:val="00DF0B12"/>
    <w:rsid w:val="00DF2DFE"/>
    <w:rsid w:val="00DF3751"/>
    <w:rsid w:val="00DF515C"/>
    <w:rsid w:val="00DF5695"/>
    <w:rsid w:val="00E015E6"/>
    <w:rsid w:val="00E02BEB"/>
    <w:rsid w:val="00E0517A"/>
    <w:rsid w:val="00E05B44"/>
    <w:rsid w:val="00E066B4"/>
    <w:rsid w:val="00E06E17"/>
    <w:rsid w:val="00E13C5C"/>
    <w:rsid w:val="00E15B51"/>
    <w:rsid w:val="00E161B3"/>
    <w:rsid w:val="00E209BF"/>
    <w:rsid w:val="00E2144C"/>
    <w:rsid w:val="00E23206"/>
    <w:rsid w:val="00E236C6"/>
    <w:rsid w:val="00E23E76"/>
    <w:rsid w:val="00E3115C"/>
    <w:rsid w:val="00E34CC1"/>
    <w:rsid w:val="00E34F33"/>
    <w:rsid w:val="00E35CBB"/>
    <w:rsid w:val="00E35DC5"/>
    <w:rsid w:val="00E365CD"/>
    <w:rsid w:val="00E40F95"/>
    <w:rsid w:val="00E41302"/>
    <w:rsid w:val="00E41CF8"/>
    <w:rsid w:val="00E42363"/>
    <w:rsid w:val="00E4269D"/>
    <w:rsid w:val="00E4312B"/>
    <w:rsid w:val="00E5222C"/>
    <w:rsid w:val="00E52467"/>
    <w:rsid w:val="00E57576"/>
    <w:rsid w:val="00E604B3"/>
    <w:rsid w:val="00E60650"/>
    <w:rsid w:val="00E60EE1"/>
    <w:rsid w:val="00E6109E"/>
    <w:rsid w:val="00E6703B"/>
    <w:rsid w:val="00E707D1"/>
    <w:rsid w:val="00E708F6"/>
    <w:rsid w:val="00E716B4"/>
    <w:rsid w:val="00E7210E"/>
    <w:rsid w:val="00E73565"/>
    <w:rsid w:val="00E74C22"/>
    <w:rsid w:val="00E80F8E"/>
    <w:rsid w:val="00E8664A"/>
    <w:rsid w:val="00E86B67"/>
    <w:rsid w:val="00E91673"/>
    <w:rsid w:val="00E9314D"/>
    <w:rsid w:val="00E95DFC"/>
    <w:rsid w:val="00E979D4"/>
    <w:rsid w:val="00EA0E00"/>
    <w:rsid w:val="00EA33D5"/>
    <w:rsid w:val="00EA3CB3"/>
    <w:rsid w:val="00EA5C37"/>
    <w:rsid w:val="00EA5E02"/>
    <w:rsid w:val="00EA5FD0"/>
    <w:rsid w:val="00EA63B1"/>
    <w:rsid w:val="00EB0020"/>
    <w:rsid w:val="00EB0A7E"/>
    <w:rsid w:val="00EB32CF"/>
    <w:rsid w:val="00EB3985"/>
    <w:rsid w:val="00EB42D3"/>
    <w:rsid w:val="00EB6106"/>
    <w:rsid w:val="00EC3D23"/>
    <w:rsid w:val="00EC71AC"/>
    <w:rsid w:val="00EC7D3F"/>
    <w:rsid w:val="00ED0468"/>
    <w:rsid w:val="00ED0DD3"/>
    <w:rsid w:val="00ED648B"/>
    <w:rsid w:val="00ED7579"/>
    <w:rsid w:val="00EE16DD"/>
    <w:rsid w:val="00EE21E8"/>
    <w:rsid w:val="00EE2AE5"/>
    <w:rsid w:val="00EE2EA8"/>
    <w:rsid w:val="00EE31B0"/>
    <w:rsid w:val="00EE356F"/>
    <w:rsid w:val="00EE397E"/>
    <w:rsid w:val="00EE552C"/>
    <w:rsid w:val="00EE5ECF"/>
    <w:rsid w:val="00EE65B1"/>
    <w:rsid w:val="00EF1C55"/>
    <w:rsid w:val="00EF1C95"/>
    <w:rsid w:val="00EF23C0"/>
    <w:rsid w:val="00EF2774"/>
    <w:rsid w:val="00EF4059"/>
    <w:rsid w:val="00EF5586"/>
    <w:rsid w:val="00EF75FF"/>
    <w:rsid w:val="00F00403"/>
    <w:rsid w:val="00F067A6"/>
    <w:rsid w:val="00F078B7"/>
    <w:rsid w:val="00F07B77"/>
    <w:rsid w:val="00F100D6"/>
    <w:rsid w:val="00F112E3"/>
    <w:rsid w:val="00F1278D"/>
    <w:rsid w:val="00F13541"/>
    <w:rsid w:val="00F14BFD"/>
    <w:rsid w:val="00F15286"/>
    <w:rsid w:val="00F169C8"/>
    <w:rsid w:val="00F17566"/>
    <w:rsid w:val="00F20F84"/>
    <w:rsid w:val="00F238F2"/>
    <w:rsid w:val="00F239F3"/>
    <w:rsid w:val="00F27741"/>
    <w:rsid w:val="00F30A63"/>
    <w:rsid w:val="00F332B3"/>
    <w:rsid w:val="00F34D63"/>
    <w:rsid w:val="00F35F7A"/>
    <w:rsid w:val="00F36DFE"/>
    <w:rsid w:val="00F41C35"/>
    <w:rsid w:val="00F4438C"/>
    <w:rsid w:val="00F44575"/>
    <w:rsid w:val="00F4496D"/>
    <w:rsid w:val="00F46AC5"/>
    <w:rsid w:val="00F46ED7"/>
    <w:rsid w:val="00F549D7"/>
    <w:rsid w:val="00F556DB"/>
    <w:rsid w:val="00F560D5"/>
    <w:rsid w:val="00F56325"/>
    <w:rsid w:val="00F629BE"/>
    <w:rsid w:val="00F66484"/>
    <w:rsid w:val="00F674AB"/>
    <w:rsid w:val="00F735C8"/>
    <w:rsid w:val="00F73D95"/>
    <w:rsid w:val="00F7441E"/>
    <w:rsid w:val="00F77044"/>
    <w:rsid w:val="00F776F9"/>
    <w:rsid w:val="00F77D64"/>
    <w:rsid w:val="00F8015E"/>
    <w:rsid w:val="00F83598"/>
    <w:rsid w:val="00F84583"/>
    <w:rsid w:val="00F85766"/>
    <w:rsid w:val="00F866FA"/>
    <w:rsid w:val="00F87AD4"/>
    <w:rsid w:val="00F91869"/>
    <w:rsid w:val="00F91CCA"/>
    <w:rsid w:val="00F92166"/>
    <w:rsid w:val="00F931D3"/>
    <w:rsid w:val="00F9372D"/>
    <w:rsid w:val="00F9524F"/>
    <w:rsid w:val="00F95769"/>
    <w:rsid w:val="00F9754A"/>
    <w:rsid w:val="00F97D76"/>
    <w:rsid w:val="00FA1499"/>
    <w:rsid w:val="00FA289A"/>
    <w:rsid w:val="00FA3C5E"/>
    <w:rsid w:val="00FA4197"/>
    <w:rsid w:val="00FB375B"/>
    <w:rsid w:val="00FB6425"/>
    <w:rsid w:val="00FB722E"/>
    <w:rsid w:val="00FC02CE"/>
    <w:rsid w:val="00FC08D1"/>
    <w:rsid w:val="00FC3BB9"/>
    <w:rsid w:val="00FC4327"/>
    <w:rsid w:val="00FC4708"/>
    <w:rsid w:val="00FC7F5D"/>
    <w:rsid w:val="00FD1BC7"/>
    <w:rsid w:val="00FD1D84"/>
    <w:rsid w:val="00FD21EE"/>
    <w:rsid w:val="00FD4E9C"/>
    <w:rsid w:val="00FD50A4"/>
    <w:rsid w:val="00FD744A"/>
    <w:rsid w:val="00FE0619"/>
    <w:rsid w:val="00FE41DB"/>
    <w:rsid w:val="00FE58D5"/>
    <w:rsid w:val="00FE5CA3"/>
    <w:rsid w:val="00FF08C3"/>
    <w:rsid w:val="00FF0DC3"/>
    <w:rsid w:val="00FF2966"/>
    <w:rsid w:val="00FF4C6D"/>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5F6F34"/>
  <w15:docId w15:val="{B7E9DE91-9792-46BC-AFE2-D516CF86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3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94860"/>
    <w:pPr>
      <w:spacing w:before="120" w:after="120"/>
    </w:pPr>
  </w:style>
  <w:style w:type="paragraph" w:styleId="Heading1">
    <w:name w:val="heading 1"/>
    <w:basedOn w:val="Normal"/>
    <w:next w:val="Normal"/>
    <w:link w:val="Heading1Char"/>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link w:val="Heading2Char"/>
    <w:qFormat/>
    <w:rsid w:val="002A5442"/>
    <w:pPr>
      <w:spacing w:before="360"/>
      <w:outlineLvl w:val="1"/>
    </w:pPr>
    <w:rPr>
      <w:bCs w:val="0"/>
      <w:iCs/>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link w:val="Heading4Char"/>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qFormat/>
    <w:rsid w:val="002A5442"/>
    <w:pPr>
      <w:keepNext/>
      <w:spacing w:before="240"/>
      <w:outlineLvl w:val="4"/>
    </w:pPr>
    <w:rPr>
      <w:b/>
      <w:bCs/>
      <w:iCs/>
      <w:color w:val="000000" w:themeColor="text1"/>
    </w:rPr>
  </w:style>
  <w:style w:type="paragraph" w:styleId="Heading6">
    <w:name w:val="heading 6"/>
    <w:basedOn w:val="Normal"/>
    <w:next w:val="Normal"/>
    <w:link w:val="Heading6Char"/>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5F56CB"/>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DE283F"/>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8"/>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uiPriority w:val="99"/>
    <w:rsid w:val="00D84622"/>
    <w:pPr>
      <w:tabs>
        <w:tab w:val="right" w:pos="9638"/>
      </w:tabs>
      <w:spacing w:after="0"/>
    </w:pPr>
    <w:rPr>
      <w:sz w:val="20"/>
    </w:rPr>
  </w:style>
  <w:style w:type="character" w:customStyle="1" w:styleId="FooterChar">
    <w:name w:val="Footer Char"/>
    <w:basedOn w:val="DefaultParagraphFont"/>
    <w:link w:val="Footer"/>
    <w:uiPriority w:val="99"/>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iPriority w:val="39"/>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Numberedlists">
    <w:name w:val="Numbered lists"/>
    <w:basedOn w:val="Normal"/>
    <w:link w:val="NumberedlistsChar"/>
    <w:qFormat/>
    <w:rsid w:val="003154C9"/>
    <w:pPr>
      <w:spacing w:after="200"/>
      <w:ind w:left="360" w:hanging="360"/>
      <w:contextualSpacing/>
    </w:pPr>
  </w:style>
  <w:style w:type="character" w:customStyle="1" w:styleId="NumberedlistsChar">
    <w:name w:val="Numbered lists Char"/>
    <w:basedOn w:val="DefaultParagraphFont"/>
    <w:link w:val="Numberedlists"/>
    <w:rsid w:val="003154C9"/>
  </w:style>
  <w:style w:type="character" w:customStyle="1" w:styleId="A4">
    <w:name w:val="A4"/>
    <w:uiPriority w:val="99"/>
    <w:rsid w:val="00506A3E"/>
    <w:rPr>
      <w:color w:val="211D1E"/>
      <w:sz w:val="20"/>
      <w:szCs w:val="20"/>
    </w:rPr>
  </w:style>
  <w:style w:type="paragraph" w:customStyle="1" w:styleId="Normal-beforebullets">
    <w:name w:val="Normal - before bullets"/>
    <w:basedOn w:val="Normal"/>
    <w:qFormat/>
    <w:rsid w:val="00E8664A"/>
    <w:pPr>
      <w:spacing w:before="0" w:after="0"/>
    </w:pPr>
  </w:style>
  <w:style w:type="paragraph" w:customStyle="1" w:styleId="FigureTitle">
    <w:name w:val="Figure Title"/>
    <w:basedOn w:val="Normal"/>
    <w:qFormat/>
    <w:rsid w:val="00147F1B"/>
    <w:pPr>
      <w:spacing w:before="0" w:after="200"/>
      <w:contextualSpacing/>
    </w:pPr>
    <w:rPr>
      <w:b/>
    </w:rPr>
  </w:style>
  <w:style w:type="character" w:customStyle="1" w:styleId="Heading1Char">
    <w:name w:val="Heading 1 Char"/>
    <w:basedOn w:val="DefaultParagraphFont"/>
    <w:link w:val="Heading1"/>
    <w:rsid w:val="00557170"/>
    <w:rPr>
      <w:rFonts w:cs="Arial"/>
      <w:b/>
      <w:bCs/>
      <w:color w:val="005370" w:themeColor="text2"/>
      <w:kern w:val="28"/>
      <w:sz w:val="40"/>
      <w:szCs w:val="32"/>
    </w:rPr>
  </w:style>
  <w:style w:type="character" w:customStyle="1" w:styleId="Heading2Char">
    <w:name w:val="Heading 2 Char"/>
    <w:basedOn w:val="DefaultParagraphFont"/>
    <w:link w:val="Heading2"/>
    <w:rsid w:val="00557170"/>
    <w:rPr>
      <w:rFonts w:cs="Arial"/>
      <w:b/>
      <w:iCs/>
      <w:color w:val="005370" w:themeColor="text2"/>
      <w:kern w:val="28"/>
      <w:sz w:val="32"/>
      <w:szCs w:val="28"/>
    </w:rPr>
  </w:style>
  <w:style w:type="character" w:customStyle="1" w:styleId="Heading3Char">
    <w:name w:val="Heading 3 Char"/>
    <w:basedOn w:val="DefaultParagraphFont"/>
    <w:link w:val="Heading3"/>
    <w:rsid w:val="00557170"/>
    <w:rPr>
      <w:rFonts w:cs="Arial"/>
      <w:b/>
      <w:bCs/>
      <w:iCs/>
      <w:color w:val="005370" w:themeColor="text2"/>
      <w:kern w:val="28"/>
      <w:sz w:val="28"/>
      <w:szCs w:val="26"/>
    </w:rPr>
  </w:style>
  <w:style w:type="character" w:customStyle="1" w:styleId="Heading4Char">
    <w:name w:val="Heading 4 Char"/>
    <w:basedOn w:val="DefaultParagraphFont"/>
    <w:link w:val="Heading4"/>
    <w:rsid w:val="00557170"/>
    <w:rPr>
      <w:b/>
      <w:bCs/>
      <w:color w:val="000000" w:themeColor="text1"/>
      <w:sz w:val="24"/>
      <w:szCs w:val="26"/>
    </w:rPr>
  </w:style>
  <w:style w:type="character" w:customStyle="1" w:styleId="Heading5Char">
    <w:name w:val="Heading 5 Char"/>
    <w:basedOn w:val="DefaultParagraphFont"/>
    <w:link w:val="Heading5"/>
    <w:rsid w:val="00557170"/>
    <w:rPr>
      <w:b/>
      <w:bCs/>
      <w:iCs/>
      <w:color w:val="000000" w:themeColor="text1"/>
    </w:rPr>
  </w:style>
  <w:style w:type="character" w:customStyle="1" w:styleId="Heading6Char">
    <w:name w:val="Heading 6 Char"/>
    <w:basedOn w:val="DefaultParagraphFont"/>
    <w:link w:val="Heading6"/>
    <w:uiPriority w:val="98"/>
    <w:rsid w:val="00557170"/>
    <w:rPr>
      <w:bCs/>
      <w:i/>
      <w:u w:val="single"/>
    </w:rPr>
  </w:style>
  <w:style w:type="paragraph" w:customStyle="1" w:styleId="Bulletlist">
    <w:name w:val="Bullet list"/>
    <w:qFormat/>
    <w:rsid w:val="00557170"/>
    <w:pPr>
      <w:spacing w:after="120"/>
      <w:ind w:left="567" w:hanging="283"/>
    </w:pPr>
    <w:rPr>
      <w:rFonts w:ascii="Arial" w:hAnsi="Arial"/>
      <w:color w:val="000000" w:themeColor="text1"/>
      <w:szCs w:val="24"/>
      <w:lang w:eastAsia="en-US"/>
    </w:rPr>
  </w:style>
  <w:style w:type="paragraph" w:customStyle="1" w:styleId="Chaptertitle">
    <w:name w:val="Chapter title"/>
    <w:basedOn w:val="Title"/>
    <w:qFormat/>
    <w:rsid w:val="00557170"/>
    <w:pPr>
      <w:spacing w:before="240"/>
      <w:contextualSpacing w:val="0"/>
    </w:pPr>
    <w:rPr>
      <w:rFonts w:ascii="Arial Bold" w:hAnsi="Arial Bold" w:cstheme="majorBidi"/>
      <w:color w:val="0065A3" w:themeColor="accent3"/>
      <w:spacing w:val="0"/>
      <w:sz w:val="48"/>
      <w:szCs w:val="48"/>
    </w:rPr>
  </w:style>
  <w:style w:type="paragraph" w:styleId="Quote">
    <w:name w:val="Quote"/>
    <w:basedOn w:val="Normal"/>
    <w:next w:val="Normal"/>
    <w:link w:val="QuoteChar"/>
    <w:qFormat/>
    <w:rsid w:val="00557170"/>
    <w:pPr>
      <w:spacing w:before="240" w:after="240"/>
      <w:ind w:left="397"/>
    </w:pPr>
    <w:rPr>
      <w:iCs/>
      <w:sz w:val="20"/>
    </w:rPr>
  </w:style>
  <w:style w:type="character" w:customStyle="1" w:styleId="QuoteChar">
    <w:name w:val="Quote Char"/>
    <w:basedOn w:val="DefaultParagraphFont"/>
    <w:link w:val="Quote"/>
    <w:rsid w:val="00557170"/>
    <w:rPr>
      <w:iCs/>
      <w:sz w:val="20"/>
    </w:rPr>
  </w:style>
  <w:style w:type="paragraph" w:styleId="BalloonText">
    <w:name w:val="Balloon Text"/>
    <w:basedOn w:val="Normal"/>
    <w:link w:val="BalloonTextChar"/>
    <w:locked/>
    <w:rsid w:val="00557170"/>
    <w:pPr>
      <w:spacing w:before="0" w:after="0"/>
    </w:pPr>
    <w:rPr>
      <w:rFonts w:ascii="Tahoma" w:hAnsi="Tahoma" w:cs="Tahoma"/>
      <w:sz w:val="16"/>
      <w:szCs w:val="16"/>
    </w:rPr>
  </w:style>
  <w:style w:type="character" w:customStyle="1" w:styleId="BalloonTextChar">
    <w:name w:val="Balloon Text Char"/>
    <w:basedOn w:val="DefaultParagraphFont"/>
    <w:link w:val="BalloonText"/>
    <w:rsid w:val="00557170"/>
    <w:rPr>
      <w:rFonts w:ascii="Tahoma" w:hAnsi="Tahoma" w:cs="Tahoma"/>
      <w:sz w:val="16"/>
      <w:szCs w:val="16"/>
    </w:rPr>
  </w:style>
  <w:style w:type="paragraph" w:customStyle="1" w:styleId="Subheading">
    <w:name w:val="Subheading"/>
    <w:basedOn w:val="Normal"/>
    <w:next w:val="Normal"/>
    <w:qFormat/>
    <w:rsid w:val="00557170"/>
    <w:pPr>
      <w:spacing w:before="240" w:after="200"/>
    </w:pPr>
    <w:rPr>
      <w:b/>
      <w:color w:val="00A9E5"/>
      <w:sz w:val="36"/>
      <w:szCs w:val="36"/>
    </w:rPr>
  </w:style>
  <w:style w:type="character" w:styleId="IntenseReference">
    <w:name w:val="Intense Reference"/>
    <w:basedOn w:val="DefaultParagraphFont"/>
    <w:uiPriority w:val="32"/>
    <w:qFormat/>
    <w:locked/>
    <w:rsid w:val="00557170"/>
    <w:rPr>
      <w:b/>
      <w:bCs/>
      <w:i/>
      <w:smallCaps/>
      <w:color w:val="E6F1F8" w:themeColor="accent2"/>
      <w:spacing w:val="5"/>
      <w:u w:val="none"/>
    </w:rPr>
  </w:style>
  <w:style w:type="paragraph" w:styleId="Caption">
    <w:name w:val="caption"/>
    <w:basedOn w:val="Normal"/>
    <w:next w:val="Normal"/>
    <w:link w:val="CaptionChar"/>
    <w:unhideWhenUsed/>
    <w:qFormat/>
    <w:locked/>
    <w:rsid w:val="00557170"/>
    <w:pPr>
      <w:spacing w:before="0" w:after="200"/>
    </w:pPr>
    <w:rPr>
      <w:rFonts w:ascii="Arial" w:hAnsi="Arial"/>
      <w:i/>
      <w:iCs/>
      <w:color w:val="005370" w:themeColor="text2"/>
      <w:sz w:val="18"/>
      <w:szCs w:val="18"/>
      <w:lang w:eastAsia="en-US"/>
    </w:rPr>
  </w:style>
  <w:style w:type="table" w:customStyle="1" w:styleId="GridTable4-Accent11">
    <w:name w:val="Grid Table 4 - Accent 1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56D0FF" w:themeColor="accent1" w:themeTint="99"/>
        <w:left w:val="single" w:sz="4" w:space="0" w:color="56D0FF" w:themeColor="accent1" w:themeTint="99"/>
        <w:bottom w:val="single" w:sz="4" w:space="0" w:color="56D0FF" w:themeColor="accent1" w:themeTint="99"/>
        <w:right w:val="single" w:sz="4" w:space="0" w:color="56D0FF" w:themeColor="accent1" w:themeTint="99"/>
        <w:insideH w:val="single" w:sz="4" w:space="0" w:color="56D0FF" w:themeColor="accent1" w:themeTint="99"/>
        <w:insideV w:val="single" w:sz="4" w:space="0" w:color="56D0FF" w:themeColor="accent1" w:themeTint="99"/>
      </w:tblBorders>
    </w:tblPr>
    <w:tblStylePr w:type="firstRow">
      <w:rPr>
        <w:b/>
        <w:bCs/>
        <w:color w:val="FFFFFF" w:themeColor="background1"/>
      </w:rPr>
      <w:tblPr/>
      <w:tcPr>
        <w:tcBorders>
          <w:top w:val="single" w:sz="4" w:space="0" w:color="00A7E5" w:themeColor="accent1"/>
          <w:left w:val="single" w:sz="4" w:space="0" w:color="00A7E5" w:themeColor="accent1"/>
          <w:bottom w:val="single" w:sz="4" w:space="0" w:color="00A7E5" w:themeColor="accent1"/>
          <w:right w:val="single" w:sz="4" w:space="0" w:color="00A7E5" w:themeColor="accent1"/>
          <w:insideH w:val="nil"/>
          <w:insideV w:val="nil"/>
        </w:tcBorders>
        <w:shd w:val="clear" w:color="auto" w:fill="00A7E5" w:themeFill="accent1"/>
      </w:tcPr>
    </w:tblStylePr>
    <w:tblStylePr w:type="lastRow">
      <w:rPr>
        <w:b/>
        <w:bCs/>
      </w:rPr>
      <w:tblPr/>
      <w:tcPr>
        <w:tcBorders>
          <w:top w:val="double" w:sz="4" w:space="0" w:color="00A7E5"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character" w:customStyle="1" w:styleId="CaptionChar">
    <w:name w:val="Caption Char"/>
    <w:basedOn w:val="DefaultParagraphFont"/>
    <w:link w:val="Caption"/>
    <w:rsid w:val="00557170"/>
    <w:rPr>
      <w:rFonts w:ascii="Arial" w:hAnsi="Arial"/>
      <w:i/>
      <w:iCs/>
      <w:color w:val="005370" w:themeColor="text2"/>
      <w:sz w:val="18"/>
      <w:szCs w:val="18"/>
      <w:lang w:eastAsia="en-US"/>
    </w:rPr>
  </w:style>
  <w:style w:type="table" w:customStyle="1" w:styleId="ListTable4-Accent51">
    <w:name w:val="List Table 4 - Accent 5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00B28E" w:themeColor="accent5"/>
          <w:left w:val="single" w:sz="4" w:space="0" w:color="00B28E" w:themeColor="accent5"/>
          <w:bottom w:val="single" w:sz="4" w:space="0" w:color="00B28E" w:themeColor="accent5"/>
          <w:right w:val="single" w:sz="4" w:space="0" w:color="00B28E" w:themeColor="accent5"/>
          <w:insideH w:val="nil"/>
        </w:tcBorders>
        <w:shd w:val="clear" w:color="auto" w:fill="00B28E" w:themeFill="accent5"/>
      </w:tcPr>
    </w:tblStylePr>
    <w:tblStylePr w:type="lastRow">
      <w:rPr>
        <w:b/>
        <w:bCs/>
      </w:rPr>
      <w:tblPr/>
      <w:tcPr>
        <w:tcBorders>
          <w:top w:val="double" w:sz="4" w:space="0" w:color="37FFD6" w:themeColor="accent5" w:themeTint="99"/>
        </w:tcBorders>
      </w:tcPr>
    </w:tblStylePr>
    <w:tblStylePr w:type="firstCol">
      <w:rPr>
        <w:b/>
        <w:bCs/>
      </w:rPr>
    </w:tblStylePr>
    <w:tblStylePr w:type="lastCol">
      <w:rPr>
        <w:b/>
        <w:bCs/>
      </w:rPr>
    </w:tblStylePr>
    <w:tblStylePr w:type="band1Vert">
      <w:tblPr/>
      <w:tcPr>
        <w:shd w:val="clear" w:color="auto" w:fill="BCFFF1" w:themeFill="accent5" w:themeFillTint="33"/>
      </w:tcPr>
    </w:tblStylePr>
    <w:tblStylePr w:type="band1Horz">
      <w:tblPr/>
      <w:tcPr>
        <w:shd w:val="clear" w:color="auto" w:fill="BCFFF1" w:themeFill="accent5" w:themeFillTint="33"/>
      </w:tcPr>
    </w:tblStylePr>
  </w:style>
  <w:style w:type="paragraph" w:styleId="NoSpacing">
    <w:name w:val="No Spacing"/>
    <w:link w:val="NoSpacingChar"/>
    <w:uiPriority w:val="1"/>
    <w:qFormat/>
    <w:locked/>
    <w:rsid w:val="00557170"/>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557170"/>
    <w:rPr>
      <w:b/>
      <w:bCs/>
      <w:i/>
      <w:iCs/>
      <w:color w:val="00A7E5" w:themeColor="accent1"/>
    </w:rPr>
  </w:style>
  <w:style w:type="character" w:customStyle="1" w:styleId="NoSpacingChar">
    <w:name w:val="No Spacing Char"/>
    <w:link w:val="NoSpacing"/>
    <w:uiPriority w:val="1"/>
    <w:locked/>
    <w:rsid w:val="00557170"/>
    <w:rPr>
      <w:rFonts w:ascii="Times New Roman" w:hAnsi="Times New Roman"/>
      <w:sz w:val="24"/>
      <w:szCs w:val="24"/>
      <w:lang w:eastAsia="en-US"/>
    </w:rPr>
  </w:style>
  <w:style w:type="paragraph" w:customStyle="1" w:styleId="FigList">
    <w:name w:val="FigList"/>
    <w:basedOn w:val="Caption"/>
    <w:link w:val="FigListChar"/>
    <w:qFormat/>
    <w:rsid w:val="00557170"/>
    <w:pPr>
      <w:keepNext/>
      <w:tabs>
        <w:tab w:val="left" w:pos="851"/>
      </w:tabs>
      <w:ind w:left="851" w:hanging="851"/>
    </w:pPr>
    <w:rPr>
      <w:b/>
    </w:rPr>
  </w:style>
  <w:style w:type="character" w:customStyle="1" w:styleId="FigListChar">
    <w:name w:val="FigList Char"/>
    <w:basedOn w:val="CaptionChar"/>
    <w:link w:val="FigList"/>
    <w:rsid w:val="00557170"/>
    <w:rPr>
      <w:rFonts w:ascii="Arial" w:hAnsi="Arial"/>
      <w:b/>
      <w:i/>
      <w:iCs/>
      <w:color w:val="005370" w:themeColor="text2"/>
      <w:sz w:val="18"/>
      <w:szCs w:val="18"/>
      <w:lang w:eastAsia="en-US"/>
    </w:rPr>
  </w:style>
  <w:style w:type="table" w:customStyle="1" w:styleId="GridTable1Light-Accent11">
    <w:name w:val="Grid Table 1 Light - Accent 11"/>
    <w:basedOn w:val="TableNormal"/>
    <w:uiPriority w:val="46"/>
    <w:rsid w:val="00557170"/>
    <w:pPr>
      <w:spacing w:after="0"/>
    </w:pPr>
    <w:rPr>
      <w:rFonts w:ascii="Times New Roman" w:hAnsi="Times New Roman"/>
      <w:sz w:val="20"/>
      <w:szCs w:val="20"/>
    </w:rPr>
    <w:tblPr>
      <w:tblStyleRowBandSize w:val="1"/>
      <w:tblStyleColBandSize w:val="1"/>
      <w:tblBorders>
        <w:top w:val="single" w:sz="4" w:space="0" w:color="8EE0FF" w:themeColor="accent1" w:themeTint="66"/>
        <w:left w:val="single" w:sz="4" w:space="0" w:color="8EE0FF" w:themeColor="accent1" w:themeTint="66"/>
        <w:bottom w:val="single" w:sz="4" w:space="0" w:color="8EE0FF" w:themeColor="accent1" w:themeTint="66"/>
        <w:right w:val="single" w:sz="4" w:space="0" w:color="8EE0FF" w:themeColor="accent1" w:themeTint="66"/>
        <w:insideH w:val="single" w:sz="4" w:space="0" w:color="8EE0FF" w:themeColor="accent1" w:themeTint="66"/>
        <w:insideV w:val="single" w:sz="4" w:space="0" w:color="8EE0FF" w:themeColor="accent1" w:themeTint="66"/>
      </w:tblBorders>
    </w:tblPr>
    <w:tblStylePr w:type="firstRow">
      <w:rPr>
        <w:b/>
        <w:bCs/>
      </w:rPr>
      <w:tblPr/>
      <w:tcPr>
        <w:tcBorders>
          <w:bottom w:val="single" w:sz="12" w:space="0" w:color="56D0FF" w:themeColor="accent1" w:themeTint="99"/>
        </w:tcBorders>
      </w:tcPr>
    </w:tblStylePr>
    <w:tblStylePr w:type="lastRow">
      <w:rPr>
        <w:b/>
        <w:bCs/>
      </w:rPr>
      <w:tblPr/>
      <w:tcPr>
        <w:tcBorders>
          <w:top w:val="double" w:sz="2" w:space="0" w:color="56D0FF"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57170"/>
    <w:rPr>
      <w:color w:val="808080"/>
      <w:shd w:val="clear" w:color="auto" w:fill="E6E6E6"/>
    </w:rPr>
  </w:style>
  <w:style w:type="character" w:styleId="CommentReference">
    <w:name w:val="annotation reference"/>
    <w:basedOn w:val="DefaultParagraphFont"/>
    <w:unhideWhenUsed/>
    <w:locked/>
    <w:rsid w:val="00557170"/>
    <w:rPr>
      <w:sz w:val="16"/>
      <w:szCs w:val="16"/>
    </w:rPr>
  </w:style>
  <w:style w:type="paragraph" w:styleId="CommentText">
    <w:name w:val="annotation text"/>
    <w:basedOn w:val="Normal"/>
    <w:link w:val="CommentTextChar"/>
    <w:uiPriority w:val="98"/>
    <w:unhideWhenUsed/>
    <w:locked/>
    <w:rsid w:val="00557170"/>
    <w:pPr>
      <w:spacing w:before="0" w:after="200"/>
    </w:pPr>
    <w:rPr>
      <w:sz w:val="20"/>
      <w:szCs w:val="20"/>
    </w:rPr>
  </w:style>
  <w:style w:type="character" w:customStyle="1" w:styleId="CommentTextChar">
    <w:name w:val="Comment Text Char"/>
    <w:basedOn w:val="DefaultParagraphFont"/>
    <w:link w:val="CommentText"/>
    <w:uiPriority w:val="98"/>
    <w:rsid w:val="00557170"/>
    <w:rPr>
      <w:sz w:val="20"/>
      <w:szCs w:val="20"/>
    </w:rPr>
  </w:style>
  <w:style w:type="paragraph" w:styleId="CommentSubject">
    <w:name w:val="annotation subject"/>
    <w:basedOn w:val="CommentText"/>
    <w:next w:val="CommentText"/>
    <w:link w:val="CommentSubjectChar"/>
    <w:uiPriority w:val="98"/>
    <w:semiHidden/>
    <w:unhideWhenUsed/>
    <w:locked/>
    <w:rsid w:val="00557170"/>
    <w:rPr>
      <w:b/>
      <w:bCs/>
    </w:rPr>
  </w:style>
  <w:style w:type="character" w:customStyle="1" w:styleId="CommentSubjectChar">
    <w:name w:val="Comment Subject Char"/>
    <w:basedOn w:val="CommentTextChar"/>
    <w:link w:val="CommentSubject"/>
    <w:uiPriority w:val="98"/>
    <w:semiHidden/>
    <w:rsid w:val="00557170"/>
    <w:rPr>
      <w:b/>
      <w:bCs/>
      <w:sz w:val="20"/>
      <w:szCs w:val="20"/>
    </w:rPr>
  </w:style>
  <w:style w:type="paragraph" w:styleId="NormalWeb">
    <w:name w:val="Normal (Web)"/>
    <w:basedOn w:val="Normal"/>
    <w:uiPriority w:val="99"/>
    <w:semiHidden/>
    <w:unhideWhenUsed/>
    <w:locked/>
    <w:rsid w:val="00557170"/>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557170"/>
    <w:pPr>
      <w:spacing w:before="100" w:beforeAutospacing="1" w:after="100" w:afterAutospacing="1"/>
    </w:pPr>
    <w:rPr>
      <w:rFonts w:ascii="Calibri" w:eastAsiaTheme="minorHAnsi" w:hAnsi="Calibri" w:cs="Calibri"/>
      <w:i/>
      <w:iCs/>
      <w:sz w:val="18"/>
      <w:szCs w:val="18"/>
    </w:rPr>
  </w:style>
  <w:style w:type="table" w:customStyle="1" w:styleId="ListTable4-Accent31">
    <w:name w:val="List Table 4 - Accent 31"/>
    <w:basedOn w:val="TableNormal"/>
    <w:uiPriority w:val="49"/>
    <w:rsid w:val="00557170"/>
    <w:pPr>
      <w:spacing w:after="0"/>
    </w:pPr>
    <w:rPr>
      <w:rFonts w:ascii="Times New Roman" w:hAnsi="Times New Roman"/>
      <w:sz w:val="20"/>
      <w:szCs w:val="20"/>
    </w:rPr>
    <w:tblPr>
      <w:tblStyleRowBandSize w:val="1"/>
      <w:tblStyleColBandSize w:val="1"/>
      <w:tblBorders>
        <w:top w:val="single" w:sz="4" w:space="0" w:color="2EAFFF" w:themeColor="accent3" w:themeTint="99"/>
        <w:left w:val="single" w:sz="4" w:space="0" w:color="2EAFFF" w:themeColor="accent3" w:themeTint="99"/>
        <w:bottom w:val="single" w:sz="4" w:space="0" w:color="2EAFFF" w:themeColor="accent3" w:themeTint="99"/>
        <w:right w:val="single" w:sz="4" w:space="0" w:color="2EAFFF" w:themeColor="accent3" w:themeTint="99"/>
        <w:insideH w:val="single" w:sz="4" w:space="0" w:color="2EAFFF" w:themeColor="accent3" w:themeTint="99"/>
      </w:tblBorders>
    </w:tblPr>
    <w:tblStylePr w:type="firstRow">
      <w:rPr>
        <w:b/>
        <w:bCs/>
        <w:color w:val="FFFFFF" w:themeColor="background1"/>
      </w:rPr>
      <w:tblPr/>
      <w:tcPr>
        <w:tcBorders>
          <w:top w:val="single" w:sz="4" w:space="0" w:color="0065A3" w:themeColor="accent3"/>
          <w:left w:val="single" w:sz="4" w:space="0" w:color="0065A3" w:themeColor="accent3"/>
          <w:bottom w:val="single" w:sz="4" w:space="0" w:color="0065A3" w:themeColor="accent3"/>
          <w:right w:val="single" w:sz="4" w:space="0" w:color="0065A3" w:themeColor="accent3"/>
          <w:insideH w:val="nil"/>
        </w:tcBorders>
        <w:shd w:val="clear" w:color="auto" w:fill="0065A3" w:themeFill="accent3"/>
      </w:tcPr>
    </w:tblStylePr>
    <w:tblStylePr w:type="lastRow">
      <w:rPr>
        <w:b/>
        <w:bCs/>
      </w:rPr>
      <w:tblPr/>
      <w:tcPr>
        <w:tcBorders>
          <w:top w:val="double" w:sz="4" w:space="0" w:color="2EAFFF" w:themeColor="accent3" w:themeTint="99"/>
        </w:tcBorders>
      </w:tcPr>
    </w:tblStylePr>
    <w:tblStylePr w:type="firstCol">
      <w:rPr>
        <w:b/>
        <w:bCs/>
      </w:rPr>
    </w:tblStylePr>
    <w:tblStylePr w:type="lastCol">
      <w:rPr>
        <w:b/>
        <w:bCs/>
      </w:rPr>
    </w:tblStylePr>
    <w:tblStylePr w:type="band1Vert">
      <w:tblPr/>
      <w:tcPr>
        <w:shd w:val="clear" w:color="auto" w:fill="B9E4FF" w:themeFill="accent3" w:themeFillTint="33"/>
      </w:tcPr>
    </w:tblStylePr>
    <w:tblStylePr w:type="band1Horz">
      <w:tblPr/>
      <w:tcPr>
        <w:shd w:val="clear" w:color="auto" w:fill="B9E4FF" w:themeFill="accent3" w:themeFillTint="33"/>
      </w:tcPr>
    </w:tblStylePr>
  </w:style>
  <w:style w:type="character" w:customStyle="1" w:styleId="highlight">
    <w:name w:val="highlight"/>
    <w:basedOn w:val="DefaultParagraphFont"/>
    <w:rsid w:val="00557170"/>
  </w:style>
  <w:style w:type="paragraph" w:customStyle="1" w:styleId="EndNoteBibliographyTitle">
    <w:name w:val="EndNote Bibliography Title"/>
    <w:basedOn w:val="Normal"/>
    <w:link w:val="EndNoteBibliographyTitleChar"/>
    <w:rsid w:val="00557170"/>
    <w:pPr>
      <w:spacing w:before="0"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557170"/>
    <w:rPr>
      <w:rFonts w:ascii="Arial" w:hAnsi="Arial" w:cs="Arial"/>
      <w:noProof/>
    </w:rPr>
  </w:style>
  <w:style w:type="paragraph" w:customStyle="1" w:styleId="EndNoteBibliography">
    <w:name w:val="EndNote Bibliography"/>
    <w:basedOn w:val="Normal"/>
    <w:link w:val="EndNoteBibliographyChar"/>
    <w:rsid w:val="00557170"/>
    <w:pPr>
      <w:spacing w:before="0" w:after="200"/>
    </w:pPr>
    <w:rPr>
      <w:rFonts w:ascii="Arial" w:hAnsi="Arial" w:cs="Arial"/>
      <w:noProof/>
    </w:rPr>
  </w:style>
  <w:style w:type="character" w:customStyle="1" w:styleId="EndNoteBibliographyChar">
    <w:name w:val="EndNote Bibliography Char"/>
    <w:basedOn w:val="DefaultParagraphFont"/>
    <w:link w:val="EndNoteBibliography"/>
    <w:rsid w:val="00557170"/>
    <w:rPr>
      <w:rFonts w:ascii="Arial" w:hAnsi="Arial" w:cs="Arial"/>
      <w:noProof/>
    </w:rPr>
  </w:style>
  <w:style w:type="character" w:customStyle="1" w:styleId="UnresolvedMention2">
    <w:name w:val="Unresolved Mention2"/>
    <w:basedOn w:val="DefaultParagraphFont"/>
    <w:uiPriority w:val="99"/>
    <w:semiHidden/>
    <w:unhideWhenUsed/>
    <w:rsid w:val="00557170"/>
    <w:rPr>
      <w:color w:val="605E5C"/>
      <w:shd w:val="clear" w:color="auto" w:fill="E1DFDD"/>
    </w:rPr>
  </w:style>
  <w:style w:type="character" w:customStyle="1" w:styleId="UnresolvedMention3">
    <w:name w:val="Unresolved Mention3"/>
    <w:basedOn w:val="DefaultParagraphFont"/>
    <w:uiPriority w:val="99"/>
    <w:semiHidden/>
    <w:unhideWhenUsed/>
    <w:rsid w:val="00557170"/>
    <w:rPr>
      <w:color w:val="605E5C"/>
      <w:shd w:val="clear" w:color="auto" w:fill="E1DFDD"/>
    </w:rPr>
  </w:style>
  <w:style w:type="character" w:customStyle="1" w:styleId="UnresolvedMention4">
    <w:name w:val="Unresolved Mention4"/>
    <w:basedOn w:val="DefaultParagraphFont"/>
    <w:uiPriority w:val="99"/>
    <w:semiHidden/>
    <w:unhideWhenUsed/>
    <w:rsid w:val="00557170"/>
    <w:rPr>
      <w:color w:val="605E5C"/>
      <w:shd w:val="clear" w:color="auto" w:fill="E1DFDD"/>
    </w:rPr>
  </w:style>
  <w:style w:type="paragraph" w:customStyle="1" w:styleId="TFNoteSourceSpace">
    <w:name w:val="TFNoteSource+Space"/>
    <w:basedOn w:val="Normal"/>
    <w:next w:val="Normal"/>
    <w:rsid w:val="00557170"/>
    <w:pPr>
      <w:keepLines/>
      <w:spacing w:before="0" w:after="360"/>
      <w:ind w:left="624" w:hanging="624"/>
    </w:pPr>
    <w:rPr>
      <w:rFonts w:ascii="Arial" w:hAnsi="Arial"/>
      <w:color w:val="000000"/>
      <w:sz w:val="18"/>
      <w:szCs w:val="18"/>
    </w:rPr>
  </w:style>
  <w:style w:type="character" w:customStyle="1" w:styleId="title-text">
    <w:name w:val="title-text"/>
    <w:basedOn w:val="DefaultParagraphFont"/>
    <w:rsid w:val="00557170"/>
  </w:style>
  <w:style w:type="paragraph" w:customStyle="1" w:styleId="Commissionbodytext">
    <w:name w:val="Commission body text"/>
    <w:basedOn w:val="Normal"/>
    <w:link w:val="CommissionbodytextChar"/>
    <w:qFormat/>
    <w:rsid w:val="00557170"/>
    <w:pPr>
      <w:spacing w:before="0" w:after="0" w:line="276" w:lineRule="auto"/>
    </w:pPr>
    <w:rPr>
      <w:rFonts w:ascii="Arial" w:hAnsi="Arial" w:cs="Arial"/>
    </w:rPr>
  </w:style>
  <w:style w:type="character" w:customStyle="1" w:styleId="CommissionbodytextChar">
    <w:name w:val="Commission body text Char"/>
    <w:basedOn w:val="DefaultParagraphFont"/>
    <w:link w:val="Commissionbodytext"/>
    <w:rsid w:val="00557170"/>
    <w:rPr>
      <w:rFonts w:ascii="Arial" w:hAnsi="Arial" w:cs="Arial"/>
    </w:rPr>
  </w:style>
  <w:style w:type="character" w:customStyle="1" w:styleId="cf01">
    <w:name w:val="cf01"/>
    <w:basedOn w:val="DefaultParagraphFont"/>
    <w:rsid w:val="00557170"/>
    <w:rPr>
      <w:rFonts w:ascii="Segoe UI" w:hAnsi="Segoe UI" w:cs="Segoe UI" w:hint="default"/>
      <w:sz w:val="18"/>
      <w:szCs w:val="18"/>
    </w:rPr>
  </w:style>
  <w:style w:type="character" w:customStyle="1" w:styleId="cf11">
    <w:name w:val="cf11"/>
    <w:basedOn w:val="DefaultParagraphFont"/>
    <w:rsid w:val="00557170"/>
    <w:rPr>
      <w:rFonts w:ascii="Segoe UI" w:hAnsi="Segoe UI" w:cs="Segoe UI" w:hint="default"/>
      <w:i/>
      <w:iCs/>
      <w:sz w:val="18"/>
      <w:szCs w:val="18"/>
    </w:rPr>
  </w:style>
  <w:style w:type="paragraph" w:styleId="BodyText">
    <w:name w:val="Body Text"/>
    <w:basedOn w:val="Normal"/>
    <w:link w:val="BodyTextChar"/>
    <w:uiPriority w:val="1"/>
    <w:qFormat/>
    <w:locked/>
    <w:rsid w:val="00557170"/>
    <w:pPr>
      <w:widowControl w:val="0"/>
      <w:autoSpaceDE w:val="0"/>
      <w:autoSpaceDN w:val="0"/>
      <w:spacing w:before="0"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557170"/>
    <w:rPr>
      <w:rFonts w:ascii="Arial" w:eastAsia="Arial" w:hAnsi="Arial" w:cs="Arial"/>
      <w:lang w:val="en-US" w:eastAsia="en-US"/>
    </w:rPr>
  </w:style>
  <w:style w:type="character" w:customStyle="1" w:styleId="Blue">
    <w:name w:val="Blue"/>
    <w:basedOn w:val="DefaultParagraphFont"/>
    <w:uiPriority w:val="1"/>
    <w:qFormat/>
    <w:rsid w:val="007853C2"/>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449396892">
      <w:bodyDiv w:val="1"/>
      <w:marLeft w:val="0"/>
      <w:marRight w:val="0"/>
      <w:marTop w:val="0"/>
      <w:marBottom w:val="0"/>
      <w:divBdr>
        <w:top w:val="none" w:sz="0" w:space="0" w:color="auto"/>
        <w:left w:val="none" w:sz="0" w:space="0" w:color="auto"/>
        <w:bottom w:val="none" w:sz="0" w:space="0" w:color="auto"/>
        <w:right w:val="none" w:sz="0" w:space="0" w:color="auto"/>
      </w:divBdr>
    </w:div>
    <w:div w:id="605384349">
      <w:bodyDiv w:val="1"/>
      <w:marLeft w:val="0"/>
      <w:marRight w:val="0"/>
      <w:marTop w:val="0"/>
      <w:marBottom w:val="0"/>
      <w:divBdr>
        <w:top w:val="none" w:sz="0" w:space="0" w:color="auto"/>
        <w:left w:val="none" w:sz="0" w:space="0" w:color="auto"/>
        <w:bottom w:val="none" w:sz="0" w:space="0" w:color="auto"/>
        <w:right w:val="none" w:sz="0" w:space="0" w:color="auto"/>
      </w:divBdr>
    </w:div>
    <w:div w:id="1046878975">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oter" Target="footer4.xml"/><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cdc.gov/mmwr/preview/mmwrhtml/rr5013a1.htm" TargetMode="External"/><Relationship Id="rId68"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safetyandquality.gov.au"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oter" Target="footer5.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il@safetyandquality.gov.au"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hyperlink" Target="https://www.safetyandquality.gov.au/standards/aged-care-quality-standards-clinical-care" TargetMode="External"/><Relationship Id="rId10" Type="http://schemas.openxmlformats.org/officeDocument/2006/relationships/endnotes" Target="endnotes.xml"/><Relationship Id="rId19" Type="http://schemas.openxmlformats.org/officeDocument/2006/relationships/hyperlink" Target="mailto:communications@safetyandquality.gov.au?subject=Enquiry"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eader" Target="header7.xm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www.cdc.gov/fungal/candida-auris/c-auris-infection-control.html" TargetMode="External"/><Relationship Id="rId69" Type="http://schemas.openxmlformats.org/officeDocument/2006/relationships/hyperlink" Target="mailto:mail@safetyandquality.gov.au"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nc-nd/4.0/" TargetMode="Externa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39.png"/><Relationship Id="rId20" Type="http://schemas.openxmlformats.org/officeDocument/2006/relationships/hyperlink" Target="mailto:CARAlert@safetyandquality.gov.au"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nindss.health.gov.au/pbi-dashboard/" TargetMode="External"/><Relationship Id="rId70" Type="http://schemas.openxmlformats.org/officeDocument/2006/relationships/hyperlink" Target="http://www.safetyandquality.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yb\AppData\Roaming\Hewlett-Packard\HP%20TRIM\TEMP\HPTRIM.13396\D22-40120%20%20TEMPLATE%20-%20Accessible%20Word%20-%20ACSQHC%20Long%20Form%20Document%20-%201%20September%202022.DOTX" TargetMode="External"/></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A968CD84-916F-405B-B1B8-49EDDD3F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D22-40120  TEMPLATE - Accessible Word - ACSQHC Long Form Document - 1 September 2022.DOTX</Template>
  <TotalTime>6</TotalTime>
  <Pages>47</Pages>
  <Words>16027</Words>
  <Characters>89432</Characters>
  <Application>Microsoft Office Word</Application>
  <DocSecurity>0</DocSecurity>
  <Lines>3439</Lines>
  <Paragraphs>2572</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102887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Brighid</dc:creator>
  <cp:keywords/>
  <dc:description/>
  <cp:lastModifiedBy>ZHAO, Denise</cp:lastModifiedBy>
  <cp:revision>5</cp:revision>
  <cp:lastPrinted>2024-03-26T23:02:00Z</cp:lastPrinted>
  <dcterms:created xsi:type="dcterms:W3CDTF">2024-05-14T05:45:00Z</dcterms:created>
  <dcterms:modified xsi:type="dcterms:W3CDTF">2024-06-05T00:01:00Z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