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469AF6CE" w:rsidR="008104D7" w:rsidRDefault="004A7DCA" w:rsidP="009739AC">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sidR="009739AC" w:rsidRPr="009739AC">
        <w:rPr>
          <w:lang w:val="en-GB"/>
        </w:rPr>
        <w:t>c</w:t>
      </w:r>
      <w:r w:rsidR="00957AD0">
        <w:rPr>
          <w:lang w:val="en-GB"/>
        </w:rPr>
        <w:t>linicians</w:t>
      </w:r>
    </w:p>
    <w:p w14:paraId="24641649" w14:textId="1DD1DEBA" w:rsidR="008104D7" w:rsidRPr="00A85E69" w:rsidRDefault="00942161" w:rsidP="004A7DCA">
      <w:pPr>
        <w:pStyle w:val="Title"/>
        <w:rPr>
          <w:bCs/>
          <w:lang w:val="en-GB"/>
        </w:rPr>
      </w:pPr>
      <w:r w:rsidRPr="00942161">
        <w:rPr>
          <w:bCs/>
        </w:rPr>
        <w:t>Heavy Menstrual Bleeding</w:t>
      </w:r>
      <w:r>
        <w:rPr>
          <w:bCs/>
        </w:rPr>
        <w:t xml:space="preserve"> </w:t>
      </w:r>
      <w:r w:rsidR="008104D7">
        <w:t>Clinical</w:t>
      </w:r>
      <w:r w:rsidR="00BA55B1">
        <w:t> </w:t>
      </w:r>
      <w:r w:rsidR="008104D7">
        <w:t>Care</w:t>
      </w:r>
      <w:r w:rsidR="00BA55B1">
        <w:t> </w:t>
      </w:r>
      <w:r w:rsidR="008104D7">
        <w:t>Standard</w:t>
      </w:r>
    </w:p>
    <w:p w14:paraId="242FF74D" w14:textId="77777777" w:rsidR="00942161" w:rsidRDefault="00942161" w:rsidP="00942161">
      <w:pPr>
        <w:pStyle w:val="Intro"/>
      </w:pPr>
      <w:r>
        <w:t xml:space="preserve">The </w:t>
      </w:r>
      <w:r>
        <w:rPr>
          <w:rStyle w:val="BoldItalicGreen"/>
          <w:b/>
          <w:bCs/>
        </w:rPr>
        <w:t>Heavy Menstrual Bleeding Clinical Care Standard</w:t>
      </w:r>
      <w:r>
        <w:t xml:space="preserve"> aims to ensure that women with heavy menstrual bleeding are offered the least invasive and most effective treatment appropriate to their clinical needs and preferences and are able to make an informed choice from the range of treatments suitable to their individual situation.</w:t>
      </w:r>
    </w:p>
    <w:p w14:paraId="5F2F161E" w14:textId="175A3BA0" w:rsidR="00942161" w:rsidRDefault="00942161" w:rsidP="00942161">
      <w:pPr>
        <w:pStyle w:val="Heading2"/>
      </w:pPr>
      <w:r>
        <w:t>1</w:t>
      </w:r>
      <w:r>
        <w:t xml:space="preserve">. </w:t>
      </w:r>
      <w:r>
        <w:t>Assessment and diagnosis</w:t>
      </w:r>
    </w:p>
    <w:p w14:paraId="2C70723D" w14:textId="77777777" w:rsidR="00942161" w:rsidRDefault="00942161" w:rsidP="00942161">
      <w:pPr>
        <w:pStyle w:val="NormalIntroBold"/>
        <w:rPr>
          <w:b w:val="0"/>
          <w:bCs/>
        </w:rPr>
      </w:pPr>
      <w:r>
        <w:t>The initial assessment of a woman presenting with heavy menstrual bleeding includes a thorough history, assessment of impact on quality of life, a physical examination (where clinically appropriate), and exclusion of pregnancy, iron deficiency and anaemia. Further investigations are based on the initial assessment.</w:t>
      </w:r>
    </w:p>
    <w:p w14:paraId="70DB52DE" w14:textId="517891FC" w:rsidR="00942161" w:rsidRDefault="00942161" w:rsidP="00942161">
      <w:r>
        <w:t>When assessing a patient with heavy menstrual bleeding, consider the diverse possible causes as per the PALM</w:t>
      </w:r>
      <w:r>
        <w:rPr>
          <w:rFonts w:ascii="Cambria Math" w:hAnsi="Cambria Math" w:cs="Cambria Math"/>
        </w:rPr>
        <w:t>‑</w:t>
      </w:r>
      <w:r>
        <w:t>COIEN classification system (refer to</w:t>
      </w:r>
      <w:r w:rsidR="00690780">
        <w:t xml:space="preserve"> </w:t>
      </w:r>
      <w:r w:rsidR="00690780" w:rsidRPr="00690780">
        <w:rPr>
          <w:rStyle w:val="Cross-references"/>
        </w:rPr>
        <w:fldChar w:fldCharType="begin"/>
      </w:r>
      <w:r w:rsidR="00690780" w:rsidRPr="00690780">
        <w:rPr>
          <w:rStyle w:val="Cross-references"/>
        </w:rPr>
        <w:instrText xml:space="preserve"> REF T1 \h </w:instrText>
      </w:r>
      <w:r w:rsidR="00690780" w:rsidRPr="00690780">
        <w:rPr>
          <w:rStyle w:val="Cross-references"/>
        </w:rPr>
      </w:r>
      <w:r w:rsidR="00690780">
        <w:rPr>
          <w:rStyle w:val="Cross-references"/>
        </w:rPr>
        <w:instrText xml:space="preserve"> \* MERGEFORMAT </w:instrText>
      </w:r>
      <w:r w:rsidR="00690780" w:rsidRPr="00690780">
        <w:rPr>
          <w:rStyle w:val="Cross-references"/>
        </w:rPr>
        <w:fldChar w:fldCharType="separate"/>
      </w:r>
      <w:r w:rsidR="00690780" w:rsidRPr="00690780">
        <w:rPr>
          <w:rStyle w:val="Cross-references"/>
        </w:rPr>
        <w:t>Table 1</w:t>
      </w:r>
      <w:r w:rsidR="00690780" w:rsidRPr="00690780">
        <w:rPr>
          <w:rStyle w:val="Cross-references"/>
        </w:rPr>
        <w:fldChar w:fldCharType="end"/>
      </w:r>
      <w:r>
        <w:t xml:space="preserve">), and other possible diagnoses such as endometriosis or miscarriage. </w:t>
      </w:r>
    </w:p>
    <w:p w14:paraId="2906FE25" w14:textId="77777777" w:rsidR="00942161" w:rsidRDefault="00942161" w:rsidP="00942161">
      <w:r>
        <w:t xml:space="preserve">Take a detailed history that includes: </w:t>
      </w:r>
    </w:p>
    <w:p w14:paraId="0C508FB6" w14:textId="77777777" w:rsidR="00942161" w:rsidRDefault="00942161" w:rsidP="00942161">
      <w:pPr>
        <w:pStyle w:val="ListParagraph"/>
        <w:numPr>
          <w:ilvl w:val="0"/>
          <w:numId w:val="56"/>
        </w:numPr>
      </w:pPr>
      <w:r>
        <w:t xml:space="preserve">The nature of bleeding, </w:t>
      </w:r>
      <w:r w:rsidRPr="00942161">
        <w:t>including</w:t>
      </w:r>
      <w:r>
        <w:t xml:space="preserve"> duration, frequency, heaviness and pattern (regular or irregular) (Note: post</w:t>
      </w:r>
      <w:r w:rsidRPr="00942161">
        <w:rPr>
          <w:rFonts w:ascii="Cambria Math" w:hAnsi="Cambria Math" w:cs="Cambria Math"/>
        </w:rPr>
        <w:t>‑</w:t>
      </w:r>
      <w:r>
        <w:t>coital, intermenstrual and postmenopausal bleeding require specific investigation.)</w:t>
      </w:r>
    </w:p>
    <w:p w14:paraId="09A5EA6C" w14:textId="77777777" w:rsidR="00942161" w:rsidRPr="00942161" w:rsidRDefault="00942161" w:rsidP="00942161">
      <w:pPr>
        <w:pStyle w:val="ListParagraph"/>
        <w:numPr>
          <w:ilvl w:val="0"/>
          <w:numId w:val="56"/>
        </w:numPr>
      </w:pPr>
      <w:r>
        <w:t>The impact on quality of life, including impact on mental health and limitations on work, exercise and social functioning</w:t>
      </w:r>
    </w:p>
    <w:p w14:paraId="3D1EF8A4" w14:textId="77777777" w:rsidR="00942161" w:rsidRDefault="00942161" w:rsidP="00942161">
      <w:pPr>
        <w:pStyle w:val="ListParagraph"/>
        <w:numPr>
          <w:ilvl w:val="0"/>
          <w:numId w:val="56"/>
        </w:numPr>
      </w:pPr>
      <w:r>
        <w:t xml:space="preserve">Related symptoms </w:t>
      </w:r>
      <w:r w:rsidRPr="00942161">
        <w:t>such</w:t>
      </w:r>
      <w:r>
        <w:t xml:space="preserve"> as pelvic pain or pressure</w:t>
      </w:r>
    </w:p>
    <w:p w14:paraId="68358963" w14:textId="77777777" w:rsidR="00942161" w:rsidRDefault="00942161" w:rsidP="00942161">
      <w:pPr>
        <w:pStyle w:val="ListParagraph"/>
        <w:numPr>
          <w:ilvl w:val="0"/>
          <w:numId w:val="56"/>
        </w:numPr>
      </w:pPr>
      <w:r>
        <w:t xml:space="preserve">Symptoms suggestive of iron deficiency, with or without </w:t>
      </w:r>
      <w:proofErr w:type="spellStart"/>
      <w:r>
        <w:t>anaemia</w:t>
      </w:r>
      <w:proofErr w:type="spellEnd"/>
    </w:p>
    <w:p w14:paraId="68E484B0" w14:textId="77777777" w:rsidR="00942161" w:rsidRDefault="00942161" w:rsidP="00942161">
      <w:pPr>
        <w:pStyle w:val="ListParagraph"/>
        <w:numPr>
          <w:ilvl w:val="0"/>
          <w:numId w:val="56"/>
        </w:numPr>
      </w:pPr>
      <w:r>
        <w:t xml:space="preserve">Sexual and </w:t>
      </w:r>
      <w:r w:rsidRPr="00942161">
        <w:t>reproductive</w:t>
      </w:r>
      <w:r>
        <w:t xml:space="preserve"> health, including parity, desire for future fertility, contraception use, likelihood of pregnancy or miscarriage, risk of sexually transmitted infection and cervical screening status</w:t>
      </w:r>
    </w:p>
    <w:p w14:paraId="21C33918" w14:textId="77777777" w:rsidR="00942161" w:rsidRDefault="00942161" w:rsidP="00942161">
      <w:pPr>
        <w:pStyle w:val="ListParagraph"/>
        <w:numPr>
          <w:ilvl w:val="0"/>
          <w:numId w:val="56"/>
        </w:numPr>
      </w:pPr>
      <w:r>
        <w:t xml:space="preserve">History or symptoms </w:t>
      </w:r>
      <w:r w:rsidRPr="00942161">
        <w:t>suggestive</w:t>
      </w:r>
      <w:r>
        <w:t xml:space="preserve"> of systemic causes of bleeding, such as a bleeding disorder, polycystic ovary syndrome (PCOS) or thyroid disease</w:t>
      </w:r>
    </w:p>
    <w:p w14:paraId="5972096F" w14:textId="77777777" w:rsidR="00942161" w:rsidRDefault="00942161" w:rsidP="00942161">
      <w:pPr>
        <w:pStyle w:val="ListParagraph"/>
        <w:numPr>
          <w:ilvl w:val="0"/>
          <w:numId w:val="56"/>
        </w:numPr>
      </w:pPr>
      <w:r>
        <w:t>Relevant family history, such as history of bleeding disorders, endometriosis or endometrial or colorectal cancer</w:t>
      </w:r>
    </w:p>
    <w:p w14:paraId="06E0DE9D" w14:textId="77777777" w:rsidR="00942161" w:rsidRDefault="00942161" w:rsidP="00942161">
      <w:pPr>
        <w:pStyle w:val="ListParagraph"/>
        <w:numPr>
          <w:ilvl w:val="0"/>
          <w:numId w:val="56"/>
        </w:numPr>
      </w:pPr>
      <w:r>
        <w:t xml:space="preserve">Current </w:t>
      </w:r>
      <w:r w:rsidRPr="00942161">
        <w:t>medications</w:t>
      </w:r>
      <w:r>
        <w:t xml:space="preserve"> and use of over</w:t>
      </w:r>
      <w:r w:rsidRPr="00942161">
        <w:rPr>
          <w:rFonts w:ascii="Cambria Math" w:hAnsi="Cambria Math" w:cs="Cambria Math"/>
        </w:rPr>
        <w:t>‑</w:t>
      </w:r>
      <w:r>
        <w:t>the</w:t>
      </w:r>
      <w:r w:rsidRPr="00942161">
        <w:rPr>
          <w:rFonts w:ascii="Cambria Math" w:hAnsi="Cambria Math" w:cs="Cambria Math"/>
        </w:rPr>
        <w:t>‑</w:t>
      </w:r>
      <w:r>
        <w:t xml:space="preserve">counter supplements that may be associated with ovulation or </w:t>
      </w:r>
      <w:r w:rsidRPr="00942161">
        <w:t>bleeding</w:t>
      </w:r>
    </w:p>
    <w:p w14:paraId="7BC8E71A" w14:textId="77777777" w:rsidR="00942161" w:rsidRDefault="00942161" w:rsidP="00942161">
      <w:pPr>
        <w:pStyle w:val="ListParagraph"/>
        <w:numPr>
          <w:ilvl w:val="0"/>
          <w:numId w:val="56"/>
        </w:numPr>
      </w:pPr>
      <w:r>
        <w:t xml:space="preserve">Other factors </w:t>
      </w:r>
      <w:r w:rsidRPr="00942161">
        <w:t>that</w:t>
      </w:r>
      <w:r>
        <w:t xml:space="preserve"> may affect treatment options, such as comorbidities or previous treatments for heavy menstrual bleeding.</w:t>
      </w:r>
    </w:p>
    <w:p w14:paraId="6556C7E1" w14:textId="77777777" w:rsidR="00942161" w:rsidRDefault="00942161" w:rsidP="00942161">
      <w:r>
        <w:lastRenderedPageBreak/>
        <w:t>Conduct a physical examination if appropriate and with consent. This will usually include a speculum examination, and a bimanual pelvic examination to identify any palpable mass or abnormal uterine size. Situations in which pelvic examination may be inappropriate include for women and adolescents who are not sexually active, women who have been sexually assaulted in the past, women who have experienced birth trauma, or women who decline for cultural reasons.</w:t>
      </w:r>
    </w:p>
    <w:p w14:paraId="4D3EF142" w14:textId="77777777" w:rsidR="00942161" w:rsidRDefault="00942161" w:rsidP="00942161">
      <w:r>
        <w:t xml:space="preserve">Exclude pregnancy with a urinary beta HCG if indicated. Routinely evaluate iron deficiency and anaemia with serum ferritin and a full blood count. </w:t>
      </w:r>
    </w:p>
    <w:p w14:paraId="02BA47BF" w14:textId="77777777" w:rsidR="00942161" w:rsidRDefault="00942161" w:rsidP="00942161">
      <w:r>
        <w:t xml:space="preserve">Arrange other investigations based on a careful history and presentation. These might include testing for bleeding disorders or thyroid dysfunction, a cervical screening test (if clinically indicated), genital swab tests (if clinically indicated) or ultrasound for assessment of uterine abnormalities. Refer to current guidelines such as Therapeutic Guidelines. </w:t>
      </w:r>
    </w:p>
    <w:p w14:paraId="40FDA275" w14:textId="77777777" w:rsidR="00942161" w:rsidRDefault="00942161" w:rsidP="00942161">
      <w:r>
        <w:t>Consider using a validated health</w:t>
      </w:r>
      <w:r>
        <w:rPr>
          <w:rFonts w:ascii="Cambria Math" w:hAnsi="Cambria Math" w:cs="Cambria Math"/>
        </w:rPr>
        <w:t>‑</w:t>
      </w:r>
      <w:r>
        <w:t>related quality</w:t>
      </w:r>
      <w:r>
        <w:rPr>
          <w:rFonts w:ascii="Cambria Math" w:hAnsi="Cambria Math" w:cs="Cambria Math"/>
        </w:rPr>
        <w:t>‑</w:t>
      </w:r>
      <w:r>
        <w:t>of</w:t>
      </w:r>
      <w:r>
        <w:rPr>
          <w:rFonts w:ascii="Cambria Math" w:hAnsi="Cambria Math" w:cs="Cambria Math"/>
        </w:rPr>
        <w:t>‑</w:t>
      </w:r>
      <w:r>
        <w:t>life questionnaire to help inform clinical decision</w:t>
      </w:r>
      <w:r>
        <w:rPr>
          <w:rFonts w:ascii="Cambria Math" w:hAnsi="Cambria Math" w:cs="Cambria Math"/>
        </w:rPr>
        <w:t>‑</w:t>
      </w:r>
      <w:r>
        <w:t>making and monitor treatment effectiveness, and to inform quality improvement.</w:t>
      </w:r>
    </w:p>
    <w:p w14:paraId="5D4E385F" w14:textId="77777777" w:rsidR="00942161" w:rsidRDefault="00942161" w:rsidP="00942161">
      <w:r>
        <w:t>Discuss and arrange referral for any other support the patient may require, such as counselling, acknowledging the effect that heavy menstrual bleeding can have on emotional wellbeing and mental health.</w:t>
      </w:r>
    </w:p>
    <w:p w14:paraId="33DC08DA" w14:textId="77777777" w:rsidR="000A07DB" w:rsidRDefault="000A07DB" w:rsidP="000A07DB">
      <w:pPr>
        <w:keepNext/>
        <w:spacing w:before="360"/>
      </w:pPr>
      <w:r w:rsidRPr="008E2E35">
        <w:rPr>
          <w:noProof/>
        </w:rPr>
        <w:drawing>
          <wp:inline distT="0" distB="0" distL="0" distR="0" wp14:anchorId="1B4C5523" wp14:editId="5A6ACD32">
            <wp:extent cx="6120130" cy="178132"/>
            <wp:effectExtent l="0" t="0" r="0" b="0"/>
            <wp:docPr id="524437327" name="Picture 524437327"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8"/>
                    <a:stretch>
                      <a:fillRect/>
                    </a:stretch>
                  </pic:blipFill>
                  <pic:spPr>
                    <a:xfrm>
                      <a:off x="0" y="0"/>
                      <a:ext cx="6120130" cy="178132"/>
                    </a:xfrm>
                    <a:prstGeom prst="rect">
                      <a:avLst/>
                    </a:prstGeom>
                  </pic:spPr>
                </pic:pic>
              </a:graphicData>
            </a:graphic>
          </wp:inline>
        </w:drawing>
      </w:r>
    </w:p>
    <w:p w14:paraId="43E2F9C3" w14:textId="77777777" w:rsidR="00942161" w:rsidRDefault="00942161" w:rsidP="00942161">
      <w:pPr>
        <w:pStyle w:val="Heading3"/>
      </w:pPr>
      <w:r>
        <w:t>Cultural safety and equity</w:t>
      </w:r>
    </w:p>
    <w:p w14:paraId="75948E92" w14:textId="77777777" w:rsidR="00942161" w:rsidRDefault="00942161" w:rsidP="000A07DB">
      <w:pPr>
        <w:pStyle w:val="ListParagraph"/>
        <w:numPr>
          <w:ilvl w:val="0"/>
          <w:numId w:val="57"/>
        </w:numPr>
      </w:pPr>
      <w:proofErr w:type="spellStart"/>
      <w:r>
        <w:t>Recognise</w:t>
      </w:r>
      <w:proofErr w:type="spellEnd"/>
      <w:r>
        <w:t xml:space="preserve"> the social and cultural factors influencing a woman’s access to, and experience of, health care related to their heavy menstrual bleeding. These can include attitudes and norms that prevent the open discussion of menstruation, generate feelings of shame and embarrassment, and limit access to health information about menstruation. </w:t>
      </w:r>
    </w:p>
    <w:p w14:paraId="5F2E63FC" w14:textId="77777777" w:rsidR="00942161" w:rsidRDefault="00942161" w:rsidP="000A07DB">
      <w:pPr>
        <w:pStyle w:val="ListParagraph"/>
        <w:numPr>
          <w:ilvl w:val="0"/>
          <w:numId w:val="57"/>
        </w:numPr>
      </w:pPr>
      <w:r>
        <w:t xml:space="preserve">Be aware of Women’s Business and the wishes of </w:t>
      </w:r>
      <w:r w:rsidRPr="000A07DB">
        <w:t>many</w:t>
      </w:r>
      <w:r>
        <w:t xml:space="preserve"> Aboriginal women to keep women’s health issues private and separate from other health issues.</w:t>
      </w:r>
    </w:p>
    <w:p w14:paraId="57F06465" w14:textId="4E6F23FF" w:rsidR="00942161" w:rsidRDefault="00942161" w:rsidP="000A07DB">
      <w:pPr>
        <w:pStyle w:val="ListParagraph"/>
        <w:numPr>
          <w:ilvl w:val="0"/>
          <w:numId w:val="57"/>
        </w:numPr>
      </w:pPr>
      <w:r>
        <w:t xml:space="preserve">If appropriate, offer Aboriginal and Torres Strait Islander women access to culturally safe models of care, such as those offered through, or in </w:t>
      </w:r>
      <w:r w:rsidRPr="000A07DB">
        <w:t>partnership</w:t>
      </w:r>
      <w:r>
        <w:t xml:space="preserve"> with, Aboriginal Community Controlled Health </w:t>
      </w:r>
      <w:proofErr w:type="spellStart"/>
      <w:r>
        <w:t>Organisations</w:t>
      </w:r>
      <w:proofErr w:type="spellEnd"/>
      <w:r>
        <w:t xml:space="preserve"> or Aboriginal and Torres Strait Islander health and medical</w:t>
      </w:r>
      <w:r w:rsidR="005A1195">
        <w:t> </w:t>
      </w:r>
      <w:r>
        <w:t xml:space="preserve">services. </w:t>
      </w:r>
    </w:p>
    <w:p w14:paraId="3C484F7B" w14:textId="77777777" w:rsidR="00942161" w:rsidRDefault="00942161" w:rsidP="000A07DB">
      <w:pPr>
        <w:pStyle w:val="ListParagraph"/>
        <w:numPr>
          <w:ilvl w:val="0"/>
          <w:numId w:val="57"/>
        </w:numPr>
      </w:pPr>
      <w:proofErr w:type="spellStart"/>
      <w:r>
        <w:t>Recognise</w:t>
      </w:r>
      <w:proofErr w:type="spellEnd"/>
      <w:r>
        <w:t xml:space="preserve"> that a history of trauma may affect a </w:t>
      </w:r>
      <w:r w:rsidRPr="000A07DB">
        <w:t>person’s</w:t>
      </w:r>
      <w:r>
        <w:t xml:space="preserve"> experience of care.</w:t>
      </w:r>
    </w:p>
    <w:p w14:paraId="3D1E04E4" w14:textId="77777777" w:rsidR="00942161" w:rsidRDefault="00942161" w:rsidP="000A07DB">
      <w:pPr>
        <w:pStyle w:val="ListParagraph"/>
        <w:numPr>
          <w:ilvl w:val="0"/>
          <w:numId w:val="57"/>
        </w:numPr>
      </w:pPr>
      <w:r>
        <w:t>Consider the needs of trans and non</w:t>
      </w:r>
      <w:r w:rsidRPr="000A07DB">
        <w:rPr>
          <w:rFonts w:ascii="Cambria Math" w:hAnsi="Cambria Math" w:cs="Cambria Math"/>
        </w:rPr>
        <w:t>‑</w:t>
      </w:r>
      <w:r>
        <w:t xml:space="preserve">binary people who menstruate, who may find it difficult discussing menstrual issues or undergoing </w:t>
      </w:r>
      <w:r w:rsidRPr="000A07DB">
        <w:t>clinical</w:t>
      </w:r>
      <w:r>
        <w:t xml:space="preserve"> examination. </w:t>
      </w:r>
    </w:p>
    <w:p w14:paraId="43AE6530" w14:textId="77777777" w:rsidR="00942161" w:rsidRDefault="00942161" w:rsidP="000A07DB">
      <w:pPr>
        <w:pStyle w:val="ListParagraph"/>
        <w:numPr>
          <w:ilvl w:val="0"/>
          <w:numId w:val="57"/>
        </w:numPr>
      </w:pPr>
      <w:proofErr w:type="spellStart"/>
      <w:r>
        <w:t>Recognise</w:t>
      </w:r>
      <w:proofErr w:type="spellEnd"/>
      <w:r>
        <w:t xml:space="preserve"> the diverse needs of women with disabilities and ensure they are assessed similarly to women without disability, including a </w:t>
      </w:r>
      <w:r w:rsidRPr="000A07DB">
        <w:t>comprehensive</w:t>
      </w:r>
      <w:r>
        <w:t xml:space="preserve"> history, and appropriate examinations and investigations. Where required, make reasonable adjustments to support women with disabilities to access appropriate care.</w:t>
      </w:r>
    </w:p>
    <w:p w14:paraId="64D9AB48" w14:textId="77777777" w:rsidR="004C02F0" w:rsidRDefault="004C02F0" w:rsidP="00230E53">
      <w:pPr>
        <w:pStyle w:val="FigureTableTitle"/>
      </w:pPr>
      <w:r>
        <w:br w:type="page"/>
      </w:r>
    </w:p>
    <w:p w14:paraId="415D2B2A" w14:textId="2E8FFC95" w:rsidR="004C02F0" w:rsidRDefault="00942161" w:rsidP="00230E53">
      <w:pPr>
        <w:pStyle w:val="FigureTableTitle"/>
        <w:rPr>
          <w:rStyle w:val="Superscript"/>
        </w:rPr>
      </w:pPr>
      <w:bookmarkStart w:id="2" w:name="T1"/>
      <w:r>
        <w:lastRenderedPageBreak/>
        <w:t>Table 1</w:t>
      </w:r>
      <w:bookmarkEnd w:id="2"/>
      <w:r>
        <w:t xml:space="preserve">: International Federation of </w:t>
      </w:r>
      <w:proofErr w:type="spellStart"/>
      <w:r>
        <w:t>Gynecology</w:t>
      </w:r>
      <w:proofErr w:type="spellEnd"/>
      <w:r>
        <w:t xml:space="preserve"> and Obstetrics (FIGO) classification system for causes of abnormal uterine bleeding</w:t>
      </w:r>
      <w:r>
        <w:rPr>
          <w:rStyle w:val="a"/>
        </w:rPr>
        <w:t>*</w:t>
      </w:r>
      <w:r>
        <w:t xml:space="preserve"> (PALM</w:t>
      </w:r>
      <w:r>
        <w:rPr>
          <w:rFonts w:ascii="Cambria Math" w:hAnsi="Cambria Math" w:cs="Cambria Math"/>
        </w:rPr>
        <w:t>‑</w:t>
      </w:r>
      <w:r>
        <w:t>COEIN)</w:t>
      </w:r>
      <w:r>
        <w:rPr>
          <w:rStyle w:val="Superscript"/>
        </w:rPr>
        <w:t>1</w:t>
      </w:r>
    </w:p>
    <w:tbl>
      <w:tblPr>
        <w:tblStyle w:val="CCSTable"/>
        <w:tblW w:w="5000" w:type="pct"/>
        <w:tblLook w:val="0620" w:firstRow="1" w:lastRow="0" w:firstColumn="0" w:lastColumn="0" w:noHBand="1" w:noVBand="1"/>
      </w:tblPr>
      <w:tblGrid>
        <w:gridCol w:w="1444"/>
        <w:gridCol w:w="3208"/>
        <w:gridCol w:w="322"/>
        <w:gridCol w:w="1444"/>
        <w:gridCol w:w="3210"/>
      </w:tblGrid>
      <w:tr w:rsidR="004C02F0" w:rsidRPr="004C02F0" w14:paraId="0DDD4BA4" w14:textId="77777777" w:rsidTr="005F011D">
        <w:trPr>
          <w:cnfStyle w:val="100000000000" w:firstRow="1" w:lastRow="0" w:firstColumn="0" w:lastColumn="0" w:oddVBand="0" w:evenVBand="0" w:oddHBand="0" w:evenHBand="0" w:firstRowFirstColumn="0" w:firstRowLastColumn="0" w:lastRowFirstColumn="0" w:lastRowLastColumn="0"/>
          <w:trHeight w:val="379"/>
        </w:trPr>
        <w:tc>
          <w:tcPr>
            <w:tcW w:w="2416" w:type="pct"/>
            <w:gridSpan w:val="2"/>
            <w:tcBorders>
              <w:right w:val="single" w:sz="4" w:space="0" w:color="auto"/>
            </w:tcBorders>
          </w:tcPr>
          <w:p w14:paraId="27F8FE91" w14:textId="6B14E45E" w:rsidR="004C02F0" w:rsidRPr="004C02F0" w:rsidRDefault="004C02F0" w:rsidP="004C02F0">
            <w:pPr>
              <w:spacing w:before="0" w:after="0"/>
            </w:pPr>
            <w:r w:rsidRPr="004C02F0">
              <w:t>Structural causes (PALM)</w:t>
            </w:r>
          </w:p>
        </w:tc>
        <w:tc>
          <w:tcPr>
            <w:tcW w:w="167" w:type="pct"/>
            <w:tcBorders>
              <w:top w:val="nil"/>
              <w:left w:val="single" w:sz="4" w:space="0" w:color="auto"/>
              <w:bottom w:val="nil"/>
              <w:right w:val="single" w:sz="4" w:space="0" w:color="auto"/>
            </w:tcBorders>
            <w:shd w:val="clear" w:color="auto" w:fill="auto"/>
          </w:tcPr>
          <w:p w14:paraId="164ABA39" w14:textId="77777777" w:rsidR="004C02F0" w:rsidRPr="004C02F0" w:rsidRDefault="004C02F0" w:rsidP="004C02F0">
            <w:pPr>
              <w:spacing w:before="0" w:after="0"/>
            </w:pPr>
          </w:p>
        </w:tc>
        <w:tc>
          <w:tcPr>
            <w:tcW w:w="2417" w:type="pct"/>
            <w:gridSpan w:val="2"/>
            <w:tcBorders>
              <w:left w:val="single" w:sz="4" w:space="0" w:color="auto"/>
            </w:tcBorders>
          </w:tcPr>
          <w:p w14:paraId="4BD6E35D" w14:textId="14DC3147" w:rsidR="004C02F0" w:rsidRPr="004C02F0" w:rsidRDefault="004C02F0" w:rsidP="004C02F0">
            <w:pPr>
              <w:spacing w:before="0" w:after="0"/>
            </w:pPr>
            <w:r w:rsidRPr="004C02F0">
              <w:t>Non</w:t>
            </w:r>
            <w:r w:rsidRPr="004C02F0">
              <w:rPr>
                <w:rFonts w:ascii="Cambria Math" w:hAnsi="Cambria Math" w:cs="Cambria Math"/>
              </w:rPr>
              <w:t>‑</w:t>
            </w:r>
            <w:r w:rsidRPr="004C02F0">
              <w:t>structural causes (COEIN)</w:t>
            </w:r>
          </w:p>
        </w:tc>
      </w:tr>
      <w:tr w:rsidR="004C02F0" w:rsidRPr="004C02F0" w14:paraId="0AFAAE94" w14:textId="77777777" w:rsidTr="004C02F0">
        <w:trPr>
          <w:trHeight w:val="60"/>
        </w:trPr>
        <w:tc>
          <w:tcPr>
            <w:tcW w:w="750" w:type="pct"/>
            <w:shd w:val="clear" w:color="auto" w:fill="EDF8F9"/>
          </w:tcPr>
          <w:p w14:paraId="7DAB98C8" w14:textId="77777777" w:rsidR="00942161" w:rsidRPr="004C02F0" w:rsidRDefault="00942161" w:rsidP="004C02F0">
            <w:pPr>
              <w:spacing w:before="0"/>
              <w:jc w:val="center"/>
              <w:rPr>
                <w:b/>
                <w:bCs/>
                <w:color w:val="007577"/>
              </w:rPr>
            </w:pPr>
            <w:r w:rsidRPr="004C02F0">
              <w:rPr>
                <w:b/>
                <w:bCs/>
                <w:color w:val="007577"/>
              </w:rPr>
              <w:t>P</w:t>
            </w:r>
          </w:p>
        </w:tc>
        <w:tc>
          <w:tcPr>
            <w:tcW w:w="1666" w:type="pct"/>
            <w:tcBorders>
              <w:right w:val="single" w:sz="4" w:space="0" w:color="auto"/>
            </w:tcBorders>
          </w:tcPr>
          <w:p w14:paraId="3B11386D" w14:textId="77777777" w:rsidR="00942161" w:rsidRPr="004C02F0" w:rsidRDefault="00942161" w:rsidP="004C02F0">
            <w:pPr>
              <w:spacing w:before="0"/>
            </w:pPr>
            <w:r w:rsidRPr="004C02F0">
              <w:t>Polyps</w:t>
            </w:r>
          </w:p>
        </w:tc>
        <w:tc>
          <w:tcPr>
            <w:tcW w:w="167" w:type="pct"/>
            <w:tcBorders>
              <w:top w:val="nil"/>
              <w:left w:val="single" w:sz="4" w:space="0" w:color="auto"/>
              <w:bottom w:val="nil"/>
              <w:right w:val="single" w:sz="4" w:space="0" w:color="auto"/>
            </w:tcBorders>
          </w:tcPr>
          <w:p w14:paraId="1EAE8C89" w14:textId="77777777" w:rsidR="00942161" w:rsidRPr="004C02F0" w:rsidRDefault="00942161" w:rsidP="004C02F0">
            <w:pPr>
              <w:spacing w:before="0"/>
            </w:pPr>
          </w:p>
        </w:tc>
        <w:tc>
          <w:tcPr>
            <w:tcW w:w="750" w:type="pct"/>
            <w:tcBorders>
              <w:left w:val="single" w:sz="4" w:space="0" w:color="auto"/>
            </w:tcBorders>
            <w:shd w:val="clear" w:color="auto" w:fill="EDF8F9"/>
          </w:tcPr>
          <w:p w14:paraId="29521C91" w14:textId="77777777" w:rsidR="00942161" w:rsidRPr="004C02F0" w:rsidRDefault="00942161" w:rsidP="004C02F0">
            <w:pPr>
              <w:spacing w:before="0"/>
              <w:jc w:val="center"/>
              <w:rPr>
                <w:b/>
                <w:bCs/>
                <w:color w:val="007577"/>
              </w:rPr>
            </w:pPr>
            <w:r w:rsidRPr="004C02F0">
              <w:rPr>
                <w:b/>
                <w:bCs/>
                <w:color w:val="007577"/>
              </w:rPr>
              <w:t>C</w:t>
            </w:r>
          </w:p>
        </w:tc>
        <w:tc>
          <w:tcPr>
            <w:tcW w:w="1667" w:type="pct"/>
          </w:tcPr>
          <w:p w14:paraId="4E1EB460" w14:textId="77777777" w:rsidR="00942161" w:rsidRPr="004C02F0" w:rsidRDefault="00942161" w:rsidP="004C02F0">
            <w:pPr>
              <w:spacing w:before="0"/>
            </w:pPr>
            <w:r w:rsidRPr="004C02F0">
              <w:t>Coagulopathy</w:t>
            </w:r>
          </w:p>
        </w:tc>
      </w:tr>
      <w:tr w:rsidR="004C02F0" w:rsidRPr="004C02F0" w14:paraId="25F346B1" w14:textId="77777777" w:rsidTr="004C02F0">
        <w:trPr>
          <w:trHeight w:val="60"/>
        </w:trPr>
        <w:tc>
          <w:tcPr>
            <w:tcW w:w="750" w:type="pct"/>
            <w:shd w:val="clear" w:color="auto" w:fill="EDF8F9"/>
          </w:tcPr>
          <w:p w14:paraId="4E08263A" w14:textId="77777777" w:rsidR="00942161" w:rsidRPr="004C02F0" w:rsidRDefault="00942161" w:rsidP="004C02F0">
            <w:pPr>
              <w:spacing w:before="0"/>
              <w:jc w:val="center"/>
              <w:rPr>
                <w:b/>
                <w:bCs/>
                <w:color w:val="007577"/>
              </w:rPr>
            </w:pPr>
            <w:r w:rsidRPr="004C02F0">
              <w:rPr>
                <w:b/>
                <w:bCs/>
                <w:color w:val="007577"/>
              </w:rPr>
              <w:t>A</w:t>
            </w:r>
          </w:p>
        </w:tc>
        <w:tc>
          <w:tcPr>
            <w:tcW w:w="1666" w:type="pct"/>
            <w:tcBorders>
              <w:right w:val="single" w:sz="4" w:space="0" w:color="auto"/>
            </w:tcBorders>
          </w:tcPr>
          <w:p w14:paraId="29AF5D55" w14:textId="77777777" w:rsidR="00942161" w:rsidRPr="004C02F0" w:rsidRDefault="00942161" w:rsidP="004C02F0">
            <w:pPr>
              <w:spacing w:before="0"/>
            </w:pPr>
            <w:r w:rsidRPr="004C02F0">
              <w:t>Adenomyosis</w:t>
            </w:r>
          </w:p>
        </w:tc>
        <w:tc>
          <w:tcPr>
            <w:tcW w:w="167" w:type="pct"/>
            <w:tcBorders>
              <w:top w:val="nil"/>
              <w:left w:val="single" w:sz="4" w:space="0" w:color="auto"/>
              <w:bottom w:val="nil"/>
              <w:right w:val="single" w:sz="4" w:space="0" w:color="auto"/>
            </w:tcBorders>
          </w:tcPr>
          <w:p w14:paraId="479C4CB0" w14:textId="77777777" w:rsidR="00942161" w:rsidRPr="004C02F0" w:rsidRDefault="00942161" w:rsidP="004C02F0">
            <w:pPr>
              <w:spacing w:before="0"/>
            </w:pPr>
          </w:p>
        </w:tc>
        <w:tc>
          <w:tcPr>
            <w:tcW w:w="750" w:type="pct"/>
            <w:tcBorders>
              <w:left w:val="single" w:sz="4" w:space="0" w:color="auto"/>
            </w:tcBorders>
            <w:shd w:val="clear" w:color="auto" w:fill="EDF8F9"/>
          </w:tcPr>
          <w:p w14:paraId="5236C85D" w14:textId="77777777" w:rsidR="00942161" w:rsidRPr="004C02F0" w:rsidRDefault="00942161" w:rsidP="004C02F0">
            <w:pPr>
              <w:spacing w:before="0"/>
              <w:jc w:val="center"/>
              <w:rPr>
                <w:b/>
                <w:bCs/>
                <w:color w:val="007577"/>
              </w:rPr>
            </w:pPr>
            <w:r w:rsidRPr="004C02F0">
              <w:rPr>
                <w:b/>
                <w:bCs/>
                <w:color w:val="007577"/>
              </w:rPr>
              <w:t>O</w:t>
            </w:r>
          </w:p>
        </w:tc>
        <w:tc>
          <w:tcPr>
            <w:tcW w:w="1667" w:type="pct"/>
          </w:tcPr>
          <w:p w14:paraId="1AB17C1E" w14:textId="77777777" w:rsidR="00942161" w:rsidRPr="004C02F0" w:rsidRDefault="00942161" w:rsidP="004C02F0">
            <w:pPr>
              <w:spacing w:before="0"/>
            </w:pPr>
            <w:r w:rsidRPr="004C02F0">
              <w:t>Ovulatory dysfunction</w:t>
            </w:r>
          </w:p>
        </w:tc>
      </w:tr>
      <w:tr w:rsidR="004C02F0" w:rsidRPr="004C02F0" w14:paraId="0DC66DB1" w14:textId="77777777" w:rsidTr="004C02F0">
        <w:trPr>
          <w:trHeight w:val="60"/>
        </w:trPr>
        <w:tc>
          <w:tcPr>
            <w:tcW w:w="750" w:type="pct"/>
            <w:tcBorders>
              <w:bottom w:val="single" w:sz="4" w:space="0" w:color="auto"/>
            </w:tcBorders>
            <w:shd w:val="clear" w:color="auto" w:fill="EDF8F9"/>
          </w:tcPr>
          <w:p w14:paraId="00EBCC32" w14:textId="77777777" w:rsidR="00942161" w:rsidRPr="004C02F0" w:rsidRDefault="00942161" w:rsidP="004C02F0">
            <w:pPr>
              <w:spacing w:before="0"/>
              <w:jc w:val="center"/>
              <w:rPr>
                <w:b/>
                <w:bCs/>
                <w:color w:val="007577"/>
              </w:rPr>
            </w:pPr>
            <w:r w:rsidRPr="004C02F0">
              <w:rPr>
                <w:b/>
                <w:bCs/>
                <w:color w:val="007577"/>
              </w:rPr>
              <w:t>L</w:t>
            </w:r>
          </w:p>
        </w:tc>
        <w:tc>
          <w:tcPr>
            <w:tcW w:w="1666" w:type="pct"/>
            <w:tcBorders>
              <w:bottom w:val="single" w:sz="4" w:space="0" w:color="auto"/>
              <w:right w:val="single" w:sz="4" w:space="0" w:color="auto"/>
            </w:tcBorders>
          </w:tcPr>
          <w:p w14:paraId="7105501C" w14:textId="77777777" w:rsidR="00942161" w:rsidRPr="004C02F0" w:rsidRDefault="00942161" w:rsidP="004C02F0">
            <w:pPr>
              <w:spacing w:before="0"/>
            </w:pPr>
            <w:r w:rsidRPr="004C02F0">
              <w:t>Leiomyoma (fibroids)</w:t>
            </w:r>
          </w:p>
        </w:tc>
        <w:tc>
          <w:tcPr>
            <w:tcW w:w="167" w:type="pct"/>
            <w:tcBorders>
              <w:top w:val="nil"/>
              <w:left w:val="single" w:sz="4" w:space="0" w:color="auto"/>
              <w:bottom w:val="nil"/>
              <w:right w:val="single" w:sz="4" w:space="0" w:color="auto"/>
            </w:tcBorders>
          </w:tcPr>
          <w:p w14:paraId="73DF39FB" w14:textId="77777777" w:rsidR="00942161" w:rsidRPr="004C02F0" w:rsidRDefault="00942161" w:rsidP="004C02F0">
            <w:pPr>
              <w:spacing w:before="0"/>
            </w:pPr>
          </w:p>
        </w:tc>
        <w:tc>
          <w:tcPr>
            <w:tcW w:w="750" w:type="pct"/>
            <w:tcBorders>
              <w:left w:val="single" w:sz="4" w:space="0" w:color="auto"/>
            </w:tcBorders>
            <w:shd w:val="clear" w:color="auto" w:fill="EDF8F9"/>
          </w:tcPr>
          <w:p w14:paraId="55C048A5" w14:textId="77777777" w:rsidR="00942161" w:rsidRPr="004C02F0" w:rsidRDefault="00942161" w:rsidP="004C02F0">
            <w:pPr>
              <w:spacing w:before="0"/>
              <w:jc w:val="center"/>
              <w:rPr>
                <w:b/>
                <w:bCs/>
                <w:color w:val="007577"/>
              </w:rPr>
            </w:pPr>
            <w:r w:rsidRPr="004C02F0">
              <w:rPr>
                <w:b/>
                <w:bCs/>
                <w:color w:val="007577"/>
              </w:rPr>
              <w:t>E</w:t>
            </w:r>
          </w:p>
        </w:tc>
        <w:tc>
          <w:tcPr>
            <w:tcW w:w="1667" w:type="pct"/>
          </w:tcPr>
          <w:p w14:paraId="4CAFC286" w14:textId="77777777" w:rsidR="00942161" w:rsidRPr="004C02F0" w:rsidRDefault="00942161" w:rsidP="004C02F0">
            <w:pPr>
              <w:spacing w:before="0"/>
            </w:pPr>
            <w:r w:rsidRPr="004C02F0">
              <w:t>Endometrial</w:t>
            </w:r>
          </w:p>
        </w:tc>
      </w:tr>
      <w:tr w:rsidR="004C02F0" w:rsidRPr="004C02F0" w14:paraId="1D1681C9" w14:textId="77777777" w:rsidTr="004C02F0">
        <w:trPr>
          <w:trHeight w:val="60"/>
        </w:trPr>
        <w:tc>
          <w:tcPr>
            <w:tcW w:w="750" w:type="pct"/>
            <w:tcBorders>
              <w:bottom w:val="single" w:sz="4" w:space="0" w:color="auto"/>
            </w:tcBorders>
            <w:shd w:val="clear" w:color="auto" w:fill="EDF8F9"/>
          </w:tcPr>
          <w:p w14:paraId="106ADF11" w14:textId="77777777" w:rsidR="00942161" w:rsidRPr="004C02F0" w:rsidRDefault="00942161" w:rsidP="004C02F0">
            <w:pPr>
              <w:spacing w:before="0"/>
              <w:jc w:val="center"/>
              <w:rPr>
                <w:b/>
                <w:bCs/>
                <w:color w:val="007577"/>
              </w:rPr>
            </w:pPr>
            <w:r w:rsidRPr="004C02F0">
              <w:rPr>
                <w:b/>
                <w:bCs/>
                <w:color w:val="007577"/>
              </w:rPr>
              <w:t>M</w:t>
            </w:r>
          </w:p>
        </w:tc>
        <w:tc>
          <w:tcPr>
            <w:tcW w:w="1666" w:type="pct"/>
            <w:tcBorders>
              <w:bottom w:val="single" w:sz="4" w:space="0" w:color="auto"/>
              <w:right w:val="single" w:sz="4" w:space="0" w:color="auto"/>
            </w:tcBorders>
          </w:tcPr>
          <w:p w14:paraId="6EFC58C1" w14:textId="77777777" w:rsidR="00942161" w:rsidRPr="004C02F0" w:rsidRDefault="00942161" w:rsidP="004C02F0">
            <w:pPr>
              <w:spacing w:before="0"/>
            </w:pPr>
            <w:r w:rsidRPr="004C02F0">
              <w:t>Malignancy or hyperplasia</w:t>
            </w:r>
          </w:p>
        </w:tc>
        <w:tc>
          <w:tcPr>
            <w:tcW w:w="167" w:type="pct"/>
            <w:tcBorders>
              <w:top w:val="nil"/>
              <w:left w:val="single" w:sz="4" w:space="0" w:color="auto"/>
              <w:bottom w:val="nil"/>
              <w:right w:val="single" w:sz="4" w:space="0" w:color="auto"/>
            </w:tcBorders>
          </w:tcPr>
          <w:p w14:paraId="61E5CC30" w14:textId="77777777" w:rsidR="00942161" w:rsidRPr="004C02F0" w:rsidRDefault="00942161" w:rsidP="004C02F0">
            <w:pPr>
              <w:spacing w:before="0"/>
            </w:pPr>
          </w:p>
        </w:tc>
        <w:tc>
          <w:tcPr>
            <w:tcW w:w="750" w:type="pct"/>
            <w:tcBorders>
              <w:left w:val="single" w:sz="4" w:space="0" w:color="auto"/>
            </w:tcBorders>
            <w:shd w:val="clear" w:color="auto" w:fill="EDF8F9"/>
          </w:tcPr>
          <w:p w14:paraId="47D732D1" w14:textId="77777777" w:rsidR="00942161" w:rsidRPr="004C02F0" w:rsidRDefault="00942161" w:rsidP="004C02F0">
            <w:pPr>
              <w:spacing w:before="0"/>
              <w:jc w:val="center"/>
              <w:rPr>
                <w:b/>
                <w:bCs/>
                <w:color w:val="007577"/>
              </w:rPr>
            </w:pPr>
            <w:r w:rsidRPr="004C02F0">
              <w:rPr>
                <w:b/>
                <w:bCs/>
                <w:color w:val="007577"/>
              </w:rPr>
              <w:t>I</w:t>
            </w:r>
          </w:p>
        </w:tc>
        <w:tc>
          <w:tcPr>
            <w:tcW w:w="1667" w:type="pct"/>
          </w:tcPr>
          <w:p w14:paraId="25C54C8D" w14:textId="77777777" w:rsidR="00942161" w:rsidRPr="004C02F0" w:rsidRDefault="00942161" w:rsidP="004C02F0">
            <w:pPr>
              <w:spacing w:before="0"/>
            </w:pPr>
            <w:r w:rsidRPr="004C02F0">
              <w:t>Iatrogenic</w:t>
            </w:r>
          </w:p>
        </w:tc>
      </w:tr>
      <w:tr w:rsidR="004C02F0" w:rsidRPr="004C02F0" w14:paraId="0E0F9CF2" w14:textId="77777777" w:rsidTr="004C02F0">
        <w:trPr>
          <w:trHeight w:val="60"/>
        </w:trPr>
        <w:tc>
          <w:tcPr>
            <w:tcW w:w="750" w:type="pct"/>
            <w:tcBorders>
              <w:top w:val="single" w:sz="4" w:space="0" w:color="auto"/>
              <w:left w:val="nil"/>
              <w:bottom w:val="nil"/>
              <w:right w:val="nil"/>
            </w:tcBorders>
          </w:tcPr>
          <w:p w14:paraId="037DB738" w14:textId="77777777" w:rsidR="00942161" w:rsidRPr="004C02F0" w:rsidRDefault="00942161" w:rsidP="004C02F0">
            <w:pPr>
              <w:spacing w:before="0"/>
            </w:pPr>
          </w:p>
        </w:tc>
        <w:tc>
          <w:tcPr>
            <w:tcW w:w="1666" w:type="pct"/>
            <w:tcBorders>
              <w:top w:val="single" w:sz="4" w:space="0" w:color="auto"/>
              <w:left w:val="nil"/>
              <w:bottom w:val="nil"/>
              <w:right w:val="nil"/>
            </w:tcBorders>
          </w:tcPr>
          <w:p w14:paraId="08EA7F7E" w14:textId="77777777" w:rsidR="00942161" w:rsidRPr="004C02F0" w:rsidRDefault="00942161" w:rsidP="004C02F0">
            <w:pPr>
              <w:spacing w:before="0"/>
            </w:pPr>
          </w:p>
        </w:tc>
        <w:tc>
          <w:tcPr>
            <w:tcW w:w="167" w:type="pct"/>
            <w:tcBorders>
              <w:top w:val="nil"/>
              <w:left w:val="nil"/>
              <w:bottom w:val="nil"/>
              <w:right w:val="single" w:sz="4" w:space="0" w:color="auto"/>
            </w:tcBorders>
          </w:tcPr>
          <w:p w14:paraId="2729B554" w14:textId="77777777" w:rsidR="00942161" w:rsidRPr="004C02F0" w:rsidRDefault="00942161" w:rsidP="004C02F0">
            <w:pPr>
              <w:spacing w:before="0"/>
            </w:pPr>
          </w:p>
        </w:tc>
        <w:tc>
          <w:tcPr>
            <w:tcW w:w="750" w:type="pct"/>
            <w:tcBorders>
              <w:left w:val="single" w:sz="4" w:space="0" w:color="auto"/>
            </w:tcBorders>
            <w:shd w:val="clear" w:color="auto" w:fill="EDF8F9"/>
          </w:tcPr>
          <w:p w14:paraId="061E25F8" w14:textId="77777777" w:rsidR="00942161" w:rsidRPr="004C02F0" w:rsidRDefault="00942161" w:rsidP="004C02F0">
            <w:pPr>
              <w:spacing w:before="0"/>
              <w:jc w:val="center"/>
              <w:rPr>
                <w:b/>
                <w:bCs/>
                <w:color w:val="007577"/>
              </w:rPr>
            </w:pPr>
            <w:r w:rsidRPr="004C02F0">
              <w:rPr>
                <w:b/>
                <w:bCs/>
                <w:color w:val="007577"/>
              </w:rPr>
              <w:t>N</w:t>
            </w:r>
          </w:p>
        </w:tc>
        <w:tc>
          <w:tcPr>
            <w:tcW w:w="1667" w:type="pct"/>
          </w:tcPr>
          <w:p w14:paraId="4DA35563" w14:textId="77777777" w:rsidR="00942161" w:rsidRPr="004C02F0" w:rsidRDefault="00942161" w:rsidP="004C02F0">
            <w:pPr>
              <w:spacing w:before="0"/>
            </w:pPr>
            <w:r w:rsidRPr="004C02F0">
              <w:t>Not otherwise classified</w:t>
            </w:r>
          </w:p>
        </w:tc>
      </w:tr>
    </w:tbl>
    <w:p w14:paraId="363656E8" w14:textId="6B9DA57D" w:rsidR="00942161" w:rsidRDefault="00942161" w:rsidP="00E515ED">
      <w:pPr>
        <w:pStyle w:val="FootnoteText"/>
        <w:ind w:left="142" w:hanging="142"/>
      </w:pPr>
      <w:r>
        <w:t>*</w:t>
      </w:r>
      <w:r w:rsidR="004C51B3">
        <w:tab/>
      </w:r>
      <w:r>
        <w:t>Heavy menstrual bleeding is the most common type of abnormal uterine bleeding. Other types include intermenstrual bleeding and post</w:t>
      </w:r>
      <w:r>
        <w:rPr>
          <w:rFonts w:ascii="Cambria Math" w:hAnsi="Cambria Math" w:cs="Cambria Math"/>
        </w:rPr>
        <w:t>‑</w:t>
      </w:r>
      <w:r>
        <w:t>coital bleeding.</w:t>
      </w:r>
    </w:p>
    <w:p w14:paraId="60D4B2A7" w14:textId="4273E149" w:rsidR="00942161" w:rsidRDefault="00942161" w:rsidP="00942161">
      <w:pPr>
        <w:pStyle w:val="Heading2"/>
      </w:pPr>
      <w:r>
        <w:t>2</w:t>
      </w:r>
      <w:r w:rsidR="00B550A7">
        <w:t xml:space="preserve">. </w:t>
      </w:r>
      <w:r>
        <w:t>Informed choice and shared decision making</w:t>
      </w:r>
    </w:p>
    <w:p w14:paraId="5AD6A28F" w14:textId="77777777" w:rsidR="00942161" w:rsidRDefault="00942161" w:rsidP="00942161">
      <w:pPr>
        <w:pStyle w:val="NormalIntroBold"/>
      </w:pPr>
      <w:r>
        <w:t>A woman with heavy menstrual bleeding is informed about her treatment options and their potential benefits and risks. She is supported to participate in shared decision making based on her preferences, priorities and clinical situation.</w:t>
      </w:r>
    </w:p>
    <w:p w14:paraId="77272562" w14:textId="190D99F4" w:rsidR="00942161" w:rsidRDefault="00942161" w:rsidP="00942161">
      <w:r>
        <w:t>Shared decision making enables individuals’ preferences and priorities to be considered alongside the best available evidence. It can lead to improved satisfaction and better</w:t>
      </w:r>
      <w:r>
        <w:rPr>
          <w:rFonts w:ascii="Cambria Math" w:hAnsi="Cambria Math" w:cs="Cambria Math"/>
        </w:rPr>
        <w:t>‑</w:t>
      </w:r>
      <w:r>
        <w:t>quality decisions. To</w:t>
      </w:r>
      <w:r w:rsidR="00875AAA">
        <w:t> </w:t>
      </w:r>
      <w:r>
        <w:t>support informed choice and shared decision making:</w:t>
      </w:r>
    </w:p>
    <w:p w14:paraId="33D20DD9" w14:textId="77777777" w:rsidR="00942161" w:rsidRDefault="00942161" w:rsidP="001963F8">
      <w:pPr>
        <w:pStyle w:val="ListParagraph"/>
        <w:numPr>
          <w:ilvl w:val="0"/>
          <w:numId w:val="58"/>
        </w:numPr>
      </w:pPr>
      <w:r>
        <w:t xml:space="preserve">Discuss the patient’s condition, their treatment options and the benefits, risks and probable outcomes of </w:t>
      </w:r>
      <w:r w:rsidRPr="001963F8">
        <w:t>possible</w:t>
      </w:r>
      <w:r>
        <w:t xml:space="preserve"> treatments, including side effects and complications, and the possibility of treatment failure</w:t>
      </w:r>
    </w:p>
    <w:p w14:paraId="1C6A1161" w14:textId="77777777" w:rsidR="00942161" w:rsidRDefault="00942161" w:rsidP="001963F8">
      <w:pPr>
        <w:pStyle w:val="ListParagraph"/>
        <w:numPr>
          <w:ilvl w:val="0"/>
          <w:numId w:val="58"/>
        </w:numPr>
      </w:pPr>
      <w:r>
        <w:t>Discuss the patient’s treatment goals and their preferences and priorities, including desire for pregnancy and/or future fertility</w:t>
      </w:r>
    </w:p>
    <w:p w14:paraId="2C297E05" w14:textId="77777777" w:rsidR="00942161" w:rsidRDefault="00942161" w:rsidP="001963F8">
      <w:pPr>
        <w:pStyle w:val="ListParagraph"/>
        <w:numPr>
          <w:ilvl w:val="0"/>
          <w:numId w:val="58"/>
        </w:numPr>
      </w:pPr>
      <w:r>
        <w:t>Provide high</w:t>
      </w:r>
      <w:r w:rsidRPr="001963F8">
        <w:rPr>
          <w:rFonts w:ascii="Cambria Math" w:hAnsi="Cambria Math" w:cs="Cambria Math"/>
        </w:rPr>
        <w:t>‑</w:t>
      </w:r>
      <w:r>
        <w:t xml:space="preserve">quality patient information in the most appropriate format based on their needs and </w:t>
      </w:r>
      <w:r w:rsidRPr="001963F8">
        <w:t>preferences</w:t>
      </w:r>
      <w:r>
        <w:t>, for example, a fact sheet or link to a website</w:t>
      </w:r>
    </w:p>
    <w:p w14:paraId="4ED4601B" w14:textId="77777777" w:rsidR="00942161" w:rsidRPr="001963F8" w:rsidRDefault="00942161" w:rsidP="001963F8">
      <w:pPr>
        <w:pStyle w:val="ListParagraph"/>
        <w:numPr>
          <w:ilvl w:val="0"/>
          <w:numId w:val="58"/>
        </w:numPr>
        <w:rPr>
          <w:spacing w:val="6"/>
        </w:rPr>
      </w:pPr>
      <w:r>
        <w:t>Consider the use of</w:t>
      </w:r>
      <w:r w:rsidRPr="001963F8">
        <w:rPr>
          <w:spacing w:val="6"/>
        </w:rPr>
        <w:t xml:space="preserve"> decision aids to systematically address options and support informed </w:t>
      </w:r>
      <w:r w:rsidRPr="001963F8">
        <w:t>choice</w:t>
      </w:r>
    </w:p>
    <w:p w14:paraId="70395ED5" w14:textId="3E4FD480" w:rsidR="00C5035E" w:rsidRDefault="00942161" w:rsidP="00942161">
      <w:pPr>
        <w:pStyle w:val="ListParagraph"/>
        <w:numPr>
          <w:ilvl w:val="0"/>
          <w:numId w:val="58"/>
        </w:numPr>
      </w:pPr>
      <w:r w:rsidRPr="001963F8">
        <w:t>Accept</w:t>
      </w:r>
      <w:r>
        <w:t xml:space="preserve"> and acknowledge that the patient’s informed view on the balance of benefits, risks and probable outcomes of treatments may differ from yours as a healthcare professional. </w:t>
      </w:r>
    </w:p>
    <w:p w14:paraId="320652A3" w14:textId="77777777" w:rsidR="00C5035E" w:rsidRDefault="00C5035E" w:rsidP="00C5035E">
      <w:pPr>
        <w:keepNext/>
        <w:spacing w:before="360"/>
      </w:pPr>
      <w:r w:rsidRPr="008E2E35">
        <w:rPr>
          <w:noProof/>
        </w:rPr>
        <w:drawing>
          <wp:inline distT="0" distB="0" distL="0" distR="0" wp14:anchorId="379CF9FA" wp14:editId="1C2EBF98">
            <wp:extent cx="6120130" cy="178132"/>
            <wp:effectExtent l="0" t="0" r="0" b="0"/>
            <wp:docPr id="201376413" name="Picture 201376413"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8"/>
                    <a:stretch>
                      <a:fillRect/>
                    </a:stretch>
                  </pic:blipFill>
                  <pic:spPr>
                    <a:xfrm>
                      <a:off x="0" y="0"/>
                      <a:ext cx="6120130" cy="178132"/>
                    </a:xfrm>
                    <a:prstGeom prst="rect">
                      <a:avLst/>
                    </a:prstGeom>
                  </pic:spPr>
                </pic:pic>
              </a:graphicData>
            </a:graphic>
          </wp:inline>
        </w:drawing>
      </w:r>
    </w:p>
    <w:p w14:paraId="16503B1A" w14:textId="57F86B4D" w:rsidR="00942161" w:rsidRDefault="00942161" w:rsidP="00942161">
      <w:pPr>
        <w:pStyle w:val="Heading3"/>
      </w:pPr>
      <w:r>
        <w:t>Cultural safety and equity</w:t>
      </w:r>
    </w:p>
    <w:p w14:paraId="1EF80B12" w14:textId="77777777" w:rsidR="00942161" w:rsidRDefault="00942161" w:rsidP="004B61FB">
      <w:pPr>
        <w:pStyle w:val="ListParagraph"/>
        <w:numPr>
          <w:ilvl w:val="0"/>
          <w:numId w:val="59"/>
        </w:numPr>
      </w:pPr>
      <w:proofErr w:type="spellStart"/>
      <w:r>
        <w:t>Recognise</w:t>
      </w:r>
      <w:proofErr w:type="spellEnd"/>
      <w:r>
        <w:t xml:space="preserve"> the woman’s </w:t>
      </w:r>
      <w:r w:rsidRPr="004B61FB">
        <w:t>personal</w:t>
      </w:r>
      <w:r>
        <w:t xml:space="preserve"> and cultural beliefs which may influence decisions about investigations and treatments for heavy menstrual bleeding.</w:t>
      </w:r>
    </w:p>
    <w:p w14:paraId="2CCD74FA" w14:textId="77777777" w:rsidR="00942161" w:rsidRDefault="00942161" w:rsidP="004B61FB">
      <w:pPr>
        <w:pStyle w:val="ListParagraph"/>
        <w:numPr>
          <w:ilvl w:val="0"/>
          <w:numId w:val="59"/>
        </w:numPr>
      </w:pPr>
      <w:r>
        <w:t xml:space="preserve">Ensure that the information and education you provide is culturally appropriate and culturally safe. </w:t>
      </w:r>
    </w:p>
    <w:p w14:paraId="610D6094" w14:textId="77777777" w:rsidR="00942161" w:rsidRPr="004B61FB" w:rsidRDefault="00942161" w:rsidP="004B61FB">
      <w:pPr>
        <w:pStyle w:val="ListParagraph"/>
        <w:numPr>
          <w:ilvl w:val="0"/>
          <w:numId w:val="59"/>
        </w:numPr>
      </w:pPr>
      <w:r>
        <w:t>Use an interpreter if needed and provide written information in the patient’s preferred language. Consider whether any aids are needed (for example, visual resources such as videos or flip charts).</w:t>
      </w:r>
    </w:p>
    <w:p w14:paraId="593EEBB9" w14:textId="77777777" w:rsidR="00942161" w:rsidRDefault="00942161" w:rsidP="004B61FB">
      <w:pPr>
        <w:pStyle w:val="ListParagraph"/>
        <w:numPr>
          <w:ilvl w:val="0"/>
          <w:numId w:val="59"/>
        </w:numPr>
      </w:pPr>
      <w:r>
        <w:lastRenderedPageBreak/>
        <w:t xml:space="preserve">Offer women access to culturally appropriate services such as those offered through, or in partnership with, Aboriginal Community Controlled Health </w:t>
      </w:r>
      <w:proofErr w:type="spellStart"/>
      <w:r>
        <w:t>Organisations</w:t>
      </w:r>
      <w:proofErr w:type="spellEnd"/>
      <w:r>
        <w:t xml:space="preserve"> or Aboriginal and </w:t>
      </w:r>
      <w:r w:rsidRPr="004B61FB">
        <w:t>Torres</w:t>
      </w:r>
      <w:r>
        <w:t xml:space="preserve"> Strait Islander health and medical services.</w:t>
      </w:r>
    </w:p>
    <w:p w14:paraId="18144D67" w14:textId="77777777" w:rsidR="00A22B9A" w:rsidRDefault="00942161" w:rsidP="00A22B9A">
      <w:pPr>
        <w:pStyle w:val="ListParagraph"/>
        <w:numPr>
          <w:ilvl w:val="0"/>
          <w:numId w:val="59"/>
        </w:numPr>
      </w:pPr>
      <w:r>
        <w:t>Attend cultural safety training provided by your healthcare service or professional organisation.</w:t>
      </w:r>
    </w:p>
    <w:p w14:paraId="177F14C8" w14:textId="70AF81D2" w:rsidR="00942161" w:rsidRPr="00A22B9A" w:rsidRDefault="00942161" w:rsidP="00A22B9A">
      <w:pPr>
        <w:pStyle w:val="ListParagraph"/>
        <w:numPr>
          <w:ilvl w:val="0"/>
          <w:numId w:val="59"/>
        </w:numPr>
      </w:pPr>
      <w:r>
        <w:t>Recognise that women with disability have the same health care rights as women without disability, including the right to be offered the same options and to be involved in decisions about their care. As for any patient, consider any specific communication needs, and their decision</w:t>
      </w:r>
      <w:r w:rsidRPr="00A22B9A">
        <w:rPr>
          <w:rFonts w:ascii="Cambria Math" w:hAnsi="Cambria Math" w:cs="Cambria Math"/>
        </w:rPr>
        <w:t>‑</w:t>
      </w:r>
      <w:r>
        <w:t>making capability. If needed, make reasonable adjustments to support their understanding and facilitate their involvement in decision</w:t>
      </w:r>
      <w:r w:rsidRPr="00A22B9A">
        <w:rPr>
          <w:rFonts w:ascii="Cambria Math" w:hAnsi="Cambria Math" w:cs="Cambria Math"/>
        </w:rPr>
        <w:t>‑</w:t>
      </w:r>
      <w:r>
        <w:t>making, even for women with a nominated substitute decision</w:t>
      </w:r>
      <w:r w:rsidRPr="00A22B9A">
        <w:rPr>
          <w:rFonts w:ascii="Cambria Math" w:hAnsi="Cambria Math" w:cs="Cambria Math"/>
        </w:rPr>
        <w:t>‑</w:t>
      </w:r>
      <w:r>
        <w:t>maker. Assess whether a multidisciplinary approach is required.</w:t>
      </w:r>
      <w:r w:rsidRPr="00A22B9A">
        <w:rPr>
          <w:b/>
          <w:bCs/>
          <w:color w:val="C90C88"/>
          <w:sz w:val="32"/>
          <w:szCs w:val="32"/>
        </w:rPr>
        <w:t xml:space="preserve"> </w:t>
      </w:r>
    </w:p>
    <w:p w14:paraId="014D068A" w14:textId="5CEB5F80" w:rsidR="00942161" w:rsidRDefault="00942161" w:rsidP="00942161">
      <w:pPr>
        <w:pStyle w:val="Heading2"/>
      </w:pPr>
      <w:r>
        <w:t>3</w:t>
      </w:r>
      <w:r w:rsidR="004B357F">
        <w:t xml:space="preserve">. </w:t>
      </w:r>
      <w:bookmarkStart w:id="3" w:name="IMM"/>
      <w:r>
        <w:t>Initiating medical management</w:t>
      </w:r>
      <w:bookmarkEnd w:id="3"/>
    </w:p>
    <w:p w14:paraId="0300935C" w14:textId="77777777" w:rsidR="00942161" w:rsidRDefault="00942161" w:rsidP="00942161">
      <w:pPr>
        <w:pStyle w:val="NormalIntroBold"/>
      </w:pPr>
      <w:r>
        <w:t>A woman presenting with heavy menstrual bleeding is offered medical management, taking into account evidence</w:t>
      </w:r>
      <w:r>
        <w:rPr>
          <w:rFonts w:ascii="Cambria Math" w:hAnsi="Cambria Math" w:cs="Cambria Math"/>
        </w:rPr>
        <w:t>‑</w:t>
      </w:r>
      <w:r>
        <w:t xml:space="preserve">based guidelines, her individual needs and preferences and any associated symptoms. Oral treatment is offered at first presentation when clinically appropriate, including when a woman is undergoing further investigation or waiting for other treatment. </w:t>
      </w:r>
    </w:p>
    <w:p w14:paraId="4821DEE1" w14:textId="77777777" w:rsidR="00942161" w:rsidRDefault="00942161" w:rsidP="00942161">
      <w:r>
        <w:t>Consider medical management of heavy menstrual bleeding before more invasive treatment options. In the absence of significant pathology, many patients with heavy menstrual bleeding may be effectively managed with medical therapy alone.</w:t>
      </w:r>
    </w:p>
    <w:p w14:paraId="56703464" w14:textId="77777777" w:rsidR="00942161" w:rsidRDefault="00942161" w:rsidP="00942161">
      <w:r>
        <w:t>Discuss the medical options available, including hormonal and non</w:t>
      </w:r>
      <w:r>
        <w:rPr>
          <w:rFonts w:ascii="Cambria Math" w:hAnsi="Cambria Math" w:cs="Cambria Math"/>
        </w:rPr>
        <w:t>‑</w:t>
      </w:r>
      <w:r>
        <w:t xml:space="preserve">hormonal therapy and explain what to expect from each, including benefits, risks and probable outcomes. The choice of therapy will be influenced by the woman’s preferences and priorities, including her need for contraception, the cause(s) of bleeding, coexisting conditions, and associated symptoms requiring further investigation, including pressure and pain. Medical options include: </w:t>
      </w:r>
    </w:p>
    <w:p w14:paraId="2996B8F8" w14:textId="77777777" w:rsidR="00942161" w:rsidRDefault="00942161" w:rsidP="007704C1">
      <w:pPr>
        <w:pStyle w:val="ListParagraph"/>
        <w:numPr>
          <w:ilvl w:val="0"/>
          <w:numId w:val="60"/>
        </w:numPr>
      </w:pPr>
      <w:r>
        <w:t>Non</w:t>
      </w:r>
      <w:r w:rsidRPr="007704C1">
        <w:rPr>
          <w:rFonts w:ascii="Cambria Math" w:hAnsi="Cambria Math" w:cs="Cambria Math"/>
        </w:rPr>
        <w:t>‑</w:t>
      </w:r>
      <w:r>
        <w:t xml:space="preserve">hormonal options, including tranexamic acid (an </w:t>
      </w:r>
      <w:r>
        <w:rPr>
          <w:rStyle w:val="Emphasis"/>
        </w:rPr>
        <w:t xml:space="preserve">antifibrinolytic) </w:t>
      </w:r>
      <w:r>
        <w:t>and non</w:t>
      </w:r>
      <w:r w:rsidRPr="007704C1">
        <w:rPr>
          <w:rFonts w:ascii="Cambria Math" w:hAnsi="Cambria Math" w:cs="Cambria Math"/>
        </w:rPr>
        <w:t>‑</w:t>
      </w:r>
      <w:r>
        <w:t>steroidal anti</w:t>
      </w:r>
      <w:r w:rsidRPr="007704C1">
        <w:rPr>
          <w:rFonts w:ascii="Cambria Math" w:hAnsi="Cambria Math" w:cs="Cambria Math"/>
        </w:rPr>
        <w:t>‑</w:t>
      </w:r>
      <w:r>
        <w:t>inflammatory drugs (</w:t>
      </w:r>
      <w:r w:rsidRPr="007704C1">
        <w:t>NSAIDs</w:t>
      </w:r>
      <w:r>
        <w:t>) such as ibuprofen, mefenamic acid or naproxen, which reduce blood flow and/or provide analgesia during menstruation</w:t>
      </w:r>
    </w:p>
    <w:p w14:paraId="1642D75D" w14:textId="2219B842" w:rsidR="00942161" w:rsidRDefault="00942161" w:rsidP="007704C1">
      <w:pPr>
        <w:pStyle w:val="ListParagraph"/>
        <w:numPr>
          <w:ilvl w:val="0"/>
          <w:numId w:val="60"/>
        </w:numPr>
      </w:pPr>
      <w:r>
        <w:t xml:space="preserve">Hormonal options, including combined oral contraceptives, oral progestogens or depot medroxyprogesterone; </w:t>
      </w:r>
      <w:r w:rsidRPr="007704C1">
        <w:t>oral</w:t>
      </w:r>
      <w:r>
        <w:t xml:space="preserve"> hormones may be taken intermittently (during a menstrual cycle) or continuously after discussion of issues, implications for contraception and side</w:t>
      </w:r>
      <w:r w:rsidR="007704C1">
        <w:t> </w:t>
      </w:r>
      <w:r>
        <w:t>effects</w:t>
      </w:r>
    </w:p>
    <w:p w14:paraId="283C7333" w14:textId="1A0C14FF" w:rsidR="00942161" w:rsidRDefault="00942161" w:rsidP="007704C1">
      <w:pPr>
        <w:pStyle w:val="ListParagraph"/>
        <w:numPr>
          <w:ilvl w:val="0"/>
          <w:numId w:val="60"/>
        </w:numPr>
      </w:pPr>
      <w:r>
        <w:t>A 52 mg levonorgestrel</w:t>
      </w:r>
      <w:r w:rsidRPr="007704C1">
        <w:rPr>
          <w:rFonts w:ascii="Cambria Math" w:hAnsi="Cambria Math" w:cs="Cambria Math"/>
        </w:rPr>
        <w:t>‑</w:t>
      </w:r>
      <w:r>
        <w:t>releasing intrauterine device (LNG</w:t>
      </w:r>
      <w:r w:rsidRPr="007704C1">
        <w:rPr>
          <w:rFonts w:ascii="Cambria Math" w:hAnsi="Cambria Math" w:cs="Cambria Math"/>
        </w:rPr>
        <w:t>‑</w:t>
      </w:r>
      <w:r>
        <w:t>IUD), which is currently the most effective medical therapy for heavy menstrual bleeding in women without significant pathology, in addition to its contraceptive action (see Quality statement 5 –</w:t>
      </w:r>
      <w:r w:rsidR="00DF7D7A">
        <w:t xml:space="preserve"> </w:t>
      </w:r>
      <w:r w:rsidR="00DF7D7A" w:rsidRPr="00DF7D7A">
        <w:rPr>
          <w:rStyle w:val="Cross-references"/>
        </w:rPr>
        <w:fldChar w:fldCharType="begin"/>
      </w:r>
      <w:r w:rsidR="00DF7D7A" w:rsidRPr="00DF7D7A">
        <w:rPr>
          <w:rStyle w:val="Cross-references"/>
        </w:rPr>
        <w:instrText xml:space="preserve"> REF IHD \h </w:instrText>
      </w:r>
      <w:r w:rsidR="00DF7D7A" w:rsidRPr="00DF7D7A">
        <w:rPr>
          <w:rStyle w:val="Cross-references"/>
        </w:rPr>
      </w:r>
      <w:r w:rsidR="00DF7D7A" w:rsidRPr="00DF7D7A">
        <w:rPr>
          <w:rStyle w:val="Cross-references"/>
        </w:rPr>
        <w:instrText xml:space="preserve"> \* MERGEFORMAT </w:instrText>
      </w:r>
      <w:r w:rsidR="00DF7D7A" w:rsidRPr="00DF7D7A">
        <w:rPr>
          <w:rStyle w:val="Cross-references"/>
        </w:rPr>
        <w:fldChar w:fldCharType="separate"/>
      </w:r>
      <w:r w:rsidR="00DF7D7A" w:rsidRPr="00DF7D7A">
        <w:rPr>
          <w:rStyle w:val="Cross-references"/>
        </w:rPr>
        <w:t>Intrauterine</w:t>
      </w:r>
      <w:r w:rsidR="00DF7D7A" w:rsidRPr="00DF7D7A">
        <w:rPr>
          <w:rStyle w:val="Cross-references"/>
        </w:rPr>
        <w:t xml:space="preserve"> </w:t>
      </w:r>
      <w:r w:rsidR="00DF7D7A" w:rsidRPr="00DF7D7A">
        <w:rPr>
          <w:rStyle w:val="Cross-references"/>
        </w:rPr>
        <w:t>hormonal devices</w:t>
      </w:r>
      <w:r w:rsidR="00DF7D7A" w:rsidRPr="00DF7D7A">
        <w:rPr>
          <w:rStyle w:val="Cross-references"/>
        </w:rPr>
        <w:fldChar w:fldCharType="end"/>
      </w:r>
      <w:r>
        <w:t>).</w:t>
      </w:r>
    </w:p>
    <w:p w14:paraId="321C22E7" w14:textId="77777777" w:rsidR="00942161" w:rsidRDefault="00942161" w:rsidP="00942161">
      <w:r>
        <w:t xml:space="preserve">When clinically appropriate, offer initial oral treatment such as tranexamic acid and/or NSAIDs at first presentation to relieve </w:t>
      </w:r>
      <w:proofErr w:type="spellStart"/>
      <w:r>
        <w:t>sytmptoms</w:t>
      </w:r>
      <w:proofErr w:type="spellEnd"/>
      <w:r>
        <w:t xml:space="preserve"> and limit complications (for example, from iron deficiency) if the patient’s preferred treatment option is not immediately apparent or available, when further investigations are recommended, or the patient needs to wait for further appointments (for example, for insertion of the LNG</w:t>
      </w:r>
      <w:r>
        <w:rPr>
          <w:rFonts w:ascii="Cambria Math" w:hAnsi="Cambria Math" w:cs="Cambria Math"/>
        </w:rPr>
        <w:t>‑</w:t>
      </w:r>
      <w:r>
        <w:t>IUD).</w:t>
      </w:r>
    </w:p>
    <w:p w14:paraId="7C73B44F" w14:textId="77777777" w:rsidR="00942161" w:rsidRDefault="00942161" w:rsidP="00942161">
      <w:r>
        <w:t>Support patients to participate in shared decision making about their treatment options.</w:t>
      </w:r>
    </w:p>
    <w:p w14:paraId="7DD923F8" w14:textId="77777777" w:rsidR="00942161" w:rsidRDefault="00942161" w:rsidP="00942161">
      <w:r>
        <w:t>Advise patients they should return for review if their initial chosen treatment option is unsatisfactory.</w:t>
      </w:r>
    </w:p>
    <w:p w14:paraId="0E45E93E" w14:textId="77777777" w:rsidR="00942161" w:rsidRDefault="00942161" w:rsidP="00942161">
      <w:r>
        <w:lastRenderedPageBreak/>
        <w:t xml:space="preserve">Refer to Therapeutic Guidelines, the </w:t>
      </w:r>
      <w:r>
        <w:rPr>
          <w:rStyle w:val="Emphasis"/>
        </w:rPr>
        <w:t>Australian Medicines Handbook</w:t>
      </w:r>
      <w:r>
        <w:t xml:space="preserve"> or clinical guidelines for information regarding efficacy, contraindications, adverse effects and treatment regimens. </w:t>
      </w:r>
    </w:p>
    <w:p w14:paraId="2B11A4A6" w14:textId="407CC77F" w:rsidR="00942161" w:rsidRDefault="00942161" w:rsidP="00942161">
      <w:pPr>
        <w:pStyle w:val="Heading2"/>
      </w:pPr>
      <w:r>
        <w:t>4</w:t>
      </w:r>
      <w:r w:rsidR="0010115C">
        <w:t xml:space="preserve">. </w:t>
      </w:r>
      <w:r>
        <w:t>Quality ultrasound</w:t>
      </w:r>
    </w:p>
    <w:p w14:paraId="5EE645D3" w14:textId="77777777" w:rsidR="00942161" w:rsidRDefault="00942161" w:rsidP="00942161">
      <w:pPr>
        <w:pStyle w:val="NormalIntroBold"/>
      </w:pPr>
      <w:r>
        <w:t>When a woman requires an ultrasound to investigate the cause of her heavy menstrual bleeding, she is offered a pelvic (preferably transvaginal) ultrasound, which assesses all pelvic structures, including the uterus and endometrium, and is ideally performed in days 5–10 of her menstrual cycle.</w:t>
      </w:r>
    </w:p>
    <w:p w14:paraId="4311A178" w14:textId="77777777" w:rsidR="00942161" w:rsidRDefault="00942161" w:rsidP="00942161">
      <w:r>
        <w:t>Based on the initial assessment, an ultrasound may be required to investigate structural causes of heavy menstrual bleeding, such as in patients:</w:t>
      </w:r>
    </w:p>
    <w:p w14:paraId="166C4F10" w14:textId="77777777" w:rsidR="00942161" w:rsidRDefault="00942161" w:rsidP="0010115C">
      <w:pPr>
        <w:pStyle w:val="ListParagraph"/>
        <w:numPr>
          <w:ilvl w:val="0"/>
          <w:numId w:val="61"/>
        </w:numPr>
      </w:pPr>
      <w:r>
        <w:t xml:space="preserve">With an increased risk of </w:t>
      </w:r>
      <w:r w:rsidRPr="0010115C">
        <w:t>malignancy</w:t>
      </w:r>
      <w:r>
        <w:t xml:space="preserve"> based on history (for example, risk factors such as older age, personal or family history of endometrial or colorectal cancer, use of unopposed </w:t>
      </w:r>
      <w:proofErr w:type="spellStart"/>
      <w:r>
        <w:t>oestrogen</w:t>
      </w:r>
      <w:proofErr w:type="spellEnd"/>
      <w:r>
        <w:t xml:space="preserve"> or tamoxifen, obesity, young age at menarche or older age at menopause, nulliparity, diabetes or endometrial hyperplasia)</w:t>
      </w:r>
    </w:p>
    <w:p w14:paraId="5421E3D1" w14:textId="77777777" w:rsidR="00942161" w:rsidRDefault="00942161" w:rsidP="0010115C">
      <w:pPr>
        <w:pStyle w:val="ListParagraph"/>
        <w:numPr>
          <w:ilvl w:val="0"/>
          <w:numId w:val="61"/>
        </w:numPr>
      </w:pPr>
      <w:r>
        <w:t xml:space="preserve">With features suggestive of </w:t>
      </w:r>
      <w:r w:rsidRPr="0010115C">
        <w:t>pathology</w:t>
      </w:r>
      <w:r>
        <w:t xml:space="preserve"> on examination (for example, an enlarged or irregular uterus, suggesting fibroids)</w:t>
      </w:r>
    </w:p>
    <w:p w14:paraId="332D9BF3" w14:textId="77777777" w:rsidR="00942161" w:rsidRDefault="00942161" w:rsidP="0010115C">
      <w:pPr>
        <w:pStyle w:val="ListParagraph"/>
        <w:numPr>
          <w:ilvl w:val="0"/>
          <w:numId w:val="61"/>
        </w:numPr>
      </w:pPr>
      <w:r>
        <w:t xml:space="preserve">With symptoms such as </w:t>
      </w:r>
      <w:r w:rsidRPr="0010115C">
        <w:t>deep</w:t>
      </w:r>
      <w:r>
        <w:t xml:space="preserve"> dyspareunia, severe </w:t>
      </w:r>
      <w:proofErr w:type="spellStart"/>
      <w:r>
        <w:t>dysmenorrhoea</w:t>
      </w:r>
      <w:proofErr w:type="spellEnd"/>
      <w:r>
        <w:t xml:space="preserve"> or secondary heavy menstrual bleeding</w:t>
      </w:r>
    </w:p>
    <w:p w14:paraId="77C476A4" w14:textId="77777777" w:rsidR="00942161" w:rsidRDefault="00942161" w:rsidP="0010115C">
      <w:pPr>
        <w:pStyle w:val="ListParagraph"/>
        <w:numPr>
          <w:ilvl w:val="0"/>
          <w:numId w:val="61"/>
        </w:numPr>
      </w:pPr>
      <w:r>
        <w:t xml:space="preserve">Who have not </w:t>
      </w:r>
      <w:r w:rsidRPr="0010115C">
        <w:t>responded</w:t>
      </w:r>
      <w:r>
        <w:t xml:space="preserve"> to a reasonable duration of medical management.</w:t>
      </w:r>
    </w:p>
    <w:p w14:paraId="470868B7" w14:textId="77777777" w:rsidR="00942161" w:rsidRDefault="00942161" w:rsidP="00942161">
      <w:r>
        <w:t>Whether ultrasound is required prior to insertion of the LNG</w:t>
      </w:r>
      <w:r>
        <w:rPr>
          <w:rFonts w:ascii="Cambria Math" w:hAnsi="Cambria Math" w:cs="Cambria Math"/>
        </w:rPr>
        <w:t>‑</w:t>
      </w:r>
      <w:r>
        <w:t xml:space="preserve">IUD depends on the patient’s age and likelihood of pathology or of structural abnormalities which could influence appropriate positioning of the device. </w:t>
      </w:r>
    </w:p>
    <w:p w14:paraId="28A60721" w14:textId="77777777" w:rsidR="00942161" w:rsidRDefault="00942161" w:rsidP="00942161">
      <w:r>
        <w:t>When ultrasound is indicated, offer transvaginal ultrasound as first</w:t>
      </w:r>
      <w:r>
        <w:rPr>
          <w:rFonts w:ascii="Cambria Math" w:hAnsi="Cambria Math" w:cs="Cambria Math"/>
        </w:rPr>
        <w:t>‑</w:t>
      </w:r>
      <w:r>
        <w:t>line imaging to allow a more detailed assessment of the pelvic structures, including the uterus and endometrium. Transvaginal ultrasound is usually performed in conjunction with a transabdominal ultrasound.</w:t>
      </w:r>
    </w:p>
    <w:p w14:paraId="046C3DE1" w14:textId="77777777" w:rsidR="00942161" w:rsidRDefault="00942161" w:rsidP="00942161">
      <w:r>
        <w:t>Before a transvaginal ultrasound is conducted or requested, the patient should be advised about how it will be performed so they have the opportunity to decline. If transvaginal ultrasound is inappropriate, or the woman chooses not to have it, then offer transabdominal ultrasound alone; referring clinicians should note this on the request form. Transvaginal ultrasound may be inappropriate, for example, for non</w:t>
      </w:r>
      <w:r>
        <w:rPr>
          <w:rFonts w:ascii="Cambria Math" w:hAnsi="Cambria Math" w:cs="Cambria Math"/>
        </w:rPr>
        <w:t>‑</w:t>
      </w:r>
      <w:r>
        <w:t>sexually active adolescents and women, women with a history of sexual assault, women with an experience of birth trauma, or women who decline for cultural reasons.</w:t>
      </w:r>
    </w:p>
    <w:p w14:paraId="478E9FC1" w14:textId="77777777" w:rsidR="00942161" w:rsidRDefault="00942161" w:rsidP="00942161">
      <w:r>
        <w:t>Sonographers and sonologists should ensure that patients provide informed consent in relation to ultrasound.</w:t>
      </w:r>
    </w:p>
    <w:p w14:paraId="45937FBC" w14:textId="77777777" w:rsidR="00942161" w:rsidRDefault="00942161" w:rsidP="00942161">
      <w:r>
        <w:t>When referring for ultrasound, request that it be performed on days 5–10 of the menstrual cycle. This allows the most accurate measurement of endometrial thickness which is used in risk assessment for endometrial hyperplasia and malignancy and improves detection of polyps. Bear in mind that it may be difficult for some women to arrange an ultrasound at this time (for example, those with unpredictable or irregular cycles and those in areas with limited access to imaging services). When referring, communicate requirements to support appropriate access. Offer initial oral treatment where clinically appropriate to relieve symptoms and limit complications while the woman is waiting for an appointment.</w:t>
      </w:r>
    </w:p>
    <w:p w14:paraId="46983A38" w14:textId="77777777" w:rsidR="00942161" w:rsidRDefault="00942161" w:rsidP="00942161"/>
    <w:p w14:paraId="58FE57E6" w14:textId="63915D44" w:rsidR="00942161" w:rsidRDefault="00942161" w:rsidP="00942161">
      <w:pPr>
        <w:pStyle w:val="Heading2"/>
      </w:pPr>
      <w:r>
        <w:lastRenderedPageBreak/>
        <w:t>5</w:t>
      </w:r>
      <w:r w:rsidR="006626CC">
        <w:t xml:space="preserve">. </w:t>
      </w:r>
      <w:bookmarkStart w:id="4" w:name="IHD"/>
      <w:r>
        <w:t>Intrauterine</w:t>
      </w:r>
      <w:r w:rsidR="006626CC">
        <w:t xml:space="preserve"> </w:t>
      </w:r>
      <w:r>
        <w:t>hormonal devices</w:t>
      </w:r>
      <w:bookmarkEnd w:id="4"/>
    </w:p>
    <w:p w14:paraId="307EFF6D" w14:textId="77777777" w:rsidR="00942161" w:rsidRDefault="00942161" w:rsidP="00942161">
      <w:pPr>
        <w:pStyle w:val="NormalIntroBold"/>
      </w:pPr>
      <w:r>
        <w:t>When medical management options are being considered, a woman is offered a 52 mg levonorgestrel</w:t>
      </w:r>
      <w:r>
        <w:rPr>
          <w:rFonts w:ascii="Cambria Math" w:hAnsi="Cambria Math" w:cs="Cambria Math"/>
        </w:rPr>
        <w:t>‑</w:t>
      </w:r>
      <w:r>
        <w:t>releasing intrauterine device if clinically appropriate, as it is currently the most effective medical option for managing heavy menstrual bleeding.</w:t>
      </w:r>
    </w:p>
    <w:p w14:paraId="1319CF84" w14:textId="77777777" w:rsidR="00942161" w:rsidRDefault="00942161" w:rsidP="00942161">
      <w:r>
        <w:t>When considering medical management:</w:t>
      </w:r>
    </w:p>
    <w:p w14:paraId="603AC967" w14:textId="77777777" w:rsidR="00942161" w:rsidRDefault="00942161" w:rsidP="00287D55">
      <w:pPr>
        <w:pStyle w:val="ListParagraph"/>
        <w:numPr>
          <w:ilvl w:val="0"/>
          <w:numId w:val="62"/>
        </w:numPr>
      </w:pPr>
      <w:r>
        <w:t>Offer</w:t>
      </w:r>
      <w:r w:rsidRPr="00287D55">
        <w:rPr>
          <w:spacing w:val="12"/>
        </w:rPr>
        <w:t xml:space="preserve"> </w:t>
      </w:r>
      <w:r>
        <w:t>a 52 mg</w:t>
      </w:r>
      <w:r w:rsidRPr="00287D55">
        <w:rPr>
          <w:spacing w:val="12"/>
        </w:rPr>
        <w:t xml:space="preserve"> </w:t>
      </w:r>
      <w:r>
        <w:t>levonorgestrel</w:t>
      </w:r>
      <w:r w:rsidRPr="00287D55">
        <w:rPr>
          <w:rFonts w:ascii="Cambria Math" w:hAnsi="Cambria Math" w:cs="Cambria Math"/>
        </w:rPr>
        <w:t>‑</w:t>
      </w:r>
      <w:r>
        <w:t>releasing</w:t>
      </w:r>
      <w:r w:rsidRPr="00287D55">
        <w:rPr>
          <w:spacing w:val="12"/>
        </w:rPr>
        <w:t xml:space="preserve"> </w:t>
      </w:r>
      <w:r w:rsidRPr="00287D55">
        <w:rPr>
          <w:spacing w:val="-2"/>
        </w:rPr>
        <w:t>intra</w:t>
      </w:r>
      <w:r>
        <w:t>uterine device (LNG</w:t>
      </w:r>
      <w:r w:rsidRPr="00287D55">
        <w:rPr>
          <w:rFonts w:ascii="Cambria Math" w:hAnsi="Cambria Math" w:cs="Cambria Math"/>
        </w:rPr>
        <w:t>‑</w:t>
      </w:r>
      <w:r>
        <w:t>IUD) to the patient whenever it is clinically suitable – evidence supports the use of the LNG</w:t>
      </w:r>
      <w:r w:rsidRPr="00287D55">
        <w:rPr>
          <w:rFonts w:ascii="Cambria Math" w:hAnsi="Cambria Math" w:cs="Cambria Math"/>
        </w:rPr>
        <w:t>‑</w:t>
      </w:r>
      <w:r>
        <w:t xml:space="preserve">IUD to treat heavy menstrual bleeding in patients </w:t>
      </w:r>
      <w:r w:rsidRPr="00287D55">
        <w:t>without</w:t>
      </w:r>
      <w:r>
        <w:t xml:space="preserve"> malignancy or other significant pathology because it is more effective and provides greater improvements in quality of life compared with other medical treatments</w:t>
      </w:r>
    </w:p>
    <w:p w14:paraId="4A4D5513" w14:textId="77777777" w:rsidR="00942161" w:rsidRDefault="00942161" w:rsidP="00287D55">
      <w:pPr>
        <w:pStyle w:val="ListParagraph"/>
        <w:numPr>
          <w:ilvl w:val="0"/>
          <w:numId w:val="62"/>
        </w:numPr>
      </w:pPr>
      <w:r>
        <w:t>Discuss the benefits and risks of the LNG</w:t>
      </w:r>
      <w:r w:rsidRPr="00287D55">
        <w:rPr>
          <w:rFonts w:ascii="Cambria Math" w:hAnsi="Cambria Math" w:cs="Cambria Math"/>
        </w:rPr>
        <w:t>‑</w:t>
      </w:r>
      <w:r>
        <w:t xml:space="preserve">IUD and explain what to expect, including that it may take </w:t>
      </w:r>
      <w:r w:rsidRPr="00287D55">
        <w:t>three</w:t>
      </w:r>
      <w:r>
        <w:t xml:space="preserve"> to six months or more to experience the full benefit of the treatment (see Therapeutic Guidelines</w:t>
      </w:r>
      <w:r w:rsidRPr="00287D55">
        <w:rPr>
          <w:i/>
          <w:iCs/>
        </w:rPr>
        <w:t xml:space="preserve"> </w:t>
      </w:r>
      <w:r>
        <w:t xml:space="preserve">or </w:t>
      </w:r>
      <w:r>
        <w:rPr>
          <w:rStyle w:val="Emphasis"/>
        </w:rPr>
        <w:t>Australian Medicines Handbook</w:t>
      </w:r>
      <w:r>
        <w:t xml:space="preserve"> for more information)</w:t>
      </w:r>
    </w:p>
    <w:p w14:paraId="13C59FE2" w14:textId="77777777" w:rsidR="00942161" w:rsidRDefault="00942161" w:rsidP="00287D55">
      <w:pPr>
        <w:pStyle w:val="ListParagraph"/>
        <w:numPr>
          <w:ilvl w:val="0"/>
          <w:numId w:val="62"/>
        </w:numPr>
      </w:pPr>
      <w:r>
        <w:t xml:space="preserve">If </w:t>
      </w:r>
      <w:r w:rsidRPr="00287D55">
        <w:t>necessary</w:t>
      </w:r>
      <w:r>
        <w:t>, refer the patient to a trained practitioner for insertion of the LNG</w:t>
      </w:r>
      <w:r w:rsidRPr="00287D55">
        <w:rPr>
          <w:rFonts w:ascii="Cambria Math" w:hAnsi="Cambria Math" w:cs="Cambria Math"/>
        </w:rPr>
        <w:t>‑</w:t>
      </w:r>
      <w:r>
        <w:t>IUD.</w:t>
      </w:r>
    </w:p>
    <w:p w14:paraId="1F935CBF" w14:textId="77777777" w:rsidR="00942161" w:rsidRDefault="00942161" w:rsidP="00942161">
      <w:r>
        <w:t>Consider whether pelvic ultrasound is indicated before or at the same time as inserting the LNG</w:t>
      </w:r>
      <w:r>
        <w:rPr>
          <w:rFonts w:ascii="Cambria Math" w:hAnsi="Cambria Math" w:cs="Cambria Math"/>
        </w:rPr>
        <w:t>‑</w:t>
      </w:r>
      <w:r>
        <w:t xml:space="preserve">IUD, such as when other treatments have not been effective or if the patient has risk factors for gynaecological disease, including age or findings on examination or history. </w:t>
      </w:r>
    </w:p>
    <w:p w14:paraId="7359D557" w14:textId="3DC35D66" w:rsidR="00942161" w:rsidRDefault="00942161" w:rsidP="00942161">
      <w:r>
        <w:t>If the patient requires an ultrasound and/or further assessment before the LNG</w:t>
      </w:r>
      <w:r>
        <w:rPr>
          <w:rFonts w:ascii="Cambria Math" w:hAnsi="Cambria Math" w:cs="Cambria Math"/>
        </w:rPr>
        <w:t>‑</w:t>
      </w:r>
      <w:r>
        <w:t>IUD is inserted, offer initial oral treatment where clinically appropriate to relieve symptoms and limit complications (such as iron deficiency) while they wait. (See Quality statement 3 –</w:t>
      </w:r>
      <w:r w:rsidR="00AC682B">
        <w:t xml:space="preserve"> </w:t>
      </w:r>
      <w:r w:rsidR="00AC682B" w:rsidRPr="00AC682B">
        <w:rPr>
          <w:rStyle w:val="Cross-references"/>
        </w:rPr>
        <w:fldChar w:fldCharType="begin"/>
      </w:r>
      <w:r w:rsidR="00AC682B" w:rsidRPr="00AC682B">
        <w:rPr>
          <w:rStyle w:val="Cross-references"/>
        </w:rPr>
        <w:instrText xml:space="preserve"> REF IMM \h </w:instrText>
      </w:r>
      <w:r w:rsidR="00AC682B" w:rsidRPr="00AC682B">
        <w:rPr>
          <w:rStyle w:val="Cross-references"/>
        </w:rPr>
      </w:r>
      <w:r w:rsidR="00AC682B">
        <w:rPr>
          <w:rStyle w:val="Cross-references"/>
        </w:rPr>
        <w:instrText xml:space="preserve"> \* MERGEFORMAT </w:instrText>
      </w:r>
      <w:r w:rsidR="00AC682B" w:rsidRPr="00AC682B">
        <w:rPr>
          <w:rStyle w:val="Cross-references"/>
        </w:rPr>
        <w:fldChar w:fldCharType="separate"/>
      </w:r>
      <w:r w:rsidR="00AC682B" w:rsidRPr="00AC682B">
        <w:rPr>
          <w:rStyle w:val="Cross-references"/>
        </w:rPr>
        <w:t>Initiating medical management</w:t>
      </w:r>
      <w:r w:rsidR="00AC682B" w:rsidRPr="00AC682B">
        <w:rPr>
          <w:rStyle w:val="Cross-references"/>
        </w:rPr>
        <w:fldChar w:fldCharType="end"/>
      </w:r>
      <w:r>
        <w:t>.)</w:t>
      </w:r>
    </w:p>
    <w:p w14:paraId="1B9BA8BF" w14:textId="5AD6A28F" w:rsidR="00942161" w:rsidRDefault="00942161" w:rsidP="00942161">
      <w:pPr>
        <w:pStyle w:val="Heading2"/>
      </w:pPr>
      <w:r>
        <w:t>6</w:t>
      </w:r>
      <w:r w:rsidR="00A20E0F">
        <w:t xml:space="preserve">. </w:t>
      </w:r>
      <w:r>
        <w:t>Specialist referral</w:t>
      </w:r>
    </w:p>
    <w:p w14:paraId="3DA55A7D" w14:textId="77777777" w:rsidR="00942161" w:rsidRDefault="00942161" w:rsidP="00942161">
      <w:pPr>
        <w:pStyle w:val="NormalIntroBold"/>
      </w:pPr>
      <w:r>
        <w:t>A woman with heavy menstrual bleeding is referred for early specialist review when there is a suspicion of malignancy or other significant pathology based on clinical assessment or ultrasound. Referral is also offered to a woman who has not responded to medical management.</w:t>
      </w:r>
    </w:p>
    <w:p w14:paraId="0B8D429B" w14:textId="77777777" w:rsidR="00942161" w:rsidRDefault="00942161" w:rsidP="00942161">
      <w:r>
        <w:t>From primary care, offer early referral to appropriate specialist care for patients with:</w:t>
      </w:r>
    </w:p>
    <w:p w14:paraId="4540FBF1" w14:textId="77777777" w:rsidR="00942161" w:rsidRPr="0069127B" w:rsidRDefault="00942161" w:rsidP="0069127B">
      <w:pPr>
        <w:pStyle w:val="ListParagraph"/>
        <w:numPr>
          <w:ilvl w:val="0"/>
          <w:numId w:val="63"/>
        </w:numPr>
      </w:pPr>
      <w:r>
        <w:t xml:space="preserve">Suspicious clinical </w:t>
      </w:r>
      <w:r w:rsidRPr="0069127B">
        <w:t>findings on assessment or ultrasound. Consider risk factors for endometrial cancer such as</w:t>
      </w:r>
    </w:p>
    <w:p w14:paraId="690E18E7" w14:textId="77777777" w:rsidR="00942161" w:rsidRPr="0069127B" w:rsidRDefault="00942161" w:rsidP="0069127B">
      <w:pPr>
        <w:pStyle w:val="ListParagraph"/>
        <w:numPr>
          <w:ilvl w:val="1"/>
          <w:numId w:val="63"/>
        </w:numPr>
      </w:pPr>
      <w:r w:rsidRPr="0069127B">
        <w:t>age, with increased suspicion warranted in a woman aged over 45</w:t>
      </w:r>
    </w:p>
    <w:p w14:paraId="5CDE3347" w14:textId="77777777" w:rsidR="00942161" w:rsidRPr="0069127B" w:rsidRDefault="00942161" w:rsidP="0069127B">
      <w:pPr>
        <w:pStyle w:val="ListParagraph"/>
        <w:numPr>
          <w:ilvl w:val="1"/>
          <w:numId w:val="63"/>
        </w:numPr>
      </w:pPr>
      <w:r w:rsidRPr="0069127B">
        <w:t>personal or family history of endometrial cancer or colorectal cancer</w:t>
      </w:r>
    </w:p>
    <w:p w14:paraId="53621112" w14:textId="77777777" w:rsidR="00942161" w:rsidRPr="0069127B" w:rsidRDefault="00942161" w:rsidP="0069127B">
      <w:pPr>
        <w:pStyle w:val="ListParagraph"/>
        <w:numPr>
          <w:ilvl w:val="1"/>
          <w:numId w:val="63"/>
        </w:numPr>
      </w:pPr>
      <w:r w:rsidRPr="0069127B">
        <w:t>use of unopposed oestrogen or tamoxifen</w:t>
      </w:r>
    </w:p>
    <w:p w14:paraId="7435B70D" w14:textId="77777777" w:rsidR="00942161" w:rsidRPr="0069127B" w:rsidRDefault="00942161" w:rsidP="0069127B">
      <w:pPr>
        <w:pStyle w:val="ListParagraph"/>
        <w:numPr>
          <w:ilvl w:val="1"/>
          <w:numId w:val="63"/>
        </w:numPr>
      </w:pPr>
      <w:r w:rsidRPr="0069127B">
        <w:t>obesity</w:t>
      </w:r>
    </w:p>
    <w:p w14:paraId="4BBC73EB" w14:textId="77777777" w:rsidR="00942161" w:rsidRPr="0069127B" w:rsidRDefault="00942161" w:rsidP="0069127B">
      <w:pPr>
        <w:pStyle w:val="ListParagraph"/>
        <w:numPr>
          <w:ilvl w:val="1"/>
          <w:numId w:val="63"/>
        </w:numPr>
      </w:pPr>
      <w:r w:rsidRPr="0069127B">
        <w:t xml:space="preserve">young age at menarche or older age at menopause </w:t>
      </w:r>
    </w:p>
    <w:p w14:paraId="17B7E480" w14:textId="77777777" w:rsidR="00942161" w:rsidRPr="0069127B" w:rsidRDefault="00942161" w:rsidP="0069127B">
      <w:pPr>
        <w:pStyle w:val="ListParagraph"/>
        <w:numPr>
          <w:ilvl w:val="1"/>
          <w:numId w:val="63"/>
        </w:numPr>
      </w:pPr>
      <w:r w:rsidRPr="0069127B">
        <w:t>nulliparity</w:t>
      </w:r>
    </w:p>
    <w:p w14:paraId="04C5CC15" w14:textId="77777777" w:rsidR="00942161" w:rsidRPr="0069127B" w:rsidRDefault="00942161" w:rsidP="0069127B">
      <w:pPr>
        <w:pStyle w:val="ListParagraph"/>
        <w:numPr>
          <w:ilvl w:val="1"/>
          <w:numId w:val="63"/>
        </w:numPr>
      </w:pPr>
      <w:r w:rsidRPr="0069127B">
        <w:t xml:space="preserve">diabetes </w:t>
      </w:r>
    </w:p>
    <w:p w14:paraId="33330358" w14:textId="77777777" w:rsidR="00942161" w:rsidRPr="0069127B" w:rsidRDefault="00942161" w:rsidP="0069127B">
      <w:pPr>
        <w:pStyle w:val="ListParagraph"/>
        <w:numPr>
          <w:ilvl w:val="1"/>
          <w:numId w:val="63"/>
        </w:numPr>
      </w:pPr>
      <w:r w:rsidRPr="0069127B">
        <w:t>endometrial hyperplasia</w:t>
      </w:r>
    </w:p>
    <w:p w14:paraId="471405E9" w14:textId="77777777" w:rsidR="00942161" w:rsidRPr="0069127B" w:rsidRDefault="00942161" w:rsidP="0069127B">
      <w:pPr>
        <w:pStyle w:val="ListParagraph"/>
        <w:numPr>
          <w:ilvl w:val="0"/>
          <w:numId w:val="63"/>
        </w:numPr>
      </w:pPr>
      <w:r w:rsidRPr="0069127B">
        <w:t>Significant pelvic pathology on ultrasound such as large fibroids or endometrial polyps</w:t>
      </w:r>
    </w:p>
    <w:p w14:paraId="6633854C" w14:textId="77777777" w:rsidR="00942161" w:rsidRDefault="00942161" w:rsidP="0069127B">
      <w:pPr>
        <w:pStyle w:val="ListParagraph"/>
        <w:numPr>
          <w:ilvl w:val="0"/>
          <w:numId w:val="63"/>
        </w:numPr>
      </w:pPr>
      <w:r w:rsidRPr="0069127B">
        <w:t>Severe symptoms a</w:t>
      </w:r>
      <w:r>
        <w:t>t initial presentation.</w:t>
      </w:r>
    </w:p>
    <w:p w14:paraId="618DA3A7" w14:textId="77777777" w:rsidR="00942161" w:rsidRDefault="00942161" w:rsidP="00942161">
      <w:r>
        <w:t>Early referral is also warranted if medical management is unsuitable, or if a patient requests procedural treatment options.</w:t>
      </w:r>
    </w:p>
    <w:p w14:paraId="11CC1EDA" w14:textId="77777777" w:rsidR="00942161" w:rsidRDefault="00942161" w:rsidP="00942161">
      <w:r>
        <w:t>For patients who have not responded to medical management, offer referral for further investigation and treatment.</w:t>
      </w:r>
    </w:p>
    <w:p w14:paraId="5EC85B39" w14:textId="77777777" w:rsidR="00942161" w:rsidRDefault="00942161" w:rsidP="00942161">
      <w:r>
        <w:lastRenderedPageBreak/>
        <w:t>When referring to specialist care, arrange for appropriate investigations, including cervical screening and ultrasound, to be completed.</w:t>
      </w:r>
    </w:p>
    <w:p w14:paraId="5CE3F502" w14:textId="4F825F53" w:rsidR="00942161" w:rsidRDefault="00942161" w:rsidP="00942161">
      <w:pPr>
        <w:pStyle w:val="Heading2"/>
      </w:pPr>
      <w:r>
        <w:t>7</w:t>
      </w:r>
      <w:r w:rsidR="004874FD">
        <w:t xml:space="preserve">. </w:t>
      </w:r>
      <w:r>
        <w:t>Uterine</w:t>
      </w:r>
      <w:r>
        <w:rPr>
          <w:rFonts w:ascii="Cambria Math" w:hAnsi="Cambria Math" w:cs="Cambria Math"/>
        </w:rPr>
        <w:t>‑</w:t>
      </w:r>
      <w:r>
        <w:t>preserving alternatives to hysterectomy</w:t>
      </w:r>
    </w:p>
    <w:p w14:paraId="303B3FFE" w14:textId="77777777" w:rsidR="00942161" w:rsidRDefault="00942161" w:rsidP="00942161">
      <w:pPr>
        <w:pStyle w:val="NormalIntroBold"/>
      </w:pPr>
      <w:r>
        <w:t>A woman who has heavy menstrual bleeding of benign causes and who is considering non</w:t>
      </w:r>
      <w:r>
        <w:rPr>
          <w:rFonts w:ascii="Cambria Math" w:hAnsi="Cambria Math" w:cs="Cambria Math"/>
        </w:rPr>
        <w:t>‑</w:t>
      </w:r>
      <w:r>
        <w:t>medical management is offered uterine</w:t>
      </w:r>
      <w:r>
        <w:rPr>
          <w:rFonts w:ascii="Cambria Math" w:hAnsi="Cambria Math" w:cs="Cambria Math"/>
        </w:rPr>
        <w:t>‑</w:t>
      </w:r>
      <w:r>
        <w:t xml:space="preserve">preserving procedures that may be suitable (such as endometrial ablation, uterine artery </w:t>
      </w:r>
      <w:proofErr w:type="spellStart"/>
      <w:r>
        <w:t>embolisation</w:t>
      </w:r>
      <w:proofErr w:type="spellEnd"/>
      <w:r>
        <w:t xml:space="preserve"> or surgical removal of local pathology). She is supported to make an informed decision and is referred appropriately.</w:t>
      </w:r>
    </w:p>
    <w:p w14:paraId="6C12CD2F" w14:textId="77777777" w:rsidR="00942161" w:rsidRDefault="00942161" w:rsidP="00942161">
      <w:r>
        <w:t>When non</w:t>
      </w:r>
      <w:r>
        <w:rPr>
          <w:rFonts w:ascii="Cambria Math" w:hAnsi="Cambria Math" w:cs="Cambria Math"/>
        </w:rPr>
        <w:t>‑</w:t>
      </w:r>
      <w:r>
        <w:t>medical management options are being considered, discuss uterine</w:t>
      </w:r>
      <w:r>
        <w:rPr>
          <w:rFonts w:ascii="Cambria Math" w:hAnsi="Cambria Math" w:cs="Cambria Math"/>
        </w:rPr>
        <w:t>‑</w:t>
      </w:r>
      <w:r>
        <w:t>preserving procedures that may be suitable for the patient’s clinical situation. These may include:</w:t>
      </w:r>
    </w:p>
    <w:p w14:paraId="28568314" w14:textId="77777777" w:rsidR="00942161" w:rsidRDefault="00942161" w:rsidP="00203B19">
      <w:pPr>
        <w:pStyle w:val="ListParagraph"/>
        <w:numPr>
          <w:ilvl w:val="0"/>
          <w:numId w:val="64"/>
        </w:numPr>
      </w:pPr>
      <w:r>
        <w:rPr>
          <w:rStyle w:val="Strong"/>
        </w:rPr>
        <w:t>Endometrial ablation</w:t>
      </w:r>
      <w:r>
        <w:t xml:space="preserve"> – a minimally </w:t>
      </w:r>
      <w:r w:rsidRPr="00203B19">
        <w:t>invasive</w:t>
      </w:r>
      <w:r>
        <w:t xml:space="preserve"> surgical procedure for women without substantive structural uterine pathology and who have no desire for future pregnancy. It involves the removal or destruction of the endometrium including the basal layer using one of a variety of techniques including resection and/or ablation, laser, bipolar radiofrequency or thermal balloon ablation. Women must be informed about the need for contraception following endometrial ablation.</w:t>
      </w:r>
    </w:p>
    <w:p w14:paraId="19EF6B9D" w14:textId="77777777" w:rsidR="00942161" w:rsidRDefault="00942161" w:rsidP="00203B19">
      <w:pPr>
        <w:pStyle w:val="ListParagraph"/>
        <w:numPr>
          <w:ilvl w:val="0"/>
          <w:numId w:val="64"/>
        </w:numPr>
      </w:pPr>
      <w:r>
        <w:rPr>
          <w:rStyle w:val="Strong"/>
        </w:rPr>
        <w:t xml:space="preserve">Uterine artery </w:t>
      </w:r>
      <w:proofErr w:type="spellStart"/>
      <w:r>
        <w:rPr>
          <w:rStyle w:val="Strong"/>
        </w:rPr>
        <w:t>embolisation</w:t>
      </w:r>
      <w:proofErr w:type="spellEnd"/>
      <w:r>
        <w:t xml:space="preserve"> (UAE) – a minimally invasive treatment option for women with fibroids. The procedure is done by an interventional radiologist. It involves a small incision in the groin or wrist through which a catheter is taken to the uterine arteries. </w:t>
      </w:r>
      <w:proofErr w:type="spellStart"/>
      <w:r>
        <w:t>Embolisation</w:t>
      </w:r>
      <w:proofErr w:type="spellEnd"/>
      <w:r>
        <w:t xml:space="preserve"> is performed by injecting particles to the arteries supplying the fibroids. Successful pregnancy may be possible after UAE. However, myomectomy is preferred, if clinically appropriate, for women who desire future pregnancy. Women considering UAE and desiring fertility should be counselled based on current available evidence regarding future pregnancy and potential risks.</w:t>
      </w:r>
    </w:p>
    <w:p w14:paraId="4B3BAFA2" w14:textId="77777777" w:rsidR="00942161" w:rsidRDefault="00942161" w:rsidP="00203B19">
      <w:pPr>
        <w:pStyle w:val="ListParagraph"/>
        <w:numPr>
          <w:ilvl w:val="0"/>
          <w:numId w:val="64"/>
        </w:numPr>
      </w:pPr>
      <w:r>
        <w:rPr>
          <w:rStyle w:val="Strong"/>
        </w:rPr>
        <w:t>Myomectomy</w:t>
      </w:r>
      <w:r>
        <w:t xml:space="preserve"> – the surgical removal of </w:t>
      </w:r>
      <w:r w:rsidRPr="00203B19">
        <w:t>uterine</w:t>
      </w:r>
      <w:r>
        <w:t xml:space="preserve"> fibroids. Myomectomy preserves the uterus and is an option for women who wish to retain their fertility. Myomectomy can be conducted using laparotomy, laparoscopy, or hysteroscopy. </w:t>
      </w:r>
    </w:p>
    <w:p w14:paraId="4BCDB7F6" w14:textId="77777777" w:rsidR="00942161" w:rsidRDefault="00942161" w:rsidP="00203B19">
      <w:pPr>
        <w:pStyle w:val="ListParagraph"/>
        <w:numPr>
          <w:ilvl w:val="0"/>
          <w:numId w:val="64"/>
        </w:numPr>
      </w:pPr>
      <w:r>
        <w:rPr>
          <w:rStyle w:val="Strong"/>
        </w:rPr>
        <w:t>Hysteroscopic resection</w:t>
      </w:r>
      <w:r>
        <w:t xml:space="preserve"> of intracavitary pathology (such as polyps or myomas) where these are considered to be causing or contributing to heavy menstrual bleeding. In this procedure, a hysteroscope is passed into the uterine cavity through the vagina. Pathology can be removed using electrosurgical, mechanical, laser or thermal energy.</w:t>
      </w:r>
    </w:p>
    <w:p w14:paraId="2E17379A" w14:textId="77777777" w:rsidR="00942161" w:rsidRDefault="00942161" w:rsidP="00942161">
      <w:r>
        <w:t>Consider appropriateness, contraindications and possible complications for each procedure in the context of the patient’s specific uterine pathology and clinical presentation, and their preferences and priorities, including their desire for future fertility.</w:t>
      </w:r>
    </w:p>
    <w:p w14:paraId="4BBCE39D" w14:textId="77777777" w:rsidR="00942161" w:rsidRDefault="00942161" w:rsidP="00942161">
      <w:r>
        <w:t>Discuss the relevant options fully with the patient. If they would prefer to consider a treatment choice that you are unable to provide, offer referral for assessment, and/or to discuss the procedure, with a suitably qualified specialist or service.</w:t>
      </w:r>
    </w:p>
    <w:p w14:paraId="24B7D993" w14:textId="77777777" w:rsidR="00EB2242" w:rsidRDefault="00942161" w:rsidP="00942161">
      <w:pPr>
        <w:pStyle w:val="Heading2"/>
      </w:pPr>
      <w:r>
        <w:t>8</w:t>
      </w:r>
      <w:r w:rsidR="00EB2242">
        <w:t xml:space="preserve">. </w:t>
      </w:r>
      <w:r>
        <w:t>Hysterectomy</w:t>
      </w:r>
    </w:p>
    <w:p w14:paraId="4CD43189" w14:textId="77777777" w:rsidR="00942161" w:rsidRDefault="00942161" w:rsidP="00942161">
      <w:pPr>
        <w:pStyle w:val="NormalIntroBold"/>
      </w:pPr>
      <w:r>
        <w:t>Hysterectomy to manage heavy menstrual bleeding is considered when other treatment options are ineffective or are unsuitable, or at the woman’s request. A woman considering a hysterectomy is fully informed about the potential benefits and risks of the procedure before making a decision.</w:t>
      </w:r>
    </w:p>
    <w:p w14:paraId="037D2D57" w14:textId="77777777" w:rsidR="00942161" w:rsidRDefault="00942161" w:rsidP="00942161">
      <w:r>
        <w:t>When discussing the range of treatment options for heavy menstrual bleeding, support the patient to consider less invasive alternatives prior to considering hysterectomy, as appropriate to their clinical situation and personal circumstances.</w:t>
      </w:r>
    </w:p>
    <w:p w14:paraId="74410A8A" w14:textId="77777777" w:rsidR="00942161" w:rsidRDefault="00942161" w:rsidP="00942161">
      <w:r>
        <w:lastRenderedPageBreak/>
        <w:t>Hysterectomy is generally considered when alternative medical and procedural options are unsuitable, have proven to be ineffective or intolerable, or when it is the patient’s preference.</w:t>
      </w:r>
    </w:p>
    <w:p w14:paraId="7E3E4937" w14:textId="77777777" w:rsidR="00942161" w:rsidRDefault="00942161" w:rsidP="00942161">
      <w:r>
        <w:t>When the patient is considering hysterectomy, ensure that they understand the benefits, risks and probable outcomes of the surgery. Discuss minimally invasive approaches to hysterectomy (vaginal or laparoscopic) where clinically appropriate.</w:t>
      </w:r>
    </w:p>
    <w:p w14:paraId="368BB133" w14:textId="77777777" w:rsidR="00942161" w:rsidRDefault="00942161" w:rsidP="00942161">
      <w:r>
        <w:t>When the patient is making their decision, allow them the time and opportunity to consider this information.</w:t>
      </w:r>
    </w:p>
    <w:p w14:paraId="2819D2DC" w14:textId="77777777" w:rsidR="00942161" w:rsidRDefault="00942161" w:rsidP="00942161">
      <w:r>
        <w:t>The discussion should cover the irreversible nature of the surgery, consequences for childbearing, risks including infection, organ damage and blood loss, the time in hospital and the recovery period. Explain any particular risks associated with the type(s) of hysterectomy being considered.</w:t>
      </w:r>
    </w:p>
    <w:p w14:paraId="73480EF5" w14:textId="77777777" w:rsidR="003630EE" w:rsidRDefault="00942161" w:rsidP="00942161">
      <w:pPr>
        <w:pStyle w:val="Heading2"/>
      </w:pPr>
      <w:r>
        <w:t>Questions?</w:t>
      </w:r>
    </w:p>
    <w:p w14:paraId="2E72C9D6" w14:textId="77777777" w:rsidR="003630EE" w:rsidRDefault="003630EE" w:rsidP="003630EE">
      <w:r w:rsidRPr="00526C79">
        <w:rPr>
          <w:noProof/>
        </w:rPr>
        <w:drawing>
          <wp:inline distT="0" distB="0" distL="0" distR="0" wp14:anchorId="04B5E1E6" wp14:editId="283C7333">
            <wp:extent cx="914400" cy="914400"/>
            <wp:effectExtent l="0" t="0" r="0" b="0"/>
            <wp:docPr id="1309309263"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9263" name="Picture 1" descr="QR code"/>
                    <pic:cNvPicPr/>
                  </pic:nvPicPr>
                  <pic:blipFill>
                    <a:blip r:embed="rId9"/>
                    <a:stretch>
                      <a:fillRect/>
                    </a:stretch>
                  </pic:blipFill>
                  <pic:spPr>
                    <a:xfrm>
                      <a:off x="0" y="0"/>
                      <a:ext cx="914400" cy="914400"/>
                    </a:xfrm>
                    <a:prstGeom prst="rect">
                      <a:avLst/>
                    </a:prstGeom>
                  </pic:spPr>
                </pic:pic>
              </a:graphicData>
            </a:graphic>
          </wp:inline>
        </w:drawing>
      </w:r>
    </w:p>
    <w:p w14:paraId="15D8F8B8" w14:textId="77777777" w:rsidR="00942161" w:rsidRDefault="00942161" w:rsidP="00584133">
      <w:r>
        <w:t xml:space="preserve">Find out </w:t>
      </w:r>
      <w:r w:rsidRPr="00584133">
        <w:t>more</w:t>
      </w:r>
      <w:r>
        <w:t xml:space="preserve"> about the </w:t>
      </w:r>
      <w:r w:rsidRPr="00584133">
        <w:rPr>
          <w:rStyle w:val="Emphasis"/>
        </w:rPr>
        <w:t>Heavy Menstrual Bleeding Clinical Care Standard</w:t>
      </w:r>
      <w:r>
        <w:t xml:space="preserve"> and other resources. Scan the QR code or use the link </w:t>
      </w:r>
      <w:hyperlink r:id="rId10" w:history="1">
        <w:r w:rsidRPr="003630EE">
          <w:rPr>
            <w:rStyle w:val="Hyperlink"/>
          </w:rPr>
          <w:t>safetyandquality.gov.au/</w:t>
        </w:r>
        <w:proofErr w:type="spellStart"/>
        <w:r w:rsidRPr="003630EE">
          <w:rPr>
            <w:rStyle w:val="Hyperlink"/>
          </w:rPr>
          <w:t>hmb</w:t>
        </w:r>
        <w:proofErr w:type="spellEnd"/>
        <w:r w:rsidRPr="003630EE">
          <w:rPr>
            <w:rStyle w:val="Hyperlink"/>
          </w:rPr>
          <w:t>-ccs</w:t>
        </w:r>
      </w:hyperlink>
      <w:r>
        <w:t>.</w:t>
      </w:r>
    </w:p>
    <w:p w14:paraId="51DEAFFB" w14:textId="77777777" w:rsidR="00942161" w:rsidRPr="00641199" w:rsidRDefault="00942161" w:rsidP="00FB4A70">
      <w:pPr>
        <w:spacing w:before="360"/>
        <w:rPr>
          <w:b/>
          <w:bCs/>
        </w:rPr>
      </w:pPr>
      <w:r w:rsidRPr="00641199">
        <w:rPr>
          <w:b/>
          <w:bCs/>
        </w:rPr>
        <w:t>References</w:t>
      </w:r>
    </w:p>
    <w:p w14:paraId="671217A8" w14:textId="77777777" w:rsidR="00942161" w:rsidRDefault="00942161" w:rsidP="00641199">
      <w:pPr>
        <w:pStyle w:val="FootnoteText"/>
      </w:pPr>
      <w:r>
        <w:t>1.</w:t>
      </w:r>
      <w:r>
        <w:tab/>
        <w:t xml:space="preserve">Munro MG, </w:t>
      </w:r>
      <w:r w:rsidRPr="00641199">
        <w:t>Critchley</w:t>
      </w:r>
      <w:r>
        <w:t xml:space="preserve"> HOD, Fraser IS. The two FIGO systems for normal and abnormal uterine bleeding symptoms and classification of causes of abnormal uterine bleeding in the reproductive years: 2018 revisions. Int J </w:t>
      </w:r>
      <w:proofErr w:type="spellStart"/>
      <w:r>
        <w:t>Gynaecol</w:t>
      </w:r>
      <w:proofErr w:type="spellEnd"/>
      <w:r>
        <w:t xml:space="preserve"> </w:t>
      </w:r>
      <w:proofErr w:type="spellStart"/>
      <w:r>
        <w:t>Obstet</w:t>
      </w:r>
      <w:proofErr w:type="spellEnd"/>
      <w:r>
        <w:t xml:space="preserve"> 2018;143(3):393–408</w:t>
      </w:r>
    </w:p>
    <w:p w14:paraId="3C228251" w14:textId="77777777" w:rsidR="00942161" w:rsidRDefault="00942161" w:rsidP="00086CCA">
      <w:pPr>
        <w:pStyle w:val="FootnoteText"/>
        <w:spacing w:before="480"/>
        <w:ind w:left="0" w:firstLine="0"/>
        <w:contextualSpacing w:val="0"/>
      </w:pPr>
      <w: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bookmarkEnd w:id="0"/>
    <w:bookmarkEnd w:id="1"/>
    <w:p w14:paraId="1F64B81D" w14:textId="0DA366DA" w:rsidR="00195458" w:rsidRPr="00837A90" w:rsidRDefault="003F0D94" w:rsidP="005D57E2">
      <w:pPr>
        <w:pStyle w:val="Website"/>
      </w:pPr>
      <w:r>
        <w:rPr>
          <w:szCs w:val="22"/>
        </w:rPr>
        <w:fldChar w:fldCharType="begin"/>
      </w:r>
      <w:r>
        <w:instrText xml:space="preserve"> HYPERLINK "http://www.safetyandquality.gov.au" </w:instrText>
      </w:r>
      <w:r>
        <w:rPr>
          <w:szCs w:val="22"/>
        </w:rPr>
      </w:r>
      <w:r>
        <w:rPr>
          <w:szCs w:val="22"/>
        </w:rPr>
        <w:fldChar w:fldCharType="separate"/>
      </w:r>
      <w:r w:rsidR="00195458" w:rsidRPr="00837A90">
        <w:rPr>
          <w:rStyle w:val="Hyperlink"/>
        </w:rPr>
        <w:t>safetyandquality.gov.au</w:t>
      </w:r>
      <w:r>
        <w:rPr>
          <w:rStyle w:val="Hyperlink"/>
          <w:b w:val="0"/>
          <w:bCs w:val="0"/>
        </w:rPr>
        <w:fldChar w:fldCharType="end"/>
      </w:r>
    </w:p>
    <w:p w14:paraId="58A1B319" w14:textId="35EFD375" w:rsidR="0050115F" w:rsidRPr="006B4D25" w:rsidRDefault="001918F7" w:rsidP="006B4D25">
      <w:pPr>
        <w:pStyle w:val="Copyright"/>
      </w:pPr>
      <w:r w:rsidRPr="006B4D25">
        <w:rPr>
          <w:noProof/>
        </w:rPr>
        <w:drawing>
          <wp:inline distT="0" distB="0" distL="0" distR="0" wp14:anchorId="52E40C1F" wp14:editId="1DBEA5EA">
            <wp:extent cx="840105" cy="297815"/>
            <wp:effectExtent l="0" t="0" r="0" b="0"/>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6843950D" w14:textId="0C365E58" w:rsidR="00465AB0" w:rsidRPr="006B4D25" w:rsidRDefault="001918F7" w:rsidP="006B4D25">
      <w:pPr>
        <w:pStyle w:val="Copyright"/>
      </w:pPr>
      <w:r w:rsidRPr="006B4D25">
        <w:t>© Australian Commission on Safety and Quality in Health Care 20</w:t>
      </w:r>
      <w:r w:rsidR="003A70CE" w:rsidRPr="006B4D25">
        <w:t>2</w:t>
      </w:r>
      <w:r w:rsidR="00DC6FB7">
        <w:t>4</w:t>
      </w:r>
      <w:r w:rsidR="007B5D1E" w:rsidRPr="006B4D25">
        <w:t xml:space="preserve"> </w:t>
      </w:r>
      <w:r w:rsidR="007B5D1E" w:rsidRPr="006B4D25" w:rsidDel="00174535">
        <w:rPr>
          <w:rStyle w:val="Roman"/>
        </w:rPr>
        <w:t xml:space="preserve"> </w:t>
      </w:r>
    </w:p>
    <w:sectPr w:rsidR="00465AB0" w:rsidRPr="006B4D25" w:rsidSect="001B5FA5">
      <w:headerReference w:type="even" r:id="rId12"/>
      <w:headerReference w:type="default" r:id="rId13"/>
      <w:footerReference w:type="even" r:id="rId14"/>
      <w:footerReference w:type="defaul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8B8" w14:textId="77777777" w:rsidR="003F6980" w:rsidRDefault="003F6980" w:rsidP="000B0274">
      <w:r>
        <w:separator/>
      </w:r>
    </w:p>
    <w:p w14:paraId="53E078B3" w14:textId="77777777" w:rsidR="003F6980" w:rsidRDefault="003F6980"/>
    <w:p w14:paraId="65834B29" w14:textId="77777777" w:rsidR="003F6980" w:rsidRDefault="003F6980"/>
    <w:p w14:paraId="78E73F74" w14:textId="77777777" w:rsidR="003F6980" w:rsidRDefault="003F6980"/>
    <w:p w14:paraId="5A7A43FE" w14:textId="77777777" w:rsidR="003F6980" w:rsidRDefault="003F6980"/>
  </w:endnote>
  <w:endnote w:type="continuationSeparator" w:id="0">
    <w:p w14:paraId="58BE64CE" w14:textId="77777777" w:rsidR="003F6980" w:rsidRDefault="003F6980" w:rsidP="000B0274">
      <w:r>
        <w:continuationSeparator/>
      </w:r>
    </w:p>
    <w:p w14:paraId="1B2E1C90" w14:textId="77777777" w:rsidR="003F6980" w:rsidRDefault="003F6980"/>
    <w:p w14:paraId="530A7F1A" w14:textId="77777777" w:rsidR="003F6980" w:rsidRDefault="003F6980"/>
    <w:p w14:paraId="54BAEA87" w14:textId="77777777" w:rsidR="003F6980" w:rsidRDefault="003F6980"/>
    <w:p w14:paraId="21C40DF8" w14:textId="77777777" w:rsidR="003F6980" w:rsidRDefault="003F6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panose1 w:val="020B0604020202020204"/>
    <w:charset w:val="00"/>
    <w:family w:val="auto"/>
    <w:notTrueType/>
    <w:pitch w:val="variable"/>
    <w:sig w:usb0="A100007F" w:usb1="4000005B"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Proxima Nova">
    <w:panose1 w:val="02000506030000020004"/>
    <w:charset w:val="00"/>
    <w:family w:val="auto"/>
    <w:notTrueType/>
    <w:pitch w:val="variable"/>
    <w:sig w:usb0="A00002EF" w:usb1="5000E0FB" w:usb2="00000000" w:usb3="00000000" w:csb0="0000019F" w:csb1="00000000"/>
  </w:font>
  <w:font w:name="Proxima Nova Extrabold">
    <w:panose1 w:val="02000506030000020004"/>
    <w:charset w:val="00"/>
    <w:family w:val="auto"/>
    <w:notTrueType/>
    <w:pitch w:val="variable"/>
    <w:sig w:usb0="A00002EF" w:usb1="5000E0F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3E1943C5" w:rsidR="008B014E" w:rsidRPr="004950E8" w:rsidRDefault="00937FC0" w:rsidP="00E40FD7">
    <w:pPr>
      <w:pStyle w:val="Footer"/>
      <w:rPr>
        <w:b/>
        <w:bCs/>
        <w:lang w:val="en-GB"/>
      </w:rPr>
    </w:pPr>
    <w:r w:rsidRPr="00937FC0">
      <w:t>Heavy Menstrual Bleeding Clinical Care Standard</w:t>
    </w:r>
    <w:r w:rsidR="004950E8" w:rsidRPr="00866399">
      <w:rPr>
        <w:lang w:val="en-GB"/>
      </w:rPr>
      <w:t xml:space="preserve"> 2024</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E9B5" w14:textId="77777777" w:rsidR="003F6980" w:rsidRDefault="003F6980">
      <w:r>
        <w:separator/>
      </w:r>
    </w:p>
  </w:footnote>
  <w:footnote w:type="continuationSeparator" w:id="0">
    <w:p w14:paraId="4B10962B" w14:textId="77777777" w:rsidR="003F6980" w:rsidRDefault="003F6980" w:rsidP="000B0274">
      <w:r>
        <w:continuationSeparator/>
      </w:r>
    </w:p>
    <w:p w14:paraId="565DD5E6" w14:textId="77777777" w:rsidR="003F6980" w:rsidRDefault="003F6980"/>
    <w:p w14:paraId="68E3B012" w14:textId="77777777" w:rsidR="003F6980" w:rsidRDefault="003F6980"/>
    <w:p w14:paraId="01E68260" w14:textId="77777777" w:rsidR="003F6980" w:rsidRDefault="003F6980"/>
    <w:p w14:paraId="03245C91" w14:textId="77777777" w:rsidR="003F6980" w:rsidRDefault="003F6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EFF"/>
    <w:multiLevelType w:val="hybridMultilevel"/>
    <w:tmpl w:val="FF38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75DC5"/>
    <w:multiLevelType w:val="hybridMultilevel"/>
    <w:tmpl w:val="D13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F49B2"/>
    <w:multiLevelType w:val="hybridMultilevel"/>
    <w:tmpl w:val="F322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33AF2"/>
    <w:multiLevelType w:val="hybridMultilevel"/>
    <w:tmpl w:val="4A4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F420F2A"/>
    <w:multiLevelType w:val="hybridMultilevel"/>
    <w:tmpl w:val="BE52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0543A"/>
    <w:multiLevelType w:val="hybridMultilevel"/>
    <w:tmpl w:val="0D5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E2855"/>
    <w:multiLevelType w:val="hybridMultilevel"/>
    <w:tmpl w:val="201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C226899"/>
    <w:multiLevelType w:val="hybridMultilevel"/>
    <w:tmpl w:val="117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9E4212"/>
    <w:multiLevelType w:val="hybridMultilevel"/>
    <w:tmpl w:val="F4F86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4297254"/>
    <w:multiLevelType w:val="hybridMultilevel"/>
    <w:tmpl w:val="A684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B78CE"/>
    <w:multiLevelType w:val="hybridMultilevel"/>
    <w:tmpl w:val="7FF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45640F"/>
    <w:multiLevelType w:val="hybridMultilevel"/>
    <w:tmpl w:val="E3C4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A861EC"/>
    <w:multiLevelType w:val="hybridMultilevel"/>
    <w:tmpl w:val="D90E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FD6E94"/>
    <w:multiLevelType w:val="hybridMultilevel"/>
    <w:tmpl w:val="065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00DCD"/>
    <w:multiLevelType w:val="hybridMultilevel"/>
    <w:tmpl w:val="5C4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E43E90"/>
    <w:multiLevelType w:val="hybridMultilevel"/>
    <w:tmpl w:val="C2C6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5313ED"/>
    <w:multiLevelType w:val="hybridMultilevel"/>
    <w:tmpl w:val="609C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FD6E5A"/>
    <w:multiLevelType w:val="hybridMultilevel"/>
    <w:tmpl w:val="88E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672796"/>
    <w:multiLevelType w:val="hybridMultilevel"/>
    <w:tmpl w:val="AA84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169131B"/>
    <w:multiLevelType w:val="hybridMultilevel"/>
    <w:tmpl w:val="39C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8061DB"/>
    <w:multiLevelType w:val="hybridMultilevel"/>
    <w:tmpl w:val="97C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7281A14"/>
    <w:multiLevelType w:val="hybridMultilevel"/>
    <w:tmpl w:val="67C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3A35C4"/>
    <w:multiLevelType w:val="hybridMultilevel"/>
    <w:tmpl w:val="C6146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8A6FDF"/>
    <w:multiLevelType w:val="hybridMultilevel"/>
    <w:tmpl w:val="1C764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1E126A"/>
    <w:multiLevelType w:val="hybridMultilevel"/>
    <w:tmpl w:val="52E2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721BCE"/>
    <w:multiLevelType w:val="hybridMultilevel"/>
    <w:tmpl w:val="DD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196C44"/>
    <w:multiLevelType w:val="hybridMultilevel"/>
    <w:tmpl w:val="56AC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CDF1D97"/>
    <w:multiLevelType w:val="hybridMultilevel"/>
    <w:tmpl w:val="B57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3B14A7"/>
    <w:multiLevelType w:val="hybridMultilevel"/>
    <w:tmpl w:val="01A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583483"/>
    <w:multiLevelType w:val="hybridMultilevel"/>
    <w:tmpl w:val="29700568"/>
    <w:lvl w:ilvl="0" w:tplc="B2CCE8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64674D"/>
    <w:multiLevelType w:val="hybridMultilevel"/>
    <w:tmpl w:val="9D0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537AE0"/>
    <w:multiLevelType w:val="hybridMultilevel"/>
    <w:tmpl w:val="5338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F6377E"/>
    <w:multiLevelType w:val="hybridMultilevel"/>
    <w:tmpl w:val="25CA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976B58"/>
    <w:multiLevelType w:val="hybridMultilevel"/>
    <w:tmpl w:val="BF0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4D4B21"/>
    <w:multiLevelType w:val="hybridMultilevel"/>
    <w:tmpl w:val="E62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9641F"/>
    <w:multiLevelType w:val="hybridMultilevel"/>
    <w:tmpl w:val="98D6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75256528"/>
    <w:multiLevelType w:val="hybridMultilevel"/>
    <w:tmpl w:val="151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78F530D3"/>
    <w:multiLevelType w:val="hybridMultilevel"/>
    <w:tmpl w:val="7620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253701"/>
    <w:multiLevelType w:val="hybridMultilevel"/>
    <w:tmpl w:val="BD2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E6256"/>
    <w:multiLevelType w:val="hybridMultilevel"/>
    <w:tmpl w:val="76EC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051672">
    <w:abstractNumId w:val="1"/>
  </w:num>
  <w:num w:numId="2" w16cid:durableId="1925602192">
    <w:abstractNumId w:val="4"/>
  </w:num>
  <w:num w:numId="3" w16cid:durableId="1251354712">
    <w:abstractNumId w:val="20"/>
  </w:num>
  <w:num w:numId="4" w16cid:durableId="236405623">
    <w:abstractNumId w:val="40"/>
  </w:num>
  <w:num w:numId="5" w16cid:durableId="280378684">
    <w:abstractNumId w:val="37"/>
  </w:num>
  <w:num w:numId="6" w16cid:durableId="1338341281">
    <w:abstractNumId w:val="7"/>
  </w:num>
  <w:num w:numId="7" w16cid:durableId="616916114">
    <w:abstractNumId w:val="11"/>
  </w:num>
  <w:num w:numId="8" w16cid:durableId="1962028855">
    <w:abstractNumId w:val="2"/>
  </w:num>
  <w:num w:numId="9" w16cid:durableId="713046451">
    <w:abstractNumId w:val="58"/>
  </w:num>
  <w:num w:numId="10" w16cid:durableId="866018934">
    <w:abstractNumId w:val="17"/>
  </w:num>
  <w:num w:numId="11" w16cid:durableId="902712702">
    <w:abstractNumId w:val="15"/>
  </w:num>
  <w:num w:numId="12" w16cid:durableId="1491553655">
    <w:abstractNumId w:val="51"/>
  </w:num>
  <w:num w:numId="13" w16cid:durableId="1642343893">
    <w:abstractNumId w:val="16"/>
  </w:num>
  <w:num w:numId="14" w16cid:durableId="89355806">
    <w:abstractNumId w:val="34"/>
  </w:num>
  <w:num w:numId="15" w16cid:durableId="2110928528">
    <w:abstractNumId w:val="60"/>
  </w:num>
  <w:num w:numId="16" w16cid:durableId="1167744979">
    <w:abstractNumId w:val="27"/>
  </w:num>
  <w:num w:numId="17" w16cid:durableId="1425420067">
    <w:abstractNumId w:val="14"/>
  </w:num>
  <w:num w:numId="18" w16cid:durableId="1005210190">
    <w:abstractNumId w:val="44"/>
  </w:num>
  <w:num w:numId="19" w16cid:durableId="1980377443">
    <w:abstractNumId w:val="47"/>
  </w:num>
  <w:num w:numId="20" w16cid:durableId="1500853095">
    <w:abstractNumId w:val="25"/>
  </w:num>
  <w:num w:numId="21" w16cid:durableId="893783719">
    <w:abstractNumId w:val="52"/>
  </w:num>
  <w:num w:numId="22" w16cid:durableId="1098450978">
    <w:abstractNumId w:val="9"/>
  </w:num>
  <w:num w:numId="23" w16cid:durableId="1304310127">
    <w:abstractNumId w:val="12"/>
  </w:num>
  <w:num w:numId="24" w16cid:durableId="279996472">
    <w:abstractNumId w:val="24"/>
  </w:num>
  <w:num w:numId="25" w16cid:durableId="237910154">
    <w:abstractNumId w:val="59"/>
  </w:num>
  <w:num w:numId="26" w16cid:durableId="1558318322">
    <w:abstractNumId w:val="56"/>
  </w:num>
  <w:num w:numId="27" w16cid:durableId="1135611015">
    <w:abstractNumId w:val="32"/>
  </w:num>
  <w:num w:numId="28" w16cid:durableId="1324897336">
    <w:abstractNumId w:val="33"/>
  </w:num>
  <w:num w:numId="29" w16cid:durableId="964506790">
    <w:abstractNumId w:val="38"/>
  </w:num>
  <w:num w:numId="30" w16cid:durableId="291060613">
    <w:abstractNumId w:val="53"/>
  </w:num>
  <w:num w:numId="31" w16cid:durableId="312831971">
    <w:abstractNumId w:val="29"/>
  </w:num>
  <w:num w:numId="32" w16cid:durableId="1454134789">
    <w:abstractNumId w:val="28"/>
  </w:num>
  <w:num w:numId="33" w16cid:durableId="142237325">
    <w:abstractNumId w:val="45"/>
  </w:num>
  <w:num w:numId="34" w16cid:durableId="1375738400">
    <w:abstractNumId w:val="46"/>
  </w:num>
  <w:num w:numId="35" w16cid:durableId="1935941983">
    <w:abstractNumId w:val="50"/>
  </w:num>
  <w:num w:numId="36" w16cid:durableId="1153645273">
    <w:abstractNumId w:val="36"/>
  </w:num>
  <w:num w:numId="37" w16cid:durableId="335158495">
    <w:abstractNumId w:val="22"/>
  </w:num>
  <w:num w:numId="38" w16cid:durableId="1072460181">
    <w:abstractNumId w:val="43"/>
  </w:num>
  <w:num w:numId="39" w16cid:durableId="496001583">
    <w:abstractNumId w:val="18"/>
  </w:num>
  <w:num w:numId="40" w16cid:durableId="843518992">
    <w:abstractNumId w:val="63"/>
  </w:num>
  <w:num w:numId="41" w16cid:durableId="437650156">
    <w:abstractNumId w:val="48"/>
  </w:num>
  <w:num w:numId="42" w16cid:durableId="1156341372">
    <w:abstractNumId w:val="41"/>
  </w:num>
  <w:num w:numId="43" w16cid:durableId="1330139429">
    <w:abstractNumId w:val="26"/>
  </w:num>
  <w:num w:numId="44" w16cid:durableId="460464862">
    <w:abstractNumId w:val="35"/>
  </w:num>
  <w:num w:numId="45" w16cid:durableId="1104106080">
    <w:abstractNumId w:val="39"/>
  </w:num>
  <w:num w:numId="46" w16cid:durableId="1459030733">
    <w:abstractNumId w:val="6"/>
  </w:num>
  <w:num w:numId="47" w16cid:durableId="191652306">
    <w:abstractNumId w:val="5"/>
  </w:num>
  <w:num w:numId="48" w16cid:durableId="763495056">
    <w:abstractNumId w:val="57"/>
  </w:num>
  <w:num w:numId="49" w16cid:durableId="1495221502">
    <w:abstractNumId w:val="10"/>
  </w:num>
  <w:num w:numId="50" w16cid:durableId="1335720323">
    <w:abstractNumId w:val="54"/>
  </w:num>
  <w:num w:numId="51" w16cid:durableId="1379017169">
    <w:abstractNumId w:val="8"/>
  </w:num>
  <w:num w:numId="52" w16cid:durableId="293147657">
    <w:abstractNumId w:val="42"/>
  </w:num>
  <w:num w:numId="53" w16cid:durableId="1687634894">
    <w:abstractNumId w:val="0"/>
  </w:num>
  <w:num w:numId="54" w16cid:durableId="1332875862">
    <w:abstractNumId w:val="13"/>
  </w:num>
  <w:num w:numId="55" w16cid:durableId="131797499">
    <w:abstractNumId w:val="55"/>
  </w:num>
  <w:num w:numId="56" w16cid:durableId="887841567">
    <w:abstractNumId w:val="61"/>
  </w:num>
  <w:num w:numId="57" w16cid:durableId="1717970636">
    <w:abstractNumId w:val="23"/>
  </w:num>
  <w:num w:numId="58" w16cid:durableId="1389719403">
    <w:abstractNumId w:val="30"/>
  </w:num>
  <w:num w:numId="59" w16cid:durableId="1830556559">
    <w:abstractNumId w:val="62"/>
  </w:num>
  <w:num w:numId="60" w16cid:durableId="1603144676">
    <w:abstractNumId w:val="49"/>
  </w:num>
  <w:num w:numId="61" w16cid:durableId="1359241082">
    <w:abstractNumId w:val="21"/>
  </w:num>
  <w:num w:numId="62" w16cid:durableId="1275867727">
    <w:abstractNumId w:val="31"/>
  </w:num>
  <w:num w:numId="63" w16cid:durableId="567300295">
    <w:abstractNumId w:val="19"/>
  </w:num>
  <w:num w:numId="64" w16cid:durableId="10843751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55C09"/>
    <w:rsid w:val="00057F46"/>
    <w:rsid w:val="00067456"/>
    <w:rsid w:val="00067CE9"/>
    <w:rsid w:val="00070812"/>
    <w:rsid w:val="000757CF"/>
    <w:rsid w:val="0008065C"/>
    <w:rsid w:val="00086CCA"/>
    <w:rsid w:val="00090EFF"/>
    <w:rsid w:val="00091FC5"/>
    <w:rsid w:val="00092229"/>
    <w:rsid w:val="00092A4B"/>
    <w:rsid w:val="00095DA6"/>
    <w:rsid w:val="00095DC5"/>
    <w:rsid w:val="000A07DB"/>
    <w:rsid w:val="000A2C5A"/>
    <w:rsid w:val="000A3F0D"/>
    <w:rsid w:val="000A4C01"/>
    <w:rsid w:val="000A6B18"/>
    <w:rsid w:val="000B0274"/>
    <w:rsid w:val="000B0BFE"/>
    <w:rsid w:val="000B4610"/>
    <w:rsid w:val="000B79D3"/>
    <w:rsid w:val="000C1722"/>
    <w:rsid w:val="000C1DD4"/>
    <w:rsid w:val="000C2DA3"/>
    <w:rsid w:val="000C5B0F"/>
    <w:rsid w:val="000C6D4A"/>
    <w:rsid w:val="000C7A69"/>
    <w:rsid w:val="000D017D"/>
    <w:rsid w:val="000D6405"/>
    <w:rsid w:val="000E2F2E"/>
    <w:rsid w:val="000F0D77"/>
    <w:rsid w:val="000F29C7"/>
    <w:rsid w:val="0010115C"/>
    <w:rsid w:val="00103EA7"/>
    <w:rsid w:val="0010673D"/>
    <w:rsid w:val="00106CF5"/>
    <w:rsid w:val="00115403"/>
    <w:rsid w:val="00115E61"/>
    <w:rsid w:val="00120FCB"/>
    <w:rsid w:val="00131E52"/>
    <w:rsid w:val="00140002"/>
    <w:rsid w:val="001434C4"/>
    <w:rsid w:val="00143A76"/>
    <w:rsid w:val="00145BE3"/>
    <w:rsid w:val="00146A66"/>
    <w:rsid w:val="001507C6"/>
    <w:rsid w:val="0015192C"/>
    <w:rsid w:val="00157B31"/>
    <w:rsid w:val="00160453"/>
    <w:rsid w:val="0016254B"/>
    <w:rsid w:val="001652A9"/>
    <w:rsid w:val="00174141"/>
    <w:rsid w:val="00174535"/>
    <w:rsid w:val="0017675C"/>
    <w:rsid w:val="0017758A"/>
    <w:rsid w:val="00183675"/>
    <w:rsid w:val="00184C86"/>
    <w:rsid w:val="001852DE"/>
    <w:rsid w:val="001859B5"/>
    <w:rsid w:val="001860B2"/>
    <w:rsid w:val="001918F7"/>
    <w:rsid w:val="001921ED"/>
    <w:rsid w:val="00195458"/>
    <w:rsid w:val="001962DE"/>
    <w:rsid w:val="001963F8"/>
    <w:rsid w:val="00196AC8"/>
    <w:rsid w:val="001A11A5"/>
    <w:rsid w:val="001A1EBD"/>
    <w:rsid w:val="001A352F"/>
    <w:rsid w:val="001A4A68"/>
    <w:rsid w:val="001B15D1"/>
    <w:rsid w:val="001B3443"/>
    <w:rsid w:val="001B4AE8"/>
    <w:rsid w:val="001B5FA5"/>
    <w:rsid w:val="001B7C8B"/>
    <w:rsid w:val="001D0D87"/>
    <w:rsid w:val="001D709F"/>
    <w:rsid w:val="001E1042"/>
    <w:rsid w:val="001E38B8"/>
    <w:rsid w:val="001E77C4"/>
    <w:rsid w:val="001F29DD"/>
    <w:rsid w:val="001F6D10"/>
    <w:rsid w:val="00203B19"/>
    <w:rsid w:val="00204006"/>
    <w:rsid w:val="002255F7"/>
    <w:rsid w:val="00230E10"/>
    <w:rsid w:val="00230E53"/>
    <w:rsid w:val="0023112B"/>
    <w:rsid w:val="0023231A"/>
    <w:rsid w:val="00237ADF"/>
    <w:rsid w:val="00245D81"/>
    <w:rsid w:val="00246CC1"/>
    <w:rsid w:val="0024767D"/>
    <w:rsid w:val="002503C3"/>
    <w:rsid w:val="00251167"/>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51F2"/>
    <w:rsid w:val="00287D55"/>
    <w:rsid w:val="0029061E"/>
    <w:rsid w:val="00291EBD"/>
    <w:rsid w:val="00293CDE"/>
    <w:rsid w:val="00294ED3"/>
    <w:rsid w:val="00296A38"/>
    <w:rsid w:val="002C1CA0"/>
    <w:rsid w:val="002C5EDF"/>
    <w:rsid w:val="002C6AF0"/>
    <w:rsid w:val="002C6E07"/>
    <w:rsid w:val="002D0EB0"/>
    <w:rsid w:val="002D247E"/>
    <w:rsid w:val="002E195D"/>
    <w:rsid w:val="002E2DBA"/>
    <w:rsid w:val="002E3986"/>
    <w:rsid w:val="002E6A48"/>
    <w:rsid w:val="002E7082"/>
    <w:rsid w:val="002F3AE3"/>
    <w:rsid w:val="002F4C06"/>
    <w:rsid w:val="002F7E6F"/>
    <w:rsid w:val="003036F0"/>
    <w:rsid w:val="0030786C"/>
    <w:rsid w:val="00307ECE"/>
    <w:rsid w:val="0031116B"/>
    <w:rsid w:val="00312A62"/>
    <w:rsid w:val="00316683"/>
    <w:rsid w:val="00316F58"/>
    <w:rsid w:val="00334533"/>
    <w:rsid w:val="00341A36"/>
    <w:rsid w:val="00341BEE"/>
    <w:rsid w:val="00343286"/>
    <w:rsid w:val="0034680F"/>
    <w:rsid w:val="0035066E"/>
    <w:rsid w:val="00350BE1"/>
    <w:rsid w:val="00354119"/>
    <w:rsid w:val="003630EE"/>
    <w:rsid w:val="003657DB"/>
    <w:rsid w:val="0036588B"/>
    <w:rsid w:val="00370326"/>
    <w:rsid w:val="00380792"/>
    <w:rsid w:val="003808E4"/>
    <w:rsid w:val="0038248B"/>
    <w:rsid w:val="00383617"/>
    <w:rsid w:val="00386683"/>
    <w:rsid w:val="003873C6"/>
    <w:rsid w:val="00392002"/>
    <w:rsid w:val="00392A85"/>
    <w:rsid w:val="00395A58"/>
    <w:rsid w:val="00396AFB"/>
    <w:rsid w:val="003A0131"/>
    <w:rsid w:val="003A2D7B"/>
    <w:rsid w:val="003A6692"/>
    <w:rsid w:val="003A70CE"/>
    <w:rsid w:val="003B35D0"/>
    <w:rsid w:val="003B6F31"/>
    <w:rsid w:val="003C297A"/>
    <w:rsid w:val="003C540E"/>
    <w:rsid w:val="003C57B9"/>
    <w:rsid w:val="003C5F0C"/>
    <w:rsid w:val="003C7AAA"/>
    <w:rsid w:val="003D17F9"/>
    <w:rsid w:val="003D2662"/>
    <w:rsid w:val="003D3806"/>
    <w:rsid w:val="003D437B"/>
    <w:rsid w:val="003D4829"/>
    <w:rsid w:val="003E197F"/>
    <w:rsid w:val="003E2E86"/>
    <w:rsid w:val="003E6E73"/>
    <w:rsid w:val="003E76C8"/>
    <w:rsid w:val="003E7FBB"/>
    <w:rsid w:val="003F0D94"/>
    <w:rsid w:val="003F3F0B"/>
    <w:rsid w:val="003F6980"/>
    <w:rsid w:val="0040152C"/>
    <w:rsid w:val="00402CBA"/>
    <w:rsid w:val="00403CCF"/>
    <w:rsid w:val="00412E9D"/>
    <w:rsid w:val="00414952"/>
    <w:rsid w:val="00415C98"/>
    <w:rsid w:val="00423210"/>
    <w:rsid w:val="00423E5D"/>
    <w:rsid w:val="00425504"/>
    <w:rsid w:val="0042727E"/>
    <w:rsid w:val="0043052C"/>
    <w:rsid w:val="004305D6"/>
    <w:rsid w:val="0043127D"/>
    <w:rsid w:val="004377EE"/>
    <w:rsid w:val="00440CC0"/>
    <w:rsid w:val="00440D73"/>
    <w:rsid w:val="004428EA"/>
    <w:rsid w:val="004437F3"/>
    <w:rsid w:val="00447D31"/>
    <w:rsid w:val="00451F15"/>
    <w:rsid w:val="00452849"/>
    <w:rsid w:val="00453C28"/>
    <w:rsid w:val="00455560"/>
    <w:rsid w:val="00456385"/>
    <w:rsid w:val="0045769C"/>
    <w:rsid w:val="00465AB0"/>
    <w:rsid w:val="00470AB8"/>
    <w:rsid w:val="0047211A"/>
    <w:rsid w:val="00477E9B"/>
    <w:rsid w:val="00482ECA"/>
    <w:rsid w:val="004832A0"/>
    <w:rsid w:val="00485776"/>
    <w:rsid w:val="00485794"/>
    <w:rsid w:val="00485F48"/>
    <w:rsid w:val="004867E2"/>
    <w:rsid w:val="00486826"/>
    <w:rsid w:val="004874FD"/>
    <w:rsid w:val="0048784D"/>
    <w:rsid w:val="00493AA0"/>
    <w:rsid w:val="004950E8"/>
    <w:rsid w:val="004A0670"/>
    <w:rsid w:val="004A4851"/>
    <w:rsid w:val="004A5C81"/>
    <w:rsid w:val="004A7DCA"/>
    <w:rsid w:val="004B0417"/>
    <w:rsid w:val="004B2999"/>
    <w:rsid w:val="004B357F"/>
    <w:rsid w:val="004B53E7"/>
    <w:rsid w:val="004B585C"/>
    <w:rsid w:val="004B61FB"/>
    <w:rsid w:val="004C02F0"/>
    <w:rsid w:val="004C04EB"/>
    <w:rsid w:val="004C3664"/>
    <w:rsid w:val="004C4927"/>
    <w:rsid w:val="004C51B3"/>
    <w:rsid w:val="004C6833"/>
    <w:rsid w:val="004D011A"/>
    <w:rsid w:val="004E067A"/>
    <w:rsid w:val="004E179B"/>
    <w:rsid w:val="004E2389"/>
    <w:rsid w:val="004E50C2"/>
    <w:rsid w:val="004E58C1"/>
    <w:rsid w:val="004F412D"/>
    <w:rsid w:val="005008B6"/>
    <w:rsid w:val="0050115F"/>
    <w:rsid w:val="00505824"/>
    <w:rsid w:val="00510C58"/>
    <w:rsid w:val="0051563D"/>
    <w:rsid w:val="005179C7"/>
    <w:rsid w:val="0052107C"/>
    <w:rsid w:val="005221B7"/>
    <w:rsid w:val="00526689"/>
    <w:rsid w:val="00530100"/>
    <w:rsid w:val="005334BA"/>
    <w:rsid w:val="00536E0C"/>
    <w:rsid w:val="005408C7"/>
    <w:rsid w:val="005422E7"/>
    <w:rsid w:val="005437FD"/>
    <w:rsid w:val="00544A4E"/>
    <w:rsid w:val="00546C27"/>
    <w:rsid w:val="00553E33"/>
    <w:rsid w:val="00555C4C"/>
    <w:rsid w:val="00555D6E"/>
    <w:rsid w:val="00562F72"/>
    <w:rsid w:val="0056304B"/>
    <w:rsid w:val="00563F9E"/>
    <w:rsid w:val="00565356"/>
    <w:rsid w:val="00566B97"/>
    <w:rsid w:val="00570C6C"/>
    <w:rsid w:val="00584133"/>
    <w:rsid w:val="00584334"/>
    <w:rsid w:val="00591A14"/>
    <w:rsid w:val="0059380A"/>
    <w:rsid w:val="0059724C"/>
    <w:rsid w:val="005A1195"/>
    <w:rsid w:val="005A1AA7"/>
    <w:rsid w:val="005A3630"/>
    <w:rsid w:val="005A4D0B"/>
    <w:rsid w:val="005A61B4"/>
    <w:rsid w:val="005A65E0"/>
    <w:rsid w:val="005A735B"/>
    <w:rsid w:val="005B04D8"/>
    <w:rsid w:val="005B36CE"/>
    <w:rsid w:val="005B60F9"/>
    <w:rsid w:val="005B7257"/>
    <w:rsid w:val="005C1496"/>
    <w:rsid w:val="005C5EF4"/>
    <w:rsid w:val="005C6AAE"/>
    <w:rsid w:val="005D1073"/>
    <w:rsid w:val="005D1804"/>
    <w:rsid w:val="005D2770"/>
    <w:rsid w:val="005D35C9"/>
    <w:rsid w:val="005D57E2"/>
    <w:rsid w:val="005D5D06"/>
    <w:rsid w:val="005D62B5"/>
    <w:rsid w:val="005E2614"/>
    <w:rsid w:val="005E7144"/>
    <w:rsid w:val="005F011D"/>
    <w:rsid w:val="005F1E4A"/>
    <w:rsid w:val="00604583"/>
    <w:rsid w:val="006048EE"/>
    <w:rsid w:val="00607B0B"/>
    <w:rsid w:val="00611870"/>
    <w:rsid w:val="0061451E"/>
    <w:rsid w:val="00614752"/>
    <w:rsid w:val="00614E29"/>
    <w:rsid w:val="0062216A"/>
    <w:rsid w:val="00625634"/>
    <w:rsid w:val="00625EC1"/>
    <w:rsid w:val="00626F7D"/>
    <w:rsid w:val="00630199"/>
    <w:rsid w:val="006317C9"/>
    <w:rsid w:val="00632475"/>
    <w:rsid w:val="00632C35"/>
    <w:rsid w:val="006340B0"/>
    <w:rsid w:val="00635FC3"/>
    <w:rsid w:val="00641199"/>
    <w:rsid w:val="00641773"/>
    <w:rsid w:val="00641CB0"/>
    <w:rsid w:val="006420A8"/>
    <w:rsid w:val="0064239F"/>
    <w:rsid w:val="00644810"/>
    <w:rsid w:val="006456F1"/>
    <w:rsid w:val="0065471D"/>
    <w:rsid w:val="006552CE"/>
    <w:rsid w:val="00656A90"/>
    <w:rsid w:val="00657DD2"/>
    <w:rsid w:val="00657EC0"/>
    <w:rsid w:val="006626CC"/>
    <w:rsid w:val="00664B6D"/>
    <w:rsid w:val="00664F67"/>
    <w:rsid w:val="006655E2"/>
    <w:rsid w:val="00667658"/>
    <w:rsid w:val="00670F54"/>
    <w:rsid w:val="006728F9"/>
    <w:rsid w:val="006746DA"/>
    <w:rsid w:val="00675C0D"/>
    <w:rsid w:val="006765C3"/>
    <w:rsid w:val="006767BC"/>
    <w:rsid w:val="006803BA"/>
    <w:rsid w:val="00683E87"/>
    <w:rsid w:val="00690780"/>
    <w:rsid w:val="0069127B"/>
    <w:rsid w:val="00692026"/>
    <w:rsid w:val="006922F5"/>
    <w:rsid w:val="0069472E"/>
    <w:rsid w:val="006947D9"/>
    <w:rsid w:val="006A16DD"/>
    <w:rsid w:val="006A2587"/>
    <w:rsid w:val="006A60EB"/>
    <w:rsid w:val="006B3CFC"/>
    <w:rsid w:val="006B4D25"/>
    <w:rsid w:val="006B7785"/>
    <w:rsid w:val="006C0CD8"/>
    <w:rsid w:val="006C5AEE"/>
    <w:rsid w:val="006C6741"/>
    <w:rsid w:val="006C679A"/>
    <w:rsid w:val="006D09FE"/>
    <w:rsid w:val="006D0C40"/>
    <w:rsid w:val="006D15C1"/>
    <w:rsid w:val="006D732F"/>
    <w:rsid w:val="006E4597"/>
    <w:rsid w:val="006E688D"/>
    <w:rsid w:val="006F1432"/>
    <w:rsid w:val="006F7964"/>
    <w:rsid w:val="007028EC"/>
    <w:rsid w:val="007035D8"/>
    <w:rsid w:val="00703DF3"/>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640B"/>
    <w:rsid w:val="00737D4D"/>
    <w:rsid w:val="007406E6"/>
    <w:rsid w:val="007441A7"/>
    <w:rsid w:val="00746CCD"/>
    <w:rsid w:val="00747CE1"/>
    <w:rsid w:val="007517A6"/>
    <w:rsid w:val="007545C7"/>
    <w:rsid w:val="007551C0"/>
    <w:rsid w:val="00756EB9"/>
    <w:rsid w:val="0076005C"/>
    <w:rsid w:val="0076111D"/>
    <w:rsid w:val="007635C1"/>
    <w:rsid w:val="00766B42"/>
    <w:rsid w:val="0076731D"/>
    <w:rsid w:val="00767650"/>
    <w:rsid w:val="00767A90"/>
    <w:rsid w:val="007704C1"/>
    <w:rsid w:val="00770588"/>
    <w:rsid w:val="00770EDE"/>
    <w:rsid w:val="00773DC9"/>
    <w:rsid w:val="00774130"/>
    <w:rsid w:val="00776A76"/>
    <w:rsid w:val="0078070C"/>
    <w:rsid w:val="007824A2"/>
    <w:rsid w:val="00784541"/>
    <w:rsid w:val="00787790"/>
    <w:rsid w:val="007907DF"/>
    <w:rsid w:val="0079460B"/>
    <w:rsid w:val="00794DF2"/>
    <w:rsid w:val="007968CC"/>
    <w:rsid w:val="00796FB7"/>
    <w:rsid w:val="0079708B"/>
    <w:rsid w:val="007B04A9"/>
    <w:rsid w:val="007B16AC"/>
    <w:rsid w:val="007B1D5C"/>
    <w:rsid w:val="007B5D05"/>
    <w:rsid w:val="007B5D1E"/>
    <w:rsid w:val="007C2217"/>
    <w:rsid w:val="007C26F7"/>
    <w:rsid w:val="007C2E29"/>
    <w:rsid w:val="007C43E7"/>
    <w:rsid w:val="007C471C"/>
    <w:rsid w:val="007C52D3"/>
    <w:rsid w:val="007C5957"/>
    <w:rsid w:val="007C7042"/>
    <w:rsid w:val="007D2616"/>
    <w:rsid w:val="007D4258"/>
    <w:rsid w:val="007E000D"/>
    <w:rsid w:val="007E0D19"/>
    <w:rsid w:val="007E175B"/>
    <w:rsid w:val="007E3F8A"/>
    <w:rsid w:val="007F3645"/>
    <w:rsid w:val="007F58DD"/>
    <w:rsid w:val="007F6791"/>
    <w:rsid w:val="00802131"/>
    <w:rsid w:val="00805E44"/>
    <w:rsid w:val="008104D7"/>
    <w:rsid w:val="00811C26"/>
    <w:rsid w:val="00812A44"/>
    <w:rsid w:val="00820059"/>
    <w:rsid w:val="008264EB"/>
    <w:rsid w:val="00827924"/>
    <w:rsid w:val="00830756"/>
    <w:rsid w:val="00837A90"/>
    <w:rsid w:val="00850E84"/>
    <w:rsid w:val="00855A49"/>
    <w:rsid w:val="00856DF5"/>
    <w:rsid w:val="00857E76"/>
    <w:rsid w:val="0086059A"/>
    <w:rsid w:val="00862844"/>
    <w:rsid w:val="00865932"/>
    <w:rsid w:val="00866399"/>
    <w:rsid w:val="00872059"/>
    <w:rsid w:val="00873673"/>
    <w:rsid w:val="00875AAA"/>
    <w:rsid w:val="008803A1"/>
    <w:rsid w:val="0088122A"/>
    <w:rsid w:val="008839CD"/>
    <w:rsid w:val="00892AC8"/>
    <w:rsid w:val="00897E5A"/>
    <w:rsid w:val="008A07AF"/>
    <w:rsid w:val="008A3D4E"/>
    <w:rsid w:val="008A4580"/>
    <w:rsid w:val="008A4AC8"/>
    <w:rsid w:val="008A4E8B"/>
    <w:rsid w:val="008A58F9"/>
    <w:rsid w:val="008B014E"/>
    <w:rsid w:val="008B7D89"/>
    <w:rsid w:val="008C1EF4"/>
    <w:rsid w:val="008C2348"/>
    <w:rsid w:val="008D09DE"/>
    <w:rsid w:val="008D1708"/>
    <w:rsid w:val="008D2FF8"/>
    <w:rsid w:val="008D5AFD"/>
    <w:rsid w:val="008E3658"/>
    <w:rsid w:val="008E59EB"/>
    <w:rsid w:val="008E5D01"/>
    <w:rsid w:val="008E5D6A"/>
    <w:rsid w:val="008F26C0"/>
    <w:rsid w:val="00901462"/>
    <w:rsid w:val="00901D6C"/>
    <w:rsid w:val="00902A76"/>
    <w:rsid w:val="0090304F"/>
    <w:rsid w:val="00904474"/>
    <w:rsid w:val="0091137C"/>
    <w:rsid w:val="0091384C"/>
    <w:rsid w:val="009213F3"/>
    <w:rsid w:val="0092204C"/>
    <w:rsid w:val="00922DEE"/>
    <w:rsid w:val="009238AA"/>
    <w:rsid w:val="009244B8"/>
    <w:rsid w:val="00925748"/>
    <w:rsid w:val="00932407"/>
    <w:rsid w:val="00933B21"/>
    <w:rsid w:val="00933EC2"/>
    <w:rsid w:val="00937FC0"/>
    <w:rsid w:val="0094021E"/>
    <w:rsid w:val="00941048"/>
    <w:rsid w:val="00942161"/>
    <w:rsid w:val="009421F2"/>
    <w:rsid w:val="009424A5"/>
    <w:rsid w:val="00943A18"/>
    <w:rsid w:val="00947820"/>
    <w:rsid w:val="00950089"/>
    <w:rsid w:val="0095539D"/>
    <w:rsid w:val="00957AD0"/>
    <w:rsid w:val="00957E88"/>
    <w:rsid w:val="00961B39"/>
    <w:rsid w:val="00961FBE"/>
    <w:rsid w:val="00964277"/>
    <w:rsid w:val="0097100F"/>
    <w:rsid w:val="009739AC"/>
    <w:rsid w:val="0097582E"/>
    <w:rsid w:val="00977D26"/>
    <w:rsid w:val="00977E26"/>
    <w:rsid w:val="009805EC"/>
    <w:rsid w:val="00984227"/>
    <w:rsid w:val="009904EA"/>
    <w:rsid w:val="00991AF5"/>
    <w:rsid w:val="0099343F"/>
    <w:rsid w:val="0099497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48F7"/>
    <w:rsid w:val="009E5D18"/>
    <w:rsid w:val="009E6B78"/>
    <w:rsid w:val="009E6D37"/>
    <w:rsid w:val="009F1EC9"/>
    <w:rsid w:val="009F2D93"/>
    <w:rsid w:val="009F33F8"/>
    <w:rsid w:val="009F4ACF"/>
    <w:rsid w:val="009F5557"/>
    <w:rsid w:val="009F7864"/>
    <w:rsid w:val="00A02BFF"/>
    <w:rsid w:val="00A0554C"/>
    <w:rsid w:val="00A06D27"/>
    <w:rsid w:val="00A1015B"/>
    <w:rsid w:val="00A11999"/>
    <w:rsid w:val="00A135F1"/>
    <w:rsid w:val="00A139AB"/>
    <w:rsid w:val="00A15082"/>
    <w:rsid w:val="00A16AEE"/>
    <w:rsid w:val="00A16B43"/>
    <w:rsid w:val="00A20E0F"/>
    <w:rsid w:val="00A22B9A"/>
    <w:rsid w:val="00A243E8"/>
    <w:rsid w:val="00A27285"/>
    <w:rsid w:val="00A369E8"/>
    <w:rsid w:val="00A4199A"/>
    <w:rsid w:val="00A4512D"/>
    <w:rsid w:val="00A541E1"/>
    <w:rsid w:val="00A54775"/>
    <w:rsid w:val="00A5502C"/>
    <w:rsid w:val="00A5694A"/>
    <w:rsid w:val="00A65795"/>
    <w:rsid w:val="00A6672E"/>
    <w:rsid w:val="00A705AF"/>
    <w:rsid w:val="00A70F23"/>
    <w:rsid w:val="00A7126D"/>
    <w:rsid w:val="00A73C2F"/>
    <w:rsid w:val="00A75B58"/>
    <w:rsid w:val="00A77349"/>
    <w:rsid w:val="00A81D72"/>
    <w:rsid w:val="00A83572"/>
    <w:rsid w:val="00A85E69"/>
    <w:rsid w:val="00A931E2"/>
    <w:rsid w:val="00A93A18"/>
    <w:rsid w:val="00A93E1D"/>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5816"/>
    <w:rsid w:val="00AC637F"/>
    <w:rsid w:val="00AC682B"/>
    <w:rsid w:val="00AC7883"/>
    <w:rsid w:val="00AD01B4"/>
    <w:rsid w:val="00AD055C"/>
    <w:rsid w:val="00AD3E17"/>
    <w:rsid w:val="00AD52A0"/>
    <w:rsid w:val="00AD5717"/>
    <w:rsid w:val="00AE05BB"/>
    <w:rsid w:val="00AE0BA6"/>
    <w:rsid w:val="00AE3267"/>
    <w:rsid w:val="00AF6154"/>
    <w:rsid w:val="00B02F39"/>
    <w:rsid w:val="00B07615"/>
    <w:rsid w:val="00B11A0A"/>
    <w:rsid w:val="00B11D5A"/>
    <w:rsid w:val="00B163F6"/>
    <w:rsid w:val="00B20701"/>
    <w:rsid w:val="00B213FD"/>
    <w:rsid w:val="00B22D44"/>
    <w:rsid w:val="00B24DF4"/>
    <w:rsid w:val="00B2665E"/>
    <w:rsid w:val="00B30753"/>
    <w:rsid w:val="00B328AF"/>
    <w:rsid w:val="00B32DD1"/>
    <w:rsid w:val="00B37148"/>
    <w:rsid w:val="00B3720C"/>
    <w:rsid w:val="00B37974"/>
    <w:rsid w:val="00B41409"/>
    <w:rsid w:val="00B42851"/>
    <w:rsid w:val="00B42FC9"/>
    <w:rsid w:val="00B456E0"/>
    <w:rsid w:val="00B459E9"/>
    <w:rsid w:val="00B47076"/>
    <w:rsid w:val="00B5113E"/>
    <w:rsid w:val="00B525E9"/>
    <w:rsid w:val="00B550A7"/>
    <w:rsid w:val="00B56B37"/>
    <w:rsid w:val="00B57759"/>
    <w:rsid w:val="00B60D44"/>
    <w:rsid w:val="00B60D86"/>
    <w:rsid w:val="00B72C3E"/>
    <w:rsid w:val="00B732F1"/>
    <w:rsid w:val="00B8702B"/>
    <w:rsid w:val="00B904EC"/>
    <w:rsid w:val="00B91269"/>
    <w:rsid w:val="00B91454"/>
    <w:rsid w:val="00B93CD5"/>
    <w:rsid w:val="00B9432A"/>
    <w:rsid w:val="00B95A67"/>
    <w:rsid w:val="00B96A84"/>
    <w:rsid w:val="00BA0015"/>
    <w:rsid w:val="00BA2A5D"/>
    <w:rsid w:val="00BA2DE8"/>
    <w:rsid w:val="00BA4AEE"/>
    <w:rsid w:val="00BA55B1"/>
    <w:rsid w:val="00BB2D0A"/>
    <w:rsid w:val="00BB4C83"/>
    <w:rsid w:val="00BC07E4"/>
    <w:rsid w:val="00BC0BC5"/>
    <w:rsid w:val="00BC4293"/>
    <w:rsid w:val="00BC4D09"/>
    <w:rsid w:val="00BD0B57"/>
    <w:rsid w:val="00BD5F76"/>
    <w:rsid w:val="00BD649D"/>
    <w:rsid w:val="00BE0DE7"/>
    <w:rsid w:val="00BE11B0"/>
    <w:rsid w:val="00BE2B3A"/>
    <w:rsid w:val="00BE6832"/>
    <w:rsid w:val="00BF2561"/>
    <w:rsid w:val="00BF5905"/>
    <w:rsid w:val="00BF6152"/>
    <w:rsid w:val="00C0059F"/>
    <w:rsid w:val="00C01F47"/>
    <w:rsid w:val="00C025A9"/>
    <w:rsid w:val="00C06314"/>
    <w:rsid w:val="00C075F6"/>
    <w:rsid w:val="00C10135"/>
    <w:rsid w:val="00C123DF"/>
    <w:rsid w:val="00C206EE"/>
    <w:rsid w:val="00C23604"/>
    <w:rsid w:val="00C247FB"/>
    <w:rsid w:val="00C27BDD"/>
    <w:rsid w:val="00C308FA"/>
    <w:rsid w:val="00C31839"/>
    <w:rsid w:val="00C31A7F"/>
    <w:rsid w:val="00C32280"/>
    <w:rsid w:val="00C33D29"/>
    <w:rsid w:val="00C35287"/>
    <w:rsid w:val="00C35DEC"/>
    <w:rsid w:val="00C35F32"/>
    <w:rsid w:val="00C436EE"/>
    <w:rsid w:val="00C45877"/>
    <w:rsid w:val="00C477AC"/>
    <w:rsid w:val="00C5035E"/>
    <w:rsid w:val="00C50FAC"/>
    <w:rsid w:val="00C51BE7"/>
    <w:rsid w:val="00C53C65"/>
    <w:rsid w:val="00C54EC7"/>
    <w:rsid w:val="00C565EF"/>
    <w:rsid w:val="00C57614"/>
    <w:rsid w:val="00C57EC0"/>
    <w:rsid w:val="00C618D7"/>
    <w:rsid w:val="00C624CC"/>
    <w:rsid w:val="00C63431"/>
    <w:rsid w:val="00C63C14"/>
    <w:rsid w:val="00C64BBB"/>
    <w:rsid w:val="00C64D00"/>
    <w:rsid w:val="00C66DA9"/>
    <w:rsid w:val="00C74935"/>
    <w:rsid w:val="00C753E9"/>
    <w:rsid w:val="00C7543A"/>
    <w:rsid w:val="00C76B81"/>
    <w:rsid w:val="00C84B06"/>
    <w:rsid w:val="00C84FAC"/>
    <w:rsid w:val="00C85E91"/>
    <w:rsid w:val="00C911AD"/>
    <w:rsid w:val="00CA04C6"/>
    <w:rsid w:val="00CA2728"/>
    <w:rsid w:val="00CB0684"/>
    <w:rsid w:val="00CB2190"/>
    <w:rsid w:val="00CB5999"/>
    <w:rsid w:val="00CB5B1A"/>
    <w:rsid w:val="00CB733F"/>
    <w:rsid w:val="00CC36EF"/>
    <w:rsid w:val="00CC4B4F"/>
    <w:rsid w:val="00CC4B8E"/>
    <w:rsid w:val="00CC697B"/>
    <w:rsid w:val="00CC7207"/>
    <w:rsid w:val="00CD3457"/>
    <w:rsid w:val="00CE16CC"/>
    <w:rsid w:val="00CE1712"/>
    <w:rsid w:val="00CE3387"/>
    <w:rsid w:val="00CE3A39"/>
    <w:rsid w:val="00CE515C"/>
    <w:rsid w:val="00CE7355"/>
    <w:rsid w:val="00CF4118"/>
    <w:rsid w:val="00CF702F"/>
    <w:rsid w:val="00D05CB2"/>
    <w:rsid w:val="00D07C0D"/>
    <w:rsid w:val="00D10D90"/>
    <w:rsid w:val="00D116AD"/>
    <w:rsid w:val="00D1395D"/>
    <w:rsid w:val="00D13C42"/>
    <w:rsid w:val="00D13C6E"/>
    <w:rsid w:val="00D16B25"/>
    <w:rsid w:val="00D20AD1"/>
    <w:rsid w:val="00D24922"/>
    <w:rsid w:val="00D2571E"/>
    <w:rsid w:val="00D301EA"/>
    <w:rsid w:val="00D31DC2"/>
    <w:rsid w:val="00D41AE5"/>
    <w:rsid w:val="00D429E0"/>
    <w:rsid w:val="00D42B9A"/>
    <w:rsid w:val="00D446AF"/>
    <w:rsid w:val="00D469E4"/>
    <w:rsid w:val="00D4728F"/>
    <w:rsid w:val="00D50F47"/>
    <w:rsid w:val="00D5354B"/>
    <w:rsid w:val="00D563D0"/>
    <w:rsid w:val="00D717BC"/>
    <w:rsid w:val="00D72B6D"/>
    <w:rsid w:val="00D738DB"/>
    <w:rsid w:val="00D73FE2"/>
    <w:rsid w:val="00D7465B"/>
    <w:rsid w:val="00D77741"/>
    <w:rsid w:val="00D81026"/>
    <w:rsid w:val="00D812BD"/>
    <w:rsid w:val="00D84622"/>
    <w:rsid w:val="00D87241"/>
    <w:rsid w:val="00D87CBD"/>
    <w:rsid w:val="00D9306A"/>
    <w:rsid w:val="00D944BF"/>
    <w:rsid w:val="00D9561F"/>
    <w:rsid w:val="00D96327"/>
    <w:rsid w:val="00DA2D11"/>
    <w:rsid w:val="00DA459E"/>
    <w:rsid w:val="00DB07A4"/>
    <w:rsid w:val="00DB5454"/>
    <w:rsid w:val="00DB5911"/>
    <w:rsid w:val="00DC0477"/>
    <w:rsid w:val="00DC0D24"/>
    <w:rsid w:val="00DC6FB7"/>
    <w:rsid w:val="00DD047B"/>
    <w:rsid w:val="00DD0693"/>
    <w:rsid w:val="00DD5D99"/>
    <w:rsid w:val="00DD6F15"/>
    <w:rsid w:val="00DD7CB0"/>
    <w:rsid w:val="00DE3C4E"/>
    <w:rsid w:val="00DE5D9E"/>
    <w:rsid w:val="00DE75D8"/>
    <w:rsid w:val="00DF0B12"/>
    <w:rsid w:val="00DF1D4A"/>
    <w:rsid w:val="00DF3751"/>
    <w:rsid w:val="00DF515C"/>
    <w:rsid w:val="00DF5695"/>
    <w:rsid w:val="00DF7D7A"/>
    <w:rsid w:val="00E015E6"/>
    <w:rsid w:val="00E05B44"/>
    <w:rsid w:val="00E06145"/>
    <w:rsid w:val="00E066B4"/>
    <w:rsid w:val="00E125E7"/>
    <w:rsid w:val="00E13C5C"/>
    <w:rsid w:val="00E209BF"/>
    <w:rsid w:val="00E236C6"/>
    <w:rsid w:val="00E3057D"/>
    <w:rsid w:val="00E3115C"/>
    <w:rsid w:val="00E3260A"/>
    <w:rsid w:val="00E34F33"/>
    <w:rsid w:val="00E35CBB"/>
    <w:rsid w:val="00E35DC5"/>
    <w:rsid w:val="00E367A4"/>
    <w:rsid w:val="00E40F95"/>
    <w:rsid w:val="00E40FD7"/>
    <w:rsid w:val="00E41CF8"/>
    <w:rsid w:val="00E4269D"/>
    <w:rsid w:val="00E4312B"/>
    <w:rsid w:val="00E473D1"/>
    <w:rsid w:val="00E515ED"/>
    <w:rsid w:val="00E57576"/>
    <w:rsid w:val="00E604B3"/>
    <w:rsid w:val="00E60650"/>
    <w:rsid w:val="00E60EE1"/>
    <w:rsid w:val="00E6109E"/>
    <w:rsid w:val="00E708F6"/>
    <w:rsid w:val="00E716B4"/>
    <w:rsid w:val="00E7210E"/>
    <w:rsid w:val="00E72B0B"/>
    <w:rsid w:val="00E81C4B"/>
    <w:rsid w:val="00E86B67"/>
    <w:rsid w:val="00E92040"/>
    <w:rsid w:val="00E9314D"/>
    <w:rsid w:val="00E95DFC"/>
    <w:rsid w:val="00EA33D5"/>
    <w:rsid w:val="00EA3D97"/>
    <w:rsid w:val="00EA5E02"/>
    <w:rsid w:val="00EA5FD0"/>
    <w:rsid w:val="00EA63B1"/>
    <w:rsid w:val="00EB0020"/>
    <w:rsid w:val="00EB2242"/>
    <w:rsid w:val="00EC3B03"/>
    <w:rsid w:val="00EC7D3F"/>
    <w:rsid w:val="00ED0468"/>
    <w:rsid w:val="00ED0DD3"/>
    <w:rsid w:val="00ED648B"/>
    <w:rsid w:val="00EE136A"/>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21FA"/>
    <w:rsid w:val="00F238F2"/>
    <w:rsid w:val="00F24D99"/>
    <w:rsid w:val="00F332B3"/>
    <w:rsid w:val="00F34D63"/>
    <w:rsid w:val="00F35F7A"/>
    <w:rsid w:val="00F36858"/>
    <w:rsid w:val="00F40DE5"/>
    <w:rsid w:val="00F41C35"/>
    <w:rsid w:val="00F4438C"/>
    <w:rsid w:val="00F4475D"/>
    <w:rsid w:val="00F46ED7"/>
    <w:rsid w:val="00F549D7"/>
    <w:rsid w:val="00F556DB"/>
    <w:rsid w:val="00F560D5"/>
    <w:rsid w:val="00F56325"/>
    <w:rsid w:val="00F571BC"/>
    <w:rsid w:val="00F6381E"/>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B375B"/>
    <w:rsid w:val="00FB43DE"/>
    <w:rsid w:val="00FB4A70"/>
    <w:rsid w:val="00FB6425"/>
    <w:rsid w:val="00FB722E"/>
    <w:rsid w:val="00FC27A6"/>
    <w:rsid w:val="00FC3BFF"/>
    <w:rsid w:val="00FC7F5D"/>
    <w:rsid w:val="00FD0A43"/>
    <w:rsid w:val="00FD1BC7"/>
    <w:rsid w:val="00FD1D84"/>
    <w:rsid w:val="00FD4E9C"/>
    <w:rsid w:val="00FD50A4"/>
    <w:rsid w:val="00FD744A"/>
    <w:rsid w:val="00FE58D5"/>
    <w:rsid w:val="00FE5CA3"/>
    <w:rsid w:val="00FF08C3"/>
    <w:rsid w:val="00FF4069"/>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42161"/>
    <w:pPr>
      <w:keepLines/>
      <w:spacing w:before="120" w:after="120"/>
    </w:pPr>
  </w:style>
  <w:style w:type="paragraph" w:styleId="Heading1">
    <w:name w:val="heading 1"/>
    <w:basedOn w:val="Normal"/>
    <w:next w:val="Normal"/>
    <w:qFormat/>
    <w:rsid w:val="004A7DCA"/>
    <w:pPr>
      <w:keepNext/>
      <w:spacing w:before="480" w:after="240"/>
      <w:outlineLvl w:val="0"/>
    </w:pPr>
    <w:rPr>
      <w:rFonts w:cs="Arial"/>
      <w:b/>
      <w:bCs/>
      <w:color w:val="000000" w:themeColor="text1"/>
      <w:kern w:val="28"/>
      <w:sz w:val="40"/>
      <w:szCs w:val="32"/>
    </w:rPr>
  </w:style>
  <w:style w:type="paragraph" w:styleId="Heading2">
    <w:name w:val="heading 2"/>
    <w:basedOn w:val="Heading1"/>
    <w:next w:val="Normal"/>
    <w:qFormat/>
    <w:rsid w:val="00307ECE"/>
    <w:pPr>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31116B"/>
    <w:pPr>
      <w:pBdr>
        <w:left w:val="single" w:sz="48" w:space="8" w:color="036C67"/>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14752"/>
    <w:pPr>
      <w:spacing w:before="180" w:after="180"/>
      <w:ind w:left="284" w:hanging="284"/>
      <w:contextualSpacing/>
    </w:pPr>
    <w:rPr>
      <w:sz w:val="18"/>
      <w:szCs w:val="20"/>
    </w:rPr>
  </w:style>
  <w:style w:type="character" w:customStyle="1" w:styleId="FootnoteTextChar">
    <w:name w:val="Footnote Text Char"/>
    <w:basedOn w:val="DefaultParagraphFont"/>
    <w:link w:val="FootnoteText"/>
    <w:rsid w:val="00614752"/>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644810"/>
    <w:pPr>
      <w:spacing w:after="0"/>
    </w:pPr>
    <w:tblPr>
      <w:tblCellMar>
        <w:top w:w="142" w:type="dxa"/>
        <w:left w:w="284" w:type="dxa"/>
        <w:right w:w="284" w:type="dxa"/>
      </w:tblCellMar>
    </w:tblPr>
    <w:trPr>
      <w:cantSplit/>
    </w:trPr>
    <w:tcPr>
      <w:shd w:val="clear" w:color="auto" w:fill="F4F4D8"/>
    </w:tcPr>
    <w:tblStylePr w:type="firstRow">
      <w:pPr>
        <w:wordWrap/>
        <w:spacing w:afterLines="0" w:after="0" w:afterAutospacing="0" w:line="240" w:lineRule="auto"/>
      </w:pPr>
      <w:rPr>
        <w:b/>
        <w:sz w:val="24"/>
      </w:rPr>
      <w:tblPr/>
      <w:trPr>
        <w:cantSplit w:val="0"/>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31116B"/>
    <w:pPr>
      <w:pBdr>
        <w:left w:val="single" w:sz="48" w:space="8" w:color="036C67"/>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uiPriority w:val="99"/>
    <w:qFormat/>
    <w:rsid w:val="00E3057D"/>
    <w:pPr>
      <w:spacing w:before="36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TitleHeading1noafterHeadings">
    <w:name w:val="Title / Heading 1 (no # after) (Headings)"/>
    <w:basedOn w:val="Normal"/>
    <w:next w:val="NormalBodystyles"/>
    <w:uiPriority w:val="99"/>
    <w:rsid w:val="00D87241"/>
    <w:pPr>
      <w:keepNext/>
      <w:widowControl w:val="0"/>
      <w:tabs>
        <w:tab w:val="left" w:pos="850"/>
      </w:tabs>
      <w:suppressAutoHyphens/>
      <w:autoSpaceDE w:val="0"/>
      <w:autoSpaceDN w:val="0"/>
      <w:adjustRightInd w:val="0"/>
      <w:spacing w:before="0" w:after="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Heading1SmallbelowH1Headings">
    <w:name w:val="Heading 1 Small (below H1) (Headings)"/>
    <w:basedOn w:val="Normal"/>
    <w:uiPriority w:val="99"/>
    <w:rsid w:val="00D87241"/>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2dropcapnumberHeadings">
    <w:name w:val="Heading 2 (drop cap number) (Headings)"/>
    <w:basedOn w:val="Normal"/>
    <w:next w:val="NormalBodystyles"/>
    <w:uiPriority w:val="99"/>
    <w:rsid w:val="00D87241"/>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ropCapQSHeadingHeadings">
    <w:name w:val="Drop Cap QS Heading (Headings)"/>
    <w:basedOn w:val="Heading2dropcapnumberHeadings"/>
    <w:uiPriority w:val="99"/>
    <w:rsid w:val="00D87241"/>
    <w:pPr>
      <w:tabs>
        <w:tab w:val="left" w:pos="680"/>
      </w:tabs>
      <w:spacing w:before="0" w:after="113"/>
    </w:pPr>
  </w:style>
  <w:style w:type="paragraph" w:customStyle="1" w:styleId="NormalBodystyles">
    <w:name w:val="Normal (Body styles)"/>
    <w:basedOn w:val="Normal"/>
    <w:uiPriority w:val="99"/>
    <w:rsid w:val="00D87241"/>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NormalIndentBodystyles">
    <w:name w:val="Normal Indent (Body styles)"/>
    <w:basedOn w:val="NormalBodystyles"/>
    <w:uiPriority w:val="99"/>
    <w:rsid w:val="00D87241"/>
    <w:pPr>
      <w:ind w:left="680"/>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
    <w:uiPriority w:val="99"/>
    <w:rsid w:val="00D87241"/>
    <w:pPr>
      <w:spacing w:before="142"/>
    </w:pPr>
  </w:style>
  <w:style w:type="paragraph" w:customStyle="1" w:styleId="NormalBeforeBulletBodystyles">
    <w:name w:val="Normal Before Bullet (Body styles)"/>
    <w:basedOn w:val="NormalBodystyles"/>
    <w:next w:val="BulletBulletandNumberlists"/>
    <w:uiPriority w:val="99"/>
    <w:rsid w:val="00D87241"/>
    <w:pPr>
      <w:keepNext/>
      <w:spacing w:after="57"/>
    </w:pPr>
  </w:style>
  <w:style w:type="paragraph" w:customStyle="1" w:styleId="CCSPulloutHeadPullouts">
    <w:name w:val="CCS Pullout Head (Pullouts)"/>
    <w:basedOn w:val="Normal"/>
    <w:uiPriority w:val="99"/>
    <w:rsid w:val="00D87241"/>
    <w:pPr>
      <w:widowControl w:val="0"/>
      <w:suppressAutoHyphens/>
      <w:autoSpaceDE w:val="0"/>
      <w:autoSpaceDN w:val="0"/>
      <w:adjustRightInd w:val="0"/>
      <w:spacing w:before="170" w:after="85" w:line="250" w:lineRule="atLeast"/>
      <w:ind w:left="340"/>
      <w:textAlignment w:val="center"/>
    </w:pPr>
    <w:rPr>
      <w:rFonts w:ascii="Proxima Nova Extrabold" w:eastAsiaTheme="minorEastAsia" w:hAnsi="Proxima Nova Extrabold" w:cs="Proxima Nova Extrabold"/>
      <w:b/>
      <w:bCs/>
      <w:caps/>
      <w:color w:val="009838"/>
      <w:lang w:val="en-GB" w:eastAsia="en-GB"/>
    </w:rPr>
  </w:style>
  <w:style w:type="paragraph" w:customStyle="1" w:styleId="CCSPulloutBodyPullouts">
    <w:name w:val="CCS Pullout Body (Pullouts)"/>
    <w:basedOn w:val="Normal"/>
    <w:uiPriority w:val="99"/>
    <w:rsid w:val="00D87241"/>
    <w:pPr>
      <w:widowControl w:val="0"/>
      <w:suppressAutoHyphens/>
      <w:autoSpaceDE w:val="0"/>
      <w:autoSpaceDN w:val="0"/>
      <w:adjustRightInd w:val="0"/>
      <w:spacing w:before="0" w:after="170" w:line="250" w:lineRule="atLeast"/>
      <w:ind w:left="340"/>
      <w:textAlignment w:val="center"/>
    </w:pPr>
    <w:rPr>
      <w:rFonts w:ascii="Open Sans Semibold" w:eastAsiaTheme="minorEastAsia" w:hAnsi="Open Sans Semibold" w:cs="Open Sans Semibold"/>
      <w:color w:val="000000"/>
      <w:sz w:val="19"/>
      <w:szCs w:val="19"/>
      <w:lang w:val="en-GB" w:eastAsia="en-GB"/>
    </w:rPr>
  </w:style>
  <w:style w:type="paragraph" w:customStyle="1" w:styleId="TFIHolderBodystyles">
    <w:name w:val="TFIHolder • (Body styles)"/>
    <w:basedOn w:val="NormalBodystyles"/>
    <w:uiPriority w:val="99"/>
    <w:rsid w:val="00D87241"/>
    <w:pPr>
      <w:spacing w:before="113" w:after="227" w:line="288" w:lineRule="auto"/>
    </w:pPr>
  </w:style>
  <w:style w:type="paragraph" w:customStyle="1" w:styleId="Heading2Headings">
    <w:name w:val="Heading 2 (Headings)"/>
    <w:basedOn w:val="Normal"/>
    <w:next w:val="NormalBodystyles"/>
    <w:uiPriority w:val="99"/>
    <w:rsid w:val="00D87241"/>
    <w:pPr>
      <w:widowControl w:val="0"/>
      <w:suppressAutoHyphens/>
      <w:autoSpaceDE w:val="0"/>
      <w:autoSpaceDN w:val="0"/>
      <w:adjustRightInd w:val="0"/>
      <w:spacing w:before="283"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isclaimerspanMisc">
    <w:name w:val="Disclaimer (span) (Misc)"/>
    <w:basedOn w:val="Normal"/>
    <w:uiPriority w:val="99"/>
    <w:rsid w:val="00D87241"/>
    <w:pPr>
      <w:widowControl w:val="0"/>
      <w:suppressAutoHyphens/>
      <w:autoSpaceDE w:val="0"/>
      <w:autoSpaceDN w:val="0"/>
      <w:adjustRightInd w:val="0"/>
      <w:spacing w:before="170" w:after="28" w:line="312" w:lineRule="auto"/>
      <w:textAlignment w:val="center"/>
    </w:pPr>
    <w:rPr>
      <w:rFonts w:ascii="Open Sans" w:eastAsiaTheme="minorEastAsia" w:hAnsi="Open Sans" w:cs="Open Sans"/>
      <w:color w:val="000000"/>
      <w:sz w:val="17"/>
      <w:szCs w:val="17"/>
      <w:lang w:val="en-GB" w:eastAsia="en-GB"/>
    </w:rPr>
  </w:style>
  <w:style w:type="paragraph" w:customStyle="1" w:styleId="BoxTitleH3Pullouts">
    <w:name w:val="Box Title (H3) (Pullouts)"/>
    <w:basedOn w:val="Normal"/>
    <w:next w:val="Normal"/>
    <w:uiPriority w:val="99"/>
    <w:rsid w:val="00D87241"/>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BeforeDashBulletandNumberlists">
    <w:name w:val="Bullet Before Dash (Bullet and Number lists)"/>
    <w:basedOn w:val="BulletBulletandNumberlists"/>
    <w:uiPriority w:val="99"/>
    <w:rsid w:val="00D87241"/>
    <w:pPr>
      <w:suppressAutoHyphens/>
      <w:spacing w:before="0" w:after="28" w:line="250" w:lineRule="atLeast"/>
    </w:pPr>
    <w:rPr>
      <w:rFonts w:ascii="Open Sans" w:hAnsi="Open Sans" w:cs="Open Sans"/>
      <w:sz w:val="19"/>
      <w:szCs w:val="19"/>
      <w:lang w:val="en-GB"/>
    </w:rPr>
  </w:style>
  <w:style w:type="paragraph" w:customStyle="1" w:styleId="DashBulletandNumberlists">
    <w:name w:val="Dash (Bullet and Number lists)"/>
    <w:basedOn w:val="Normal"/>
    <w:uiPriority w:val="99"/>
    <w:rsid w:val="00D87241"/>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DashLastBulletandNumberlists">
    <w:name w:val="Dash Last (Bullet and Number lists)"/>
    <w:basedOn w:val="DashBulletandNumberlists"/>
    <w:next w:val="Normal"/>
    <w:uiPriority w:val="99"/>
    <w:rsid w:val="00D87241"/>
    <w:pPr>
      <w:spacing w:after="57"/>
    </w:pPr>
  </w:style>
  <w:style w:type="paragraph" w:customStyle="1" w:styleId="IntroBodystyles">
    <w:name w:val="Intro (Body styles)"/>
    <w:basedOn w:val="NormalBodystyles"/>
    <w:uiPriority w:val="99"/>
    <w:rsid w:val="00BA55B1"/>
    <w:pPr>
      <w:spacing w:after="283" w:line="320" w:lineRule="atLeast"/>
    </w:pPr>
    <w:rPr>
      <w:b/>
      <w:bCs/>
      <w:color w:val="005130"/>
      <w:sz w:val="24"/>
      <w:szCs w:val="24"/>
      <w14:ligatures w14:val="standardContextual"/>
    </w:rPr>
  </w:style>
  <w:style w:type="character" w:customStyle="1" w:styleId="BoldItalicGreen">
    <w:name w:val="Bold Italic Green"/>
    <w:uiPriority w:val="99"/>
    <w:rsid w:val="00BA55B1"/>
    <w:rPr>
      <w:b/>
      <w:bCs/>
      <w:i/>
      <w:iCs/>
    </w:rPr>
  </w:style>
  <w:style w:type="paragraph" w:customStyle="1" w:styleId="NormalIntroBold">
    <w:name w:val="Normal Intro Bold"/>
    <w:basedOn w:val="NormalBodystyles"/>
    <w:uiPriority w:val="99"/>
    <w:rsid w:val="00A85E69"/>
    <w:rPr>
      <w:rFonts w:asciiTheme="minorHAnsi" w:hAnsiTheme="minorHAnsi" w:cs="Open Sans Semibold"/>
      <w:b/>
      <w:sz w:val="22"/>
      <w14:ligatures w14:val="standardContextual"/>
    </w:rPr>
  </w:style>
  <w:style w:type="paragraph" w:customStyle="1" w:styleId="CCSIndigenousBannerholderPullouts">
    <w:name w:val="CCS Indigenous Banner holder (Pullouts)"/>
    <w:basedOn w:val="NormalBodystyles"/>
    <w:uiPriority w:val="99"/>
    <w:rsid w:val="00BA55B1"/>
    <w:pPr>
      <w:spacing w:before="227" w:after="0" w:line="288" w:lineRule="auto"/>
    </w:pPr>
    <w:rPr>
      <w14:ligatures w14:val="standardContextual"/>
    </w:rPr>
  </w:style>
  <w:style w:type="paragraph" w:customStyle="1" w:styleId="Heading3Headings">
    <w:name w:val="Heading 3  (Headings)"/>
    <w:basedOn w:val="Normal"/>
    <w:uiPriority w:val="99"/>
    <w:rsid w:val="00BA55B1"/>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14:ligatures w14:val="standardContextual"/>
    </w:rPr>
  </w:style>
  <w:style w:type="paragraph" w:customStyle="1" w:styleId="FootnotetextBodystyles">
    <w:name w:val="Footnote text (Body styles)"/>
    <w:basedOn w:val="NormalBodystyles"/>
    <w:uiPriority w:val="99"/>
    <w:rsid w:val="00BA55B1"/>
    <w:pPr>
      <w:tabs>
        <w:tab w:val="left" w:pos="283"/>
      </w:tabs>
      <w:spacing w:after="0" w:line="312" w:lineRule="auto"/>
    </w:pPr>
    <w:rPr>
      <w:sz w:val="17"/>
      <w:szCs w:val="17"/>
      <w14:ligatures w14:val="standardContextual"/>
    </w:rPr>
  </w:style>
  <w:style w:type="character" w:customStyle="1" w:styleId="Hyperlinkitalics">
    <w:name w:val="Hyperlink (italics)"/>
    <w:basedOn w:val="Hyperlink"/>
    <w:uiPriority w:val="99"/>
    <w:rsid w:val="00DD0693"/>
    <w:rPr>
      <w:i/>
      <w:iCs/>
      <w:color w:val="1178A0" w:themeColor="background2"/>
      <w:u w:val="single"/>
    </w:rPr>
  </w:style>
  <w:style w:type="character" w:customStyle="1" w:styleId="ItalicSemibold">
    <w:name w:val="Italic (Semibold)"/>
    <w:uiPriority w:val="99"/>
    <w:rsid w:val="00BA55B1"/>
    <w:rPr>
      <w:i/>
      <w:iCs/>
    </w:rPr>
  </w:style>
  <w:style w:type="paragraph" w:customStyle="1" w:styleId="Copyright">
    <w:name w:val="Copyright"/>
    <w:basedOn w:val="Normal"/>
    <w:qFormat/>
    <w:rsid w:val="006B4D25"/>
    <w:rPr>
      <w:rFonts w:eastAsiaTheme="majorEastAsia"/>
      <w:sz w:val="18"/>
      <w:szCs w:val="18"/>
    </w:rPr>
  </w:style>
  <w:style w:type="paragraph" w:customStyle="1" w:styleId="Website">
    <w:name w:val="Website"/>
    <w:basedOn w:val="Normal"/>
    <w:qFormat/>
    <w:rsid w:val="005D57E2"/>
    <w:pPr>
      <w:keepNext/>
      <w:spacing w:before="360" w:after="240"/>
    </w:pPr>
    <w:rPr>
      <w:b/>
      <w:bCs/>
      <w:color w:val="1178A0" w:themeColor="background2"/>
      <w:sz w:val="26"/>
      <w:szCs w:val="26"/>
    </w:rPr>
  </w:style>
  <w:style w:type="paragraph" w:customStyle="1" w:styleId="TFTitlespanTables">
    <w:name w:val="TF Title (span) (Tables)"/>
    <w:basedOn w:val="Normal"/>
    <w:uiPriority w:val="99"/>
    <w:rsid w:val="00942161"/>
    <w:pPr>
      <w:keepNext/>
      <w:widowControl w:val="0"/>
      <w:tabs>
        <w:tab w:val="left" w:pos="680"/>
      </w:tabs>
      <w:suppressAutoHyphens/>
      <w:autoSpaceDE w:val="0"/>
      <w:autoSpaceDN w:val="0"/>
      <w:adjustRightInd w:val="0"/>
      <w:spacing w:before="113" w:after="57" w:line="288" w:lineRule="auto"/>
      <w:textAlignment w:val="center"/>
    </w:pPr>
    <w:rPr>
      <w:rFonts w:ascii="Open Sans Semibold" w:eastAsiaTheme="minorEastAsia" w:hAnsi="Open Sans Semibold" w:cs="Open Sans Semibold"/>
      <w:color w:val="000000"/>
      <w:sz w:val="20"/>
      <w:szCs w:val="20"/>
      <w:lang w:val="en-GB" w:eastAsia="en-GB"/>
      <w14:ligatures w14:val="standardContextual"/>
    </w:rPr>
  </w:style>
  <w:style w:type="paragraph" w:customStyle="1" w:styleId="TFHolderspanBodystyles">
    <w:name w:val="# TF Holder # (span) (Body styles)"/>
    <w:basedOn w:val="Normal"/>
    <w:uiPriority w:val="99"/>
    <w:rsid w:val="00942161"/>
    <w:pPr>
      <w:widowControl w:val="0"/>
      <w:autoSpaceDE w:val="0"/>
      <w:autoSpaceDN w:val="0"/>
      <w:adjustRightInd w:val="0"/>
      <w:spacing w:before="170" w:after="170" w:line="288" w:lineRule="auto"/>
      <w:textAlignment w:val="center"/>
    </w:pPr>
    <w:rPr>
      <w:rFonts w:ascii="Arial" w:eastAsiaTheme="minorEastAsia" w:hAnsi="Arial" w:cs="Arial"/>
      <w:color w:val="000000"/>
      <w:lang w:val="en-US" w:eastAsia="en-GB"/>
      <w14:ligatures w14:val="standardContextual"/>
    </w:rPr>
  </w:style>
  <w:style w:type="paragraph" w:customStyle="1" w:styleId="FootnoteTFnotesspanBodystyles">
    <w:name w:val="Footnote / TF notes (span) (Body styles)"/>
    <w:basedOn w:val="Normal"/>
    <w:uiPriority w:val="99"/>
    <w:rsid w:val="00942161"/>
    <w:pPr>
      <w:widowControl w:val="0"/>
      <w:tabs>
        <w:tab w:val="left" w:pos="170"/>
      </w:tabs>
      <w:autoSpaceDE w:val="0"/>
      <w:autoSpaceDN w:val="0"/>
      <w:adjustRightInd w:val="0"/>
      <w:spacing w:before="57" w:after="227" w:line="210" w:lineRule="atLeast"/>
      <w:textAlignment w:val="center"/>
    </w:pPr>
    <w:rPr>
      <w:rFonts w:ascii="Arial" w:eastAsiaTheme="minorEastAsia" w:hAnsi="Arial" w:cs="Arial"/>
      <w:color w:val="000000"/>
      <w:sz w:val="16"/>
      <w:szCs w:val="16"/>
      <w:lang w:val="en-US" w:eastAsia="en-GB"/>
      <w14:ligatures w14:val="standardContextual"/>
    </w:rPr>
  </w:style>
  <w:style w:type="paragraph" w:customStyle="1" w:styleId="ReferencesHeadMisc">
    <w:name w:val="References Head (Misc)"/>
    <w:basedOn w:val="Normal"/>
    <w:uiPriority w:val="99"/>
    <w:rsid w:val="00942161"/>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14:ligatures w14:val="standardContextual"/>
    </w:rPr>
  </w:style>
  <w:style w:type="paragraph" w:customStyle="1" w:styleId="ReferencesListLastMisc">
    <w:name w:val="References List Last (Misc)"/>
    <w:basedOn w:val="Normal"/>
    <w:uiPriority w:val="99"/>
    <w:rsid w:val="00942161"/>
    <w:pPr>
      <w:widowControl w:val="0"/>
      <w:suppressAutoHyphens/>
      <w:autoSpaceDE w:val="0"/>
      <w:autoSpaceDN w:val="0"/>
      <w:adjustRightInd w:val="0"/>
      <w:spacing w:before="0" w:after="142" w:line="230" w:lineRule="atLeast"/>
      <w:ind w:left="227" w:hanging="227"/>
      <w:textAlignment w:val="center"/>
    </w:pPr>
    <w:rPr>
      <w:rFonts w:ascii="Open Sans" w:eastAsiaTheme="minorEastAsia" w:hAnsi="Open Sans" w:cs="Open Sans"/>
      <w:color w:val="000000"/>
      <w:sz w:val="17"/>
      <w:szCs w:val="17"/>
      <w:lang w:val="en-GB" w:eastAsia="en-GB"/>
      <w14:ligatures w14:val="standardContextual"/>
    </w:rPr>
  </w:style>
  <w:style w:type="table" w:customStyle="1" w:styleId="CCSTable">
    <w:name w:val="CCS Table"/>
    <w:basedOn w:val="TableNormal"/>
    <w:uiPriority w:val="99"/>
    <w:rsid w:val="004C02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tblCellMar>
    </w:tblPr>
    <w:trPr>
      <w:cantSplit/>
    </w:trPr>
    <w:tcPr>
      <w:shd w:val="clear" w:color="auto" w:fill="auto"/>
    </w:tcPr>
    <w:tblStylePr w:type="firstRow">
      <w:pPr>
        <w:jc w:val="left"/>
      </w:pPr>
      <w:rPr>
        <w:b/>
        <w:color w:val="FFFFFF" w:themeColor="background1"/>
      </w:rPr>
      <w:tblPr/>
      <w:trPr>
        <w:cantSplit w:val="0"/>
        <w:tblHeader/>
      </w:trPr>
      <w:tcPr>
        <w:shd w:val="clear" w:color="auto" w:fill="007978"/>
      </w:tcPr>
    </w:tblStylePr>
  </w:style>
  <w:style w:type="character" w:customStyle="1" w:styleId="Cross-references">
    <w:name w:val="Cross-references"/>
    <w:basedOn w:val="Hyperlink"/>
    <w:uiPriority w:val="1"/>
    <w:qFormat/>
    <w:rsid w:val="00DF7D7A"/>
    <w:rPr>
      <w:color w:val="1178A0" w:themeColor="background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fetyandquality.gov.au/hmb-c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164</TotalTime>
  <Pages>8</Pages>
  <Words>3095</Words>
  <Characters>18918</Characters>
  <Application>Microsoft Office Word</Application>
  <DocSecurity>0</DocSecurity>
  <Lines>333</Lines>
  <Paragraphs>136</Paragraphs>
  <ScaleCrop>false</ScaleCrop>
  <HeadingPairs>
    <vt:vector size="2" baseType="variant">
      <vt:variant>
        <vt:lpstr>Title</vt:lpstr>
      </vt:variant>
      <vt:variant>
        <vt:i4>1</vt:i4>
      </vt:variant>
    </vt:vector>
  </HeadingPairs>
  <TitlesOfParts>
    <vt:vector size="1" baseType="lpstr">
      <vt:lpstr>Information for clinicians: Heavy Menstrual Bleeding Clinical Care Standard 2024</vt:lpstr>
    </vt:vector>
  </TitlesOfParts>
  <Manager/>
  <Company>Australian Commission on Safety and Quality in Health Care</Company>
  <LinksUpToDate>false</LinksUpToDate>
  <CharactersWithSpaces>21943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clinicians: Heavy Menstrual Bleeding Clinical Care Standard 2024</dc:title>
  <dc:subject/>
  <dc:creator>Australian Commission on Safety and Quality in Health Care</dc:creator>
  <cp:keywords/>
  <dc:description/>
  <cp:lastModifiedBy>James</cp:lastModifiedBy>
  <cp:revision>221</cp:revision>
  <cp:lastPrinted>2020-03-04T03:32:00Z</cp:lastPrinted>
  <dcterms:created xsi:type="dcterms:W3CDTF">2021-04-19T06:25:00Z</dcterms:created>
  <dcterms:modified xsi:type="dcterms:W3CDTF">2024-06-17T06:26:00Z</dcterms:modified>
  <cp:category/>
</cp:coreProperties>
</file>