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CE3C3" w14:textId="047FDCEC" w:rsidR="004A53F9" w:rsidRDefault="004A53F9" w:rsidP="00295887">
      <w:pPr>
        <w:pStyle w:val="PublicationDate"/>
        <w:jc w:val="both"/>
      </w:pPr>
    </w:p>
    <w:p w14:paraId="7D2040D5" w14:textId="6FEF7277" w:rsidR="00347254" w:rsidRPr="00DB1EE0" w:rsidRDefault="00EE4C6E" w:rsidP="00347254">
      <w:pPr>
        <w:pStyle w:val="PublicationDate"/>
        <w:jc w:val="both"/>
        <w:rPr>
          <w:color w:val="005370"/>
        </w:rPr>
      </w:pPr>
      <w:r>
        <w:rPr>
          <w:color w:val="005370"/>
        </w:rPr>
        <w:t>August</w:t>
      </w:r>
      <w:r w:rsidR="00842029" w:rsidRPr="00DB1EE0">
        <w:rPr>
          <w:color w:val="005370"/>
        </w:rPr>
        <w:t xml:space="preserve"> </w:t>
      </w:r>
      <w:r w:rsidR="00347254" w:rsidRPr="00DB1EE0">
        <w:rPr>
          <w:color w:val="005370"/>
        </w:rPr>
        <w:t>2024</w:t>
      </w:r>
    </w:p>
    <w:p w14:paraId="168BC130" w14:textId="43B1DBAF" w:rsidR="00E779C1" w:rsidRPr="00DB1EE0" w:rsidRDefault="00E779C1" w:rsidP="00E779C1">
      <w:pPr>
        <w:pStyle w:val="Title"/>
        <w:rPr>
          <w:color w:val="005370"/>
        </w:rPr>
      </w:pPr>
      <w:r w:rsidRPr="00DB1EE0">
        <w:rPr>
          <w:color w:val="005370"/>
        </w:rPr>
        <w:t>Antimicrobial use in the community: 2023</w:t>
      </w:r>
    </w:p>
    <w:p w14:paraId="49390F0F" w14:textId="1D6AE183" w:rsidR="00295887" w:rsidRPr="00DB1EE0" w:rsidRDefault="009577B5" w:rsidP="00295887">
      <w:pPr>
        <w:spacing w:before="1200"/>
        <w:rPr>
          <w:color w:val="005370"/>
        </w:rPr>
        <w:sectPr w:rsidR="00295887" w:rsidRPr="00DB1EE0" w:rsidSect="0053231E">
          <w:headerReference w:type="even" r:id="rId11"/>
          <w:headerReference w:type="default" r:id="rId12"/>
          <w:footerReference w:type="even" r:id="rId13"/>
          <w:pgSz w:w="11906" w:h="16838"/>
          <w:pgMar w:top="2475" w:right="1134" w:bottom="851" w:left="1134" w:header="709" w:footer="567" w:gutter="0"/>
          <w:cols w:space="708"/>
          <w:docGrid w:linePitch="360"/>
        </w:sectPr>
      </w:pPr>
      <w:r w:rsidRPr="00676188">
        <w:rPr>
          <w:rFonts w:cs="Arial"/>
          <w:noProof/>
          <w:color w:val="1178A0"/>
        </w:rPr>
        <w:drawing>
          <wp:anchor distT="0" distB="0" distL="114300" distR="114300" simplePos="0" relativeHeight="251788288" behindDoc="0" locked="0" layoutInCell="1" allowOverlap="1" wp14:anchorId="285A2792" wp14:editId="6A08377F">
            <wp:simplePos x="0" y="0"/>
            <wp:positionH relativeFrom="page">
              <wp:align>right</wp:align>
            </wp:positionH>
            <wp:positionV relativeFrom="paragraph">
              <wp:posOffset>904875</wp:posOffset>
            </wp:positionV>
            <wp:extent cx="5734050" cy="5951220"/>
            <wp:effectExtent l="0" t="0" r="571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8494" name="Picture 2">
                      <a:extLst>
                        <a:ext uri="{C183D7F6-B498-43B3-948B-1728B52AA6E4}">
                          <adec:decorative xmlns:adec="http://schemas.microsoft.com/office/drawing/2017/decorative" val="1"/>
                        </a:ext>
                      </a:extLst>
                    </pic:cNvPr>
                    <pic:cNvPicPr/>
                  </pic:nvPicPr>
                  <pic:blipFill rotWithShape="1">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24748" t="44747"/>
                    <a:stretch/>
                  </pic:blipFill>
                  <pic:spPr bwMode="auto">
                    <a:xfrm rot="16200000" flipH="1">
                      <a:off x="0" y="0"/>
                      <a:ext cx="5734050" cy="595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6C9B9" w14:textId="619BC42B" w:rsidR="00295887" w:rsidRPr="000F6B39" w:rsidRDefault="00295887" w:rsidP="00295887">
      <w:pPr>
        <w:pStyle w:val="ImprintText"/>
      </w:pPr>
      <w:r w:rsidRPr="000F6B39">
        <w:lastRenderedPageBreak/>
        <w:t>Published by the Australian Commission on Safety and Quality in Health Care</w:t>
      </w:r>
    </w:p>
    <w:p w14:paraId="2E65C95A" w14:textId="77777777" w:rsidR="00295887" w:rsidRDefault="00295887" w:rsidP="00295887">
      <w:pPr>
        <w:pStyle w:val="ImprintText"/>
      </w:pPr>
      <w:r>
        <w:t>Level 5, 255 Elizabeth Street, Sydney NSW 2000</w:t>
      </w:r>
      <w:r>
        <w:br/>
        <w:t>Phone: (02) 9126 3600</w:t>
      </w:r>
      <w:r w:rsidRPr="0054718D">
        <w:t> </w:t>
      </w:r>
      <w:r>
        <w:br/>
      </w:r>
      <w:r w:rsidRPr="00EB1488">
        <w:rPr>
          <w:color w:val="auto"/>
        </w:rPr>
        <w:t xml:space="preserve">Email: </w:t>
      </w:r>
      <w:hyperlink r:id="rId16" w:history="1">
        <w:r w:rsidRPr="00B86E37">
          <w:rPr>
            <w:rStyle w:val="Hyperlink"/>
            <w:color w:val="005370"/>
          </w:rPr>
          <w:t>mail@safetyandquality.gov.au</w:t>
        </w:r>
      </w:hyperlink>
      <w:r w:rsidRPr="00B86E37">
        <w:rPr>
          <w:color w:val="005370"/>
        </w:rPr>
        <w:t xml:space="preserve"> </w:t>
      </w:r>
      <w:r w:rsidRPr="00EB1488">
        <w:rPr>
          <w:color w:val="auto"/>
        </w:rPr>
        <w:br/>
        <w:t xml:space="preserve">Website: </w:t>
      </w:r>
      <w:hyperlink r:id="rId17" w:history="1">
        <w:r w:rsidRPr="00B86E37">
          <w:rPr>
            <w:rStyle w:val="Hyperlink"/>
            <w:color w:val="005370"/>
          </w:rPr>
          <w:t>www.safetyandquality.gov.au</w:t>
        </w:r>
      </w:hyperlink>
      <w:r w:rsidRPr="00B86E37">
        <w:rPr>
          <w:color w:val="005370"/>
        </w:rPr>
        <w:t xml:space="preserve"> </w:t>
      </w:r>
    </w:p>
    <w:p w14:paraId="11EA4103" w14:textId="56913A4C" w:rsidR="00295887" w:rsidRPr="00952AB8" w:rsidRDefault="00295887" w:rsidP="00295887">
      <w:pPr>
        <w:pStyle w:val="ImprintText"/>
        <w:rPr>
          <w:color w:val="auto"/>
        </w:rPr>
      </w:pPr>
      <w:r w:rsidRPr="00952AB8">
        <w:rPr>
          <w:color w:val="auto"/>
        </w:rPr>
        <w:t xml:space="preserve">ISBN: </w:t>
      </w:r>
      <w:r w:rsidR="00CE65A1" w:rsidRPr="00952AB8">
        <w:rPr>
          <w:rStyle w:val="DraftingNotesChar"/>
          <w:color w:val="auto"/>
        </w:rPr>
        <w:t>978-1-922880-76-5</w:t>
      </w:r>
    </w:p>
    <w:p w14:paraId="62CCD639" w14:textId="556F7305" w:rsidR="00295887" w:rsidRDefault="00295887" w:rsidP="00295887">
      <w:pPr>
        <w:pStyle w:val="ImprintText"/>
      </w:pPr>
      <w:r>
        <w:t xml:space="preserve">© Australian Commission on Safety and Quality in Health Care </w:t>
      </w:r>
      <w:r w:rsidRPr="00277269">
        <w:rPr>
          <w:rStyle w:val="DraftingNotesChar"/>
          <w:color w:val="auto"/>
        </w:rPr>
        <w:t>202</w:t>
      </w:r>
      <w:r w:rsidR="00277269" w:rsidRPr="00277269">
        <w:rPr>
          <w:rStyle w:val="DraftingNotesChar"/>
          <w:color w:val="auto"/>
        </w:rPr>
        <w:t>4</w:t>
      </w:r>
    </w:p>
    <w:p w14:paraId="67432325" w14:textId="77777777" w:rsidR="00295887" w:rsidRDefault="00295887" w:rsidP="00295887">
      <w:pPr>
        <w:pStyle w:val="ImprintText"/>
      </w:pPr>
      <w:r>
        <w:t>All material and work produced by the Australian Commission on Safety and Quality in Health Care is protected by copyright. The Commission reserves the right to set out the terms and conditions for the use of such material.</w:t>
      </w:r>
      <w:r w:rsidRPr="0054718D">
        <w:t> </w:t>
      </w:r>
    </w:p>
    <w:p w14:paraId="15A82580" w14:textId="77777777" w:rsidR="00295887" w:rsidRDefault="00295887" w:rsidP="00295887">
      <w:pPr>
        <w:pStyle w:val="ImprintText"/>
      </w:pPr>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6EB357EB" w14:textId="77777777" w:rsidR="00295887" w:rsidRDefault="00295887" w:rsidP="00295887">
      <w:pPr>
        <w:pStyle w:val="ImprintText"/>
      </w:pPr>
      <w:r>
        <w:t xml:space="preserve">With the exception of any material protected by a trademark, any content provided by third parties, and where otherwise noted, all material presented in this publication is licensed under a </w:t>
      </w:r>
      <w:hyperlink r:id="rId18" w:history="1">
        <w:r w:rsidRPr="00B86E37">
          <w:rPr>
            <w:rStyle w:val="Hyperlink"/>
            <w:color w:val="005370"/>
          </w:rPr>
          <w:t>Creative Commons Attribution-</w:t>
        </w:r>
        <w:proofErr w:type="spellStart"/>
        <w:r w:rsidRPr="00B86E37">
          <w:rPr>
            <w:rStyle w:val="Hyperlink"/>
            <w:color w:val="005370"/>
          </w:rPr>
          <w:t>NonCommercial</w:t>
        </w:r>
        <w:proofErr w:type="spellEnd"/>
        <w:r w:rsidRPr="00B86E37">
          <w:rPr>
            <w:rStyle w:val="Hyperlink"/>
            <w:color w:val="005370"/>
          </w:rPr>
          <w:t>-</w:t>
        </w:r>
        <w:proofErr w:type="spellStart"/>
        <w:r w:rsidRPr="00B86E37">
          <w:rPr>
            <w:rStyle w:val="Hyperlink"/>
            <w:color w:val="005370"/>
          </w:rPr>
          <w:t>NoDerivatives</w:t>
        </w:r>
        <w:proofErr w:type="spellEnd"/>
        <w:r w:rsidRPr="00B86E37">
          <w:rPr>
            <w:rStyle w:val="Hyperlink"/>
            <w:color w:val="005370"/>
          </w:rPr>
          <w:t xml:space="preserve"> 4.0 International licence</w:t>
        </w:r>
      </w:hyperlink>
      <w:r>
        <w:t>.</w:t>
      </w:r>
    </w:p>
    <w:p w14:paraId="7140C9F4" w14:textId="77777777" w:rsidR="00295887" w:rsidRDefault="00295887" w:rsidP="00295887">
      <w:pPr>
        <w:pStyle w:val="ImprintText"/>
      </w:pPr>
      <w:r w:rsidRPr="00B56D4D">
        <w:rPr>
          <w:noProof/>
        </w:rPr>
        <w:drawing>
          <wp:inline distT="0" distB="0" distL="0" distR="0" wp14:anchorId="7876F183" wp14:editId="061C377D">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5D9091F2" w14:textId="77777777" w:rsidR="00295887" w:rsidRDefault="00295887" w:rsidP="00295887">
      <w:pPr>
        <w:pStyle w:val="ImprintText"/>
      </w:pPr>
      <w:r>
        <w:t xml:space="preserve">Enquiries about the licence and any use of this publication are welcome and can be sent to </w:t>
      </w:r>
      <w:hyperlink r:id="rId20" w:tooltip="Send an email to the Commission" w:history="1">
        <w:r w:rsidRPr="00B86E37">
          <w:rPr>
            <w:rStyle w:val="Hyperlink"/>
            <w:color w:val="005370"/>
          </w:rPr>
          <w:t>communications@safetyandquality.gov.au</w:t>
        </w:r>
      </w:hyperlink>
      <w:r>
        <w:t>.</w:t>
      </w:r>
    </w:p>
    <w:p w14:paraId="0E3BD7F2" w14:textId="2FAA7703" w:rsidR="00295887" w:rsidRDefault="00295887" w:rsidP="00295887">
      <w:pPr>
        <w:pStyle w:val="ImprintText"/>
      </w:pPr>
      <w:r>
        <w:t>The Commission’s preference is that you attribute this publication (and any material sourced from it) using the following citation:</w:t>
      </w:r>
    </w:p>
    <w:p w14:paraId="28D80907" w14:textId="04A96D0D" w:rsidR="00295887" w:rsidRPr="00D771F8" w:rsidRDefault="00295887" w:rsidP="00295887">
      <w:pPr>
        <w:pStyle w:val="ImprintText"/>
        <w:rPr>
          <w:color w:val="auto"/>
        </w:rPr>
      </w:pPr>
      <w:r w:rsidRPr="00512511">
        <w:rPr>
          <w:rStyle w:val="DraftingNotesChar"/>
          <w:color w:val="auto"/>
        </w:rPr>
        <w:t xml:space="preserve">Australian Commission on Safety and Quality in </w:t>
      </w:r>
      <w:r w:rsidRPr="00D771F8">
        <w:rPr>
          <w:rStyle w:val="DraftingNotesChar"/>
          <w:color w:val="auto"/>
        </w:rPr>
        <w:t xml:space="preserve">Health Care. </w:t>
      </w:r>
      <w:r w:rsidR="00D771F8" w:rsidRPr="00C638F3">
        <w:rPr>
          <w:rStyle w:val="DraftingNotesChar"/>
          <w:color w:val="auto"/>
        </w:rPr>
        <w:t>Antimicrobial use in the community: 2023</w:t>
      </w:r>
      <w:r w:rsidRPr="00D771F8">
        <w:rPr>
          <w:rStyle w:val="DraftingNotesChar"/>
          <w:color w:val="auto"/>
        </w:rPr>
        <w:t>. Sydney; ACSQHC, 202</w:t>
      </w:r>
      <w:r w:rsidR="00512511" w:rsidRPr="00D771F8">
        <w:rPr>
          <w:rStyle w:val="DraftingNotesChar"/>
          <w:color w:val="auto"/>
        </w:rPr>
        <w:t>4</w:t>
      </w:r>
      <w:r w:rsidRPr="00D771F8">
        <w:rPr>
          <w:color w:val="auto"/>
        </w:rPr>
        <w:t>.</w:t>
      </w:r>
    </w:p>
    <w:p w14:paraId="02DF082B" w14:textId="77777777" w:rsidR="00295887" w:rsidRPr="002E617C" w:rsidRDefault="00295887" w:rsidP="00295887">
      <w:pPr>
        <w:pStyle w:val="ImprintText"/>
        <w:rPr>
          <w:rStyle w:val="Strong"/>
        </w:rPr>
      </w:pPr>
      <w:r w:rsidRPr="002E617C">
        <w:rPr>
          <w:rStyle w:val="Strong"/>
        </w:rPr>
        <w:t>Disclaimer</w:t>
      </w:r>
    </w:p>
    <w:p w14:paraId="644C5668" w14:textId="04EA6828" w:rsidR="00661B1F" w:rsidRPr="00661B1F" w:rsidRDefault="00295887" w:rsidP="00295887">
      <w:pPr>
        <w:pStyle w:val="ImprintText"/>
        <w:rPr>
          <w:rStyle w:val="DraftingNotesChar"/>
          <w:noProof w:val="0"/>
          <w:color w:val="000000"/>
        </w:rPr>
      </w:pPr>
      <w:r>
        <w:t xml:space="preserve">The content of this document is published in good faith by the Australian Commission on Safety and Quality in Health Care for information purposes. The document is not intended to provide guidance on </w:t>
      </w:r>
      <w:proofErr w:type="gramStart"/>
      <w:r>
        <w:t>particular healthcare</w:t>
      </w:r>
      <w:proofErr w:type="gramEnd"/>
      <w:r>
        <w:t xml:space="preserve"> choices. You should contact your healthcare provider on </w:t>
      </w:r>
      <w:proofErr w:type="gramStart"/>
      <w:r>
        <w:t>particular healthcare</w:t>
      </w:r>
      <w:proofErr w:type="gramEnd"/>
      <w:r>
        <w:t xml:space="preserve"> choices.</w:t>
      </w:r>
    </w:p>
    <w:p w14:paraId="4E109759" w14:textId="7058420A" w:rsidR="004D383F" w:rsidRPr="004D383F" w:rsidRDefault="004D383F" w:rsidP="004D383F">
      <w:pPr>
        <w:pStyle w:val="ImprintText"/>
        <w:rPr>
          <w:b/>
          <w:bCs/>
          <w:noProof/>
        </w:rPr>
      </w:pPr>
      <w:r w:rsidRPr="004D383F">
        <w:rPr>
          <w:b/>
          <w:bCs/>
          <w:noProof/>
        </w:rPr>
        <w:t>Note regarding alternative descriptions</w:t>
      </w:r>
    </w:p>
    <w:p w14:paraId="68623893" w14:textId="6F7BCA9D" w:rsidR="00295887" w:rsidRPr="00661B1F" w:rsidRDefault="004D383F" w:rsidP="0026598E">
      <w:pPr>
        <w:pStyle w:val="ImprintText"/>
        <w:rPr>
          <w:rStyle w:val="DraftingNotesChar"/>
          <w:color w:val="auto"/>
          <w:sz w:val="20"/>
        </w:rPr>
      </w:pPr>
      <w:r w:rsidRPr="004D383F">
        <w:rPr>
          <w:noProof/>
          <w:color w:val="auto"/>
          <w:lang w:val="en-US"/>
        </w:rPr>
        <w:t xml:space="preserve">Due to the complexity of this document no alternative descriptions have been provided. If you need assistance with the structure of any graphs or charts, please email the Australian Commission on Safety and Quality in Health Care at </w:t>
      </w:r>
      <w:hyperlink r:id="rId21" w:history="1">
        <w:r w:rsidRPr="00B86E37">
          <w:rPr>
            <w:rStyle w:val="Hyperlink"/>
            <w:noProof/>
            <w:color w:val="005370"/>
            <w:lang w:val="en-US"/>
          </w:rPr>
          <w:t>AURA@safetyandquality.gov.au</w:t>
        </w:r>
      </w:hyperlink>
      <w:r w:rsidRPr="004D383F">
        <w:rPr>
          <w:noProof/>
          <w:color w:val="auto"/>
          <w:lang w:val="en-US"/>
        </w:rPr>
        <w:t>.</w:t>
      </w:r>
      <w:r w:rsidR="00295887" w:rsidRPr="00661B1F">
        <w:rPr>
          <w:rStyle w:val="DraftingNotesChar"/>
          <w:color w:val="auto"/>
        </w:rPr>
        <w:br w:type="page"/>
      </w:r>
    </w:p>
    <w:p w14:paraId="1B213D24" w14:textId="71B661E2" w:rsidR="00295887" w:rsidRPr="00DB1EE0" w:rsidRDefault="00295887" w:rsidP="005833ED">
      <w:pPr>
        <w:rPr>
          <w:b/>
          <w:bCs/>
          <w:color w:val="005370"/>
          <w:sz w:val="40"/>
          <w:szCs w:val="40"/>
        </w:rPr>
      </w:pPr>
      <w:r w:rsidRPr="00DB1EE0">
        <w:rPr>
          <w:b/>
          <w:bCs/>
          <w:color w:val="005370"/>
          <w:sz w:val="40"/>
          <w:szCs w:val="40"/>
        </w:rPr>
        <w:lastRenderedPageBreak/>
        <w:t>Contents</w:t>
      </w:r>
    </w:p>
    <w:p w14:paraId="78F9FDD6" w14:textId="3EC46CF2" w:rsidR="00003182" w:rsidRPr="00003182" w:rsidRDefault="00295887" w:rsidP="00003182">
      <w:pPr>
        <w:pStyle w:val="TOC1"/>
        <w:rPr>
          <w:rFonts w:eastAsiaTheme="minorEastAsia" w:cstheme="minorBidi"/>
          <w:kern w:val="2"/>
          <w:sz w:val="22"/>
          <w:szCs w:val="22"/>
          <w:lang w:val="en-AU"/>
          <w14:ligatures w14:val="standardContextual"/>
        </w:rPr>
      </w:pPr>
      <w:r w:rsidRPr="00B5451A">
        <w:rPr>
          <w:iCs/>
          <w:noProof w:val="0"/>
        </w:rPr>
        <w:fldChar w:fldCharType="begin"/>
      </w:r>
      <w:r w:rsidRPr="00B5451A">
        <w:instrText xml:space="preserve"> TOC \o "1-3" \t "SectionTitle,1" </w:instrText>
      </w:r>
      <w:r w:rsidRPr="00B5451A">
        <w:rPr>
          <w:iCs/>
          <w:noProof w:val="0"/>
        </w:rPr>
        <w:fldChar w:fldCharType="separate"/>
      </w:r>
      <w:r w:rsidR="00003182" w:rsidRPr="00003182">
        <w:t>Executive summary</w:t>
      </w:r>
      <w:r w:rsidR="00003182" w:rsidRPr="00003182">
        <w:tab/>
      </w:r>
      <w:r w:rsidR="00003182" w:rsidRPr="00003182">
        <w:fldChar w:fldCharType="begin"/>
      </w:r>
      <w:r w:rsidR="00003182" w:rsidRPr="00003182">
        <w:instrText xml:space="preserve"> PAGEREF _Toc173763613 \h </w:instrText>
      </w:r>
      <w:r w:rsidR="00003182" w:rsidRPr="00003182">
        <w:fldChar w:fldCharType="separate"/>
      </w:r>
      <w:r w:rsidR="00003182" w:rsidRPr="00003182">
        <w:t>4</w:t>
      </w:r>
      <w:r w:rsidR="00003182" w:rsidRPr="00003182">
        <w:fldChar w:fldCharType="end"/>
      </w:r>
    </w:p>
    <w:p w14:paraId="298C061C" w14:textId="26714E0D"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Key findings and trends</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_Toc173763614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4</w:t>
      </w:r>
      <w:r w:rsidRPr="00003182">
        <w:rPr>
          <w:color w:val="6E6E6E" w:themeColor="background2" w:themeShade="80"/>
        </w:rPr>
        <w:fldChar w:fldCharType="end"/>
      </w:r>
    </w:p>
    <w:p w14:paraId="7BD33450" w14:textId="6CCCDD15"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What will be done to improve antimicrobial use and patient safety?</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_Toc173763615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5</w:t>
      </w:r>
      <w:r w:rsidRPr="00003182">
        <w:rPr>
          <w:color w:val="6E6E6E" w:themeColor="background2" w:themeShade="80"/>
        </w:rPr>
        <w:fldChar w:fldCharType="end"/>
      </w:r>
    </w:p>
    <w:p w14:paraId="708AE096" w14:textId="2CBF5794" w:rsidR="00003182" w:rsidRPr="00003182" w:rsidRDefault="00003182" w:rsidP="00003182">
      <w:pPr>
        <w:pStyle w:val="TOC1"/>
        <w:rPr>
          <w:rFonts w:eastAsiaTheme="minorEastAsia" w:cstheme="minorBidi"/>
          <w:kern w:val="2"/>
          <w:sz w:val="22"/>
          <w:szCs w:val="22"/>
          <w:lang w:val="en-AU"/>
          <w14:ligatures w14:val="standardContextual"/>
        </w:rPr>
      </w:pPr>
      <w:r w:rsidRPr="00003182">
        <w:t>Introduction</w:t>
      </w:r>
      <w:r w:rsidRPr="00003182">
        <w:tab/>
      </w:r>
      <w:r w:rsidRPr="00003182">
        <w:fldChar w:fldCharType="begin"/>
      </w:r>
      <w:r w:rsidRPr="00003182">
        <w:instrText xml:space="preserve"> PAGEREF _Toc173763616 \h </w:instrText>
      </w:r>
      <w:r w:rsidRPr="00003182">
        <w:fldChar w:fldCharType="separate"/>
      </w:r>
      <w:r w:rsidRPr="00003182">
        <w:t>7</w:t>
      </w:r>
      <w:r w:rsidRPr="00003182">
        <w:fldChar w:fldCharType="end"/>
      </w:r>
    </w:p>
    <w:p w14:paraId="1AD6E0B1" w14:textId="0C713A3A"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About this report</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_Toc173763617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7</w:t>
      </w:r>
      <w:r w:rsidRPr="00003182">
        <w:rPr>
          <w:color w:val="6E6E6E" w:themeColor="background2" w:themeShade="80"/>
        </w:rPr>
        <w:fldChar w:fldCharType="end"/>
      </w:r>
    </w:p>
    <w:p w14:paraId="4076A611" w14:textId="4DD8B714"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About antimicrobials and surveillance of community antimicrobial use</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_Toc173763618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8</w:t>
      </w:r>
      <w:r w:rsidRPr="00003182">
        <w:rPr>
          <w:color w:val="6E6E6E" w:themeColor="background2" w:themeShade="80"/>
        </w:rPr>
        <w:fldChar w:fldCharType="end"/>
      </w:r>
    </w:p>
    <w:p w14:paraId="22CDA3C2" w14:textId="77D46A4E" w:rsidR="00003182" w:rsidRPr="00003182" w:rsidRDefault="00003182" w:rsidP="00003182">
      <w:pPr>
        <w:pStyle w:val="TOC1"/>
        <w:rPr>
          <w:rFonts w:eastAsiaTheme="minorEastAsia" w:cstheme="minorBidi"/>
          <w:kern w:val="2"/>
          <w:sz w:val="22"/>
          <w:szCs w:val="22"/>
          <w:lang w:val="en-AU"/>
          <w14:ligatures w14:val="standardContextual"/>
        </w:rPr>
      </w:pPr>
      <w:r w:rsidRPr="00003182">
        <w:t>Results</w:t>
      </w:r>
      <w:r w:rsidRPr="00003182">
        <w:tab/>
      </w:r>
      <w:r w:rsidRPr="00003182">
        <w:fldChar w:fldCharType="begin"/>
      </w:r>
      <w:r w:rsidRPr="00003182">
        <w:instrText xml:space="preserve"> PAGEREF _Toc173763619 \h </w:instrText>
      </w:r>
      <w:r w:rsidRPr="00003182">
        <w:fldChar w:fldCharType="separate"/>
      </w:r>
      <w:r w:rsidRPr="00003182">
        <w:t>9</w:t>
      </w:r>
      <w:r w:rsidRPr="00003182">
        <w:fldChar w:fldCharType="end"/>
      </w:r>
    </w:p>
    <w:p w14:paraId="46100B30" w14:textId="367A5A38"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Prescription volume</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_Toc173763620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9</w:t>
      </w:r>
      <w:r w:rsidRPr="00003182">
        <w:rPr>
          <w:color w:val="6E6E6E" w:themeColor="background2" w:themeShade="80"/>
        </w:rPr>
        <w:fldChar w:fldCharType="end"/>
      </w:r>
    </w:p>
    <w:p w14:paraId="708A15BD" w14:textId="0F38915D"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State and territory and local area</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_Toc173763621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15</w:t>
      </w:r>
      <w:r w:rsidRPr="00003182">
        <w:rPr>
          <w:color w:val="6E6E6E" w:themeColor="background2" w:themeShade="80"/>
        </w:rPr>
        <w:fldChar w:fldCharType="end"/>
      </w:r>
    </w:p>
    <w:p w14:paraId="7C70E3AD" w14:textId="72ABF265"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Aged care and older Australians</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_Toc173763622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21</w:t>
      </w:r>
      <w:r w:rsidRPr="00003182">
        <w:rPr>
          <w:color w:val="6E6E6E" w:themeColor="background2" w:themeShade="80"/>
        </w:rPr>
        <w:fldChar w:fldCharType="end"/>
      </w:r>
    </w:p>
    <w:p w14:paraId="11DB52F8" w14:textId="7342DA19" w:rsidR="00003182" w:rsidRPr="00003182" w:rsidRDefault="00003182">
      <w:pPr>
        <w:pStyle w:val="TOC3"/>
        <w:rPr>
          <w:rFonts w:eastAsiaTheme="minorEastAsia" w:cstheme="minorBidi"/>
          <w:b w:val="0"/>
          <w:iCs w:val="0"/>
          <w:color w:val="6E6E6E" w:themeColor="background2" w:themeShade="80"/>
          <w:kern w:val="2"/>
          <w:szCs w:val="22"/>
          <w14:ligatures w14:val="standardContextual"/>
        </w:rPr>
      </w:pPr>
      <w:r w:rsidRPr="00003182">
        <w:rPr>
          <w:color w:val="6E6E6E" w:themeColor="background2" w:themeShade="80"/>
        </w:rPr>
        <w:t>International comparison</w:t>
      </w:r>
      <w:r w:rsidRPr="00003182">
        <w:rPr>
          <w:color w:val="6E6E6E" w:themeColor="background2" w:themeShade="80"/>
        </w:rPr>
        <w:tab/>
      </w:r>
      <w:r w:rsidRPr="00003182">
        <w:rPr>
          <w:color w:val="6E6E6E" w:themeColor="background2" w:themeShade="80"/>
        </w:rPr>
        <w:fldChar w:fldCharType="begin"/>
      </w:r>
      <w:r w:rsidRPr="00003182">
        <w:rPr>
          <w:color w:val="6E6E6E" w:themeColor="background2" w:themeShade="80"/>
        </w:rPr>
        <w:instrText xml:space="preserve"> PAGEREF _Toc173763623 \h </w:instrText>
      </w:r>
      <w:r w:rsidRPr="00003182">
        <w:rPr>
          <w:color w:val="6E6E6E" w:themeColor="background2" w:themeShade="80"/>
        </w:rPr>
      </w:r>
      <w:r w:rsidRPr="00003182">
        <w:rPr>
          <w:color w:val="6E6E6E" w:themeColor="background2" w:themeShade="80"/>
        </w:rPr>
        <w:fldChar w:fldCharType="separate"/>
      </w:r>
      <w:r w:rsidRPr="00003182">
        <w:rPr>
          <w:color w:val="6E6E6E" w:themeColor="background2" w:themeShade="80"/>
        </w:rPr>
        <w:t>28</w:t>
      </w:r>
      <w:r w:rsidRPr="00003182">
        <w:rPr>
          <w:color w:val="6E6E6E" w:themeColor="background2" w:themeShade="80"/>
        </w:rPr>
        <w:fldChar w:fldCharType="end"/>
      </w:r>
    </w:p>
    <w:p w14:paraId="260AB5F5" w14:textId="79A3A5D6" w:rsidR="00003182" w:rsidRPr="00003182" w:rsidRDefault="00003182" w:rsidP="00003182">
      <w:pPr>
        <w:pStyle w:val="TOC1"/>
        <w:rPr>
          <w:rFonts w:eastAsiaTheme="minorEastAsia" w:cstheme="minorBidi"/>
          <w:kern w:val="2"/>
          <w:sz w:val="22"/>
          <w:szCs w:val="22"/>
          <w:lang w:val="en-AU"/>
          <w14:ligatures w14:val="standardContextual"/>
        </w:rPr>
      </w:pPr>
      <w:r w:rsidRPr="00003182">
        <w:t>Conclusions</w:t>
      </w:r>
      <w:r w:rsidRPr="00003182">
        <w:tab/>
      </w:r>
      <w:r w:rsidRPr="00003182">
        <w:fldChar w:fldCharType="begin"/>
      </w:r>
      <w:r w:rsidRPr="00003182">
        <w:instrText xml:space="preserve"> PAGEREF _Toc173763624 \h </w:instrText>
      </w:r>
      <w:r w:rsidRPr="00003182">
        <w:fldChar w:fldCharType="separate"/>
      </w:r>
      <w:r w:rsidRPr="00003182">
        <w:t>29</w:t>
      </w:r>
      <w:r w:rsidRPr="00003182">
        <w:fldChar w:fldCharType="end"/>
      </w:r>
    </w:p>
    <w:p w14:paraId="03F344E2" w14:textId="7DEABA9D" w:rsidR="00003182" w:rsidRPr="00003182" w:rsidRDefault="00003182" w:rsidP="00003182">
      <w:pPr>
        <w:pStyle w:val="TOC1"/>
        <w:rPr>
          <w:rFonts w:eastAsiaTheme="minorEastAsia" w:cstheme="minorBidi"/>
          <w:kern w:val="2"/>
          <w:sz w:val="22"/>
          <w:szCs w:val="22"/>
          <w:lang w:val="en-AU"/>
          <w14:ligatures w14:val="standardContextual"/>
        </w:rPr>
      </w:pPr>
      <w:r w:rsidRPr="00003182">
        <w:t>References</w:t>
      </w:r>
      <w:r w:rsidRPr="00003182">
        <w:tab/>
      </w:r>
      <w:r w:rsidRPr="00003182">
        <w:fldChar w:fldCharType="begin"/>
      </w:r>
      <w:r w:rsidRPr="00003182">
        <w:instrText xml:space="preserve"> PAGEREF _Toc173763625 \h </w:instrText>
      </w:r>
      <w:r w:rsidRPr="00003182">
        <w:fldChar w:fldCharType="separate"/>
      </w:r>
      <w:r w:rsidRPr="00003182">
        <w:t>31</w:t>
      </w:r>
      <w:r w:rsidRPr="00003182">
        <w:fldChar w:fldCharType="end"/>
      </w:r>
    </w:p>
    <w:p w14:paraId="26A65384" w14:textId="176864F9" w:rsidR="00003182" w:rsidRPr="00003182" w:rsidRDefault="00003182" w:rsidP="00003182">
      <w:pPr>
        <w:pStyle w:val="TOC1"/>
        <w:rPr>
          <w:rFonts w:eastAsiaTheme="minorEastAsia" w:cstheme="minorBidi"/>
          <w:kern w:val="2"/>
          <w:sz w:val="22"/>
          <w:szCs w:val="22"/>
          <w:lang w:val="en-AU"/>
          <w14:ligatures w14:val="standardContextual"/>
        </w:rPr>
      </w:pPr>
      <w:r w:rsidRPr="00003182">
        <w:t>Appendix 1: Data source description</w:t>
      </w:r>
      <w:r w:rsidRPr="00003182">
        <w:tab/>
      </w:r>
      <w:r w:rsidRPr="00003182">
        <w:fldChar w:fldCharType="begin"/>
      </w:r>
      <w:r w:rsidRPr="00003182">
        <w:instrText xml:space="preserve"> PAGEREF _Toc173763626 \h </w:instrText>
      </w:r>
      <w:r w:rsidRPr="00003182">
        <w:fldChar w:fldCharType="separate"/>
      </w:r>
      <w:r w:rsidRPr="00003182">
        <w:t>35</w:t>
      </w:r>
      <w:r w:rsidRPr="00003182">
        <w:fldChar w:fldCharType="end"/>
      </w:r>
    </w:p>
    <w:p w14:paraId="55DEB862" w14:textId="1832E53A" w:rsidR="00003182" w:rsidRDefault="00003182" w:rsidP="00003182">
      <w:pPr>
        <w:pStyle w:val="TOC1"/>
        <w:rPr>
          <w:rFonts w:eastAsiaTheme="minorEastAsia" w:cstheme="minorBidi"/>
          <w:kern w:val="2"/>
          <w:sz w:val="22"/>
          <w:szCs w:val="22"/>
          <w:lang w:val="en-AU"/>
          <w14:ligatures w14:val="standardContextual"/>
        </w:rPr>
      </w:pPr>
      <w:r w:rsidRPr="000E2F6E">
        <w:t>Appendix 2: Further analyses by local area</w:t>
      </w:r>
      <w:r>
        <w:tab/>
      </w:r>
      <w:r>
        <w:fldChar w:fldCharType="begin"/>
      </w:r>
      <w:r>
        <w:instrText xml:space="preserve"> PAGEREF _Toc173763627 \h </w:instrText>
      </w:r>
      <w:r>
        <w:fldChar w:fldCharType="separate"/>
      </w:r>
      <w:r>
        <w:t>40</w:t>
      </w:r>
      <w:r>
        <w:fldChar w:fldCharType="end"/>
      </w:r>
    </w:p>
    <w:p w14:paraId="76010754" w14:textId="5C5461BD" w:rsidR="00295887" w:rsidRDefault="00295887" w:rsidP="00295887">
      <w:pPr>
        <w:spacing w:before="240"/>
        <w:rPr>
          <w:b/>
          <w:bCs/>
          <w:noProof/>
        </w:rPr>
      </w:pPr>
      <w:r w:rsidRPr="00B5451A">
        <w:rPr>
          <w:b/>
          <w:bCs/>
          <w:noProof/>
        </w:rPr>
        <w:fldChar w:fldCharType="end"/>
      </w:r>
      <w:r>
        <w:rPr>
          <w:b/>
          <w:bCs/>
          <w:noProof/>
        </w:rPr>
        <w:br w:type="page"/>
      </w:r>
    </w:p>
    <w:p w14:paraId="2083217F" w14:textId="5669F3B0" w:rsidR="00295887" w:rsidRPr="00DB1EE0" w:rsidRDefault="002A0477" w:rsidP="002A0477">
      <w:pPr>
        <w:pStyle w:val="Heading1"/>
        <w:rPr>
          <w:color w:val="005370"/>
          <w:lang w:val="en-GB"/>
        </w:rPr>
      </w:pPr>
      <w:bookmarkStart w:id="0" w:name="_Toc173763613"/>
      <w:r w:rsidRPr="00DB1EE0">
        <w:rPr>
          <w:color w:val="005370"/>
          <w:lang w:val="en-GB"/>
        </w:rPr>
        <w:lastRenderedPageBreak/>
        <w:t>Executive summary</w:t>
      </w:r>
      <w:bookmarkEnd w:id="0"/>
    </w:p>
    <w:p w14:paraId="711EA5D7" w14:textId="16BC92F7" w:rsidR="001E3EFB" w:rsidRPr="000B76CA" w:rsidRDefault="001E3EFB" w:rsidP="001E3EFB">
      <w:pPr>
        <w:rPr>
          <w:lang w:val="en-US"/>
        </w:rPr>
      </w:pPr>
      <w:r w:rsidRPr="000B76CA">
        <w:rPr>
          <w:lang w:val="en-US"/>
        </w:rPr>
        <w:t xml:space="preserve">Antimicrobials are an integral component of healthcare delivery and need to be readily available and effective. </w:t>
      </w:r>
      <w:r w:rsidRPr="006068DF">
        <w:t>The more antimicrobials are used, the more likely it is that microorganisms will develop resistance</w:t>
      </w:r>
      <w:r>
        <w:t xml:space="preserve">. </w:t>
      </w:r>
      <w:r w:rsidRPr="000B76CA">
        <w:rPr>
          <w:lang w:val="en-US"/>
        </w:rPr>
        <w:t xml:space="preserve">Antimicrobial resistance (AMR) is a critical risk to patient safety </w:t>
      </w:r>
      <w:r w:rsidR="00036F7B">
        <w:rPr>
          <w:lang w:val="en-US"/>
        </w:rPr>
        <w:t>as it</w:t>
      </w:r>
      <w:r w:rsidRPr="000B76CA">
        <w:rPr>
          <w:lang w:val="en-US"/>
        </w:rPr>
        <w:t xml:space="preserve"> reduc</w:t>
      </w:r>
      <w:r w:rsidR="006A33B8">
        <w:rPr>
          <w:lang w:val="en-US"/>
        </w:rPr>
        <w:t>es</w:t>
      </w:r>
      <w:r w:rsidRPr="000B76CA">
        <w:rPr>
          <w:lang w:val="en-US"/>
        </w:rPr>
        <w:t xml:space="preserve"> the number of antimicrobials available to treat infections. </w:t>
      </w:r>
      <w:r>
        <w:rPr>
          <w:lang w:val="en-US"/>
        </w:rPr>
        <w:t xml:space="preserve">It is </w:t>
      </w:r>
      <w:r>
        <w:t xml:space="preserve">a public health priority due to its serious and growing impact. </w:t>
      </w:r>
      <w:r w:rsidRPr="000B76CA">
        <w:rPr>
          <w:lang w:val="en-US"/>
        </w:rPr>
        <w:t>AMR increases morbidity and mortality associated with infections caused by multidrug-resistant organisms.</w:t>
      </w:r>
      <w:r>
        <w:rPr>
          <w:lang w:val="en-US"/>
        </w:rPr>
        <w:t xml:space="preserve"> </w:t>
      </w:r>
      <w:r>
        <w:t xml:space="preserve">Hundreds of people in Australia die each year </w:t>
      </w:r>
      <w:proofErr w:type="gramStart"/>
      <w:r>
        <w:t>as a result of</w:t>
      </w:r>
      <w:proofErr w:type="gramEnd"/>
      <w:r>
        <w:t xml:space="preserve"> AMR.</w:t>
      </w:r>
    </w:p>
    <w:p w14:paraId="3FCD0C29" w14:textId="3CD644C9" w:rsidR="001E3EFB" w:rsidRPr="000B76CA" w:rsidRDefault="001E3EFB" w:rsidP="001E3EFB">
      <w:pPr>
        <w:rPr>
          <w:lang w:val="en-US"/>
        </w:rPr>
      </w:pPr>
      <w:r w:rsidRPr="000B76CA">
        <w:rPr>
          <w:lang w:val="en-US"/>
        </w:rPr>
        <w:t xml:space="preserve">The emergence of AMR and consequent reduction in the efficacy of antimicrobials has resulted in significant impacts on individuals receiving treatment for infections, and </w:t>
      </w:r>
      <w:r w:rsidR="00F07031">
        <w:rPr>
          <w:lang w:val="en-US"/>
        </w:rPr>
        <w:t>more broadly as AMR spreads through</w:t>
      </w:r>
      <w:r w:rsidRPr="000B76CA">
        <w:rPr>
          <w:lang w:val="en-US"/>
        </w:rPr>
        <w:t xml:space="preserve"> the community. As antimicrobials become ineffective, important treatments such as organ transplantation, a range of major surgical procedures, and chemotherapy for cancer may become limited, or no longer viable.</w:t>
      </w:r>
    </w:p>
    <w:p w14:paraId="38585FD4" w14:textId="531616B5" w:rsidR="001E3EFB" w:rsidRDefault="001E3EFB" w:rsidP="001E3EFB">
      <w:pPr>
        <w:rPr>
          <w:lang w:val="en-US"/>
        </w:rPr>
      </w:pPr>
      <w:r w:rsidRPr="00C638F3">
        <w:rPr>
          <w:lang w:val="en-US"/>
        </w:rPr>
        <w:t>Since 2015, there has been a downward trend in overall antimicrobial use in the Australian community sector. There was a gradual decline in the number of antimicrobial prescriptions dispensed under the Pharmaceutical Benefits Scheme (PBS) and the Repatriation Pharmaceutical Benefits Scheme (RPBS) between 2015 and 2019. This was followed by a substantial decrease in dispensing in 2020. This decrease, which was sustained in 2021, coincided with the response to the COVID-19 pandemic in Australia. In 2022, there was a</w:t>
      </w:r>
      <w:r>
        <w:rPr>
          <w:lang w:val="en-US"/>
        </w:rPr>
        <w:t xml:space="preserve"> small</w:t>
      </w:r>
      <w:r w:rsidRPr="00C638F3">
        <w:rPr>
          <w:lang w:val="en-US"/>
        </w:rPr>
        <w:t xml:space="preserve"> uptick in antimicrobial</w:t>
      </w:r>
      <w:r>
        <w:rPr>
          <w:lang w:val="en-US"/>
        </w:rPr>
        <w:t xml:space="preserve"> use</w:t>
      </w:r>
      <w:r w:rsidRPr="00C638F3">
        <w:rPr>
          <w:lang w:val="en-US"/>
        </w:rPr>
        <w:t xml:space="preserve"> compared to 2021, however, this was still well below the </w:t>
      </w:r>
      <w:r>
        <w:rPr>
          <w:lang w:val="en-US"/>
        </w:rPr>
        <w:t xml:space="preserve">volume </w:t>
      </w:r>
      <w:r w:rsidRPr="00C638F3">
        <w:rPr>
          <w:lang w:val="en-US"/>
        </w:rPr>
        <w:t xml:space="preserve">dispensed prior to </w:t>
      </w:r>
      <w:r>
        <w:rPr>
          <w:lang w:val="en-US"/>
        </w:rPr>
        <w:t xml:space="preserve">the </w:t>
      </w:r>
      <w:r w:rsidRPr="00C638F3">
        <w:rPr>
          <w:lang w:val="en-US"/>
        </w:rPr>
        <w:t xml:space="preserve">pandemic. </w:t>
      </w:r>
      <w:r w:rsidR="00F07031">
        <w:rPr>
          <w:lang w:val="en-US"/>
        </w:rPr>
        <w:t xml:space="preserve">From 2022 to </w:t>
      </w:r>
      <w:r w:rsidRPr="00B95B3D">
        <w:rPr>
          <w:lang w:val="en-US"/>
        </w:rPr>
        <w:t xml:space="preserve">2023, antimicrobial use in the community </w:t>
      </w:r>
      <w:r>
        <w:rPr>
          <w:lang w:val="en-US"/>
        </w:rPr>
        <w:t xml:space="preserve">under the PBS and RPBS </w:t>
      </w:r>
      <w:r w:rsidRPr="00B95B3D">
        <w:rPr>
          <w:lang w:val="en-US"/>
        </w:rPr>
        <w:t>remained steady</w:t>
      </w:r>
      <w:r w:rsidR="00415233">
        <w:rPr>
          <w:lang w:val="en-US"/>
        </w:rPr>
        <w:t>. However</w:t>
      </w:r>
      <w:r w:rsidR="00B41D48">
        <w:rPr>
          <w:lang w:val="en-US"/>
        </w:rPr>
        <w:t>,</w:t>
      </w:r>
      <w:r w:rsidR="00415233" w:rsidRPr="00415233">
        <w:t xml:space="preserve"> </w:t>
      </w:r>
      <w:r w:rsidR="00415233" w:rsidRPr="00415233">
        <w:rPr>
          <w:lang w:val="en-US"/>
        </w:rPr>
        <w:t xml:space="preserve">there is an unknown quantity of antimicrobials dispensed privately and </w:t>
      </w:r>
      <w:r w:rsidR="00415233">
        <w:rPr>
          <w:lang w:val="en-US"/>
        </w:rPr>
        <w:t>supplie</w:t>
      </w:r>
      <w:r w:rsidR="00415233" w:rsidRPr="00415233">
        <w:rPr>
          <w:lang w:val="en-US"/>
        </w:rPr>
        <w:t xml:space="preserve">d </w:t>
      </w:r>
      <w:proofErr w:type="gramStart"/>
      <w:r w:rsidR="00415233" w:rsidRPr="00415233">
        <w:rPr>
          <w:lang w:val="en-US"/>
        </w:rPr>
        <w:t>over-the-counter</w:t>
      </w:r>
      <w:proofErr w:type="gramEnd"/>
      <w:r w:rsidR="00415233">
        <w:rPr>
          <w:lang w:val="en-US"/>
        </w:rPr>
        <w:t xml:space="preserve"> because data on these activities are not reported nationally</w:t>
      </w:r>
      <w:r w:rsidRPr="00B95B3D">
        <w:rPr>
          <w:lang w:val="en-US"/>
        </w:rPr>
        <w:t>.</w:t>
      </w:r>
    </w:p>
    <w:p w14:paraId="5306DABE" w14:textId="1CD2EE1B" w:rsidR="00450BE6" w:rsidRDefault="00450BE6" w:rsidP="001E3EFB">
      <w:pPr>
        <w:rPr>
          <w:lang w:val="en-US"/>
        </w:rPr>
      </w:pPr>
      <w:r w:rsidRPr="00450BE6">
        <w:rPr>
          <w:lang w:val="en-US"/>
        </w:rPr>
        <w:t xml:space="preserve">Within the context of the decline in community antimicrobial use, there is a high level of dispensing for residents of aged care homes and for </w:t>
      </w:r>
      <w:r w:rsidR="00865523">
        <w:rPr>
          <w:lang w:val="en-US"/>
        </w:rPr>
        <w:t>older Australians</w:t>
      </w:r>
      <w:r w:rsidRPr="00450BE6">
        <w:rPr>
          <w:lang w:val="en-US"/>
        </w:rPr>
        <w:t xml:space="preserve"> aged 65</w:t>
      </w:r>
      <w:r w:rsidR="00CD432B">
        <w:rPr>
          <w:lang w:val="en-US"/>
        </w:rPr>
        <w:t> </w:t>
      </w:r>
      <w:r w:rsidRPr="00450BE6">
        <w:rPr>
          <w:lang w:val="en-US"/>
        </w:rPr>
        <w:t xml:space="preserve">years and </w:t>
      </w:r>
      <w:r w:rsidR="00A13BBF">
        <w:rPr>
          <w:lang w:val="en-US"/>
        </w:rPr>
        <w:t>over</w:t>
      </w:r>
      <w:r w:rsidRPr="00450BE6">
        <w:rPr>
          <w:lang w:val="en-US"/>
        </w:rPr>
        <w:t xml:space="preserve">, </w:t>
      </w:r>
      <w:r w:rsidR="004F2CB6">
        <w:rPr>
          <w:lang w:val="en-US"/>
        </w:rPr>
        <w:t>which is</w:t>
      </w:r>
      <w:r w:rsidRPr="00450BE6">
        <w:rPr>
          <w:lang w:val="en-US"/>
        </w:rPr>
        <w:t xml:space="preserve"> trend</w:t>
      </w:r>
      <w:r w:rsidR="004F2CB6">
        <w:rPr>
          <w:lang w:val="en-US"/>
        </w:rPr>
        <w:t>ing up</w:t>
      </w:r>
      <w:r w:rsidRPr="00450BE6">
        <w:rPr>
          <w:lang w:val="en-US"/>
        </w:rPr>
        <w:t>.</w:t>
      </w:r>
    </w:p>
    <w:p w14:paraId="0F716277" w14:textId="36825373" w:rsidR="006253F9" w:rsidRPr="00167779" w:rsidRDefault="001E3EFB" w:rsidP="00A12A3C">
      <w:pPr>
        <w:spacing w:before="0" w:after="0"/>
      </w:pPr>
      <w:r>
        <w:t>T</w:t>
      </w:r>
      <w:r w:rsidRPr="00CD74A2">
        <w:t xml:space="preserve">he overall decline in antimicrobial </w:t>
      </w:r>
      <w:r>
        <w:t xml:space="preserve">use </w:t>
      </w:r>
      <w:r w:rsidRPr="00CD74A2">
        <w:t>in the community is encouraging</w:t>
      </w:r>
      <w:r>
        <w:t xml:space="preserve">. </w:t>
      </w:r>
      <w:r w:rsidRPr="00167779">
        <w:t xml:space="preserve">The results from this report suggest that lower levels of antimicrobial use in Australia are achievable long-term. </w:t>
      </w:r>
      <w:r w:rsidR="00450BE6" w:rsidRPr="00450BE6">
        <w:t>Targeted strategies are required to address the level of use and upward trend for residents of aged care homes and older Australians</w:t>
      </w:r>
      <w:r w:rsidR="005672CB">
        <w:t>,</w:t>
      </w:r>
      <w:r w:rsidR="00450BE6">
        <w:t xml:space="preserve"> and</w:t>
      </w:r>
      <w:r w:rsidR="00F07031">
        <w:t xml:space="preserve"> there </w:t>
      </w:r>
      <w:r w:rsidR="00450BE6">
        <w:t>are</w:t>
      </w:r>
      <w:r w:rsidR="00F07031">
        <w:t xml:space="preserve"> opportunit</w:t>
      </w:r>
      <w:r w:rsidR="00450BE6">
        <w:t>ies</w:t>
      </w:r>
      <w:r w:rsidR="00F07031">
        <w:t xml:space="preserve"> to further improve use of antimicrobials. </w:t>
      </w:r>
      <w:r>
        <w:t>C</w:t>
      </w:r>
      <w:r w:rsidRPr="00167779">
        <w:t>ombined strategies of antimicrobial stewardship (AMS) and infection prevention and control are most effective in reducing community antimicrobial use to prevent and control AMR.</w:t>
      </w:r>
    </w:p>
    <w:p w14:paraId="7F59412A" w14:textId="7AAC00A9" w:rsidR="00FA281F" w:rsidRPr="00DB1EE0" w:rsidRDefault="00EB6A36" w:rsidP="00A12A3C">
      <w:pPr>
        <w:pStyle w:val="Heading3"/>
        <w:spacing w:before="240"/>
        <w:rPr>
          <w:color w:val="005370"/>
        </w:rPr>
      </w:pPr>
      <w:bookmarkStart w:id="1" w:name="_Toc164843625"/>
      <w:bookmarkStart w:id="2" w:name="_Toc166848926"/>
      <w:bookmarkStart w:id="3" w:name="_Toc173763614"/>
      <w:r w:rsidRPr="00DB1EE0">
        <w:rPr>
          <w:color w:val="005370"/>
        </w:rPr>
        <w:t>Key findings and trends</w:t>
      </w:r>
      <w:bookmarkEnd w:id="1"/>
      <w:bookmarkEnd w:id="2"/>
      <w:bookmarkEnd w:id="3"/>
    </w:p>
    <w:p w14:paraId="560610E6" w14:textId="1E688702" w:rsidR="00493AA0" w:rsidRPr="004F6899" w:rsidRDefault="00F211A9" w:rsidP="00EB6A36">
      <w:pPr>
        <w:pStyle w:val="Heading4"/>
        <w:rPr>
          <w:color w:val="595959" w:themeColor="text1" w:themeTint="A6"/>
        </w:rPr>
      </w:pPr>
      <w:bookmarkStart w:id="4" w:name="_Hlk172731993"/>
      <w:r w:rsidRPr="005A3EEC">
        <w:rPr>
          <w:color w:val="595959" w:themeColor="text1" w:themeTint="A6"/>
        </w:rPr>
        <w:t xml:space="preserve">PBS and RPBS: </w:t>
      </w:r>
      <w:bookmarkEnd w:id="4"/>
      <w:r w:rsidR="009C6A87" w:rsidRPr="004F6899">
        <w:rPr>
          <w:color w:val="595959" w:themeColor="text1" w:themeTint="A6"/>
        </w:rPr>
        <w:t xml:space="preserve">Overall </w:t>
      </w:r>
      <w:r w:rsidR="007242F7" w:rsidRPr="004F6899">
        <w:rPr>
          <w:color w:val="595959" w:themeColor="text1" w:themeTint="A6"/>
        </w:rPr>
        <w:t>(2015–2023)</w:t>
      </w:r>
    </w:p>
    <w:p w14:paraId="1495E380" w14:textId="2EA09F04" w:rsidR="00DC5DC8" w:rsidRPr="003437BA" w:rsidRDefault="008B652F" w:rsidP="00A12A3C">
      <w:pPr>
        <w:pStyle w:val="ListParagraph"/>
        <w:numPr>
          <w:ilvl w:val="0"/>
          <w:numId w:val="8"/>
        </w:numPr>
        <w:spacing w:before="0" w:after="200"/>
        <w:ind w:left="360"/>
      </w:pPr>
      <w:r w:rsidRPr="003437BA">
        <w:t>T</w:t>
      </w:r>
      <w:r w:rsidR="00DC5DC8" w:rsidRPr="003437BA">
        <w:t>here were 22,126,604 antimicrobial prescriptions supplied</w:t>
      </w:r>
      <w:r w:rsidRPr="003437BA">
        <w:t xml:space="preserve"> in 2023 – </w:t>
      </w:r>
      <w:r w:rsidR="00DC5DC8" w:rsidRPr="003437BA">
        <w:t xml:space="preserve">an increase of 1.3% </w:t>
      </w:r>
      <w:r w:rsidRPr="003437BA">
        <w:t xml:space="preserve">from </w:t>
      </w:r>
      <w:r w:rsidR="00DC5DC8" w:rsidRPr="003437BA">
        <w:t>2022</w:t>
      </w:r>
      <w:r w:rsidRPr="003437BA">
        <w:t>, but still 17% lower than 2019 and 24.4% lower than 2015</w:t>
      </w:r>
      <w:r w:rsidR="00800F16">
        <w:t>.</w:t>
      </w:r>
    </w:p>
    <w:p w14:paraId="5A73B813" w14:textId="320007A7" w:rsidR="00F126D6" w:rsidRDefault="00F126D6" w:rsidP="00A12A3C">
      <w:pPr>
        <w:pStyle w:val="ListParagraph"/>
        <w:numPr>
          <w:ilvl w:val="0"/>
          <w:numId w:val="8"/>
        </w:numPr>
        <w:spacing w:before="0" w:after="200"/>
        <w:ind w:left="360"/>
      </w:pPr>
      <w:r>
        <w:t xml:space="preserve">There was a </w:t>
      </w:r>
      <w:r w:rsidR="00406960">
        <w:t xml:space="preserve">very small </w:t>
      </w:r>
      <w:r>
        <w:t>drop in the number of prescriptions supplied per 1,000 people between 2022 and 2023.</w:t>
      </w:r>
    </w:p>
    <w:p w14:paraId="446E8069" w14:textId="04F0E0E4" w:rsidR="00824695" w:rsidRPr="003437BA" w:rsidRDefault="00EA49B9" w:rsidP="00A12A3C">
      <w:pPr>
        <w:pStyle w:val="ListParagraph"/>
        <w:numPr>
          <w:ilvl w:val="0"/>
          <w:numId w:val="8"/>
        </w:numPr>
        <w:spacing w:before="0" w:after="200"/>
        <w:ind w:left="360"/>
      </w:pPr>
      <w:r w:rsidRPr="003437BA">
        <w:t xml:space="preserve">Just over a third of Australians </w:t>
      </w:r>
      <w:r w:rsidR="00011EFE" w:rsidRPr="003437BA">
        <w:t>had at least one antimicrobial dispensed</w:t>
      </w:r>
      <w:r w:rsidR="008C61E6">
        <w:t xml:space="preserve">, </w:t>
      </w:r>
      <w:r w:rsidR="00450BE6">
        <w:t>and</w:t>
      </w:r>
      <w:r w:rsidR="008C61E6">
        <w:t xml:space="preserve"> rates</w:t>
      </w:r>
      <w:r w:rsidR="00450BE6">
        <w:t xml:space="preserve"> were</w:t>
      </w:r>
      <w:r w:rsidR="008C61E6">
        <w:t xml:space="preserve"> much higher </w:t>
      </w:r>
      <w:r w:rsidR="00450BE6">
        <w:t>for older Australians</w:t>
      </w:r>
      <w:r w:rsidR="00043898">
        <w:t xml:space="preserve"> in 2023</w:t>
      </w:r>
      <w:r w:rsidR="00800F16">
        <w:t>.</w:t>
      </w:r>
    </w:p>
    <w:p w14:paraId="7A6ACE85" w14:textId="71DF3FC1" w:rsidR="002A4FF7" w:rsidRPr="003437BA" w:rsidRDefault="002A4FF7" w:rsidP="00A12A3C">
      <w:pPr>
        <w:pStyle w:val="ListParagraph"/>
        <w:numPr>
          <w:ilvl w:val="0"/>
          <w:numId w:val="8"/>
        </w:numPr>
        <w:spacing w:before="0" w:after="200"/>
        <w:ind w:left="360"/>
      </w:pPr>
      <w:r w:rsidRPr="003437BA">
        <w:t xml:space="preserve">Cefalexin, amoxicillin and amoxicillin–clavulanic acid </w:t>
      </w:r>
      <w:r w:rsidR="008B652F" w:rsidRPr="003437BA">
        <w:t>remain</w:t>
      </w:r>
      <w:r w:rsidR="003A1302">
        <w:t>ed</w:t>
      </w:r>
      <w:r w:rsidRPr="003437BA">
        <w:t xml:space="preserve"> the most </w:t>
      </w:r>
      <w:r w:rsidR="006068DF" w:rsidRPr="003437BA">
        <w:t xml:space="preserve">frequently </w:t>
      </w:r>
      <w:r w:rsidRPr="003437BA">
        <w:t>dispensed antimicrobials</w:t>
      </w:r>
      <w:r w:rsidR="00043898">
        <w:t xml:space="preserve"> in 2023</w:t>
      </w:r>
      <w:r w:rsidR="00800F16">
        <w:t>.</w:t>
      </w:r>
    </w:p>
    <w:p w14:paraId="180409E6" w14:textId="27F03BC2" w:rsidR="00032D8B" w:rsidRDefault="00EA49B9" w:rsidP="00A12A3C">
      <w:pPr>
        <w:pStyle w:val="ListParagraph"/>
        <w:numPr>
          <w:ilvl w:val="0"/>
          <w:numId w:val="8"/>
        </w:numPr>
        <w:spacing w:before="0" w:after="200"/>
        <w:ind w:left="360"/>
      </w:pPr>
      <w:r w:rsidRPr="003437BA">
        <w:t>Overall antimicrobial use</w:t>
      </w:r>
      <w:r w:rsidR="008B652F" w:rsidRPr="003437BA">
        <w:t xml:space="preserve"> across states and territories</w:t>
      </w:r>
      <w:r w:rsidRPr="003437BA">
        <w:t xml:space="preserve">, local </w:t>
      </w:r>
      <w:proofErr w:type="gramStart"/>
      <w:r w:rsidRPr="003437BA">
        <w:t>areas</w:t>
      </w:r>
      <w:proofErr w:type="gramEnd"/>
      <w:r w:rsidRPr="003437BA">
        <w:t xml:space="preserve"> and age groups in 2023 remain</w:t>
      </w:r>
      <w:r w:rsidR="00150A60">
        <w:t>ed</w:t>
      </w:r>
      <w:r w:rsidRPr="003437BA">
        <w:t xml:space="preserve"> comparable with </w:t>
      </w:r>
      <w:r w:rsidR="00F0512D">
        <w:t>distributions</w:t>
      </w:r>
      <w:r w:rsidRPr="003437BA">
        <w:t xml:space="preserve"> </w:t>
      </w:r>
      <w:r w:rsidR="0034055D">
        <w:t>from</w:t>
      </w:r>
      <w:r w:rsidR="0034055D" w:rsidRPr="003437BA">
        <w:t xml:space="preserve"> </w:t>
      </w:r>
      <w:r w:rsidRPr="003437BA">
        <w:t>2015</w:t>
      </w:r>
      <w:r w:rsidR="003874F6" w:rsidRPr="003437BA">
        <w:t>.</w:t>
      </w:r>
    </w:p>
    <w:p w14:paraId="39441B39" w14:textId="60B2BC3A" w:rsidR="0030399F" w:rsidRPr="003437BA" w:rsidRDefault="0030399F" w:rsidP="00A12A3C">
      <w:pPr>
        <w:pStyle w:val="ListParagraph"/>
        <w:numPr>
          <w:ilvl w:val="0"/>
          <w:numId w:val="8"/>
        </w:numPr>
        <w:spacing w:before="0" w:after="200"/>
        <w:ind w:left="360"/>
      </w:pPr>
      <w:r>
        <w:t>Australia rank</w:t>
      </w:r>
      <w:r w:rsidR="000C331C">
        <w:t>ed</w:t>
      </w:r>
      <w:r>
        <w:t xml:space="preserve"> in the middle</w:t>
      </w:r>
      <w:r w:rsidR="0000019D">
        <w:t xml:space="preserve"> for community antimicrobial use compared to European countries in 2022</w:t>
      </w:r>
      <w:r w:rsidR="00EE5721">
        <w:t xml:space="preserve">, </w:t>
      </w:r>
      <w:r w:rsidR="00464048">
        <w:t xml:space="preserve">and </w:t>
      </w:r>
      <w:r w:rsidR="00CD432B">
        <w:t xml:space="preserve">use </w:t>
      </w:r>
      <w:r w:rsidR="00464048">
        <w:t>remain</w:t>
      </w:r>
      <w:r w:rsidR="001E0CDB">
        <w:t>ed</w:t>
      </w:r>
      <w:r w:rsidR="00464048">
        <w:t xml:space="preserve"> </w:t>
      </w:r>
      <w:r w:rsidR="00EE5721">
        <w:t xml:space="preserve">more than double </w:t>
      </w:r>
      <w:r w:rsidR="00EE5721" w:rsidRPr="00AD5735">
        <w:t xml:space="preserve">that reported </w:t>
      </w:r>
      <w:r w:rsidR="00EE5721">
        <w:t>for</w:t>
      </w:r>
      <w:r w:rsidR="00EE5721" w:rsidRPr="00AD5735">
        <w:t xml:space="preserve"> the Netherlands</w:t>
      </w:r>
      <w:r w:rsidR="00B549E5">
        <w:t>, which was the European country with the lowest reported use</w:t>
      </w:r>
      <w:r w:rsidR="0000019D">
        <w:t>.</w:t>
      </w:r>
    </w:p>
    <w:p w14:paraId="37405988" w14:textId="074B2BFE" w:rsidR="00D322EA" w:rsidRPr="004F6899" w:rsidRDefault="00F211A9" w:rsidP="00EB6A36">
      <w:pPr>
        <w:pStyle w:val="Heading4"/>
        <w:rPr>
          <w:color w:val="595959" w:themeColor="text1" w:themeTint="A6"/>
        </w:rPr>
      </w:pPr>
      <w:r w:rsidRPr="005A3EEC">
        <w:rPr>
          <w:color w:val="595959" w:themeColor="text1" w:themeTint="A6"/>
        </w:rPr>
        <w:lastRenderedPageBreak/>
        <w:t>PBS and RPBS:</w:t>
      </w:r>
      <w:r w:rsidRPr="00F211A9">
        <w:rPr>
          <w:color w:val="595959" w:themeColor="text1" w:themeTint="A6"/>
        </w:rPr>
        <w:t xml:space="preserve"> </w:t>
      </w:r>
      <w:r w:rsidR="00EB6A36" w:rsidRPr="004F6899">
        <w:rPr>
          <w:color w:val="595959" w:themeColor="text1" w:themeTint="A6"/>
        </w:rPr>
        <w:t>A</w:t>
      </w:r>
      <w:r w:rsidR="00D322EA" w:rsidRPr="004F6899">
        <w:rPr>
          <w:color w:val="595959" w:themeColor="text1" w:themeTint="A6"/>
        </w:rPr>
        <w:t>ged care</w:t>
      </w:r>
      <w:r w:rsidR="00105EBD" w:rsidRPr="004F6899">
        <w:rPr>
          <w:color w:val="595959" w:themeColor="text1" w:themeTint="A6"/>
        </w:rPr>
        <w:t xml:space="preserve"> homes</w:t>
      </w:r>
      <w:r w:rsidR="00D109D0">
        <w:rPr>
          <w:color w:val="595959" w:themeColor="text1" w:themeTint="A6"/>
        </w:rPr>
        <w:t xml:space="preserve"> and older Australians</w:t>
      </w:r>
      <w:r w:rsidR="00D322EA" w:rsidRPr="004F6899">
        <w:rPr>
          <w:color w:val="595959" w:themeColor="text1" w:themeTint="A6"/>
        </w:rPr>
        <w:t xml:space="preserve"> (2021–2023)</w:t>
      </w:r>
    </w:p>
    <w:p w14:paraId="2280D890" w14:textId="7DA86D04" w:rsidR="003A1302" w:rsidRDefault="003874F6" w:rsidP="00A12A3C">
      <w:pPr>
        <w:pStyle w:val="ListParagraph"/>
        <w:numPr>
          <w:ilvl w:val="0"/>
          <w:numId w:val="8"/>
        </w:numPr>
        <w:spacing w:before="0" w:after="200"/>
        <w:ind w:left="360"/>
      </w:pPr>
      <w:r w:rsidRPr="003437BA">
        <w:t>T</w:t>
      </w:r>
      <w:r w:rsidR="00B3299C" w:rsidRPr="003437BA">
        <w:t xml:space="preserve">here were </w:t>
      </w:r>
      <w:r w:rsidR="008C76A2" w:rsidRPr="003437BA">
        <w:t>576,579</w:t>
      </w:r>
      <w:r w:rsidR="008E1675" w:rsidRPr="003437BA">
        <w:t> </w:t>
      </w:r>
      <w:r w:rsidR="00E1177D" w:rsidRPr="003437BA">
        <w:t xml:space="preserve">antimicrobial prescriptions supplied to </w:t>
      </w:r>
      <w:r w:rsidR="00745C83" w:rsidRPr="003437BA">
        <w:t xml:space="preserve">residents of </w:t>
      </w:r>
      <w:r w:rsidR="00E1177D" w:rsidRPr="003437BA">
        <w:t xml:space="preserve">aged care </w:t>
      </w:r>
      <w:r w:rsidR="00745C83" w:rsidRPr="003437BA">
        <w:t>homes</w:t>
      </w:r>
      <w:r w:rsidRPr="003437BA">
        <w:t xml:space="preserve"> in 2023</w:t>
      </w:r>
      <w:r w:rsidR="001F4227" w:rsidRPr="003437BA">
        <w:t xml:space="preserve"> – </w:t>
      </w:r>
      <w:r w:rsidR="00AC702B" w:rsidRPr="003437BA">
        <w:t>2.6% of all antimicrobials dispensed</w:t>
      </w:r>
      <w:r w:rsidR="00BB482C" w:rsidRPr="003437BA">
        <w:t xml:space="preserve"> in Australia</w:t>
      </w:r>
      <w:r w:rsidR="003A1302">
        <w:t>, and an 11</w:t>
      </w:r>
      <w:r w:rsidR="00E8591D">
        <w:t>.1</w:t>
      </w:r>
      <w:r w:rsidR="003A1302">
        <w:t>%</w:t>
      </w:r>
      <w:r w:rsidR="001A214C">
        <w:t xml:space="preserve"> increase from 2022</w:t>
      </w:r>
      <w:r w:rsidR="00FB69FD">
        <w:t>.</w:t>
      </w:r>
    </w:p>
    <w:p w14:paraId="0C800C78" w14:textId="56F09CAE" w:rsidR="00D137DF" w:rsidRPr="003437BA" w:rsidRDefault="003A3E60" w:rsidP="00A12A3C">
      <w:pPr>
        <w:pStyle w:val="ListParagraph"/>
        <w:numPr>
          <w:ilvl w:val="0"/>
          <w:numId w:val="8"/>
        </w:numPr>
        <w:spacing w:before="0" w:after="200"/>
        <w:ind w:left="360"/>
      </w:pPr>
      <w:r>
        <w:t>A</w:t>
      </w:r>
      <w:r w:rsidRPr="003A3E60">
        <w:t>lmost three-quarters</w:t>
      </w:r>
      <w:r w:rsidR="001F4227" w:rsidRPr="003437BA">
        <w:t xml:space="preserve"> </w:t>
      </w:r>
      <w:r w:rsidR="005D48DD" w:rsidRPr="003437BA">
        <w:t>of</w:t>
      </w:r>
      <w:r w:rsidR="00BB482C" w:rsidRPr="003437BA">
        <w:t xml:space="preserve"> aged care home</w:t>
      </w:r>
      <w:r w:rsidR="005D48DD" w:rsidRPr="003437BA">
        <w:t xml:space="preserve"> residents received at least one antimicrobial prescription</w:t>
      </w:r>
      <w:r w:rsidR="0010436C" w:rsidRPr="003437BA">
        <w:t xml:space="preserve"> in 2023</w:t>
      </w:r>
      <w:r w:rsidR="00FB69FD">
        <w:t>.</w:t>
      </w:r>
    </w:p>
    <w:p w14:paraId="44FF7C51" w14:textId="67B79381" w:rsidR="00EA4F9A" w:rsidRDefault="00EA4F9A" w:rsidP="00EA4F9A">
      <w:pPr>
        <w:pStyle w:val="ListParagraph"/>
        <w:numPr>
          <w:ilvl w:val="0"/>
          <w:numId w:val="8"/>
        </w:numPr>
        <w:spacing w:before="0" w:after="200"/>
        <w:ind w:left="360"/>
      </w:pPr>
      <w:r>
        <w:t xml:space="preserve">Cefalexin was the most frequently dispensed antimicrobial in aged care homes – a third of </w:t>
      </w:r>
      <w:r w:rsidR="00A17C91">
        <w:t>antimicrobial</w:t>
      </w:r>
      <w:r>
        <w:t xml:space="preserve"> prescriptions from 2021 to 2023.</w:t>
      </w:r>
    </w:p>
    <w:p w14:paraId="6182B837" w14:textId="0F6DF386" w:rsidR="00854A1A" w:rsidRDefault="00DD36E6" w:rsidP="00EA4F9A">
      <w:pPr>
        <w:pStyle w:val="ListParagraph"/>
        <w:numPr>
          <w:ilvl w:val="0"/>
          <w:numId w:val="8"/>
        </w:numPr>
        <w:spacing w:before="0" w:after="200"/>
        <w:ind w:left="360"/>
      </w:pPr>
      <w:r>
        <w:t>Proportionally, c</w:t>
      </w:r>
      <w:r w:rsidR="00854A1A">
        <w:t xml:space="preserve">efalexin was </w:t>
      </w:r>
      <w:r w:rsidR="00206ECB">
        <w:t xml:space="preserve">more </w:t>
      </w:r>
      <w:r w:rsidR="00DE0F73">
        <w:t>often</w:t>
      </w:r>
      <w:r w:rsidR="00206ECB">
        <w:t xml:space="preserve"> dispensed to </w:t>
      </w:r>
      <w:r>
        <w:t xml:space="preserve">older Australians </w:t>
      </w:r>
      <w:r w:rsidR="002A52E0">
        <w:t xml:space="preserve">who </w:t>
      </w:r>
      <w:r w:rsidR="00206ECB">
        <w:t>resid</w:t>
      </w:r>
      <w:r w:rsidR="002A52E0">
        <w:t>ed</w:t>
      </w:r>
      <w:r w:rsidR="00206ECB">
        <w:t xml:space="preserve"> in aged care homes than the community</w:t>
      </w:r>
      <w:r w:rsidR="006C276B">
        <w:t>.</w:t>
      </w:r>
    </w:p>
    <w:p w14:paraId="42CF9B60" w14:textId="2E615BBB" w:rsidR="008008CA" w:rsidRPr="003D772B" w:rsidRDefault="009C69F1" w:rsidP="00854A1A">
      <w:pPr>
        <w:pStyle w:val="ListParagraph"/>
        <w:numPr>
          <w:ilvl w:val="0"/>
          <w:numId w:val="8"/>
        </w:numPr>
        <w:spacing w:before="0" w:after="200"/>
        <w:ind w:left="360"/>
      </w:pPr>
      <w:r>
        <w:t xml:space="preserve">Older </w:t>
      </w:r>
      <w:r w:rsidR="005253C3" w:rsidRPr="003437BA">
        <w:t xml:space="preserve">Australians </w:t>
      </w:r>
      <w:r w:rsidR="00640FA1">
        <w:t xml:space="preserve">in aged care homes </w:t>
      </w:r>
      <w:r w:rsidR="005253C3" w:rsidRPr="003437BA">
        <w:t>received</w:t>
      </w:r>
      <w:r w:rsidR="0098641A">
        <w:t xml:space="preserve"> more than double the </w:t>
      </w:r>
      <w:r w:rsidR="000E38BF">
        <w:t xml:space="preserve">number of J01 antibacterial prescriptions </w:t>
      </w:r>
      <w:r w:rsidR="00321A89">
        <w:t xml:space="preserve">per person </w:t>
      </w:r>
      <w:r w:rsidR="000E38BF">
        <w:t>compared to older Australians in the community in 2023</w:t>
      </w:r>
      <w:r w:rsidR="00FB69FD">
        <w:t>.</w:t>
      </w:r>
    </w:p>
    <w:p w14:paraId="2C815E91" w14:textId="6514F33C" w:rsidR="00280997" w:rsidRPr="00DB1EE0" w:rsidRDefault="00280997" w:rsidP="00280997">
      <w:pPr>
        <w:pStyle w:val="Heading3"/>
        <w:rPr>
          <w:color w:val="005370"/>
        </w:rPr>
      </w:pPr>
      <w:bookmarkStart w:id="5" w:name="_Toc173763615"/>
      <w:r w:rsidRPr="00DB1EE0">
        <w:rPr>
          <w:color w:val="005370"/>
        </w:rPr>
        <w:t>What will be done to improve antimicrobial use</w:t>
      </w:r>
      <w:r w:rsidR="009E3823" w:rsidRPr="00DB1EE0">
        <w:rPr>
          <w:color w:val="005370"/>
        </w:rPr>
        <w:t xml:space="preserve"> and patient safety</w:t>
      </w:r>
      <w:r w:rsidRPr="00DB1EE0">
        <w:rPr>
          <w:color w:val="005370"/>
        </w:rPr>
        <w:t>?</w:t>
      </w:r>
      <w:bookmarkEnd w:id="5"/>
    </w:p>
    <w:p w14:paraId="190A2506" w14:textId="77777777" w:rsidR="001E3EFB" w:rsidRPr="00D76ACB" w:rsidRDefault="001E3EFB" w:rsidP="001E3EFB">
      <w:r w:rsidRPr="00D76ACB">
        <w:t xml:space="preserve">To promote ongoing reductions in antimicrobial use and </w:t>
      </w:r>
      <w:r>
        <w:t>improve</w:t>
      </w:r>
      <w:r w:rsidRPr="00D76ACB">
        <w:t xml:space="preserve"> appropriateness of antimicrobial prescribing in the community, the Australian Commission on Safety and Quality in Health Care (the Commission) will:</w:t>
      </w:r>
    </w:p>
    <w:p w14:paraId="353B0DA7" w14:textId="09063359" w:rsidR="001E3EFB" w:rsidRDefault="001E3EFB" w:rsidP="00E9572F">
      <w:pPr>
        <w:pStyle w:val="Normal-beforebullets"/>
        <w:numPr>
          <w:ilvl w:val="0"/>
          <w:numId w:val="10"/>
        </w:numPr>
        <w:spacing w:after="60"/>
        <w:ind w:left="640" w:hanging="357"/>
      </w:pPr>
      <w:r w:rsidRPr="000955EC">
        <w:t xml:space="preserve">Continue to report the results of </w:t>
      </w:r>
      <w:r>
        <w:t xml:space="preserve">surveillance of </w:t>
      </w:r>
      <w:r w:rsidRPr="000955EC">
        <w:t xml:space="preserve">antimicrobial </w:t>
      </w:r>
      <w:r>
        <w:t xml:space="preserve">use, as well as AMR, infections, healthcare-associated complications and potentially preventable hospitalisations </w:t>
      </w:r>
      <w:r w:rsidRPr="000955EC">
        <w:t xml:space="preserve">and use the data to inform quality improvement strategies across community </w:t>
      </w:r>
      <w:proofErr w:type="gramStart"/>
      <w:r w:rsidRPr="000955EC">
        <w:t>healthcare</w:t>
      </w:r>
      <w:proofErr w:type="gramEnd"/>
    </w:p>
    <w:p w14:paraId="35879B88" w14:textId="51115BC5" w:rsidR="001E3EFB" w:rsidRPr="000955EC" w:rsidRDefault="001E3EFB" w:rsidP="00E9572F">
      <w:pPr>
        <w:pStyle w:val="Normal-beforebullets"/>
        <w:numPr>
          <w:ilvl w:val="0"/>
          <w:numId w:val="10"/>
        </w:numPr>
        <w:spacing w:after="60"/>
        <w:ind w:left="640" w:hanging="357"/>
      </w:pPr>
      <w:r w:rsidRPr="000955EC">
        <w:t>Continue to explore opportunities with the Australian Government Department of Health and Aged Care (the Department) to increase the capacity to record and monitor private</w:t>
      </w:r>
      <w:r w:rsidR="005375D0">
        <w:t xml:space="preserve"> (non-PBS and non-RPBS)</w:t>
      </w:r>
      <w:r w:rsidRPr="000955EC">
        <w:t xml:space="preserve"> antimicrobial prescribing and the indications for which antimicrobials are </w:t>
      </w:r>
      <w:proofErr w:type="gramStart"/>
      <w:r w:rsidRPr="000955EC">
        <w:t>prescribed</w:t>
      </w:r>
      <w:proofErr w:type="gramEnd"/>
    </w:p>
    <w:p w14:paraId="2E667E68" w14:textId="254C6EB4" w:rsidR="001E3EFB" w:rsidRPr="000955EC" w:rsidRDefault="001E3EFB" w:rsidP="00E9572F">
      <w:pPr>
        <w:pStyle w:val="Normal-beforebullets"/>
        <w:numPr>
          <w:ilvl w:val="0"/>
          <w:numId w:val="10"/>
        </w:numPr>
        <w:spacing w:after="60"/>
        <w:ind w:left="640" w:hanging="357"/>
      </w:pPr>
      <w:r w:rsidRPr="000955EC">
        <w:t>Continue to support implementation of the National Safety and Quality Primary and Community Healthcare Standards (Primary and Community Healthcare Standards)</w:t>
      </w:r>
      <w:r w:rsidR="00250EE4">
        <w:fldChar w:fldCharType="begin"/>
      </w:r>
      <w:r w:rsidR="00250EE4">
        <w:instrText xml:space="preserve"> ADDIN EN.CITE &lt;EndNote&gt;&lt;Cite&gt;&lt;Author&gt;Australian Commission on Safety and Quality in Health Care&lt;/Author&gt;&lt;Year&gt;2021&lt;/Year&gt;&lt;RecNum&gt;106&lt;/RecNum&gt;&lt;DisplayText&gt;&lt;style face="superscript"&gt;1&lt;/style&gt;&lt;/DisplayText&gt;&lt;record&gt;&lt;rec-number&gt;106&lt;/rec-number&gt;&lt;foreign-keys&gt;&lt;key app="EN" db-id="0a9sasvr7dwawyeva9qpw09xaap9erv5ad5e" timestamp="1707456325"&gt;106&lt;/key&gt;&lt;/foreign-keys&gt;&lt;ref-type name="Government Document"&gt;46&lt;/ref-type&gt;&lt;contributors&gt;&lt;authors&gt;&lt;author&gt;Australian Commission on Safety and Quality in Health Care,&lt;/author&gt;&lt;/authors&gt;&lt;/contributors&gt;&lt;titles&gt;&lt;title&gt;National Safety and Quality Primary and Community Healthcare Standards&lt;/title&gt;&lt;/titles&gt;&lt;dates&gt;&lt;year&gt;2021&lt;/year&gt;&lt;/dates&gt;&lt;pub-location&gt;Sydney&lt;/pub-location&gt;&lt;publisher&gt;ACSQHC&lt;/publisher&gt;&lt;urls&gt;&lt;related-urls&gt;&lt;url&gt;https://www.safetyandquality.gov.au/sites/default/files/2021-10/national_safety_and_quality_primary_and_community_healthcare_standards.pdf&lt;/url&gt;&lt;/related-urls&gt;&lt;/urls&gt;&lt;/record&gt;&lt;/Cite&gt;&lt;/EndNote&gt;</w:instrText>
      </w:r>
      <w:r w:rsidR="00250EE4">
        <w:fldChar w:fldCharType="separate"/>
      </w:r>
      <w:r w:rsidR="00250EE4" w:rsidRPr="00250EE4">
        <w:rPr>
          <w:noProof/>
          <w:vertAlign w:val="superscript"/>
        </w:rPr>
        <w:t>1</w:t>
      </w:r>
      <w:r w:rsidR="00250EE4">
        <w:fldChar w:fldCharType="end"/>
      </w:r>
      <w:r w:rsidRPr="000955EC">
        <w:t>, to deliver safe, high-quality health care through dedicated actions for preventing and controlling infections and appropriate antimicrobial prescribing and use</w:t>
      </w:r>
    </w:p>
    <w:p w14:paraId="2D0C38FE" w14:textId="77777777" w:rsidR="001E3EFB" w:rsidRPr="000955EC" w:rsidRDefault="001E3EFB" w:rsidP="00E9572F">
      <w:pPr>
        <w:pStyle w:val="Normal-beforebullets"/>
        <w:numPr>
          <w:ilvl w:val="0"/>
          <w:numId w:val="10"/>
        </w:numPr>
        <w:spacing w:after="60"/>
        <w:ind w:left="640" w:hanging="357"/>
      </w:pPr>
      <w:r w:rsidRPr="000955EC">
        <w:t xml:space="preserve">Consult with the Royal Australian College of General Practitioners (RACGP) about opportunities to promote AMS principles and practices as part of implementation of the RACGP accreditation </w:t>
      </w:r>
      <w:proofErr w:type="gramStart"/>
      <w:r w:rsidRPr="000955EC">
        <w:t>standards</w:t>
      </w:r>
      <w:proofErr w:type="gramEnd"/>
    </w:p>
    <w:p w14:paraId="48F3409D" w14:textId="21FA639E" w:rsidR="001E3EFB" w:rsidRPr="000955EC" w:rsidRDefault="001E3EFB" w:rsidP="00E9572F">
      <w:pPr>
        <w:pStyle w:val="Normal-beforebullets"/>
        <w:numPr>
          <w:ilvl w:val="0"/>
          <w:numId w:val="10"/>
        </w:numPr>
        <w:spacing w:after="60"/>
        <w:ind w:left="640" w:hanging="357"/>
      </w:pPr>
      <w:r w:rsidRPr="000955EC">
        <w:t xml:space="preserve">Continue to collaborate with the Aged Care Quality and Safety Commission, aged care providers and </w:t>
      </w:r>
      <w:r w:rsidR="00C07F01">
        <w:t xml:space="preserve">general practitioners </w:t>
      </w:r>
      <w:r w:rsidRPr="000955EC">
        <w:t>to promote appropriate personal and clinical care</w:t>
      </w:r>
      <w:r>
        <w:t>, AMS</w:t>
      </w:r>
      <w:r w:rsidRPr="000955EC">
        <w:t xml:space="preserve"> and antimicrobial prescribing for residents of aged care homes consistent with the requirements of the Aged Care Quality Standards</w:t>
      </w:r>
      <w:r w:rsidR="008F363F">
        <w:fldChar w:fldCharType="begin"/>
      </w:r>
      <w:r w:rsidR="00250EE4">
        <w:instrText xml:space="preserve"> ADDIN EN.CITE &lt;EndNote&gt;&lt;Cite&gt;&lt;Author&gt;Aged Care Quality and Safety Commission&lt;/Author&gt;&lt;Year&gt;2021&lt;/Year&gt;&lt;RecNum&gt;417&lt;/RecNum&gt;&lt;DisplayText&gt;&lt;style face="superscript"&gt;2&lt;/style&gt;&lt;/DisplayText&gt;&lt;record&gt;&lt;rec-number&gt;417&lt;/rec-number&gt;&lt;foreign-keys&gt;&lt;key app="EN" db-id="0a9sasvr7dwawyeva9qpw09xaap9erv5ad5e" timestamp="1716861752"&gt;417&lt;/key&gt;&lt;/foreign-keys&gt;&lt;ref-type name="Web Page"&gt;12&lt;/ref-type&gt;&lt;contributors&gt;&lt;authors&gt;&lt;author&gt;Aged Care Quality and Safety Commission,&lt;/author&gt;&lt;/authors&gt;&lt;/contributors&gt;&lt;titles&gt;&lt;title&gt;Aged Care Quality Standards&lt;/title&gt;&lt;/titles&gt;&lt;number&gt;June 2024&lt;/number&gt;&lt;dates&gt;&lt;year&gt;2021&lt;/year&gt;&lt;/dates&gt;&lt;pub-location&gt;Sydney&lt;/pub-location&gt;&lt;publisher&gt;ACQSC&lt;/publisher&gt;&lt;urls&gt;&lt;related-urls&gt;&lt;url&gt;https://www.agedcarequality.gov.au/providers/quality-standards&lt;/url&gt;&lt;/related-urls&gt;&lt;/urls&gt;&lt;/record&gt;&lt;/Cite&gt;&lt;/EndNote&gt;</w:instrText>
      </w:r>
      <w:r w:rsidR="008F363F">
        <w:fldChar w:fldCharType="separate"/>
      </w:r>
      <w:r w:rsidR="00250EE4" w:rsidRPr="00250EE4">
        <w:rPr>
          <w:noProof/>
          <w:vertAlign w:val="superscript"/>
        </w:rPr>
        <w:t>2</w:t>
      </w:r>
      <w:r w:rsidR="008F363F">
        <w:fldChar w:fldCharType="end"/>
      </w:r>
      <w:r w:rsidR="00D67054">
        <w:t>,</w:t>
      </w:r>
      <w:r w:rsidRPr="000955EC">
        <w:t xml:space="preserve"> and the strengthened Aged Care Quality Standards</w:t>
      </w:r>
      <w:r w:rsidR="008F363F">
        <w:fldChar w:fldCharType="begin"/>
      </w:r>
      <w:r w:rsidR="00250EE4">
        <w:instrText xml:space="preserve"> ADDIN EN.CITE &lt;EndNote&gt;&lt;Cite&gt;&lt;Author&gt;Aged Care Quality and Safety Commission&lt;/Author&gt;&lt;Year&gt;2021&lt;/Year&gt;&lt;RecNum&gt;534&lt;/RecNum&gt;&lt;DisplayText&gt;&lt;style face="superscript"&gt;3&lt;/style&gt;&lt;/DisplayText&gt;&lt;record&gt;&lt;rec-number&gt;534&lt;/rec-number&gt;&lt;foreign-keys&gt;&lt;key app="EN" db-id="0a9sasvr7dwawyeva9qpw09xaap9erv5ad5e" timestamp="1718165524"&gt;534&lt;/key&gt;&lt;/foreign-keys&gt;&lt;ref-type name="Web Page"&gt;12&lt;/ref-type&gt;&lt;contributors&gt;&lt;authors&gt;&lt;author&gt;Aged Care Quality and Safety Commission,&lt;/author&gt;&lt;/authors&gt;&lt;/contributors&gt;&lt;titles&gt;&lt;title&gt;Stronger Standards, Better Aged Care Program&lt;/title&gt;&lt;/titles&gt;&lt;number&gt;June 2024&lt;/number&gt;&lt;dates&gt;&lt;year&gt;2021&lt;/year&gt;&lt;/dates&gt;&lt;pub-location&gt;Sydney&lt;/pub-location&gt;&lt;publisher&gt;ACQSC&lt;/publisher&gt;&lt;urls&gt;&lt;related-urls&gt;&lt;url&gt;https://www.agedcarequality.gov.au/providers/quality-standards/stronger-standards-better-aged-care-program&lt;/url&gt;&lt;/related-urls&gt;&lt;/urls&gt;&lt;/record&gt;&lt;/Cite&gt;&lt;/EndNote&gt;</w:instrText>
      </w:r>
      <w:r w:rsidR="008F363F">
        <w:fldChar w:fldCharType="separate"/>
      </w:r>
      <w:r w:rsidR="00250EE4" w:rsidRPr="00250EE4">
        <w:rPr>
          <w:noProof/>
          <w:vertAlign w:val="superscript"/>
        </w:rPr>
        <w:t>3</w:t>
      </w:r>
      <w:r w:rsidR="008F363F">
        <w:fldChar w:fldCharType="end"/>
      </w:r>
    </w:p>
    <w:p w14:paraId="3702A6CB" w14:textId="2876BFDF" w:rsidR="001E3EFB" w:rsidRPr="007E6CB5" w:rsidRDefault="001E3EFB" w:rsidP="00E9572F">
      <w:pPr>
        <w:pStyle w:val="ListParagraph"/>
        <w:numPr>
          <w:ilvl w:val="0"/>
          <w:numId w:val="10"/>
        </w:numPr>
        <w:spacing w:before="0" w:after="60"/>
        <w:ind w:left="640" w:hanging="357"/>
        <w:contextualSpacing w:val="0"/>
      </w:pPr>
      <w:r>
        <w:t>Continue to s</w:t>
      </w:r>
      <w:r w:rsidRPr="007E6CB5">
        <w:t>upport health and aged care services to prevent and control AMR and use antimicrobials appropriately through the implementation of strategies that address the quality statements of the Antimicrobial Stewardship and Sepsis Clinical Care Standards</w:t>
      </w:r>
      <w:r w:rsidR="00EF5011">
        <w:fldChar w:fldCharType="begin"/>
      </w:r>
      <w:r w:rsidR="00C43D56">
        <w:instrText xml:space="preserve"> ADDIN EN.CITE &lt;EndNote&gt;&lt;Cite&gt;&lt;Author&gt;Australian Commission on Safety and Quality in Health Care&lt;/Author&gt;&lt;Year&gt;2020&lt;/Year&gt;&lt;RecNum&gt;14&lt;/RecNum&gt;&lt;DisplayText&gt;&lt;style face="superscript"&gt;4, 5&lt;/style&gt;&lt;/DisplayText&gt;&lt;record&gt;&lt;rec-number&gt;14&lt;/rec-number&gt;&lt;foreign-keys&gt;&lt;key app="EN" db-id="0a9sasvr7dwawyeva9qpw09xaap9erv5ad5e" timestamp="1704339860"&gt;14&lt;/key&gt;&lt;/foreign-keys&gt;&lt;ref-type name="Standard"&gt;58&lt;/ref-type&gt;&lt;contributors&gt;&lt;authors&gt;&lt;author&gt;Australian Commission on Safety and Quality in Health Care,&lt;/author&gt;&lt;/authors&gt;&lt;/contributors&gt;&lt;titles&gt;&lt;title&gt;Antimicrobial Stewardship Clinical Care Standard&lt;/title&gt;&lt;/titles&gt;&lt;dates&gt;&lt;year&gt;2020&lt;/year&gt;&lt;/dates&gt;&lt;pub-location&gt;Sydney&lt;/pub-location&gt;&lt;publisher&gt;ACSQHC&lt;/publisher&gt;&lt;urls&gt;&lt;related-urls&gt;&lt;url&gt;https://www.safetyandquality.gov.au/publications-and-resources/resource-library/antimicrobial-stewardship-clinical-care-standard-2020-publication&lt;/url&gt;&lt;/related-urls&gt;&lt;/urls&gt;&lt;/record&gt;&lt;/Cite&gt;&lt;Cite&gt;&lt;Author&gt;Australian Commission on Safety and Quality in Health Care&lt;/Author&gt;&lt;Year&gt;2022&lt;/Year&gt;&lt;RecNum&gt;544&lt;/RecNum&gt;&lt;record&gt;&lt;rec-number&gt;544&lt;/rec-number&gt;&lt;foreign-keys&gt;&lt;key app="EN" db-id="0a9sasvr7dwawyeva9qpw09xaap9erv5ad5e" timestamp="1722811888"&gt;544&lt;/key&gt;&lt;/foreign-keys&gt;&lt;ref-type name="Government Document"&gt;46&lt;/ref-type&gt;&lt;contributors&gt;&lt;authors&gt;&lt;author&gt;Australian Commission on Safety and Quality in Health Care,&lt;/author&gt;&lt;/authors&gt;&lt;/contributors&gt;&lt;titles&gt;&lt;title&gt;Sepsis Clinical Care Standard&lt;/title&gt;&lt;/titles&gt;&lt;dates&gt;&lt;year&gt;2022&lt;/year&gt;&lt;/dates&gt;&lt;pub-location&gt;Sydney&lt;/pub-location&gt;&lt;publisher&gt;ACSQHC&lt;/publisher&gt;&lt;urls&gt;&lt;related-urls&gt;&lt;url&gt;https://www.safetyandquality.gov.au/publications-and-resources/resource-library/sepsis-clinical-care-standard-2022&lt;/url&gt;&lt;/related-urls&gt;&lt;/urls&gt;&lt;/record&gt;&lt;/Cite&gt;&lt;/EndNote&gt;</w:instrText>
      </w:r>
      <w:r w:rsidR="00EF5011">
        <w:fldChar w:fldCharType="separate"/>
      </w:r>
      <w:r w:rsidR="00C43D56" w:rsidRPr="00C43D56">
        <w:rPr>
          <w:noProof/>
          <w:vertAlign w:val="superscript"/>
        </w:rPr>
        <w:t>4,5</w:t>
      </w:r>
      <w:r w:rsidR="00EF5011">
        <w:fldChar w:fldCharType="end"/>
      </w:r>
      <w:r w:rsidRPr="007E6CB5">
        <w:t>, and reduce unwarranted variations in care</w:t>
      </w:r>
    </w:p>
    <w:p w14:paraId="7BC598D4" w14:textId="009DD6EC" w:rsidR="001E3EFB" w:rsidRPr="001020EA" w:rsidRDefault="001E3EFB" w:rsidP="00E9572F">
      <w:pPr>
        <w:pStyle w:val="ListParagraph"/>
        <w:numPr>
          <w:ilvl w:val="0"/>
          <w:numId w:val="10"/>
        </w:numPr>
        <w:spacing w:before="0" w:after="60"/>
        <w:ind w:left="640" w:hanging="357"/>
        <w:contextualSpacing w:val="0"/>
      </w:pPr>
      <w:r w:rsidRPr="001020EA">
        <w:t>Continue to collaborate with clinicians and professional bodies such as the RACGP</w:t>
      </w:r>
      <w:r w:rsidR="00C07F01">
        <w:t xml:space="preserve">, the </w:t>
      </w:r>
      <w:r w:rsidR="00C07F01" w:rsidRPr="00FA7A1F">
        <w:t>Australian College of Rural and Remote Medicine</w:t>
      </w:r>
      <w:r w:rsidR="00C07F01">
        <w:t xml:space="preserve"> (ACRRM),</w:t>
      </w:r>
      <w:r w:rsidR="00406960">
        <w:t xml:space="preserve"> </w:t>
      </w:r>
      <w:r w:rsidRPr="001020EA">
        <w:t xml:space="preserve">Primary Health Networks (PHNs), </w:t>
      </w:r>
      <w:r w:rsidR="00C07F01">
        <w:t>professional organisations that represent other prescribers</w:t>
      </w:r>
      <w:r w:rsidR="00C07F01" w:rsidRPr="001020EA">
        <w:t xml:space="preserve"> </w:t>
      </w:r>
      <w:r w:rsidRPr="001020EA">
        <w:t xml:space="preserve">and the Department and state and territory governments to develop targeted strategies to sustain improvements in antimicrobial use and </w:t>
      </w:r>
      <w:proofErr w:type="gramStart"/>
      <w:r w:rsidRPr="001020EA">
        <w:t>appropriateness</w:t>
      </w:r>
      <w:proofErr w:type="gramEnd"/>
    </w:p>
    <w:p w14:paraId="35797D04" w14:textId="2D63C0F4" w:rsidR="00C07F01" w:rsidRDefault="00C07F01" w:rsidP="00E9572F">
      <w:pPr>
        <w:pStyle w:val="Normal-beforebullets"/>
        <w:numPr>
          <w:ilvl w:val="0"/>
          <w:numId w:val="10"/>
        </w:numPr>
        <w:spacing w:after="60"/>
        <w:ind w:left="640" w:hanging="357"/>
      </w:pPr>
      <w:r>
        <w:t>Promote the importance of AMS knowledge and skills a</w:t>
      </w:r>
      <w:r w:rsidR="00406960">
        <w:t>s</w:t>
      </w:r>
      <w:r>
        <w:t xml:space="preserve"> key competencies for all clinicians able to prescribe antimicrobials as part of their scope of </w:t>
      </w:r>
      <w:proofErr w:type="gramStart"/>
      <w:r>
        <w:t>practice</w:t>
      </w:r>
      <w:proofErr w:type="gramEnd"/>
      <w:r>
        <w:t xml:space="preserve"> </w:t>
      </w:r>
    </w:p>
    <w:p w14:paraId="6684EA1C" w14:textId="5AACB89B" w:rsidR="001E3EFB" w:rsidRPr="00B67C1D" w:rsidRDefault="001E3EFB" w:rsidP="00E9572F">
      <w:pPr>
        <w:pStyle w:val="Normal-beforebullets"/>
        <w:numPr>
          <w:ilvl w:val="0"/>
          <w:numId w:val="10"/>
        </w:numPr>
        <w:spacing w:after="60"/>
        <w:ind w:left="640" w:hanging="357"/>
      </w:pPr>
      <w:r w:rsidRPr="00B67C1D">
        <w:t>Maintain the currency of the Commission’s decision support tools for clinicians and consumers in managing specific conditions</w:t>
      </w:r>
      <w:r w:rsidR="009314D3">
        <w:fldChar w:fldCharType="begin">
          <w:fldData xml:space="preserve">PEVuZE5vdGU+PENpdGU+PEF1dGhvcj5BdXN0cmFsaWFuIENvbW1pc3Npb24gZm9yIFNhZmV0eSBh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</w:fldData>
        </w:fldChar>
      </w:r>
      <w:r w:rsidR="00087F2D">
        <w:instrText xml:space="preserve"> ADDIN EN.CITE </w:instrText>
      </w:r>
      <w:r w:rsidR="00087F2D">
        <w:fldChar w:fldCharType="begin">
          <w:fldData xml:space="preserve">PEVuZE5vdGU+PENpdGU+PEF1dGhvcj5BdXN0cmFsaWFuIENvbW1pc3Npb24gZm9yIFNhZmV0eSBh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</w:fldData>
        </w:fldChar>
      </w:r>
      <w:r w:rsidR="00087F2D">
        <w:instrText xml:space="preserve"> ADDIN EN.CITE.DATA </w:instrText>
      </w:r>
      <w:r w:rsidR="00087F2D">
        <w:fldChar w:fldCharType="end"/>
      </w:r>
      <w:r w:rsidR="009314D3">
        <w:fldChar w:fldCharType="separate"/>
      </w:r>
      <w:r w:rsidR="00087F2D" w:rsidRPr="00087F2D">
        <w:rPr>
          <w:noProof/>
          <w:vertAlign w:val="superscript"/>
        </w:rPr>
        <w:t>6-10</w:t>
      </w:r>
      <w:r w:rsidR="009314D3">
        <w:fldChar w:fldCharType="end"/>
      </w:r>
      <w:r w:rsidRPr="00B67C1D">
        <w:t xml:space="preserve">, including sore throat, acute bronchitis, middle ear infection and chronic obstructive pulmonary </w:t>
      </w:r>
      <w:proofErr w:type="gramStart"/>
      <w:r w:rsidRPr="00B67C1D">
        <w:t>disease</w:t>
      </w:r>
      <w:proofErr w:type="gramEnd"/>
    </w:p>
    <w:p w14:paraId="14161FFF" w14:textId="6461F9CF" w:rsidR="001E3EFB" w:rsidRPr="00294BE4" w:rsidRDefault="001E3EFB" w:rsidP="00E9572F">
      <w:pPr>
        <w:pStyle w:val="Normal-beforebullets"/>
        <w:numPr>
          <w:ilvl w:val="0"/>
          <w:numId w:val="10"/>
        </w:numPr>
        <w:spacing w:after="60"/>
        <w:ind w:left="640" w:hanging="357"/>
        <w:rPr>
          <w:rStyle w:val="Blue"/>
          <w:color w:val="auto"/>
        </w:rPr>
      </w:pPr>
      <w:r w:rsidRPr="00294BE4">
        <w:rPr>
          <w:rStyle w:val="Blue"/>
          <w:color w:val="auto"/>
        </w:rPr>
        <w:lastRenderedPageBreak/>
        <w:t>Continue to work with developers of prescribing guidelines, including Therapeutic Guidelines Limited</w:t>
      </w:r>
      <w:r w:rsidRPr="00294BE4">
        <w:t xml:space="preserve">, to ensure AMR data informs guidelines, including </w:t>
      </w:r>
      <w:r w:rsidRPr="00294BE4">
        <w:rPr>
          <w:i/>
          <w:iCs/>
        </w:rPr>
        <w:t>Therapeutic Guidelines: Antibiotic</w:t>
      </w:r>
      <w:r w:rsidR="009314D3" w:rsidRPr="005E61A0">
        <w:fldChar w:fldCharType="begin"/>
      </w:r>
      <w:r w:rsidR="00087F2D" w:rsidRPr="005E61A0">
        <w:instrText xml:space="preserve"> ADDIN EN.CITE &lt;EndNote&gt;&lt;Cite&gt;&lt;Author&gt;Antibiotic Expert Group&lt;/Author&gt;&lt;Year&gt;2019 &lt;/Year&gt;&lt;RecNum&gt;4&lt;/RecNum&gt;&lt;DisplayText&gt;&lt;style face="superscript"&gt;11&lt;/style&gt;&lt;/DisplayText&gt;&lt;record&gt;&lt;rec-number&gt;4&lt;/rec-number&gt;&lt;foreign-keys&gt;&lt;key app="EN" db-id="0a9sasvr7dwawyeva9qpw09xaap9erv5ad5e" timestamp="1704339860"&gt;4&lt;/key&gt;&lt;/foreign-keys&gt;&lt;ref-type name="Web Page"&gt;12&lt;/ref-type&gt;&lt;contributors&gt;&lt;authors&gt;&lt;author&gt;Antibiotic Expert Group,&lt;/author&gt;&lt;/authors&gt;&lt;/contributors&gt;&lt;titles&gt;&lt;title&gt;&lt;style face="normal" font="default" size="100%"&gt;Antibiotic [published 2019 Apr]. In: &lt;/style&gt;&lt;style face="italic" font="default" size="100%"&gt;Therapeutic Guidelines&lt;/style&gt;&lt;/title&gt;&lt;/titles&gt;&lt;number&gt;Jan 2024&lt;/number&gt;&lt;dates&gt;&lt;year&gt;2019 &lt;/year&gt;&lt;/dates&gt;&lt;pub-location&gt;Melbourne&lt;/pub-location&gt;&lt;publisher&gt;Therapeutic Guidelines Limited&lt;/publisher&gt;&lt;work-type&gt;Internet&lt;/work-type&gt;&lt;urls&gt;&lt;related-urls&gt;&lt;url&gt;https://www.tg.org.au/&lt;/url&gt;&lt;/related-urls&gt;&lt;/urls&gt;&lt;/record&gt;&lt;/Cite&gt;&lt;/EndNote&gt;</w:instrText>
      </w:r>
      <w:r w:rsidR="009314D3" w:rsidRPr="005E61A0">
        <w:fldChar w:fldCharType="separate"/>
      </w:r>
      <w:r w:rsidR="00087F2D" w:rsidRPr="005E61A0">
        <w:rPr>
          <w:noProof/>
          <w:vertAlign w:val="superscript"/>
        </w:rPr>
        <w:t>11</w:t>
      </w:r>
      <w:r w:rsidR="009314D3" w:rsidRPr="005E61A0">
        <w:fldChar w:fldCharType="end"/>
      </w:r>
      <w:r w:rsidRPr="00294BE4">
        <w:t>; and for these to be promoted to prescribers through clear communications</w:t>
      </w:r>
    </w:p>
    <w:p w14:paraId="6BB253C9" w14:textId="77777777" w:rsidR="001E3EFB" w:rsidRDefault="001E3EFB" w:rsidP="00E9572F">
      <w:pPr>
        <w:pStyle w:val="Normal-beforebullets"/>
        <w:numPr>
          <w:ilvl w:val="0"/>
          <w:numId w:val="10"/>
        </w:numPr>
        <w:spacing w:after="60"/>
        <w:ind w:left="640" w:hanging="357"/>
      </w:pPr>
      <w:r w:rsidRPr="00A66CF5">
        <w:t xml:space="preserve">Reinforce messaging for consumers about the role of antimicrobials in AMR, the effects of antimicrobials on beneficial and harmful bacteria and that antibacterials are not required for the treatment of viral respiratory infections, and raise awareness of the impact of antimicrobials in the potential development of chronic conditions in children and </w:t>
      </w:r>
      <w:proofErr w:type="gramStart"/>
      <w:r w:rsidRPr="00A66CF5">
        <w:t>adults</w:t>
      </w:r>
      <w:proofErr w:type="gramEnd"/>
    </w:p>
    <w:p w14:paraId="0BD53637" w14:textId="3F6102D1" w:rsidR="00280997" w:rsidRDefault="001E3EFB" w:rsidP="00E9572F">
      <w:pPr>
        <w:pStyle w:val="Normal-beforebullets"/>
        <w:numPr>
          <w:ilvl w:val="0"/>
          <w:numId w:val="10"/>
        </w:numPr>
        <w:spacing w:after="60"/>
        <w:ind w:left="640" w:hanging="357"/>
      </w:pPr>
      <w:r w:rsidRPr="00DC0148">
        <w:t>Promote maintenance of public health actions including messaging related to infection prevention and control</w:t>
      </w:r>
      <w:r w:rsidR="00406960">
        <w:t xml:space="preserve"> and </w:t>
      </w:r>
      <w:r w:rsidR="00D61CD7">
        <w:t>vaccination,</w:t>
      </w:r>
      <w:r w:rsidRPr="00DC0148">
        <w:t xml:space="preserve"> to reduce the risk of </w:t>
      </w:r>
      <w:r w:rsidR="00D90821">
        <w:t xml:space="preserve">the spread of AMR, </w:t>
      </w:r>
      <w:r w:rsidRPr="00DC0148">
        <w:t>transmission of infection and use of antimicrobials in the community.</w:t>
      </w:r>
    </w:p>
    <w:p w14:paraId="26D662CB" w14:textId="77777777" w:rsidR="00EB63F2" w:rsidRDefault="00EB63F2" w:rsidP="00406960">
      <w:pPr>
        <w:rPr>
          <w:rFonts w:cs="Arial"/>
          <w:kern w:val="28"/>
          <w:sz w:val="40"/>
          <w:szCs w:val="32"/>
        </w:rPr>
      </w:pPr>
      <w:r>
        <w:br w:type="page"/>
      </w:r>
    </w:p>
    <w:p w14:paraId="6F04FBCD" w14:textId="087FB884" w:rsidR="004323D1" w:rsidRPr="00DB1EE0" w:rsidRDefault="007E75AA" w:rsidP="00A12A3C">
      <w:pPr>
        <w:pStyle w:val="Heading1"/>
        <w:tabs>
          <w:tab w:val="left" w:pos="7241"/>
        </w:tabs>
        <w:rPr>
          <w:color w:val="005370"/>
        </w:rPr>
      </w:pPr>
      <w:bookmarkStart w:id="6" w:name="_Toc173763616"/>
      <w:r w:rsidRPr="00DB1EE0">
        <w:rPr>
          <w:color w:val="005370"/>
        </w:rPr>
        <w:lastRenderedPageBreak/>
        <w:t>Introduction</w:t>
      </w:r>
      <w:bookmarkEnd w:id="6"/>
    </w:p>
    <w:p w14:paraId="138555B3" w14:textId="6A536624" w:rsidR="004323D1" w:rsidRPr="00DB1EE0" w:rsidRDefault="00397968" w:rsidP="00397968">
      <w:pPr>
        <w:pStyle w:val="Heading3"/>
        <w:rPr>
          <w:color w:val="005370"/>
        </w:rPr>
      </w:pPr>
      <w:bookmarkStart w:id="7" w:name="_Toc173763617"/>
      <w:r w:rsidRPr="00DB1EE0">
        <w:rPr>
          <w:color w:val="005370"/>
        </w:rPr>
        <w:t>About this report</w:t>
      </w:r>
      <w:bookmarkEnd w:id="7"/>
    </w:p>
    <w:p w14:paraId="02CE0319" w14:textId="67135697" w:rsidR="001E3EFB" w:rsidRDefault="001E3EFB" w:rsidP="001E3EFB">
      <w:bookmarkStart w:id="8" w:name="_Toc121826723"/>
      <w:r w:rsidRPr="00F46944">
        <w:t>This report</w:t>
      </w:r>
      <w:r>
        <w:t xml:space="preserve"> presents analyses of antimicrobial use in the Australian community in 2023. It</w:t>
      </w:r>
      <w:r w:rsidRPr="00F46944">
        <w:t xml:space="preserve"> builds on reports developed by the Australian Commission on Safety and Quality in Health Care (the Commission) </w:t>
      </w:r>
      <w:r>
        <w:t xml:space="preserve">including </w:t>
      </w:r>
      <w:r>
        <w:rPr>
          <w:i/>
          <w:iCs/>
        </w:rPr>
        <w:t>Antimicrobial use and appropriateness in the community: 2020–2021</w:t>
      </w:r>
      <w:r w:rsidRPr="00A47F32">
        <w:fldChar w:fldCharType="begin"/>
      </w:r>
      <w:r w:rsidR="00087F2D">
        <w:instrText xml:space="preserve"> ADDIN EN.CITE &lt;EndNote&gt;&lt;Cite&gt;&lt;Author&gt;Australian Commission on Safety and Quality in Health Care&lt;/Author&gt;&lt;Year&gt;2022&lt;/Year&gt;&lt;RecNum&gt;15&lt;/RecNum&gt;&lt;DisplayText&gt;&lt;style face="superscript"&gt;12&lt;/style&gt;&lt;/DisplayText&gt;&lt;record&gt;&lt;rec-number&gt;15&lt;/rec-number&gt;&lt;foreign-keys&gt;&lt;key app="EN" db-id="0a9sasvr7dwawyeva9qpw09xaap9erv5ad5e" timestamp="1704339860"&gt;15&lt;/key&gt;&lt;/foreign-keys&gt;&lt;ref-type name="Government Document"&gt;46&lt;/ref-type&gt;&lt;contributors&gt;&lt;authors&gt;&lt;author&gt;Australian Commission on Safety and Quality in Health Care,&lt;/author&gt;&lt;/authors&gt;&lt;/contributors&gt;&lt;titles&gt;&lt;title&gt;Antimicrobial use and appropriateness in the community: 2020–2021&lt;/title&gt;&lt;/titles&gt;&lt;dates&gt;&lt;year&gt;2022&lt;/year&gt;&lt;/dates&gt;&lt;pub-location&gt;Sydney&lt;/pub-location&gt;&lt;publisher&gt;ACSQHC&lt;/publisher&gt;&lt;urls&gt;&lt;related-urls&gt;&lt;url&gt;https://www.safetyandquality.gov.au/publications-and-resources/resource-library/antimicrobial-use-and-appropriateness-community-2020-2021&lt;/url&gt;&lt;/related-urls&gt;&lt;/urls&gt;&lt;access-date&gt;30 May 2023&lt;/access-date&gt;&lt;/record&gt;&lt;/Cite&gt;&lt;/EndNote&gt;</w:instrText>
      </w:r>
      <w:r w:rsidRPr="00A47F32">
        <w:fldChar w:fldCharType="separate"/>
      </w:r>
      <w:r w:rsidR="00087F2D" w:rsidRPr="00087F2D">
        <w:rPr>
          <w:noProof/>
          <w:vertAlign w:val="superscript"/>
        </w:rPr>
        <w:t>12</w:t>
      </w:r>
      <w:r w:rsidRPr="00A47F32">
        <w:fldChar w:fldCharType="end"/>
      </w:r>
      <w:r w:rsidRPr="00A47F32">
        <w:t>,</w:t>
      </w:r>
      <w:r w:rsidRPr="004D03FF">
        <w:t xml:space="preserve"> </w:t>
      </w:r>
      <w:r w:rsidRPr="004D03FF">
        <w:rPr>
          <w:i/>
          <w:iCs/>
        </w:rPr>
        <w:t>Analysis of 2015–2022 PBS and RPBS antimicrobial dispensing data</w:t>
      </w:r>
      <w:r w:rsidRPr="00A47F32">
        <w:fldChar w:fldCharType="begin"/>
      </w:r>
      <w:r w:rsidR="00087F2D">
        <w:instrText xml:space="preserve"> ADDIN EN.CITE &lt;EndNote&gt;&lt;Cite&gt;&lt;Author&gt;Gadzhanova S and Roughead E on behalf of the Australian Commission on Safety and Quality in Health Care&lt;/Author&gt;&lt;Year&gt;2023&lt;/Year&gt;&lt;RecNum&gt;353&lt;/RecNum&gt;&lt;DisplayText&gt;&lt;style face="superscript"&gt;13&lt;/style&gt;&lt;/DisplayText&gt;&lt;record&gt;&lt;rec-number&gt;353&lt;/rec-number&gt;&lt;foreign-keys&gt;&lt;key app="EN" db-id="0a9sasvr7dwawyeva9qpw09xaap9erv5ad5e" timestamp="1716861523"&gt;353&lt;/key&gt;&lt;/foreign-keys&gt;&lt;ref-type name="Government Document"&gt;46&lt;/ref-type&gt;&lt;contributors&gt;&lt;authors&gt;&lt;author&gt;Gadzhanova S and Roughead E on behalf of the Australian Commission on Safety and Quality in Health Care, &lt;/author&gt;&lt;/authors&gt;&lt;/contributors&gt;&lt;titles&gt;&lt;title&gt;Analysis of 2015–2022 PBS and RPBS antimicrobial dispensing data&lt;/title&gt;&lt;/titles&gt;&lt;dates&gt;&lt;year&gt;2023&lt;/year&gt;&lt;/dates&gt;&lt;pub-location&gt;Sydney&lt;/pub-location&gt;&lt;publisher&gt;ACSQHC&lt;/publisher&gt;&lt;urls&gt;&lt;/urls&gt;&lt;/record&gt;&lt;/Cite&gt;&lt;/EndNote&gt;</w:instrText>
      </w:r>
      <w:r w:rsidRPr="00A47F32">
        <w:fldChar w:fldCharType="separate"/>
      </w:r>
      <w:r w:rsidR="00087F2D" w:rsidRPr="00087F2D">
        <w:rPr>
          <w:noProof/>
          <w:vertAlign w:val="superscript"/>
        </w:rPr>
        <w:t>13</w:t>
      </w:r>
      <w:r w:rsidRPr="00A47F32">
        <w:fldChar w:fldCharType="end"/>
      </w:r>
      <w:r w:rsidRPr="00B26FD1">
        <w:t xml:space="preserve"> and </w:t>
      </w:r>
      <w:r>
        <w:t xml:space="preserve">the </w:t>
      </w:r>
      <w:r w:rsidRPr="00F46944">
        <w:t>series of national reports</w:t>
      </w:r>
      <w:r w:rsidR="00380029">
        <w:t xml:space="preserve">, which </w:t>
      </w:r>
      <w:r w:rsidRPr="00F46944">
        <w:t>us</w:t>
      </w:r>
      <w:r w:rsidR="00380029">
        <w:t>e</w:t>
      </w:r>
      <w:r w:rsidRPr="00F46944">
        <w:t xml:space="preserve"> data captured by the Antimicrobial Use and Resistance in Australia (AURA) </w:t>
      </w:r>
      <w:r>
        <w:t>s</w:t>
      </w:r>
      <w:r w:rsidRPr="00F46944">
        <w:t xml:space="preserve">urveillance </w:t>
      </w:r>
      <w:r>
        <w:t xml:space="preserve">program </w:t>
      </w:r>
      <w:r w:rsidRPr="00F46944">
        <w:t xml:space="preserve">from </w:t>
      </w:r>
      <w:r w:rsidRPr="00947536">
        <w:t xml:space="preserve">2016 to </w:t>
      </w:r>
      <w:r>
        <w:t>2023.</w:t>
      </w:r>
      <w:r>
        <w:fldChar w:fldCharType="begin">
          <w:fldData xml:space="preserve">PEVuZE5vdGU+PENpdGU+PEF1dGhvcj5BdXN0cmFsaWFuIENvbW1pc3Npb24gb24gU2FmZXR5IGFu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PC9jb250cmlidXRvcnM+PHRpdGxlcz48dGl0bGU+QVVSQSAyMDE5OiB0aGlyZCBBdXN0cmFsaWFu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WWVhcj4yMDIzPC9ZZWFyPjxSZWNOdW0+Njg8L1JlY051bT48cmVjb3JkPjxyZWMtbnVtYmVyPjY4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</w:fldData>
        </w:fldChar>
      </w:r>
      <w:r w:rsidR="00087F2D">
        <w:instrText xml:space="preserve"> ADDIN EN.CITE </w:instrText>
      </w:r>
      <w:r w:rsidR="00087F2D">
        <w:fldChar w:fldCharType="begin">
          <w:fldData xml:space="preserve">PEVuZE5vdGU+PENpdGU+PEF1dGhvcj5BdXN0cmFsaWFuIENvbW1pc3Npb24gb24gU2FmZXR5IGFu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PC9jb250cmlidXRvcnM+PHRpdGxlcz48dGl0bGU+QVVSQSAyMDE5OiB0aGlyZCBBdXN0cmFsaWFu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WWVhcj4yMDIzPC9ZZWFyPjxSZWNOdW0+Njg8L1JlY051bT48cmVjb3JkPjxyZWMtbnVtYmVyPjY4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</w:fldData>
        </w:fldChar>
      </w:r>
      <w:r w:rsidR="00087F2D">
        <w:instrText xml:space="preserve"> ADDIN EN.CITE.DATA </w:instrText>
      </w:r>
      <w:r w:rsidR="00087F2D">
        <w:fldChar w:fldCharType="end"/>
      </w:r>
      <w:r>
        <w:fldChar w:fldCharType="separate"/>
      </w:r>
      <w:r w:rsidR="00087F2D" w:rsidRPr="00087F2D">
        <w:rPr>
          <w:noProof/>
          <w:vertAlign w:val="superscript"/>
        </w:rPr>
        <w:t>14-18</w:t>
      </w:r>
      <w:r>
        <w:fldChar w:fldCharType="end"/>
      </w:r>
      <w:r>
        <w:t xml:space="preserve"> </w:t>
      </w:r>
      <w:r w:rsidRPr="00547AA0">
        <w:t xml:space="preserve">Funding for the AURA </w:t>
      </w:r>
      <w:r>
        <w:t>s</w:t>
      </w:r>
      <w:r w:rsidRPr="00547AA0">
        <w:t xml:space="preserve">urveillance </w:t>
      </w:r>
      <w:r>
        <w:t xml:space="preserve">program </w:t>
      </w:r>
      <w:r w:rsidR="00C44DA6">
        <w:t xml:space="preserve">and for the preparation of this report </w:t>
      </w:r>
      <w:r w:rsidRPr="00547AA0">
        <w:t xml:space="preserve">is provided by the Australian Government Department of Health and Aged Care (the Department), with further contributions from the states and territories </w:t>
      </w:r>
      <w:r>
        <w:t xml:space="preserve">by the </w:t>
      </w:r>
      <w:r w:rsidRPr="00547AA0">
        <w:t xml:space="preserve">collection and </w:t>
      </w:r>
      <w:r>
        <w:t xml:space="preserve">submission </w:t>
      </w:r>
      <w:r w:rsidRPr="00547AA0">
        <w:t>of their data.</w:t>
      </w:r>
    </w:p>
    <w:p w14:paraId="34598DE8" w14:textId="297E39B0" w:rsidR="001E3EFB" w:rsidRPr="00E0415B" w:rsidRDefault="001E3EFB" w:rsidP="001E3EFB">
      <w:r w:rsidRPr="00F46944">
        <w:t xml:space="preserve">Data on antimicrobial use presented in this report are sourced from the Pharmaceutical Benefits Scheme (PBS) and </w:t>
      </w:r>
      <w:r>
        <w:t xml:space="preserve">the </w:t>
      </w:r>
      <w:r w:rsidRPr="00F46944">
        <w:t>Repatriation Pharmaceutical Benefits Scheme (RPBS)</w:t>
      </w:r>
      <w:r>
        <w:t>.</w:t>
      </w:r>
      <w:r>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fldChar w:fldCharType="separate"/>
      </w:r>
      <w:r w:rsidR="00087F2D" w:rsidRPr="00087F2D">
        <w:rPr>
          <w:noProof/>
          <w:vertAlign w:val="superscript"/>
        </w:rPr>
        <w:t>19</w:t>
      </w:r>
      <w:r>
        <w:fldChar w:fldCharType="end"/>
      </w:r>
      <w:r>
        <w:t xml:space="preserve"> </w:t>
      </w:r>
      <w:r w:rsidRPr="00F46944">
        <w:t>The PBS</w:t>
      </w:r>
      <w:r>
        <w:t xml:space="preserve"> and </w:t>
      </w:r>
      <w:r w:rsidRPr="00F46944">
        <w:t>RPBS are Australian Government schemes that provide all Australians with</w:t>
      </w:r>
      <w:r>
        <w:t xml:space="preserve"> </w:t>
      </w:r>
      <w:r w:rsidRPr="00F46944">
        <w:t xml:space="preserve">subsidised access to many medicines and provide information on antimicrobials dispensed or supplied from pharmacies to the Australian </w:t>
      </w:r>
      <w:r w:rsidRPr="00E0415B">
        <w:t xml:space="preserve">population. Information </w:t>
      </w:r>
      <w:r>
        <w:t xml:space="preserve">about the PBS and RPBS and methodology </w:t>
      </w:r>
      <w:r w:rsidRPr="006A20E8">
        <w:rPr>
          <w:rFonts w:ascii="Arial" w:hAnsi="Arial" w:cs="Arial"/>
        </w:rPr>
        <w:t xml:space="preserve">and considerations for interpretation of </w:t>
      </w:r>
      <w:r>
        <w:rPr>
          <w:rFonts w:ascii="Arial" w:hAnsi="Arial" w:cs="Arial"/>
        </w:rPr>
        <w:t xml:space="preserve">these </w:t>
      </w:r>
      <w:r w:rsidRPr="006A20E8">
        <w:rPr>
          <w:rFonts w:ascii="Arial" w:hAnsi="Arial" w:cs="Arial"/>
        </w:rPr>
        <w:t xml:space="preserve">data and analyses </w:t>
      </w:r>
      <w:r>
        <w:t>are included in</w:t>
      </w:r>
      <w:r w:rsidRPr="00E0415B">
        <w:t xml:space="preserve"> Appendix 1.</w:t>
      </w:r>
    </w:p>
    <w:p w14:paraId="6AA5BD1F" w14:textId="38E1BFD7" w:rsidR="001E3EFB" w:rsidRDefault="00450BE6" w:rsidP="00A12A3C">
      <w:pPr>
        <w:spacing w:after="60"/>
      </w:pPr>
      <w:r>
        <w:t xml:space="preserve">Between </w:t>
      </w:r>
      <w:r w:rsidRPr="00450BE6">
        <w:t>2015 and 2023</w:t>
      </w:r>
      <w:r>
        <w:t>,</w:t>
      </w:r>
      <w:r w:rsidR="001E3EFB">
        <w:t xml:space="preserve"> </w:t>
      </w:r>
      <w:proofErr w:type="gramStart"/>
      <w:r w:rsidR="001E3EFB">
        <w:t>a number of</w:t>
      </w:r>
      <w:proofErr w:type="gramEnd"/>
      <w:r w:rsidR="001E3EFB">
        <w:t xml:space="preserve"> factors influenced the supply of antimicrobials under the PBS and RPBS:</w:t>
      </w:r>
    </w:p>
    <w:p w14:paraId="343B8D74" w14:textId="77167978" w:rsidR="001E3EFB" w:rsidRPr="004D37A3" w:rsidRDefault="001E3EFB" w:rsidP="00A12A3C">
      <w:pPr>
        <w:pStyle w:val="ListParagraph"/>
        <w:numPr>
          <w:ilvl w:val="0"/>
          <w:numId w:val="11"/>
        </w:numPr>
        <w:spacing w:before="60" w:after="60"/>
        <w:ind w:left="641" w:hanging="357"/>
        <w:contextualSpacing w:val="0"/>
      </w:pPr>
      <w:r w:rsidRPr="004D37A3">
        <w:rPr>
          <w:rFonts w:cstheme="minorHAnsi"/>
        </w:rPr>
        <w:t xml:space="preserve">In January 2016, chloramphenicol eye drops were rescheduled to become available </w:t>
      </w:r>
      <w:proofErr w:type="gramStart"/>
      <w:r w:rsidRPr="004D37A3">
        <w:rPr>
          <w:rFonts w:cstheme="minorHAnsi"/>
        </w:rPr>
        <w:t>over</w:t>
      </w:r>
      <w:r w:rsidR="000C331C">
        <w:rPr>
          <w:rFonts w:cstheme="minorHAnsi"/>
        </w:rPr>
        <w:t>-</w:t>
      </w:r>
      <w:r w:rsidRPr="004D37A3">
        <w:rPr>
          <w:rFonts w:cstheme="minorHAnsi"/>
        </w:rPr>
        <w:t>the</w:t>
      </w:r>
      <w:r w:rsidR="000C331C">
        <w:rPr>
          <w:rFonts w:cstheme="minorHAnsi"/>
        </w:rPr>
        <w:t>-</w:t>
      </w:r>
      <w:r w:rsidRPr="004D37A3">
        <w:rPr>
          <w:rFonts w:cstheme="minorHAnsi"/>
        </w:rPr>
        <w:t>counter</w:t>
      </w:r>
      <w:proofErr w:type="gramEnd"/>
      <w:r w:rsidRPr="004D37A3">
        <w:rPr>
          <w:rFonts w:cstheme="minorHAnsi"/>
        </w:rPr>
        <w:t xml:space="preserve"> without a prescription</w:t>
      </w:r>
      <w:r w:rsidR="00B34AFE">
        <w:rPr>
          <w:rFonts w:cstheme="minorHAnsi"/>
        </w:rPr>
        <w:t>.</w:t>
      </w:r>
      <w:r w:rsidRPr="004D37A3">
        <w:rPr>
          <w:rFonts w:cstheme="minorHAnsi"/>
        </w:rPr>
        <w:t xml:space="preserve"> Other antimicrobials </w:t>
      </w:r>
      <w:r w:rsidR="0025568D">
        <w:rPr>
          <w:rFonts w:cstheme="minorHAnsi"/>
        </w:rPr>
        <w:t xml:space="preserve">available </w:t>
      </w:r>
      <w:proofErr w:type="gramStart"/>
      <w:r w:rsidRPr="004D37A3">
        <w:rPr>
          <w:rFonts w:cstheme="minorHAnsi"/>
        </w:rPr>
        <w:t>over</w:t>
      </w:r>
      <w:r w:rsidR="0025568D">
        <w:rPr>
          <w:rFonts w:cstheme="minorHAnsi"/>
        </w:rPr>
        <w:t>-</w:t>
      </w:r>
      <w:r w:rsidRPr="004D37A3">
        <w:rPr>
          <w:rFonts w:cstheme="minorHAnsi"/>
        </w:rPr>
        <w:t>the</w:t>
      </w:r>
      <w:r w:rsidR="0025568D">
        <w:rPr>
          <w:rFonts w:cstheme="minorHAnsi"/>
        </w:rPr>
        <w:t>-</w:t>
      </w:r>
      <w:r w:rsidRPr="004D37A3">
        <w:rPr>
          <w:rFonts w:cstheme="minorHAnsi"/>
        </w:rPr>
        <w:t>counter</w:t>
      </w:r>
      <w:proofErr w:type="gramEnd"/>
      <w:r w:rsidR="005B54A2">
        <w:rPr>
          <w:rFonts w:cstheme="minorHAnsi"/>
        </w:rPr>
        <w:t>, or without a prescription</w:t>
      </w:r>
      <w:r w:rsidRPr="004D37A3">
        <w:rPr>
          <w:rFonts w:cstheme="minorHAnsi"/>
        </w:rPr>
        <w:t>, such as</w:t>
      </w:r>
      <w:r w:rsidR="00A47F32">
        <w:rPr>
          <w:rFonts w:cstheme="minorHAnsi"/>
        </w:rPr>
        <w:t xml:space="preserve"> </w:t>
      </w:r>
      <w:r w:rsidRPr="004D37A3">
        <w:rPr>
          <w:rFonts w:cstheme="minorHAnsi"/>
        </w:rPr>
        <w:t>antifungal treatments for oral or vaginal thrush and skin infections, are also no</w:t>
      </w:r>
      <w:r>
        <w:rPr>
          <w:rFonts w:cstheme="minorHAnsi"/>
        </w:rPr>
        <w:t>t</w:t>
      </w:r>
      <w:r w:rsidRPr="004D37A3">
        <w:rPr>
          <w:rFonts w:cstheme="minorHAnsi"/>
        </w:rPr>
        <w:t xml:space="preserve"> captured by the PBS and RPBS</w:t>
      </w:r>
    </w:p>
    <w:p w14:paraId="1BA7C8B9" w14:textId="44657C6F" w:rsidR="001E3EFB" w:rsidRPr="005E5A8B" w:rsidRDefault="001E3EFB" w:rsidP="00A12A3C">
      <w:pPr>
        <w:pStyle w:val="ListParagraph"/>
        <w:numPr>
          <w:ilvl w:val="0"/>
          <w:numId w:val="11"/>
        </w:numPr>
        <w:spacing w:before="0" w:after="60"/>
        <w:ind w:left="641" w:hanging="357"/>
        <w:contextualSpacing w:val="0"/>
      </w:pPr>
      <w:r w:rsidRPr="004D37A3">
        <w:t>From March 2020, the World Health Organization (WHO) declared the global COVID-19 pandemic.</w:t>
      </w:r>
      <w:r w:rsidRPr="004D37A3">
        <w:fldChar w:fldCharType="begin"/>
      </w:r>
      <w:r w:rsidR="006908DE">
        <w:instrText xml:space="preserve"> ADDIN EN.CITE &lt;EndNote&gt;&lt;Cite&gt;&lt;Author&gt;World Health Organization&lt;/Author&gt;&lt;Year&gt;2020&lt;/Year&gt;&lt;RecNum&gt;83&lt;/RecNum&gt;&lt;DisplayText&gt;&lt;style face="superscript"&gt;20&lt;/style&gt;&lt;/DisplayText&gt;&lt;record&gt;&lt;rec-number&gt;83&lt;/rec-number&gt;&lt;foreign-keys&gt;&lt;key app="EN" db-id="0a9sasvr7dwawyeva9qpw09xaap9erv5ad5e" timestamp="1707456298"&gt;83&lt;/key&gt;&lt;/foreign-keys&gt;&lt;ref-type name="Web Page"&gt;12&lt;/ref-type&gt;&lt;contributors&gt;&lt;authors&gt;&lt;author&gt;World Health Organization,&lt;/author&gt;&lt;/authors&gt;&lt;/contributors&gt;&lt;titles&gt;&lt;title&gt;WHO Director-General&amp;apos;s opening remarks at the media briefing on COVID-19 - 11 March 2020&lt;/title&gt;&lt;/titles&gt;&lt;number&gt;Feb 2024&lt;/number&gt;&lt;dates&gt;&lt;year&gt;2020&lt;/year&gt;&lt;/dates&gt;&lt;pub-location&gt;Geneva&lt;/pub-location&gt;&lt;publisher&gt;WHO&lt;/publisher&gt;&lt;urls&gt;&lt;related-urls&gt;&lt;url&gt;https://www.who.int/director-general/speeches/detail/who-director-general-s-opening-remarks-at-the-media-briefing-on-covid-19---11-march-2020&lt;/url&gt;&lt;/related-urls&gt;&lt;/urls&gt;&lt;/record&gt;&lt;/Cite&gt;&lt;/EndNote&gt;</w:instrText>
      </w:r>
      <w:r w:rsidRPr="004D37A3">
        <w:fldChar w:fldCharType="separate"/>
      </w:r>
      <w:r w:rsidR="00087F2D" w:rsidRPr="00087F2D">
        <w:rPr>
          <w:noProof/>
          <w:vertAlign w:val="superscript"/>
        </w:rPr>
        <w:t>20</w:t>
      </w:r>
      <w:r w:rsidRPr="004D37A3">
        <w:fldChar w:fldCharType="end"/>
      </w:r>
      <w:r w:rsidRPr="004D37A3">
        <w:t xml:space="preserve"> In response, all Australian governments initiated a series of structural and policy decisions, along with clinical practice changes, to minimise the impact of the pandemic. This included the expansion of the Medicare Benefits Schedule (MBS) for telehealth consultations</w:t>
      </w:r>
      <w:r w:rsidRPr="004D37A3">
        <w:fldChar w:fldCharType="begin"/>
      </w:r>
      <w:r w:rsidR="006908DE">
        <w:instrText xml:space="preserve"> ADDIN EN.CITE &lt;EndNote&gt;&lt;Cite&gt;&lt;Author&gt;Prime Minister&lt;/Author&gt;&lt;Year&gt;2020&lt;/Year&gt;&lt;RecNum&gt;84&lt;/RecNum&gt;&lt;DisplayText&gt;&lt;style face="superscript"&gt;21&lt;/style&gt;&lt;/DisplayText&gt;&lt;record&gt;&lt;rec-number&gt;84&lt;/rec-number&gt;&lt;foreign-keys&gt;&lt;key app="EN" db-id="0a9sasvr7dwawyeva9qpw09xaap9erv5ad5e" timestamp="1707456299"&gt;84&lt;/key&gt;&lt;/foreign-keys&gt;&lt;ref-type name="Web Page"&gt;12&lt;/ref-type&gt;&lt;contributors&gt;&lt;authors&gt;&lt;author&gt;Prime Minister,&lt;/author&gt;&lt;author&gt;Minister for Health,&lt;/author&gt;&lt;author&gt;Minister for Aged Care and Senior Australians,&lt;/author&gt;&lt;author&gt;Minister for Youth and Sport,&lt;/author&gt;&lt;/authors&gt;&lt;/contributors&gt;&lt;titles&gt;&lt;title&gt;$2.4 billion health plan to fight COVID-19&lt;/title&gt;&lt;/titles&gt;&lt;dates&gt;&lt;year&gt;2020&lt;/year&gt;&lt;/dates&gt;&lt;pub-location&gt;Canberra&lt;/pub-location&gt;&lt;publisher&gt;Commonwealth of Australia&lt;/publisher&gt;&lt;urls&gt;&lt;related-urls&gt;&lt;url&gt;https://parlinfo.aph.gov.au/parlInfo/download/media/pressrel/7234737/upload_binary/7234737.PDF;fileType=application%2Fpdf#search=%22media/pressrel/7234737%22&lt;/url&gt;&lt;/related-urls&gt;&lt;/urls&gt;&lt;/record&gt;&lt;/Cite&gt;&lt;/EndNote&gt;</w:instrText>
      </w:r>
      <w:r w:rsidRPr="004D37A3">
        <w:fldChar w:fldCharType="separate"/>
      </w:r>
      <w:r w:rsidR="00087F2D" w:rsidRPr="00087F2D">
        <w:rPr>
          <w:noProof/>
          <w:vertAlign w:val="superscript"/>
        </w:rPr>
        <w:t>21</w:t>
      </w:r>
      <w:r w:rsidRPr="004D37A3">
        <w:fldChar w:fldCharType="end"/>
      </w:r>
      <w:r w:rsidRPr="004D37A3">
        <w:rPr>
          <w:vertAlign w:val="superscript"/>
        </w:rPr>
        <w:t>,</w:t>
      </w:r>
      <w:r w:rsidRPr="004D37A3">
        <w:fldChar w:fldCharType="begin"/>
      </w:r>
      <w:r w:rsidR="006908DE">
        <w:instrText xml:space="preserve"> ADDIN EN.CITE &lt;EndNote&gt;&lt;Cite&gt;&lt;Author&gt;Prime Minister&lt;/Author&gt;&lt;Year&gt;2020&lt;/Year&gt;&lt;RecNum&gt;85&lt;/RecNum&gt;&lt;DisplayText&gt;&lt;style face="superscript"&gt;22&lt;/style&gt;&lt;/DisplayText&gt;&lt;record&gt;&lt;rec-number&gt;85&lt;/rec-number&gt;&lt;foreign-keys&gt;&lt;key app="EN" db-id="0a9sasvr7dwawyeva9qpw09xaap9erv5ad5e" timestamp="1707456300"&gt;85&lt;/key&gt;&lt;/foreign-keys&gt;&lt;ref-type name="Web Page"&gt;12&lt;/ref-type&gt;&lt;contributors&gt;&lt;authors&gt;&lt;author&gt;Prime Minister,&lt;/author&gt;&lt;author&gt;Minister for Health,&lt;/author&gt;&lt;author&gt;Minister for Foreign Affairs and Minister for Women,&lt;/author&gt;&lt;/authors&gt;&lt;/contributors&gt;&lt;titles&gt;&lt;title&gt;$1.1 billion to support more mental health, Medicare and domestic violence services &lt;/title&gt;&lt;/titles&gt;&lt;number&gt;Feb 2024&lt;/number&gt;&lt;dates&gt;&lt;year&gt;2020&lt;/year&gt;&lt;/dates&gt;&lt;pub-location&gt;Canberra&lt;/pub-location&gt;&lt;publisher&gt;Commonwealth of Australia&lt;/publisher&gt;&lt;urls&gt;&lt;related-urls&gt;&lt;url&gt;https://formerministers.dss.gov.au/19287/prime-minister-joint-media-release-1-1-billion-to-support-more-mental-health-medicare-and-domestic-violence-services/&lt;/url&gt;&lt;/related-urls&gt;&lt;/urls&gt;&lt;/record&gt;&lt;/Cite&gt;&lt;/EndNote&gt;</w:instrText>
      </w:r>
      <w:r w:rsidRPr="004D37A3">
        <w:fldChar w:fldCharType="separate"/>
      </w:r>
      <w:r w:rsidR="00087F2D" w:rsidRPr="00087F2D">
        <w:rPr>
          <w:noProof/>
          <w:vertAlign w:val="superscript"/>
        </w:rPr>
        <w:t>22</w:t>
      </w:r>
      <w:r w:rsidRPr="004D37A3">
        <w:fldChar w:fldCharType="end"/>
      </w:r>
      <w:r w:rsidRPr="004D37A3">
        <w:t>, implementation of local community and state and territory lockdowns at various times and restricted interstate and international travel, which also impacted Australia’s population.</w:t>
      </w:r>
      <w:r>
        <w:fldChar w:fldCharType="begin"/>
      </w:r>
      <w:r w:rsidR="00087F2D">
        <w:instrText xml:space="preserve"> ADDIN EN.CITE &lt;EndNote&gt;&lt;Cite&gt;&lt;Author&gt;Australian Bureau of Statistics&lt;/Author&gt;&lt;Year&gt;2020&lt;/Year&gt;&lt;RecNum&gt;520&lt;/RecNum&gt;&lt;DisplayText&gt;&lt;style face="superscript"&gt;23&lt;/style&gt;&lt;/DisplayText&gt;&lt;record&gt;&lt;rec-number&gt;520&lt;/rec-number&gt;&lt;foreign-keys&gt;&lt;key app="EN" db-id="0a9sasvr7dwawyeva9qpw09xaap9erv5ad5e" timestamp="1717037881"&gt;520&lt;/key&gt;&lt;/foreign-keys&gt;&lt;ref-type name="Web Page"&gt;12&lt;/ref-type&gt;&lt;contributors&gt;&lt;authors&gt;&lt;author&gt;Australian Bureau of Statistics,&lt;/author&gt;&lt;/authors&gt;&lt;/contributors&gt;&lt;titles&gt;&lt;title&gt;Population and COVID-19&lt;/title&gt;&lt;/titles&gt;&lt;volume&gt;May 2024&lt;/volume&gt;&lt;dates&gt;&lt;year&gt;2020&lt;/year&gt;&lt;/dates&gt;&lt;pub-location&gt;Canberra&lt;/pub-location&gt;&lt;publisher&gt;ABS&lt;/publisher&gt;&lt;urls&gt;&lt;related-urls&gt;&lt;url&gt;https://www.abs.gov.au/articles/population-and-covid-19&lt;/url&gt;&lt;/related-urls&gt;&lt;/urls&gt;&lt;/record&gt;&lt;/Cite&gt;&lt;/EndNote&gt;</w:instrText>
      </w:r>
      <w:r>
        <w:fldChar w:fldCharType="separate"/>
      </w:r>
      <w:r w:rsidR="00087F2D" w:rsidRPr="00087F2D">
        <w:rPr>
          <w:noProof/>
          <w:vertAlign w:val="superscript"/>
        </w:rPr>
        <w:t>23</w:t>
      </w:r>
      <w:r>
        <w:fldChar w:fldCharType="end"/>
      </w:r>
      <w:r w:rsidRPr="004D37A3">
        <w:t xml:space="preserve"> There was also an increased emphasis on infection prevention and control measures</w:t>
      </w:r>
      <w:r w:rsidRPr="004D37A3">
        <w:fldChar w:fldCharType="begin"/>
      </w:r>
      <w:r w:rsidR="00087F2D">
        <w:instrText xml:space="preserve"> ADDIN EN.CITE &lt;EndNote&gt;&lt;Cite&gt;&lt;Author&gt;Australian Government Department of Health and Aged Care&lt;/Author&gt;&lt;Year&gt;2020&lt;/Year&gt;&lt;RecNum&gt;86&lt;/RecNum&gt;&lt;DisplayText&gt;&lt;style face="superscript"&gt;24&lt;/style&gt;&lt;/DisplayText&gt;&lt;record&gt;&lt;rec-number&gt;86&lt;/rec-number&gt;&lt;foreign-keys&gt;&lt;key app="EN" db-id="0a9sasvr7dwawyeva9qpw09xaap9erv5ad5e" timestamp="1707456303"&gt;86&lt;/key&gt;&lt;/foreign-keys&gt;&lt;ref-type name="Government Document"&gt;46&lt;/ref-type&gt;&lt;contributors&gt;&lt;authors&gt;&lt;author&gt;Australian Government Department of Health and Aged Care,&lt;/author&gt;&lt;/authors&gt;&lt;/contributors&gt;&lt;titles&gt;&lt;title&gt;National 2020 Influenza Season Summary&lt;/title&gt;&lt;/titles&gt;&lt;dates&gt;&lt;year&gt;2020&lt;/year&gt;&lt;/dates&gt;&lt;pub-location&gt;Canberra&lt;/pub-location&gt;&lt;publisher&gt;Department of Health and Aged Care&lt;/publisher&gt;&lt;urls&gt;&lt;related-urls&gt;&lt;url&gt;https://www.health.gov.au/sites/default/files/documents/2022/10/aisr-2020-national-influenza-season-summary.pdf&lt;/url&gt;&lt;/related-urls&gt;&lt;/urls&gt;&lt;/record&gt;&lt;/Cite&gt;&lt;/EndNote&gt;</w:instrText>
      </w:r>
      <w:r w:rsidRPr="004D37A3">
        <w:fldChar w:fldCharType="separate"/>
      </w:r>
      <w:r w:rsidR="00087F2D" w:rsidRPr="00087F2D">
        <w:rPr>
          <w:noProof/>
          <w:vertAlign w:val="superscript"/>
        </w:rPr>
        <w:t>24</w:t>
      </w:r>
      <w:r w:rsidRPr="004D37A3">
        <w:fldChar w:fldCharType="end"/>
      </w:r>
      <w:r w:rsidRPr="004D37A3">
        <w:t xml:space="preserve">, which influenced the prevalence of other </w:t>
      </w:r>
      <w:r w:rsidRPr="004D37A3">
        <w:rPr>
          <w:rFonts w:cstheme="minorHAnsi"/>
        </w:rPr>
        <w:t xml:space="preserve">upper </w:t>
      </w:r>
      <w:r w:rsidRPr="005E5A8B">
        <w:rPr>
          <w:rFonts w:cstheme="minorHAnsi"/>
        </w:rPr>
        <w:t>respiratory tract infections</w:t>
      </w:r>
      <w:r>
        <w:rPr>
          <w:rFonts w:cstheme="minorHAnsi"/>
        </w:rPr>
        <w:fldChar w:fldCharType="begin"/>
      </w:r>
      <w:r w:rsidR="00087F2D">
        <w:rPr>
          <w:rFonts w:cstheme="minorHAnsi"/>
        </w:rPr>
        <w:instrText xml:space="preserve"> ADDIN EN.CITE &lt;EndNote&gt;&lt;Cite&gt;&lt;Author&gt;Australian Commission on Safety and Quality in Health Care&lt;/Author&gt;&lt;Year&gt;2022&lt;/Year&gt;&lt;RecNum&gt;15&lt;/RecNum&gt;&lt;DisplayText&gt;&lt;style face="superscript"&gt;12&lt;/style&gt;&lt;/DisplayText&gt;&lt;record&gt;&lt;rec-number&gt;15&lt;/rec-number&gt;&lt;foreign-keys&gt;&lt;key app="EN" db-id="0a9sasvr7dwawyeva9qpw09xaap9erv5ad5e" timestamp="1704339860"&gt;15&lt;/key&gt;&lt;/foreign-keys&gt;&lt;ref-type name="Government Document"&gt;46&lt;/ref-type&gt;&lt;contributors&gt;&lt;authors&gt;&lt;author&gt;Australian Commission on Safety and Quality in Health Care,&lt;/author&gt;&lt;/authors&gt;&lt;/contributors&gt;&lt;titles&gt;&lt;title&gt;Antimicrobial use and appropriateness in the community: 2020–2021&lt;/title&gt;&lt;/titles&gt;&lt;dates&gt;&lt;year&gt;2022&lt;/year&gt;&lt;/dates&gt;&lt;pub-location&gt;Sydney&lt;/pub-location&gt;&lt;publisher&gt;ACSQHC&lt;/publisher&gt;&lt;urls&gt;&lt;related-urls&gt;&lt;url&gt;https://www.safetyandquality.gov.au/publications-and-resources/resource-library/antimicrobial-use-and-appropriateness-community-2020-2021&lt;/url&gt;&lt;/related-urls&gt;&lt;/urls&gt;&lt;access-date&gt;30 May 2023&lt;/access-date&gt;&lt;/record&gt;&lt;/Cite&gt;&lt;/EndNote&gt;</w:instrText>
      </w:r>
      <w:r>
        <w:rPr>
          <w:rFonts w:cstheme="minorHAnsi"/>
        </w:rPr>
        <w:fldChar w:fldCharType="separate"/>
      </w:r>
      <w:r w:rsidR="00087F2D" w:rsidRPr="00087F2D">
        <w:rPr>
          <w:rFonts w:cstheme="minorHAnsi"/>
          <w:noProof/>
          <w:vertAlign w:val="superscript"/>
        </w:rPr>
        <w:t>12</w:t>
      </w:r>
      <w:r>
        <w:rPr>
          <w:rFonts w:cstheme="minorHAnsi"/>
        </w:rPr>
        <w:fldChar w:fldCharType="end"/>
      </w:r>
    </w:p>
    <w:p w14:paraId="5D3CD05E" w14:textId="48EFC72C" w:rsidR="001E3EFB" w:rsidRPr="004D37A3" w:rsidRDefault="001E3EFB" w:rsidP="00A12A3C">
      <w:pPr>
        <w:pStyle w:val="ListParagraph"/>
        <w:numPr>
          <w:ilvl w:val="0"/>
          <w:numId w:val="11"/>
        </w:numPr>
        <w:spacing w:before="0" w:after="60"/>
        <w:ind w:left="641" w:hanging="357"/>
        <w:contextualSpacing w:val="0"/>
      </w:pPr>
      <w:r w:rsidRPr="004D37A3">
        <w:t xml:space="preserve">In April 2020, the maximum prescribed quantity and access to repeats were restricted </w:t>
      </w:r>
      <w:r w:rsidRPr="004D37A3">
        <w:rPr>
          <w:rFonts w:ascii="Arial" w:hAnsi="Arial" w:cs="Arial"/>
        </w:rPr>
        <w:t>for the five most commonly dispensed PBS and RPBS antimicrobials</w:t>
      </w:r>
      <w:r>
        <w:rPr>
          <w:rFonts w:ascii="Arial" w:hAnsi="Arial" w:cs="Arial"/>
        </w:rPr>
        <w:t xml:space="preserve"> at the time</w:t>
      </w:r>
      <w:r w:rsidRPr="004D37A3">
        <w:rPr>
          <w:rFonts w:ascii="Arial" w:hAnsi="Arial" w:cs="Arial"/>
        </w:rPr>
        <w:t xml:space="preserve"> </w:t>
      </w:r>
      <w:r>
        <w:rPr>
          <w:rFonts w:ascii="Arial" w:hAnsi="Arial" w:cs="Arial"/>
        </w:rPr>
        <w:t xml:space="preserve">– </w:t>
      </w:r>
      <w:r w:rsidRPr="004D37A3">
        <w:rPr>
          <w:rFonts w:ascii="Arial" w:hAnsi="Arial" w:cs="Arial"/>
        </w:rPr>
        <w:t>amoxicillin, amoxicillin–clavulanic acid, cefalexin, doxycycline and roxithromycin</w:t>
      </w:r>
      <w:r w:rsidRPr="004D37A3">
        <w:fldChar w:fldCharType="begin"/>
      </w:r>
      <w:r w:rsidR="00087F2D">
        <w:instrText xml:space="preserve"> ADDIN EN.CITE &lt;EndNote&gt;&lt;Cite&gt;&lt;Author&gt;Australian Government Department of Health and Aged Care&lt;/Author&gt;&lt;Year&gt;2020&lt;/Year&gt;&lt;RecNum&gt;108&lt;/RecNum&gt;&lt;DisplayText&gt;&lt;style face="superscript"&gt;25&lt;/style&gt;&lt;/DisplayText&gt;&lt;record&gt;&lt;rec-number&gt;108&lt;/rec-number&gt;&lt;foreign-keys&gt;&lt;key app="EN" db-id="0a9sasvr7dwawyeva9qpw09xaap9erv5ad5e" timestamp="1707963072"&gt;108&lt;/key&gt;&lt;/foreign-keys&gt;&lt;ref-type name="Web Page"&gt;12&lt;/ref-type&gt;&lt;contributors&gt;&lt;authors&gt;&lt;author&gt;Australian Government Department of Health and Aged Care,&lt;/author&gt;&lt;/authors&gt;&lt;/contributors&gt;&lt;titles&gt;&lt;title&gt;Revised PBS listings for Antibiotic use&lt;/title&gt;&lt;/titles&gt;&lt;number&gt;Feb 2024&lt;/number&gt;&lt;dates&gt;&lt;year&gt;2020&lt;/year&gt;&lt;/dates&gt;&lt;pub-location&gt;Canberra&lt;/pub-location&gt;&lt;publisher&gt;Department of Health and Aged Care&lt;/publisher&gt;&lt;urls&gt;&lt;related-urls&gt;&lt;url&gt;https://www.pbs.gov.au/news/2020/03/files/Antibiotics-factsheet-2020.pdf&lt;/url&gt;&lt;/related-urls&gt;&lt;/urls&gt;&lt;/record&gt;&lt;/Cite&gt;&lt;/EndNote&gt;</w:instrText>
      </w:r>
      <w:r w:rsidRPr="004D37A3">
        <w:fldChar w:fldCharType="separate"/>
      </w:r>
      <w:r w:rsidR="00087F2D" w:rsidRPr="00087F2D">
        <w:rPr>
          <w:noProof/>
          <w:vertAlign w:val="superscript"/>
        </w:rPr>
        <w:t>25</w:t>
      </w:r>
      <w:r w:rsidRPr="004D37A3">
        <w:fldChar w:fldCharType="end"/>
      </w:r>
    </w:p>
    <w:p w14:paraId="5999EA12" w14:textId="6EABA946" w:rsidR="001E3EFB" w:rsidRPr="008200AC" w:rsidRDefault="001E3EFB" w:rsidP="00A12A3C">
      <w:pPr>
        <w:pStyle w:val="ListParagraph"/>
        <w:numPr>
          <w:ilvl w:val="0"/>
          <w:numId w:val="11"/>
        </w:numPr>
        <w:spacing w:before="0" w:after="60"/>
        <w:ind w:left="641" w:hanging="357"/>
        <w:contextualSpacing w:val="0"/>
      </w:pPr>
      <w:r w:rsidRPr="008200AC">
        <w:t>From June 2020, Queensland implemented a pharmacist prescribing trial for the over-the-counter treatment of uncomplicated urinary tract infections</w:t>
      </w:r>
      <w:r w:rsidR="00F82D12">
        <w:t xml:space="preserve"> (UTIs)</w:t>
      </w:r>
      <w:r w:rsidRPr="008200AC">
        <w:t xml:space="preserve"> with select antimicrobials, which </w:t>
      </w:r>
      <w:r>
        <w:t>became permanent from October 2022</w:t>
      </w:r>
      <w:r w:rsidRPr="008200AC">
        <w:t>.</w:t>
      </w:r>
      <w:r>
        <w:fldChar w:fldCharType="begin"/>
      </w:r>
      <w:r w:rsidR="00C43D56">
        <w:instrText xml:space="preserve"> ADDIN EN.CITE &lt;EndNote&gt;&lt;Cite&gt;&lt;Author&gt;Queensland Government&lt;/Author&gt;&lt;Year&gt;2022&lt;/Year&gt;&lt;RecNum&gt;532&lt;/RecNum&gt;&lt;DisplayText&gt;&lt;style face="superscript"&gt;26, 27&lt;/style&gt;&lt;/DisplayText&gt;&lt;record&gt;&lt;rec-number&gt;532&lt;/rec-number&gt;&lt;foreign-keys&gt;&lt;key app="EN" db-id="0a9sasvr7dwawyeva9qpw09xaap9erv5ad5e" timestamp="1717382688"&gt;532&lt;/key&gt;&lt;/foreign-keys&gt;&lt;ref-type name="Government Document"&gt;46&lt;/ref-type&gt;&lt;contributors&gt;&lt;authors&gt;&lt;author&gt;Queensland Government,&lt;/author&gt;&lt;/authors&gt;&lt;/contributors&gt;&lt;titles&gt;&lt;title&gt;Medicines and Poisons (Medicines) Amendment Regulation (No.2) 2022&lt;/title&gt;&lt;/titles&gt;&lt;dates&gt;&lt;year&gt;2022&lt;/year&gt;&lt;/dates&gt;&lt;pub-location&gt;Brisbane&lt;/pub-location&gt;&lt;publisher&gt;Queensland Government&lt;/publisher&gt;&lt;urls&gt;&lt;related-urls&gt;&lt;url&gt;https://www.legislation.qld.gov.au/view/html/published.exp/sl-2022-0129&lt;/url&gt;&lt;/related-urls&gt;&lt;/urls&gt;&lt;/record&gt;&lt;/Cite&gt;&lt;Cite&gt;&lt;Author&gt;Queensland Health&lt;/Author&gt;&lt;Year&gt;2020&lt;/Year&gt;&lt;RecNum&gt;525&lt;/RecNum&gt;&lt;record&gt;&lt;rec-number&gt;525&lt;/rec-number&gt;&lt;foreign-keys&gt;&lt;key app="EN" db-id="0a9sasvr7dwawyeva9qpw09xaap9erv5ad5e" timestamp="1717139812"&gt;525&lt;/key&gt;&lt;/foreign-keys&gt;&lt;ref-type name="Government Document"&gt;46&lt;/ref-type&gt;&lt;contributors&gt;&lt;authors&gt;&lt;author&gt;Queensland Health,&lt;/author&gt;&lt;/authors&gt;&lt;/contributors&gt;&lt;titles&gt;&lt;title&gt;Health (Drugs and Poisons) Regulation 1996 Drug Therapy Protocol – Pharmacist UTI Trial&lt;/title&gt;&lt;/titles&gt;&lt;dates&gt;&lt;year&gt;2020&lt;/year&gt;&lt;/dates&gt;&lt;pub-location&gt;Brisbane&lt;/pub-location&gt;&lt;publisher&gt;Queensland Health&lt;/publisher&gt;&lt;urls&gt;&lt;related-urls&gt;&lt;url&gt;https://documents.parliament.qld.gov.au/tableOffice/TabledPapers/2020/5620T974.pdf&lt;/url&gt;&lt;/related-urls&gt;&lt;/urls&gt;&lt;/record&gt;&lt;/Cite&gt;&lt;/EndNote&gt;</w:instrText>
      </w:r>
      <w:r>
        <w:fldChar w:fldCharType="separate"/>
      </w:r>
      <w:r w:rsidR="00C43D56" w:rsidRPr="00C43D56">
        <w:rPr>
          <w:noProof/>
          <w:vertAlign w:val="superscript"/>
        </w:rPr>
        <w:t>26,27</w:t>
      </w:r>
      <w:r>
        <w:fldChar w:fldCharType="end"/>
      </w:r>
      <w:r w:rsidRPr="008200AC">
        <w:t xml:space="preserve"> S</w:t>
      </w:r>
      <w:r w:rsidR="00B34AFE">
        <w:t>ubsequently, s</w:t>
      </w:r>
      <w:r w:rsidRPr="008200AC">
        <w:t xml:space="preserve">imilar initiatives </w:t>
      </w:r>
      <w:r>
        <w:t>have</w:t>
      </w:r>
      <w:r w:rsidRPr="008200AC">
        <w:t xml:space="preserve"> also </w:t>
      </w:r>
      <w:r>
        <w:t xml:space="preserve">been </w:t>
      </w:r>
      <w:r w:rsidRPr="008200AC">
        <w:t>adopted in all other jurisdictions</w:t>
      </w:r>
      <w:r w:rsidR="00A86AB0">
        <w:t>.</w:t>
      </w:r>
      <w:r w:rsidRPr="008200AC">
        <w:fldChar w:fldCharType="begin">
          <w:fldData xml:space="preserve">PEVuZE5vdGU+PENpdGU+PEF1dGhvcj5Ob3J0aGVybiBUZXJyaXRvcnkgR292ZXJubWVudDwvQXV0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</w:fldData>
        </w:fldChar>
      </w:r>
      <w:r w:rsidR="00087F2D">
        <w:instrText xml:space="preserve"> ADDIN EN.CITE </w:instrText>
      </w:r>
      <w:r w:rsidR="00087F2D">
        <w:fldChar w:fldCharType="begin">
          <w:fldData xml:space="preserve">PEVuZE5vdGU+PENpdGU+PEF1dGhvcj5Ob3J0aGVybiBUZXJyaXRvcnkgR292ZXJubWVudDwvQXV0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</w:fldData>
        </w:fldChar>
      </w:r>
      <w:r w:rsidR="00087F2D">
        <w:instrText xml:space="preserve"> ADDIN EN.CITE.DATA </w:instrText>
      </w:r>
      <w:r w:rsidR="00087F2D">
        <w:fldChar w:fldCharType="end"/>
      </w:r>
      <w:r w:rsidRPr="008200AC">
        <w:fldChar w:fldCharType="separate"/>
      </w:r>
      <w:r w:rsidR="00087F2D" w:rsidRPr="00087F2D">
        <w:rPr>
          <w:noProof/>
          <w:vertAlign w:val="superscript"/>
        </w:rPr>
        <w:t>28-33</w:t>
      </w:r>
      <w:r w:rsidRPr="008200AC">
        <w:fldChar w:fldCharType="end"/>
      </w:r>
      <w:r w:rsidR="000713FC">
        <w:t xml:space="preserve"> Volumes of </w:t>
      </w:r>
      <w:r w:rsidR="00C60FD3">
        <w:t xml:space="preserve">antimicrobial </w:t>
      </w:r>
      <w:r w:rsidR="000713FC">
        <w:t xml:space="preserve">use for these programs are </w:t>
      </w:r>
      <w:r w:rsidR="00657ACB">
        <w:t xml:space="preserve">currently </w:t>
      </w:r>
      <w:r w:rsidR="000713FC">
        <w:t>not reported</w:t>
      </w:r>
    </w:p>
    <w:p w14:paraId="08BF83D5" w14:textId="3D735462" w:rsidR="001E3EFB" w:rsidRDefault="001E3EFB" w:rsidP="00A12A3C">
      <w:pPr>
        <w:pStyle w:val="ListParagraph"/>
        <w:numPr>
          <w:ilvl w:val="0"/>
          <w:numId w:val="11"/>
        </w:numPr>
        <w:spacing w:before="0"/>
        <w:ind w:left="643"/>
      </w:pPr>
      <w:r w:rsidRPr="004D37A3">
        <w:t>In December 2022, the Therapeutic Goods Administration (TGA) highlighted a number of antimicrobials that were in short supply due to manufacturing issues or unexpected and increased demand.</w:t>
      </w:r>
      <w:r>
        <w:fldChar w:fldCharType="begin"/>
      </w:r>
      <w:r w:rsidR="00087F2D">
        <w:instrText xml:space="preserve"> ADDIN EN.CITE &lt;EndNote&gt;&lt;Cite&gt;&lt;Author&gt;Therapeutic Goods Administration&lt;/Author&gt;&lt;Year&gt;2023&lt;/Year&gt;&lt;RecNum&gt;521&lt;/RecNum&gt;&lt;DisplayText&gt;&lt;style face="superscript"&gt;34&lt;/style&gt;&lt;/DisplayText&gt;&lt;record&gt;&lt;rec-number&gt;521&lt;/rec-number&gt;&lt;foreign-keys&gt;&lt;key app="EN" db-id="0a9sasvr7dwawyeva9qpw09xaap9erv5ad5e" timestamp="1717037883"&gt;521&lt;/key&gt;&lt;/foreign-keys&gt;&lt;ref-type name="Web Page"&gt;12&lt;/ref-type&gt;&lt;contributors&gt;&lt;authors&gt;&lt;author&gt;Therapeutic Goods Administration,&lt;/author&gt;&lt;/authors&gt;&lt;/contributors&gt;&lt;titles&gt;&lt;title&gt;About the antibiotics shortage 2022–2023&lt;/title&gt;&lt;/titles&gt;&lt;number&gt;May 2024&lt;/number&gt;&lt;dates&gt;&lt;year&gt;2023&lt;/year&gt;&lt;/dates&gt;&lt;pub-location&gt;Canberra&lt;/pub-location&gt;&lt;publisher&gt;TGA&lt;/publisher&gt;&lt;urls&gt;&lt;related-urls&gt;&lt;url&gt;https://www.tga.gov.au/safety/shortages/information-about-major-medicine-shortages/about-antibiotics-shortage-2022-2023&lt;/url&gt;&lt;/related-urls&gt;&lt;/urls&gt;&lt;/record&gt;&lt;/Cite&gt;&lt;/EndNote&gt;</w:instrText>
      </w:r>
      <w:r>
        <w:fldChar w:fldCharType="separate"/>
      </w:r>
      <w:r w:rsidR="00087F2D" w:rsidRPr="00087F2D">
        <w:rPr>
          <w:noProof/>
          <w:vertAlign w:val="superscript"/>
        </w:rPr>
        <w:t>34</w:t>
      </w:r>
      <w:r>
        <w:fldChar w:fldCharType="end"/>
      </w:r>
      <w:r w:rsidRPr="004D37A3">
        <w:t xml:space="preserve"> Antimicrobial shortages continued into 2023 and may have influenced supply of alternative antimicrobials.</w:t>
      </w:r>
    </w:p>
    <w:p w14:paraId="4554629A" w14:textId="2D2698C4" w:rsidR="001E3EFB" w:rsidRDefault="001E3EFB" w:rsidP="001E3EFB">
      <w:r>
        <w:t>Over the nine-year reporting period, a</w:t>
      </w:r>
      <w:r w:rsidRPr="00DE18B0">
        <w:t xml:space="preserve">ntimicrobial use in the </w:t>
      </w:r>
      <w:r w:rsidRPr="00C638F3">
        <w:t xml:space="preserve">community </w:t>
      </w:r>
      <w:r>
        <w:t xml:space="preserve">has </w:t>
      </w:r>
      <w:r w:rsidRPr="00C638F3">
        <w:t>declined by 24.4%</w:t>
      </w:r>
      <w:r>
        <w:t>. T</w:t>
      </w:r>
      <w:r w:rsidRPr="00C638F3">
        <w:t xml:space="preserve">here was a gradual </w:t>
      </w:r>
      <w:r w:rsidR="009D779F">
        <w:t xml:space="preserve">overall </w:t>
      </w:r>
      <w:r w:rsidRPr="00C638F3">
        <w:t>decline of 8.9% from 2015 to 2019</w:t>
      </w:r>
      <w:r>
        <w:t>. This was</w:t>
      </w:r>
      <w:r w:rsidRPr="00C638F3">
        <w:t xml:space="preserve"> followed by a more dramatic decline of 24.6% </w:t>
      </w:r>
      <w:r w:rsidR="009D779F">
        <w:t>from</w:t>
      </w:r>
      <w:r w:rsidR="009D779F" w:rsidRPr="00C638F3">
        <w:t xml:space="preserve"> </w:t>
      </w:r>
      <w:r w:rsidRPr="00C638F3">
        <w:t xml:space="preserve">2019 </w:t>
      </w:r>
      <w:r w:rsidR="009D779F">
        <w:t xml:space="preserve">to </w:t>
      </w:r>
      <w:r w:rsidRPr="00C638F3">
        <w:t>2020</w:t>
      </w:r>
      <w:r>
        <w:t>, which</w:t>
      </w:r>
      <w:r w:rsidRPr="00C638F3">
        <w:t xml:space="preserve"> was sustained in 2021. </w:t>
      </w:r>
      <w:r w:rsidRPr="00DE18B0">
        <w:t>Antimicrobial use increased slightly from 2021 to 2022 (up 9.6%) and remained steady in</w:t>
      </w:r>
      <w:r>
        <w:t>to</w:t>
      </w:r>
      <w:r w:rsidRPr="00DE18B0">
        <w:t xml:space="preserve"> 2023 (up 1.3%).</w:t>
      </w:r>
    </w:p>
    <w:p w14:paraId="20F2E4B0" w14:textId="344A9215" w:rsidR="001E3EFB" w:rsidRDefault="001E3EFB" w:rsidP="00A12A3C">
      <w:pPr>
        <w:spacing w:after="0"/>
      </w:pPr>
      <w:r>
        <w:lastRenderedPageBreak/>
        <w:t>Encouragingly, d</w:t>
      </w:r>
      <w:r w:rsidRPr="00DE18B0">
        <w:t>espite increases</w:t>
      </w:r>
      <w:r w:rsidR="00B34AFE">
        <w:t xml:space="preserve"> since 2021</w:t>
      </w:r>
      <w:r w:rsidRPr="00DE18B0">
        <w:t xml:space="preserve">, the volume of antimicrobial use in the community </w:t>
      </w:r>
      <w:r>
        <w:t>remains well below</w:t>
      </w:r>
      <w:r w:rsidRPr="00DE18B0">
        <w:t xml:space="preserve"> pre-</w:t>
      </w:r>
      <w:r w:rsidRPr="0043350E">
        <w:t>pandemic levels</w:t>
      </w:r>
      <w:r w:rsidR="00865E97">
        <w:t>. This</w:t>
      </w:r>
      <w:r>
        <w:t xml:space="preserve"> indicates </w:t>
      </w:r>
      <w:r w:rsidRPr="00167779">
        <w:t>lower levels of antimicrobial use in Australia are achievable long-term</w:t>
      </w:r>
      <w:r w:rsidRPr="0043350E">
        <w:t>.</w:t>
      </w:r>
      <w:r>
        <w:t xml:space="preserve"> Further analyses of PBS and RPBS a</w:t>
      </w:r>
      <w:r w:rsidRPr="00344AF7">
        <w:t>ntimicrobial</w:t>
      </w:r>
      <w:r>
        <w:t xml:space="preserve"> dispensing </w:t>
      </w:r>
      <w:r w:rsidRPr="00344AF7">
        <w:t xml:space="preserve">by </w:t>
      </w:r>
      <w:r w:rsidR="00B34AFE">
        <w:t>Statistical Area Level 3 (</w:t>
      </w:r>
      <w:r w:rsidR="00B34AFE" w:rsidRPr="00C8228D">
        <w:t>SA3</w:t>
      </w:r>
      <w:r w:rsidR="00B34AFE">
        <w:t>)</w:t>
      </w:r>
      <w:r w:rsidR="00B34AFE" w:rsidRPr="00C8228D">
        <w:t xml:space="preserve"> and </w:t>
      </w:r>
      <w:r w:rsidR="00B34AFE">
        <w:t>Primary Health Network (</w:t>
      </w:r>
      <w:r w:rsidR="00B34AFE" w:rsidRPr="00C8228D">
        <w:t>PHN</w:t>
      </w:r>
      <w:r w:rsidR="00B34AFE">
        <w:t xml:space="preserve">) </w:t>
      </w:r>
      <w:r w:rsidRPr="00344AF7">
        <w:t>are included in Appendix</w:t>
      </w:r>
      <w:r>
        <w:t> 2</w:t>
      </w:r>
      <w:r w:rsidRPr="00344AF7">
        <w:t>.</w:t>
      </w:r>
    </w:p>
    <w:p w14:paraId="36673421" w14:textId="081231DA" w:rsidR="00A24A03" w:rsidRPr="00DB1EE0" w:rsidRDefault="0094493E" w:rsidP="00A12A3C">
      <w:pPr>
        <w:pStyle w:val="Heading3"/>
        <w:spacing w:before="240"/>
        <w:rPr>
          <w:color w:val="005370"/>
        </w:rPr>
      </w:pPr>
      <w:bookmarkStart w:id="9" w:name="_Toc173763618"/>
      <w:r w:rsidRPr="00DB1EE0">
        <w:rPr>
          <w:color w:val="005370"/>
        </w:rPr>
        <w:t>Abou</w:t>
      </w:r>
      <w:r w:rsidR="00D2587B" w:rsidRPr="00DB1EE0">
        <w:rPr>
          <w:color w:val="005370"/>
        </w:rPr>
        <w:t>t</w:t>
      </w:r>
      <w:r w:rsidR="000D2751" w:rsidRPr="00DB1EE0">
        <w:rPr>
          <w:color w:val="005370"/>
        </w:rPr>
        <w:t xml:space="preserve"> </w:t>
      </w:r>
      <w:r w:rsidR="00216914" w:rsidRPr="00DB1EE0">
        <w:rPr>
          <w:color w:val="005370"/>
        </w:rPr>
        <w:t xml:space="preserve">antimicrobials and </w:t>
      </w:r>
      <w:r w:rsidR="00A24A03" w:rsidRPr="00DB1EE0">
        <w:rPr>
          <w:color w:val="005370"/>
        </w:rPr>
        <w:t>surveillance of community antimicrobial use</w:t>
      </w:r>
      <w:bookmarkEnd w:id="8"/>
      <w:bookmarkEnd w:id="9"/>
    </w:p>
    <w:p w14:paraId="40CB6CA2" w14:textId="5A482AB6" w:rsidR="00F53E59" w:rsidRDefault="00F53E59" w:rsidP="00F53E59">
      <w:r w:rsidRPr="00EF73D3">
        <w:rPr>
          <w:rFonts w:ascii="ZWAdobeF" w:hAnsi="ZWAdobeF" w:cs="ZWAdobeF"/>
          <w:sz w:val="2"/>
          <w:szCs w:val="2"/>
        </w:rPr>
        <w:t>686B</w:t>
      </w:r>
      <w:r w:rsidRPr="00EF73D3">
        <w:t>Antimicrobial</w:t>
      </w:r>
      <w:r>
        <w:t xml:space="preserve">s </w:t>
      </w:r>
      <w:r w:rsidRPr="00EF73D3">
        <w:t xml:space="preserve">is the term </w:t>
      </w:r>
      <w:r w:rsidR="008131CA">
        <w:t xml:space="preserve">used to refer to </w:t>
      </w:r>
      <w:r w:rsidRPr="00EF73D3">
        <w:t>all antibiotics, antivirals</w:t>
      </w:r>
      <w:r>
        <w:t>,</w:t>
      </w:r>
      <w:r w:rsidRPr="00EF73D3">
        <w:t xml:space="preserve"> antifungals,</w:t>
      </w:r>
      <w:r>
        <w:t xml:space="preserve"> </w:t>
      </w:r>
      <w:r w:rsidRPr="00EF73D3">
        <w:t xml:space="preserve">and antiparasitic agents. The terms antibacterial and antibiotic have the same meaning, and they are used to treat </w:t>
      </w:r>
      <w:r w:rsidR="00D231AD">
        <w:t xml:space="preserve">and prevent </w:t>
      </w:r>
      <w:r w:rsidRPr="00EF73D3">
        <w:t xml:space="preserve">infections </w:t>
      </w:r>
      <w:r w:rsidRPr="00656FE8">
        <w:t>caused by bacteria.</w:t>
      </w:r>
    </w:p>
    <w:p w14:paraId="1D6D3D40" w14:textId="0522D002" w:rsidR="00F53E59" w:rsidRPr="002272E4" w:rsidRDefault="00F53E59" w:rsidP="009D779F">
      <w:pPr>
        <w:spacing w:after="0"/>
        <w:rPr>
          <w:rFonts w:cstheme="minorHAnsi"/>
        </w:rPr>
      </w:pPr>
      <w:r>
        <w:rPr>
          <w:rFonts w:cstheme="minorHAnsi"/>
        </w:rPr>
        <w:t xml:space="preserve">Almost all antimicrobials supplied </w:t>
      </w:r>
      <w:r w:rsidRPr="000B76CA">
        <w:t>under the PBS and RPBS</w:t>
      </w:r>
      <w:r>
        <w:t xml:space="preserve"> are antibacterials for systemic use. This is per the World Health Organization (WHO) </w:t>
      </w:r>
      <w:r w:rsidRPr="00E906CB">
        <w:t>Anatomical Therapeutic Chemical (ATC) Classification</w:t>
      </w:r>
      <w:r>
        <w:t>, which groups medicines according to the organ or system on which they act, and their therapeutic, pharmacological, and chemical properties. Antibacterials for systemic use are ATC code</w:t>
      </w:r>
      <w:r w:rsidR="00B057D1">
        <w:t> </w:t>
      </w:r>
      <w:r>
        <w:t>J01.</w:t>
      </w:r>
      <w:r w:rsidR="009D779F">
        <w:t xml:space="preserve"> </w:t>
      </w:r>
      <w:r w:rsidRPr="00656FE8">
        <w:rPr>
          <w:rFonts w:cstheme="minorHAnsi"/>
        </w:rPr>
        <w:t>See Appendix</w:t>
      </w:r>
      <w:r w:rsidR="00493BCF">
        <w:rPr>
          <w:rFonts w:cstheme="minorHAnsi"/>
        </w:rPr>
        <w:t> </w:t>
      </w:r>
      <w:r w:rsidRPr="00656FE8">
        <w:rPr>
          <w:rFonts w:cstheme="minorHAnsi"/>
        </w:rPr>
        <w:t>1 for i</w:t>
      </w:r>
      <w:r w:rsidRPr="00656FE8">
        <w:t xml:space="preserve">nformation about methodology </w:t>
      </w:r>
      <w:r w:rsidRPr="002272E4">
        <w:t xml:space="preserve">and antimicrobials used for these analyses. </w:t>
      </w:r>
    </w:p>
    <w:p w14:paraId="02D3832A" w14:textId="77777777" w:rsidR="00F53E59" w:rsidRDefault="00F53E59" w:rsidP="006B2FD1">
      <w:pPr>
        <w:spacing w:before="360" w:after="360"/>
        <w:jc w:val="center"/>
      </w:pPr>
      <w:r>
        <w:rPr>
          <w:noProof/>
        </w:rPr>
        <w:drawing>
          <wp:inline distT="0" distB="0" distL="0" distR="0" wp14:anchorId="075B9D9B" wp14:editId="18B971BF">
            <wp:extent cx="6048000" cy="1506589"/>
            <wp:effectExtent l="19050" t="19050" r="1016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t="-3798" b="-5481"/>
                    <a:stretch/>
                  </pic:blipFill>
                  <pic:spPr bwMode="auto">
                    <a:xfrm>
                      <a:off x="0" y="0"/>
                      <a:ext cx="6048000" cy="1506589"/>
                    </a:xfrm>
                    <a:prstGeom prst="rect">
                      <a:avLst/>
                    </a:prstGeom>
                    <a:noFill/>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ED4D7F" w14:textId="060AAA51" w:rsidR="00F53E59" w:rsidRPr="00864287" w:rsidRDefault="00F53E59" w:rsidP="00F53E59">
      <w:bookmarkStart w:id="10" w:name="_Toc121826729"/>
      <w:bookmarkStart w:id="11" w:name="_Hlk158892585"/>
      <w:r w:rsidRPr="00F46944">
        <w:t>Community prescribing in general practice, community health services, aged care homes and other non-hospital settings</w:t>
      </w:r>
      <w:r>
        <w:t xml:space="preserve"> </w:t>
      </w:r>
      <w:r w:rsidRPr="00864287">
        <w:t xml:space="preserve">accounts for </w:t>
      </w:r>
      <w:proofErr w:type="gramStart"/>
      <w:r w:rsidRPr="00864287">
        <w:t>the majority of</w:t>
      </w:r>
      <w:proofErr w:type="gramEnd"/>
      <w:r w:rsidRPr="00864287">
        <w:t xml:space="preserve"> antimicrobial use in Australia. Monitoring the overall volume of use of antimicrobials and the extent of inappropriate use is an important part of the approach to understand and address the risks associated with antimicrobial resistance (AMR).</w:t>
      </w:r>
    </w:p>
    <w:p w14:paraId="69C2D6C7" w14:textId="4A89C569" w:rsidR="00F53E59" w:rsidRPr="00864287" w:rsidRDefault="00F53E59" w:rsidP="00F53E59">
      <w:r w:rsidRPr="00864287">
        <w:t xml:space="preserve">The more antimicrobials are used, the more likely it is that microorganisms will develop resistance. AMR poses a risk to patient safety because it reduces the number of antimicrobials available to treat infections. In the community setting, this could mean that there are no oral antimicrobial options available, resulting in increased hospitalisations for parenteral therapy with broader-spectrum antimicrobials. </w:t>
      </w:r>
      <w:r w:rsidR="00E921AD">
        <w:t>Reducing t</w:t>
      </w:r>
      <w:r w:rsidR="009D779F">
        <w:t xml:space="preserve">he spread of </w:t>
      </w:r>
      <w:r w:rsidRPr="00864287">
        <w:rPr>
          <w:lang w:val="en-US"/>
        </w:rPr>
        <w:t xml:space="preserve">AMR is a </w:t>
      </w:r>
      <w:r w:rsidRPr="00864287">
        <w:t>public health priority due to its serious and growing impact. It increases morbidity and mortality associated with infections caused by multidrug-resistant organisms. Hundreds of people in Australia die each year as a result of AMR.</w:t>
      </w:r>
      <w:r w:rsidRPr="00864287">
        <w:fldChar w:fldCharType="begin"/>
      </w:r>
      <w:r w:rsidR="00C43D56">
        <w:instrText xml:space="preserve"> ADDIN EN.CITE &lt;EndNote&gt;&lt;Cite&gt;&lt;Author&gt;Wozniak T&lt;/Author&gt;&lt;Year&gt;2022&lt;/Year&gt;&lt;RecNum&gt;265&lt;/RecNum&gt;&lt;DisplayText&gt;&lt;style face="superscript"&gt;35, 36&lt;/style&gt;&lt;/DisplayText&gt;&lt;record&gt;&lt;rec-number&gt;265&lt;/rec-number&gt;&lt;foreign-keys&gt;&lt;key app="EN" db-id="0a9sasvr7dwawyeva9qpw09xaap9erv5ad5e" timestamp="1716861180"&gt;265&lt;/key&gt;&lt;/foreign-keys&gt;&lt;ref-type name="Government Document"&gt;46&lt;/ref-type&gt;&lt;contributors&gt;&lt;authors&gt;&lt;author&gt;Wozniak T, &lt;/author&gt;&lt;author&gt;Nguyen A, &lt;/author&gt;&lt;author&gt;Rollin A, &lt;/author&gt;&lt;author&gt;Brock J, &lt;/author&gt;&lt;author&gt;Bowskill A, &lt;/author&gt;&lt;author&gt;Morgan B, &lt;/author&gt;&lt;author&gt;Good N,&lt;/author&gt;&lt;/authors&gt;&lt;/contributors&gt;&lt;titles&gt;&lt;title&gt;Antimicrobial Resistance (AMR) Impact Report: How big is Australia’s AMR threat?&lt;/title&gt;&lt;/titles&gt;&lt;dates&gt;&lt;year&gt;2022&lt;/year&gt;&lt;/dates&gt;&lt;pub-location&gt;Australia&lt;/pub-location&gt;&lt;publisher&gt;CSIRO and MTPConnect&lt;/publisher&gt;&lt;urls&gt;&lt;/urls&gt;&lt;/record&gt;&lt;/Cite&gt;&lt;Cite&gt;&lt;Author&gt;Organisation for Economic Co-operation and Development&lt;/Author&gt;&lt;Year&gt;2018&lt;/Year&gt;&lt;RecNum&gt;296&lt;/RecNum&gt;&lt;record&gt;&lt;rec-number&gt;296&lt;/rec-number&gt;&lt;foreign-keys&gt;&lt;key app="EN" db-id="0a9sasvr7dwawyeva9qpw09xaap9erv5ad5e" timestamp="1716861319"&gt;296&lt;/key&gt;&lt;/foreign-keys&gt;&lt;ref-type name="Report"&gt;27&lt;/ref-type&gt;&lt;contributors&gt;&lt;authors&gt;&lt;author&gt;Organisation for Economic Co-operation and Development,&lt;/author&gt;&lt;/authors&gt;&lt;tertiary-authors&gt;&lt;author&gt;OECD Publishing&lt;/author&gt;&lt;/tertiary-authors&gt;&lt;/contributors&gt;&lt;titles&gt;&lt;title&gt;Stemming the superbug tide: just a few dollars more&lt;/title&gt;&lt;/titles&gt;&lt;dates&gt;&lt;year&gt;2018&lt;/year&gt;&lt;/dates&gt;&lt;pub-location&gt;Paris&lt;/pub-location&gt;&lt;publisher&gt;OECD&lt;/publisher&gt;&lt;urls&gt;&lt;/urls&gt;&lt;/record&gt;&lt;/Cite&gt;&lt;/EndNote&gt;</w:instrText>
      </w:r>
      <w:r w:rsidRPr="00864287">
        <w:fldChar w:fldCharType="separate"/>
      </w:r>
      <w:r w:rsidR="00C43D56" w:rsidRPr="00C43D56">
        <w:rPr>
          <w:noProof/>
          <w:vertAlign w:val="superscript"/>
        </w:rPr>
        <w:t>35,36</w:t>
      </w:r>
      <w:r w:rsidRPr="00864287">
        <w:fldChar w:fldCharType="end"/>
      </w:r>
      <w:r w:rsidRPr="00864287">
        <w:t xml:space="preserve"> It may also limit future capacity for important treatments such as major surgeries, organ transplantation, cancer chemotherapy and diabetes management among others, due to a lack of effective antimicrobials.</w:t>
      </w:r>
      <w:r w:rsidRPr="00864287">
        <w:fldChar w:fldCharType="begin"/>
      </w:r>
      <w:r w:rsidR="00087F2D">
        <w:instrText xml:space="preserve"> ADDIN EN.CITE &lt;EndNote&gt;&lt;Cite&gt;&lt;Author&gt;World Health Organization&lt;/Author&gt;&lt;Year&gt;2023&lt;/Year&gt;&lt;RecNum&gt;64&lt;/RecNum&gt;&lt;DisplayText&gt;&lt;style face="superscript"&gt;37&lt;/style&gt;&lt;/DisplayText&gt;&lt;record&gt;&lt;rec-number&gt;64&lt;/rec-number&gt;&lt;foreign-keys&gt;&lt;key app="EN" db-id="0a9sasvr7dwawyeva9qpw09xaap9erv5ad5e" timestamp="1704342649"&gt;64&lt;/key&gt;&lt;/foreign-keys&gt;&lt;ref-type name="Web Page"&gt;12&lt;/ref-type&gt;&lt;contributors&gt;&lt;authors&gt;&lt;author&gt;World Health Organization,&lt;/author&gt;&lt;/authors&gt;&lt;/contributors&gt;&lt;titles&gt;&lt;title&gt;Antimicrobial resistance&lt;/title&gt;&lt;/titles&gt;&lt;number&gt;Jan 2024&lt;/number&gt;&lt;dates&gt;&lt;year&gt;2023&lt;/year&gt;&lt;/dates&gt;&lt;pub-location&gt;Geneva&lt;/pub-location&gt;&lt;publisher&gt;WHO&lt;/publisher&gt;&lt;urls&gt;&lt;related-urls&gt;&lt;url&gt;https://www.who.int/news-room/fact-sheets/detail/antimicrobial-resistance&lt;/url&gt;&lt;/related-urls&gt;&lt;/urls&gt;&lt;/record&gt;&lt;/Cite&gt;&lt;/EndNote&gt;</w:instrText>
      </w:r>
      <w:r w:rsidRPr="00864287">
        <w:fldChar w:fldCharType="separate"/>
      </w:r>
      <w:r w:rsidR="00087F2D" w:rsidRPr="00087F2D">
        <w:rPr>
          <w:noProof/>
          <w:vertAlign w:val="superscript"/>
        </w:rPr>
        <w:t>37</w:t>
      </w:r>
      <w:r w:rsidRPr="00864287">
        <w:fldChar w:fldCharType="end"/>
      </w:r>
    </w:p>
    <w:p w14:paraId="72B681BB" w14:textId="536F4B20" w:rsidR="00F53E59" w:rsidRDefault="00F53E59" w:rsidP="00F53E59">
      <w:r w:rsidRPr="00864287">
        <w:t xml:space="preserve">Surveillance of the volume of antimicrobial use and appropriateness of prescribing are essential to </w:t>
      </w:r>
      <w:r>
        <w:t>inform</w:t>
      </w:r>
      <w:r w:rsidRPr="00864287">
        <w:t xml:space="preserve"> </w:t>
      </w:r>
      <w:r w:rsidRPr="00864287">
        <w:rPr>
          <w:rFonts w:ascii="Arial" w:hAnsi="Arial" w:cs="Arial"/>
          <w:color w:val="202124"/>
          <w:shd w:val="clear" w:color="auto" w:fill="FFFFFF"/>
        </w:rPr>
        <w:t xml:space="preserve">antimicrobial stewardship (AMS) and </w:t>
      </w:r>
      <w:r w:rsidRPr="00864287">
        <w:t xml:space="preserve">AMR prevention and </w:t>
      </w:r>
      <w:r>
        <w:t>control</w:t>
      </w:r>
      <w:r w:rsidRPr="00864287">
        <w:t xml:space="preserve"> strategies</w:t>
      </w:r>
      <w:r w:rsidR="00225E23">
        <w:t>. This</w:t>
      </w:r>
      <w:r w:rsidRPr="00864287">
        <w:t xml:space="preserve"> includ</w:t>
      </w:r>
      <w:r w:rsidR="00225E23">
        <w:t>es</w:t>
      </w:r>
      <w:r w:rsidRPr="00864287">
        <w:t xml:space="preserve"> providing feedback about prescribing to clinicians and information to consumers about safe and appropriate use of antimicrobials.</w:t>
      </w:r>
    </w:p>
    <w:p w14:paraId="63D638F5" w14:textId="598485A4" w:rsidR="000D02E4" w:rsidRDefault="00F53E59" w:rsidP="00F53E59">
      <w:r w:rsidRPr="00864287">
        <w:t xml:space="preserve">The PBS and RPBS </w:t>
      </w:r>
      <w:r w:rsidR="009D779F">
        <w:t xml:space="preserve">are estimated to </w:t>
      </w:r>
      <w:r>
        <w:t xml:space="preserve">account for </w:t>
      </w:r>
      <w:r w:rsidR="009D779F">
        <w:t xml:space="preserve">more than 90% </w:t>
      </w:r>
      <w:r>
        <w:t>of prescriptions issued in the community.</w:t>
      </w:r>
      <w:r w:rsidR="00577C74">
        <w:fldChar w:fldCharType="begin"/>
      </w:r>
      <w:r w:rsidR="00577C74">
        <w:instrText xml:space="preserve"> ADDIN EN.CITE &lt;EndNote&gt;&lt;Cite&gt;&lt;Author&gt;Drug Utilisation Sub Committee (DUSC)&lt;/Author&gt;&lt;Year&gt;2015&lt;/Year&gt;&lt;RecNum&gt;485&lt;/RecNum&gt;&lt;DisplayText&gt;&lt;style face="superscript"&gt;38&lt;/style&gt;&lt;/DisplayText&gt;&lt;record&gt;&lt;rec-number&gt;485&lt;/rec-number&gt;&lt;foreign-keys&gt;&lt;key app="EN" db-id="0a9sasvr7dwawyeva9qpw09xaap9erv5ad5e" timestamp="1716861976"&gt;485&lt;/key&gt;&lt;/foreign-keys&gt;&lt;ref-type name="Web Page"&gt;12&lt;/ref-type&gt;&lt;contributors&gt;&lt;authors&gt;&lt;author&gt;Drug Utilisation Sub Committee (DUSC),&lt;/author&gt;&lt;/authors&gt;&lt;/contributors&gt;&lt;titles&gt;&lt;title&gt;Antibiotics: PBS/RPBS utilisation, Oct 2014 and Feb 2015&lt;/title&gt;&lt;/titles&gt;&lt;number&gt;Jan 2024&lt;/number&gt;&lt;dates&gt;&lt;year&gt;2015&lt;/year&gt;&lt;/dates&gt;&lt;pub-location&gt;Canberra&lt;/pub-location&gt;&lt;publisher&gt;Department of Health and Aged Care&lt;/publisher&gt;&lt;work-type&gt;Internet&lt;/work-type&gt;&lt;urls&gt;&lt;related-urls&gt;&lt;url&gt;http://www.pbs.gov.au/info/industry/listing/participants/public-release-docs/antibiotics/antibiotics-oct-14-feb-15&lt;/url&gt;&lt;/related-urls&gt;&lt;/urls&gt;&lt;/record&gt;&lt;/Cite&gt;&lt;/EndNote&gt;</w:instrText>
      </w:r>
      <w:r w:rsidR="00577C74">
        <w:fldChar w:fldCharType="separate"/>
      </w:r>
      <w:r w:rsidR="00577C74" w:rsidRPr="00577C74">
        <w:rPr>
          <w:noProof/>
          <w:vertAlign w:val="superscript"/>
        </w:rPr>
        <w:t>38</w:t>
      </w:r>
      <w:r w:rsidR="00577C74">
        <w:fldChar w:fldCharType="end"/>
      </w:r>
      <w:r>
        <w:t xml:space="preserve"> However, the PBS and RPBS </w:t>
      </w:r>
      <w:r w:rsidRPr="00864287">
        <w:t>do not capture data on private prescriptions</w:t>
      </w:r>
      <w:r w:rsidR="00011159">
        <w:t xml:space="preserve"> (that is prescriptions</w:t>
      </w:r>
      <w:r w:rsidR="00DA5DF3">
        <w:t xml:space="preserve"> that are</w:t>
      </w:r>
      <w:r w:rsidR="00011159">
        <w:t xml:space="preserve"> not subsidised under the PBS or RPBS)</w:t>
      </w:r>
      <w:r w:rsidRPr="00864287">
        <w:t xml:space="preserve">, or </w:t>
      </w:r>
      <w:r w:rsidR="000E6557">
        <w:t>many prescriptions</w:t>
      </w:r>
      <w:r w:rsidR="000713FC">
        <w:t xml:space="preserve"> dispensed by</w:t>
      </w:r>
      <w:r w:rsidRPr="00864287">
        <w:t xml:space="preserve"> many Aboriginal and Torres Strait Islander health services. The lack of mechanisms to record and monitor rates of private antimicrobial prescribing at the time of dispensing, and the reason for why they are prescribed, continues to be an important gap in cu</w:t>
      </w:r>
      <w:r w:rsidRPr="0000363B">
        <w:t xml:space="preserve">rrent surveillance of antimicrobial use in </w:t>
      </w:r>
      <w:r>
        <w:lastRenderedPageBreak/>
        <w:t>Australia</w:t>
      </w:r>
      <w:r w:rsidRPr="0000363B">
        <w:t>.</w:t>
      </w:r>
      <w:r>
        <w:t xml:space="preserve"> This is particularly important given the </w:t>
      </w:r>
      <w:r w:rsidRPr="007147DB">
        <w:t xml:space="preserve">increasing proportion of private </w:t>
      </w:r>
      <w:r>
        <w:t xml:space="preserve">antimicrobial </w:t>
      </w:r>
      <w:r w:rsidRPr="007147DB">
        <w:t xml:space="preserve">prescriptions </w:t>
      </w:r>
      <w:r w:rsidR="00C07F01">
        <w:t xml:space="preserve">issued </w:t>
      </w:r>
      <w:r>
        <w:t>in the community</w:t>
      </w:r>
      <w:r w:rsidR="00C07F01">
        <w:t xml:space="preserve"> by medical and non-medical clinicians</w:t>
      </w:r>
      <w:r>
        <w:t>.</w:t>
      </w:r>
      <w:r w:rsidR="00B07D58">
        <w:fldChar w:fldCharType="begin"/>
      </w:r>
      <w:r w:rsidR="00087F2D">
        <w:instrText xml:space="preserve"> ADDIN EN.CITE &lt;EndNote&gt;&lt;Cite&gt;&lt;Author&gt;Australian Commission on Safety and Quality in Health Care&lt;/Author&gt;&lt;Year&gt;2023&lt;/Year&gt;&lt;RecNum&gt;68&lt;/RecNum&gt;&lt;DisplayText&gt;&lt;style face="superscript"&gt;18&lt;/style&gt;&lt;/DisplayText&gt;&lt;record&gt;&lt;rec-number&gt;68&lt;/rec-number&gt;&lt;foreign-keys&gt;&lt;key app="EN" db-id="0a9sasvr7dwawyeva9qpw09xaap9erv5ad5e" timestamp="1704343318"&gt;68&lt;/key&gt;&lt;/foreign-keys&gt;&lt;ref-type name="Government Document"&gt;46&lt;/ref-type&gt;&lt;contributors&gt;&lt;authors&gt;&lt;author&gt;Australian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health&lt;/title&gt;&lt;/titles&gt;&lt;dates&gt;&lt;year&gt;2023&lt;/year&gt;&lt;/dates&gt;&lt;pub-location&gt;Sydney&lt;/pub-location&gt;&lt;publisher&gt;ACSQHC&lt;/publisher&gt;&lt;urls&gt;&lt;/urls&gt;&lt;access-date&gt;Jan 2024&lt;/access-date&gt;&lt;/record&gt;&lt;/Cite&gt;&lt;/EndNote&gt;</w:instrText>
      </w:r>
      <w:r w:rsidR="00B07D58">
        <w:fldChar w:fldCharType="separate"/>
      </w:r>
      <w:r w:rsidR="00087F2D" w:rsidRPr="00087F2D">
        <w:rPr>
          <w:noProof/>
          <w:vertAlign w:val="superscript"/>
        </w:rPr>
        <w:t>18</w:t>
      </w:r>
      <w:r w:rsidR="00B07D58">
        <w:fldChar w:fldCharType="end"/>
      </w:r>
    </w:p>
    <w:p w14:paraId="3CE02352" w14:textId="654EF064" w:rsidR="00063E4C" w:rsidRPr="00DB1EE0" w:rsidRDefault="00F57EAA" w:rsidP="005175B6">
      <w:pPr>
        <w:pStyle w:val="Heading1"/>
        <w:rPr>
          <w:color w:val="005370"/>
        </w:rPr>
      </w:pPr>
      <w:bookmarkStart w:id="12" w:name="_Toc173763619"/>
      <w:r w:rsidRPr="00DB1EE0">
        <w:rPr>
          <w:color w:val="005370"/>
        </w:rPr>
        <w:t>Results</w:t>
      </w:r>
      <w:bookmarkEnd w:id="10"/>
      <w:bookmarkEnd w:id="12"/>
    </w:p>
    <w:p w14:paraId="7491A1AA" w14:textId="77777777" w:rsidR="00F57EAA" w:rsidRPr="00DB1EE0" w:rsidRDefault="00F57EAA" w:rsidP="00B26FD1">
      <w:pPr>
        <w:pStyle w:val="Heading3"/>
        <w:rPr>
          <w:color w:val="005370"/>
        </w:rPr>
      </w:pPr>
      <w:bookmarkStart w:id="13" w:name="_Toc173763620"/>
      <w:r w:rsidRPr="00DB1EE0">
        <w:rPr>
          <w:color w:val="005370"/>
        </w:rPr>
        <w:t>Pres</w:t>
      </w:r>
      <w:r w:rsidRPr="00116101">
        <w:rPr>
          <w:color w:val="005370"/>
        </w:rPr>
        <w:t>cript</w:t>
      </w:r>
      <w:r w:rsidRPr="00DB1EE0">
        <w:rPr>
          <w:color w:val="005370"/>
        </w:rPr>
        <w:t>ion volume</w:t>
      </w:r>
      <w:bookmarkEnd w:id="13"/>
    </w:p>
    <w:p w14:paraId="6CDFFC51" w14:textId="7A81943C" w:rsidR="00011CAD" w:rsidRDefault="00011CAD" w:rsidP="00F50C85">
      <w:r w:rsidRPr="000B76CA">
        <w:t>In 202</w:t>
      </w:r>
      <w:r>
        <w:t>3</w:t>
      </w:r>
      <w:r w:rsidRPr="000B76CA">
        <w:t>, there were</w:t>
      </w:r>
      <w:r w:rsidRPr="00C3626B">
        <w:t xml:space="preserve"> </w:t>
      </w:r>
      <w:r>
        <w:t>22,126,604</w:t>
      </w:r>
      <w:r w:rsidRPr="00C3626B">
        <w:t> </w:t>
      </w:r>
      <w:r w:rsidRPr="000B76CA">
        <w:t>antimicrobial prescriptions supplied under the PBS and RPBS</w:t>
      </w:r>
      <w:r>
        <w:t>, which</w:t>
      </w:r>
      <w:r w:rsidRPr="000B76CA">
        <w:t xml:space="preserve"> was a </w:t>
      </w:r>
      <w:r w:rsidRPr="00C638F3">
        <w:t>1.3%</w:t>
      </w:r>
      <w:r w:rsidRPr="000B76CA">
        <w:t xml:space="preserve"> </w:t>
      </w:r>
      <w:r>
        <w:t>increas</w:t>
      </w:r>
      <w:r w:rsidRPr="00902DED">
        <w:t>e</w:t>
      </w:r>
      <w:r w:rsidR="00C638F3">
        <w:t xml:space="preserve"> </w:t>
      </w:r>
      <w:r w:rsidRPr="000B76CA">
        <w:t xml:space="preserve">compared </w:t>
      </w:r>
      <w:r w:rsidR="005672CB">
        <w:t xml:space="preserve">to </w:t>
      </w:r>
      <w:r w:rsidRPr="000B76CA">
        <w:t>20</w:t>
      </w:r>
      <w:r>
        <w:t>22</w:t>
      </w:r>
      <w:r w:rsidRPr="000B76CA">
        <w:t xml:space="preserve"> </w:t>
      </w:r>
      <w:r w:rsidR="009A63A8" w:rsidRPr="00CA0615">
        <w:t>(Table </w:t>
      </w:r>
      <w:r w:rsidR="009A63A8">
        <w:t>1</w:t>
      </w:r>
      <w:r w:rsidR="009A63A8" w:rsidRPr="00CA0615">
        <w:t>)</w:t>
      </w:r>
      <w:r w:rsidRPr="000B76CA">
        <w:t xml:space="preserve">. </w:t>
      </w:r>
      <w:r w:rsidR="00EC172D" w:rsidRPr="00EC172D">
        <w:t xml:space="preserve">While antimicrobial use </w:t>
      </w:r>
      <w:r w:rsidR="00B34AFE">
        <w:t>wa</w:t>
      </w:r>
      <w:r w:rsidR="00EC172D" w:rsidRPr="00EC172D">
        <w:t xml:space="preserve">s higher than 2020 and 2021, </w:t>
      </w:r>
      <w:r w:rsidR="00EC172D">
        <w:t xml:space="preserve">it </w:t>
      </w:r>
      <w:r w:rsidR="00B34AFE">
        <w:t>wa</w:t>
      </w:r>
      <w:r w:rsidR="00EC172D" w:rsidRPr="00EC172D">
        <w:t xml:space="preserve">s still below </w:t>
      </w:r>
      <w:r w:rsidRPr="00EC172D">
        <w:t>the use of antimicrobials prior to the COVID-19 pandemic</w:t>
      </w:r>
      <w:r w:rsidR="00C638F3">
        <w:t>.</w:t>
      </w:r>
    </w:p>
    <w:p w14:paraId="45A9B326" w14:textId="7CF2EF5B" w:rsidR="00717C50" w:rsidRPr="000B76CA" w:rsidRDefault="00717C50" w:rsidP="00717C50">
      <w:r w:rsidRPr="000B76CA">
        <w:t>In 202</w:t>
      </w:r>
      <w:r>
        <w:t>3</w:t>
      </w:r>
      <w:r w:rsidRPr="00902DED">
        <w:t xml:space="preserve">, </w:t>
      </w:r>
      <w:r w:rsidRPr="00C638F3">
        <w:t>36.4% (</w:t>
      </w:r>
      <w:r w:rsidRPr="00C638F3">
        <w:rPr>
          <w:i/>
          <w:iCs/>
        </w:rPr>
        <w:t>n</w:t>
      </w:r>
      <w:r w:rsidRPr="00C638F3">
        <w:t> = 9,699,404)</w:t>
      </w:r>
      <w:r w:rsidRPr="000B76CA">
        <w:t xml:space="preserve"> of the Australian population had at least one antimicrobial supplied under the PBS and RPBS, compared to </w:t>
      </w:r>
      <w:r>
        <w:t>36.6</w:t>
      </w:r>
      <w:r w:rsidRPr="000B76CA">
        <w:t>% (</w:t>
      </w:r>
      <w:r w:rsidRPr="000B76CA">
        <w:rPr>
          <w:i/>
          <w:iCs/>
        </w:rPr>
        <w:t>n</w:t>
      </w:r>
      <w:r w:rsidRPr="000B76CA">
        <w:t> = </w:t>
      </w:r>
      <w:r>
        <w:t>9,502,834</w:t>
      </w:r>
      <w:r w:rsidRPr="000B76CA">
        <w:t xml:space="preserve">) in </w:t>
      </w:r>
      <w:r w:rsidRPr="00902DED">
        <w:t>2022</w:t>
      </w:r>
      <w:r w:rsidR="00EC172D">
        <w:t>.</w:t>
      </w:r>
    </w:p>
    <w:p w14:paraId="1A4A8097" w14:textId="6B9A2180" w:rsidR="00717C50" w:rsidRDefault="00A92D63" w:rsidP="00717C50">
      <w:r>
        <w:t xml:space="preserve">Amongst people who received antimicrobials, the </w:t>
      </w:r>
      <w:r w:rsidR="00DC5B6E">
        <w:t xml:space="preserve">average </w:t>
      </w:r>
      <w:r>
        <w:t xml:space="preserve">number of prescriptions supplied per person was also similar: </w:t>
      </w:r>
      <w:r w:rsidR="00717C50" w:rsidRPr="00CD7785">
        <w:t>2.30</w:t>
      </w:r>
      <w:r w:rsidR="005605FE">
        <w:t> </w:t>
      </w:r>
      <w:r w:rsidR="00717C50" w:rsidRPr="00CD7785">
        <w:t>in 202</w:t>
      </w:r>
      <w:r>
        <w:t xml:space="preserve">2 and </w:t>
      </w:r>
      <w:r w:rsidRPr="00C638F3">
        <w:t>2.28</w:t>
      </w:r>
      <w:r w:rsidR="005605FE">
        <w:t> </w:t>
      </w:r>
      <w:r w:rsidRPr="00CD7785">
        <w:t>in 2023</w:t>
      </w:r>
      <w:r>
        <w:t>.</w:t>
      </w:r>
    </w:p>
    <w:p w14:paraId="1177EB2C" w14:textId="444723E9" w:rsidR="008020C3" w:rsidRDefault="00C03075" w:rsidP="005E13E6">
      <w:pPr>
        <w:spacing w:after="0"/>
      </w:pPr>
      <w:r>
        <w:t>The</w:t>
      </w:r>
      <w:r w:rsidR="00B342A2">
        <w:t xml:space="preserve"> vast majority (87</w:t>
      </w:r>
      <w:r w:rsidR="006A681F">
        <w:t>.3</w:t>
      </w:r>
      <w:r w:rsidR="00B342A2">
        <w:t xml:space="preserve">%) </w:t>
      </w:r>
      <w:r w:rsidR="00B342A2" w:rsidRPr="00B342A2">
        <w:t xml:space="preserve">of </w:t>
      </w:r>
      <w:r w:rsidR="00B342A2">
        <w:t xml:space="preserve">antimicrobial </w:t>
      </w:r>
      <w:r w:rsidR="00B342A2" w:rsidRPr="00B342A2">
        <w:t>prescriptions were issued by GPs</w:t>
      </w:r>
      <w:r w:rsidR="00B342A2">
        <w:t>;</w:t>
      </w:r>
      <w:r w:rsidR="00B342A2" w:rsidRPr="00B342A2">
        <w:t xml:space="preserve"> </w:t>
      </w:r>
      <w:r>
        <w:t xml:space="preserve">with </w:t>
      </w:r>
      <w:r w:rsidR="006A681F">
        <w:t>7.9</w:t>
      </w:r>
      <w:r w:rsidR="00B342A2" w:rsidRPr="00B342A2">
        <w:t xml:space="preserve">% </w:t>
      </w:r>
      <w:r w:rsidR="00B342A2">
        <w:t xml:space="preserve">issued </w:t>
      </w:r>
      <w:r w:rsidR="00B342A2" w:rsidRPr="00B342A2">
        <w:t xml:space="preserve">by </w:t>
      </w:r>
      <w:r w:rsidR="00327337">
        <w:t xml:space="preserve">medical </w:t>
      </w:r>
      <w:r w:rsidR="00B342A2" w:rsidRPr="00B342A2">
        <w:t>specialists</w:t>
      </w:r>
      <w:r w:rsidR="0047298C">
        <w:t xml:space="preserve"> and</w:t>
      </w:r>
      <w:r w:rsidR="00B342A2" w:rsidRPr="00B342A2">
        <w:t xml:space="preserve"> 4</w:t>
      </w:r>
      <w:r w:rsidR="006A681F">
        <w:t>.2</w:t>
      </w:r>
      <w:r w:rsidR="00B342A2" w:rsidRPr="00B342A2">
        <w:t>% by dent</w:t>
      </w:r>
      <w:r w:rsidR="000B4BFB">
        <w:t>ists</w:t>
      </w:r>
      <w:r w:rsidR="0047298C">
        <w:t xml:space="preserve">. </w:t>
      </w:r>
      <w:r w:rsidR="00D90CE5">
        <w:t xml:space="preserve">A combined </w:t>
      </w:r>
      <w:r w:rsidR="00B342A2" w:rsidRPr="00B342A2">
        <w:t xml:space="preserve">less than 1% </w:t>
      </w:r>
      <w:r w:rsidR="0044628F">
        <w:t xml:space="preserve">of antimicrobials </w:t>
      </w:r>
      <w:r w:rsidR="00C41980">
        <w:t xml:space="preserve">supplied under the PBS and RPBS </w:t>
      </w:r>
      <w:r w:rsidR="0044628F">
        <w:t xml:space="preserve">were prescribed </w:t>
      </w:r>
      <w:r w:rsidR="00B34AFE">
        <w:t xml:space="preserve">by </w:t>
      </w:r>
      <w:r w:rsidR="0044628F">
        <w:t>midwives</w:t>
      </w:r>
      <w:r w:rsidR="00FE6332">
        <w:t>, nurse practitioners and optometrists</w:t>
      </w:r>
      <w:r w:rsidR="00B342A2" w:rsidRPr="00B342A2">
        <w:t>.</w:t>
      </w:r>
    </w:p>
    <w:p w14:paraId="41E84A90" w14:textId="4F1B030A" w:rsidR="00E906CB" w:rsidRDefault="00E906CB" w:rsidP="005E13E6">
      <w:pPr>
        <w:spacing w:after="0"/>
        <w:rPr>
          <w:rFonts w:cstheme="minorHAnsi"/>
        </w:rPr>
      </w:pPr>
      <w:r>
        <w:rPr>
          <w:rFonts w:cstheme="minorHAnsi"/>
        </w:rPr>
        <w:t xml:space="preserve">Almost all antimicrobials supplied </w:t>
      </w:r>
      <w:r w:rsidRPr="000B76CA">
        <w:t>under the PBS and RPBS</w:t>
      </w:r>
      <w:r>
        <w:t xml:space="preserve"> </w:t>
      </w:r>
      <w:r w:rsidR="00A20217">
        <w:t>were</w:t>
      </w:r>
      <w:r>
        <w:t xml:space="preserve"> antibacterials for </w:t>
      </w:r>
      <w:r w:rsidRPr="00F53E59">
        <w:t>systemic use</w:t>
      </w:r>
      <w:r w:rsidR="00536E8D">
        <w:t xml:space="preserve"> </w:t>
      </w:r>
      <w:r w:rsidR="00F53E59" w:rsidRPr="00F53E59">
        <w:t>(ATC code J01) (Table 1)</w:t>
      </w:r>
      <w:r w:rsidR="00EE5945" w:rsidRPr="00F53E59">
        <w:t>.</w:t>
      </w:r>
      <w:r w:rsidR="005E13E6">
        <w:t xml:space="preserve"> </w:t>
      </w:r>
      <w:r w:rsidR="00C6340D">
        <w:t>See Appendix 1 f</w:t>
      </w:r>
      <w:r w:rsidR="005E13E6">
        <w:rPr>
          <w:rFonts w:cstheme="minorHAnsi"/>
        </w:rPr>
        <w:t xml:space="preserve">or </w:t>
      </w:r>
      <w:r w:rsidR="005E13E6" w:rsidRPr="00656FE8">
        <w:rPr>
          <w:rFonts w:cstheme="minorHAnsi"/>
        </w:rPr>
        <w:t>i</w:t>
      </w:r>
      <w:r w:rsidR="005E13E6" w:rsidRPr="00656FE8">
        <w:t xml:space="preserve">nformation about </w:t>
      </w:r>
      <w:r w:rsidR="005E13E6">
        <w:t xml:space="preserve">the </w:t>
      </w:r>
      <w:r w:rsidR="005E13E6" w:rsidRPr="002272E4">
        <w:t xml:space="preserve">antimicrobials </w:t>
      </w:r>
      <w:r w:rsidR="00C0138E">
        <w:t>included in</w:t>
      </w:r>
      <w:r w:rsidR="005E13E6" w:rsidRPr="002272E4">
        <w:t xml:space="preserve"> these analyses</w:t>
      </w:r>
      <w:r w:rsidR="005E13E6">
        <w:t>.</w:t>
      </w:r>
    </w:p>
    <w:p w14:paraId="6898C722" w14:textId="4BB14E54" w:rsidR="00F50C85" w:rsidRPr="000B76CA" w:rsidRDefault="00F50C85" w:rsidP="00E96EEA">
      <w:pPr>
        <w:pStyle w:val="FigureTableTitle"/>
        <w:spacing w:after="120"/>
      </w:pPr>
      <w:bookmarkStart w:id="14" w:name="_Toc121744365"/>
      <w:bookmarkStart w:id="15" w:name="_Toc121491305"/>
      <w:r w:rsidRPr="005300F7">
        <w:rPr>
          <w:bCs/>
        </w:rPr>
        <w:t>Table </w:t>
      </w:r>
      <w:r w:rsidR="006E6D75" w:rsidRPr="005300F7">
        <w:rPr>
          <w:bCs/>
        </w:rPr>
        <w:t>1:</w:t>
      </w:r>
      <w:r w:rsidRPr="005300F7">
        <w:t> </w:t>
      </w:r>
      <w:r w:rsidRPr="005300F7">
        <w:rPr>
          <w:b w:val="0"/>
          <w:bCs/>
        </w:rPr>
        <w:t>Number of PBS</w:t>
      </w:r>
      <w:r w:rsidR="00135E14" w:rsidRPr="005300F7">
        <w:rPr>
          <w:b w:val="0"/>
          <w:bCs/>
        </w:rPr>
        <w:t xml:space="preserve"> and </w:t>
      </w:r>
      <w:r w:rsidRPr="005300F7">
        <w:rPr>
          <w:b w:val="0"/>
          <w:bCs/>
        </w:rPr>
        <w:t>RPBS antimicrobial prescriptions dispensed</w:t>
      </w:r>
      <w:r w:rsidR="005300F7">
        <w:rPr>
          <w:b w:val="0"/>
          <w:bCs/>
        </w:rPr>
        <w:t>*</w:t>
      </w:r>
      <w:r w:rsidRPr="005300F7">
        <w:rPr>
          <w:b w:val="0"/>
          <w:bCs/>
        </w:rPr>
        <w:t>, 2015–</w:t>
      </w:r>
      <w:proofErr w:type="gramStart"/>
      <w:r w:rsidRPr="005300F7">
        <w:rPr>
          <w:b w:val="0"/>
          <w:bCs/>
        </w:rPr>
        <w:t>202</w:t>
      </w:r>
      <w:r w:rsidR="005113D5" w:rsidRPr="005300F7">
        <w:rPr>
          <w:b w:val="0"/>
          <w:bCs/>
        </w:rPr>
        <w:t>3</w:t>
      </w:r>
      <w:bookmarkEnd w:id="14"/>
      <w:bookmarkEnd w:id="15"/>
      <w:proofErr w:type="gramEnd"/>
    </w:p>
    <w:tbl>
      <w:tblPr>
        <w:tblStyle w:val="PlainTable2"/>
        <w:tblW w:w="7655" w:type="dxa"/>
        <w:tblLayout w:type="fixed"/>
        <w:tblLook w:val="04A0" w:firstRow="1" w:lastRow="0" w:firstColumn="1" w:lastColumn="0" w:noHBand="0" w:noVBand="1"/>
        <w:tblCaption w:val="Table 1: Number of PBS and RPBS antimicrobial prescriptions dispensed*, 2015–2023"/>
      </w:tblPr>
      <w:tblGrid>
        <w:gridCol w:w="851"/>
        <w:gridCol w:w="2268"/>
        <w:gridCol w:w="2268"/>
        <w:gridCol w:w="2268"/>
      </w:tblGrid>
      <w:tr w:rsidR="00D54489" w:rsidRPr="000B76CA" w14:paraId="511DEB98" w14:textId="77777777" w:rsidTr="00D5448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shd w:val="clear" w:color="auto" w:fill="ECB69E"/>
            <w:vAlign w:val="center"/>
          </w:tcPr>
          <w:p w14:paraId="481C4103"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Year</w:t>
            </w:r>
          </w:p>
        </w:tc>
        <w:tc>
          <w:tcPr>
            <w:tcW w:w="2268" w:type="dxa"/>
            <w:shd w:val="clear" w:color="auto" w:fill="ECB69E"/>
            <w:vAlign w:val="center"/>
          </w:tcPr>
          <w:p w14:paraId="7EF6EBE0" w14:textId="77777777" w:rsidR="003437BA" w:rsidRPr="000B76CA" w:rsidRDefault="003437BA" w:rsidP="00C3626B">
            <w:pPr>
              <w:spacing w:before="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All antimicrobials (</w:t>
            </w:r>
            <w:r w:rsidRPr="000B76CA">
              <w:rPr>
                <w:rFonts w:ascii="Arial" w:hAnsi="Arial" w:cs="Arial"/>
                <w:i/>
                <w:sz w:val="20"/>
                <w:szCs w:val="20"/>
              </w:rPr>
              <w:t>n</w:t>
            </w:r>
            <w:r w:rsidRPr="000B76CA">
              <w:rPr>
                <w:rFonts w:ascii="Arial" w:hAnsi="Arial" w:cs="Arial"/>
                <w:sz w:val="20"/>
                <w:szCs w:val="20"/>
              </w:rPr>
              <w:t xml:space="preserve">) </w:t>
            </w:r>
          </w:p>
        </w:tc>
        <w:tc>
          <w:tcPr>
            <w:tcW w:w="2268" w:type="dxa"/>
            <w:shd w:val="clear" w:color="auto" w:fill="ECB69E"/>
            <w:vAlign w:val="center"/>
          </w:tcPr>
          <w:p w14:paraId="61C3DDC5" w14:textId="6E997D69" w:rsidR="003437BA" w:rsidRPr="000B76CA" w:rsidRDefault="003437BA" w:rsidP="00C3626B">
            <w:pPr>
              <w:spacing w:before="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J01 antibacterials (</w:t>
            </w:r>
            <w:r w:rsidRPr="000B76CA">
              <w:rPr>
                <w:rFonts w:ascii="Arial" w:hAnsi="Arial" w:cs="Arial"/>
                <w:i/>
                <w:sz w:val="20"/>
                <w:szCs w:val="20"/>
              </w:rPr>
              <w:t>n</w:t>
            </w:r>
            <w:r w:rsidRPr="000B76CA">
              <w:rPr>
                <w:rFonts w:ascii="Arial" w:hAnsi="Arial" w:cs="Arial"/>
                <w:sz w:val="20"/>
                <w:szCs w:val="20"/>
              </w:rPr>
              <w:t xml:space="preserve">) </w:t>
            </w:r>
          </w:p>
        </w:tc>
        <w:tc>
          <w:tcPr>
            <w:tcW w:w="2268" w:type="dxa"/>
            <w:shd w:val="clear" w:color="auto" w:fill="ECB69E"/>
            <w:vAlign w:val="center"/>
          </w:tcPr>
          <w:p w14:paraId="321FAFE6" w14:textId="44A7904A" w:rsidR="003437BA" w:rsidRPr="00D54489" w:rsidRDefault="003437BA" w:rsidP="00B42044">
            <w:pPr>
              <w:spacing w:before="0" w:after="0"/>
              <w:ind w:left="317"/>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B76CA">
              <w:rPr>
                <w:rFonts w:ascii="Arial" w:hAnsi="Arial" w:cs="Arial"/>
                <w:sz w:val="20"/>
                <w:szCs w:val="20"/>
              </w:rPr>
              <w:t>Non-J01</w:t>
            </w:r>
            <w:r w:rsidR="00B42044">
              <w:rPr>
                <w:rFonts w:ascii="Arial" w:hAnsi="Arial" w:cs="Arial"/>
                <w:sz w:val="20"/>
                <w:szCs w:val="20"/>
              </w:rPr>
              <w:t xml:space="preserve"> </w:t>
            </w:r>
            <w:r w:rsidRPr="000B76CA">
              <w:rPr>
                <w:rFonts w:ascii="Arial" w:hAnsi="Arial" w:cs="Arial"/>
                <w:sz w:val="20"/>
                <w:szCs w:val="20"/>
              </w:rPr>
              <w:t>antimicrobials (</w:t>
            </w:r>
            <w:r w:rsidRPr="000B76CA">
              <w:rPr>
                <w:rFonts w:ascii="Arial" w:hAnsi="Arial" w:cs="Arial"/>
                <w:i/>
                <w:sz w:val="20"/>
                <w:szCs w:val="20"/>
              </w:rPr>
              <w:t>n</w:t>
            </w:r>
            <w:r w:rsidRPr="000B76CA">
              <w:rPr>
                <w:rFonts w:ascii="Arial" w:hAnsi="Arial" w:cs="Arial"/>
                <w:sz w:val="20"/>
                <w:szCs w:val="20"/>
              </w:rPr>
              <w:t xml:space="preserve">) </w:t>
            </w:r>
          </w:p>
        </w:tc>
      </w:tr>
      <w:tr w:rsidR="00D54489" w:rsidRPr="000B76CA" w14:paraId="527D319D" w14:textId="77777777" w:rsidTr="00D54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3E419E9"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2015</w:t>
            </w:r>
          </w:p>
        </w:tc>
        <w:tc>
          <w:tcPr>
            <w:tcW w:w="2268" w:type="dxa"/>
            <w:vAlign w:val="center"/>
          </w:tcPr>
          <w:p w14:paraId="60C2C481" w14:textId="77777777" w:rsidR="003437BA" w:rsidRPr="000B76CA" w:rsidRDefault="003437BA" w:rsidP="00D54489">
            <w:pPr>
              <w:spacing w:before="0" w:after="40"/>
              <w:ind w:left="283" w:right="45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29,264,932</w:t>
            </w:r>
          </w:p>
        </w:tc>
        <w:tc>
          <w:tcPr>
            <w:tcW w:w="2268" w:type="dxa"/>
            <w:vAlign w:val="center"/>
          </w:tcPr>
          <w:p w14:paraId="2AF95FEE" w14:textId="77777777" w:rsidR="003437BA" w:rsidRPr="000B76CA" w:rsidRDefault="003437BA" w:rsidP="00D54489">
            <w:pPr>
              <w:spacing w:before="0" w:after="40"/>
              <w:ind w:left="283" w:right="4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26,813,587</w:t>
            </w:r>
          </w:p>
        </w:tc>
        <w:tc>
          <w:tcPr>
            <w:tcW w:w="2268" w:type="dxa"/>
            <w:vAlign w:val="center"/>
          </w:tcPr>
          <w:p w14:paraId="3BE209D9" w14:textId="77777777" w:rsidR="003437BA" w:rsidRPr="000B76CA" w:rsidRDefault="003437BA" w:rsidP="00D54489">
            <w:pPr>
              <w:spacing w:before="0" w:after="40"/>
              <w:ind w:left="172" w:right="458"/>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2,451,345</w:t>
            </w:r>
          </w:p>
        </w:tc>
      </w:tr>
      <w:tr w:rsidR="00D54489" w:rsidRPr="000B76CA" w14:paraId="6678B8D8" w14:textId="77777777" w:rsidTr="00D54489">
        <w:trPr>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7E52F00"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2016</w:t>
            </w:r>
          </w:p>
        </w:tc>
        <w:tc>
          <w:tcPr>
            <w:tcW w:w="2268" w:type="dxa"/>
            <w:vAlign w:val="center"/>
          </w:tcPr>
          <w:p w14:paraId="1E48DA1C" w14:textId="77777777" w:rsidR="003437BA" w:rsidRPr="000B76CA" w:rsidRDefault="003437BA" w:rsidP="00D54489">
            <w:pPr>
              <w:spacing w:before="0" w:after="40"/>
              <w:ind w:left="283" w:right="459"/>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27,324,648</w:t>
            </w:r>
          </w:p>
        </w:tc>
        <w:tc>
          <w:tcPr>
            <w:tcW w:w="2268" w:type="dxa"/>
            <w:vAlign w:val="center"/>
          </w:tcPr>
          <w:p w14:paraId="6BE4261B" w14:textId="77777777" w:rsidR="003437BA" w:rsidRPr="000B76CA" w:rsidRDefault="003437BA" w:rsidP="00D54489">
            <w:pPr>
              <w:spacing w:before="0" w:after="40"/>
              <w:ind w:left="283" w:right="463"/>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26,926,933</w:t>
            </w:r>
          </w:p>
        </w:tc>
        <w:tc>
          <w:tcPr>
            <w:tcW w:w="2268" w:type="dxa"/>
            <w:vAlign w:val="center"/>
          </w:tcPr>
          <w:p w14:paraId="2A96D405" w14:textId="77777777" w:rsidR="003437BA" w:rsidRPr="000B76CA" w:rsidRDefault="003437BA" w:rsidP="00D54489">
            <w:pPr>
              <w:spacing w:before="0" w:after="40"/>
              <w:ind w:left="172" w:right="458"/>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397,715</w:t>
            </w:r>
          </w:p>
        </w:tc>
      </w:tr>
      <w:tr w:rsidR="00D54489" w:rsidRPr="000B76CA" w14:paraId="65BBCB38" w14:textId="77777777" w:rsidTr="00D54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0582F7A"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2017</w:t>
            </w:r>
          </w:p>
        </w:tc>
        <w:tc>
          <w:tcPr>
            <w:tcW w:w="2268" w:type="dxa"/>
            <w:vAlign w:val="center"/>
          </w:tcPr>
          <w:p w14:paraId="12224293" w14:textId="77777777" w:rsidR="003437BA" w:rsidRPr="000B76CA" w:rsidRDefault="003437BA" w:rsidP="00D54489">
            <w:pPr>
              <w:spacing w:before="0" w:after="40"/>
              <w:ind w:left="283" w:right="45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26,553,451</w:t>
            </w:r>
          </w:p>
        </w:tc>
        <w:tc>
          <w:tcPr>
            <w:tcW w:w="2268" w:type="dxa"/>
            <w:vAlign w:val="center"/>
          </w:tcPr>
          <w:p w14:paraId="4760C06B" w14:textId="77777777" w:rsidR="003437BA" w:rsidRPr="000B76CA" w:rsidRDefault="003437BA" w:rsidP="00D54489">
            <w:pPr>
              <w:spacing w:before="0" w:after="40"/>
              <w:ind w:left="283" w:right="4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25,924,324</w:t>
            </w:r>
          </w:p>
        </w:tc>
        <w:tc>
          <w:tcPr>
            <w:tcW w:w="2268" w:type="dxa"/>
            <w:vAlign w:val="center"/>
          </w:tcPr>
          <w:p w14:paraId="65C2997E" w14:textId="77777777" w:rsidR="003437BA" w:rsidRPr="000B76CA" w:rsidRDefault="003437BA" w:rsidP="00D54489">
            <w:pPr>
              <w:spacing w:before="0" w:after="40"/>
              <w:ind w:left="172" w:right="458"/>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629,127</w:t>
            </w:r>
          </w:p>
        </w:tc>
      </w:tr>
      <w:tr w:rsidR="00D54489" w:rsidRPr="000B76CA" w14:paraId="24C565F9" w14:textId="77777777" w:rsidTr="00D54489">
        <w:trPr>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070105D"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2018</w:t>
            </w:r>
          </w:p>
        </w:tc>
        <w:tc>
          <w:tcPr>
            <w:tcW w:w="2268" w:type="dxa"/>
            <w:vAlign w:val="center"/>
          </w:tcPr>
          <w:p w14:paraId="1630A4A4" w14:textId="77777777" w:rsidR="003437BA" w:rsidRPr="000B76CA" w:rsidRDefault="003437BA" w:rsidP="00D54489">
            <w:pPr>
              <w:spacing w:before="0" w:after="40"/>
              <w:ind w:left="283" w:right="459"/>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26,229,366</w:t>
            </w:r>
          </w:p>
        </w:tc>
        <w:tc>
          <w:tcPr>
            <w:tcW w:w="2268" w:type="dxa"/>
            <w:vAlign w:val="center"/>
          </w:tcPr>
          <w:p w14:paraId="6328EDEF" w14:textId="77777777" w:rsidR="003437BA" w:rsidRPr="000B76CA" w:rsidRDefault="003437BA" w:rsidP="00D54489">
            <w:pPr>
              <w:spacing w:before="0" w:after="40"/>
              <w:ind w:left="283" w:right="463"/>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25,427,786</w:t>
            </w:r>
          </w:p>
        </w:tc>
        <w:tc>
          <w:tcPr>
            <w:tcW w:w="2268" w:type="dxa"/>
            <w:vAlign w:val="center"/>
          </w:tcPr>
          <w:p w14:paraId="343CD92B" w14:textId="77777777" w:rsidR="003437BA" w:rsidRPr="000B76CA" w:rsidRDefault="003437BA" w:rsidP="00D54489">
            <w:pPr>
              <w:spacing w:before="0" w:after="40"/>
              <w:ind w:left="172" w:right="458"/>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801,580</w:t>
            </w:r>
          </w:p>
        </w:tc>
      </w:tr>
      <w:tr w:rsidR="00D54489" w:rsidRPr="000B76CA" w14:paraId="7998E250" w14:textId="77777777" w:rsidTr="00D54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3E5C81D"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2019</w:t>
            </w:r>
          </w:p>
        </w:tc>
        <w:tc>
          <w:tcPr>
            <w:tcW w:w="2268" w:type="dxa"/>
            <w:vAlign w:val="center"/>
          </w:tcPr>
          <w:p w14:paraId="613AE563" w14:textId="77777777" w:rsidR="003437BA" w:rsidRPr="000B76CA" w:rsidRDefault="003437BA" w:rsidP="00D54489">
            <w:pPr>
              <w:spacing w:before="0" w:after="40"/>
              <w:ind w:left="283" w:right="45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26,669,561</w:t>
            </w:r>
          </w:p>
        </w:tc>
        <w:tc>
          <w:tcPr>
            <w:tcW w:w="2268" w:type="dxa"/>
            <w:vAlign w:val="center"/>
          </w:tcPr>
          <w:p w14:paraId="2B7EF38A" w14:textId="77777777" w:rsidR="003437BA" w:rsidRPr="000B76CA" w:rsidRDefault="003437BA" w:rsidP="00D54489">
            <w:pPr>
              <w:spacing w:before="0" w:after="40"/>
              <w:ind w:left="283" w:right="4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25,871,075</w:t>
            </w:r>
          </w:p>
        </w:tc>
        <w:tc>
          <w:tcPr>
            <w:tcW w:w="2268" w:type="dxa"/>
            <w:vAlign w:val="center"/>
          </w:tcPr>
          <w:p w14:paraId="4051B02D" w14:textId="77777777" w:rsidR="003437BA" w:rsidRPr="000B76CA" w:rsidRDefault="003437BA" w:rsidP="00D54489">
            <w:pPr>
              <w:spacing w:before="0" w:after="40"/>
              <w:ind w:left="172" w:right="458"/>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798,486</w:t>
            </w:r>
          </w:p>
        </w:tc>
      </w:tr>
      <w:tr w:rsidR="00D54489" w:rsidRPr="000B76CA" w14:paraId="70793FAF" w14:textId="77777777" w:rsidTr="00D54489">
        <w:trPr>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92F0B20"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2020</w:t>
            </w:r>
          </w:p>
        </w:tc>
        <w:tc>
          <w:tcPr>
            <w:tcW w:w="2268" w:type="dxa"/>
            <w:vAlign w:val="center"/>
          </w:tcPr>
          <w:p w14:paraId="1CCAB267" w14:textId="77777777" w:rsidR="003437BA" w:rsidRPr="000B76CA" w:rsidRDefault="003437BA" w:rsidP="00D54489">
            <w:pPr>
              <w:spacing w:before="0" w:after="40"/>
              <w:ind w:left="283" w:right="459"/>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20,095,926</w:t>
            </w:r>
          </w:p>
        </w:tc>
        <w:tc>
          <w:tcPr>
            <w:tcW w:w="2268" w:type="dxa"/>
            <w:vAlign w:val="center"/>
          </w:tcPr>
          <w:p w14:paraId="272AE2ED" w14:textId="77777777" w:rsidR="003437BA" w:rsidRPr="000B76CA" w:rsidRDefault="003437BA" w:rsidP="00D54489">
            <w:pPr>
              <w:spacing w:before="0" w:after="40"/>
              <w:ind w:left="283" w:right="463"/>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19,425,518</w:t>
            </w:r>
          </w:p>
        </w:tc>
        <w:tc>
          <w:tcPr>
            <w:tcW w:w="2268" w:type="dxa"/>
            <w:vAlign w:val="center"/>
          </w:tcPr>
          <w:p w14:paraId="335058D8" w14:textId="77777777" w:rsidR="003437BA" w:rsidRPr="000B76CA" w:rsidRDefault="003437BA" w:rsidP="00D54489">
            <w:pPr>
              <w:spacing w:before="0" w:after="40"/>
              <w:ind w:left="172" w:right="458"/>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670,408</w:t>
            </w:r>
          </w:p>
        </w:tc>
      </w:tr>
      <w:tr w:rsidR="00D54489" w:rsidRPr="000B76CA" w14:paraId="669D53D5" w14:textId="77777777" w:rsidTr="00D54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68D0F23" w14:textId="77777777" w:rsidR="003437BA" w:rsidRPr="000B76CA" w:rsidRDefault="003437BA" w:rsidP="00D54489">
            <w:pPr>
              <w:spacing w:before="0" w:after="40"/>
              <w:ind w:right="170"/>
              <w:jc w:val="right"/>
              <w:rPr>
                <w:rFonts w:ascii="Arial" w:hAnsi="Arial" w:cs="Arial"/>
                <w:sz w:val="20"/>
                <w:szCs w:val="20"/>
              </w:rPr>
            </w:pPr>
            <w:r w:rsidRPr="000B76CA">
              <w:rPr>
                <w:rFonts w:ascii="Arial" w:hAnsi="Arial" w:cs="Arial"/>
                <w:sz w:val="20"/>
                <w:szCs w:val="20"/>
              </w:rPr>
              <w:t>2021</w:t>
            </w:r>
          </w:p>
        </w:tc>
        <w:tc>
          <w:tcPr>
            <w:tcW w:w="2268" w:type="dxa"/>
            <w:vAlign w:val="center"/>
          </w:tcPr>
          <w:p w14:paraId="1C8AA794" w14:textId="77777777" w:rsidR="003437BA" w:rsidRPr="000B76CA" w:rsidRDefault="003437BA" w:rsidP="00D54489">
            <w:pPr>
              <w:spacing w:before="0" w:after="40"/>
              <w:ind w:left="283" w:right="45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19,931,271</w:t>
            </w:r>
          </w:p>
        </w:tc>
        <w:tc>
          <w:tcPr>
            <w:tcW w:w="2268" w:type="dxa"/>
            <w:vAlign w:val="center"/>
          </w:tcPr>
          <w:p w14:paraId="0E4BA7F8" w14:textId="77777777" w:rsidR="003437BA" w:rsidRPr="000B76CA" w:rsidRDefault="003437BA" w:rsidP="00D54489">
            <w:pPr>
              <w:spacing w:before="0" w:after="40"/>
              <w:ind w:left="283" w:right="4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19,208,986</w:t>
            </w:r>
          </w:p>
        </w:tc>
        <w:tc>
          <w:tcPr>
            <w:tcW w:w="2268" w:type="dxa"/>
            <w:vAlign w:val="center"/>
          </w:tcPr>
          <w:p w14:paraId="07778859" w14:textId="77777777" w:rsidR="003437BA" w:rsidRPr="000B76CA" w:rsidRDefault="003437BA" w:rsidP="00D54489">
            <w:pPr>
              <w:spacing w:before="0" w:after="40"/>
              <w:ind w:left="172" w:right="458"/>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B76CA">
              <w:rPr>
                <w:rFonts w:ascii="Arial" w:hAnsi="Arial" w:cs="Arial"/>
                <w:sz w:val="20"/>
                <w:szCs w:val="20"/>
              </w:rPr>
              <w:t>722,285</w:t>
            </w:r>
          </w:p>
        </w:tc>
      </w:tr>
      <w:tr w:rsidR="00D54489" w:rsidRPr="00C3626B" w14:paraId="5E34A7BC" w14:textId="77777777" w:rsidTr="00D54489">
        <w:trPr>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0B502F1" w14:textId="77EC5F94" w:rsidR="003437BA" w:rsidRPr="00C3626B" w:rsidRDefault="003437BA" w:rsidP="00D54489">
            <w:pPr>
              <w:spacing w:before="0" w:after="40"/>
              <w:ind w:right="170"/>
              <w:jc w:val="right"/>
              <w:rPr>
                <w:rFonts w:ascii="Arial" w:hAnsi="Arial" w:cs="Arial"/>
                <w:sz w:val="20"/>
                <w:szCs w:val="20"/>
              </w:rPr>
            </w:pPr>
            <w:r w:rsidRPr="00C3626B">
              <w:rPr>
                <w:rFonts w:ascii="Arial" w:hAnsi="Arial" w:cs="Arial"/>
                <w:sz w:val="20"/>
                <w:szCs w:val="20"/>
              </w:rPr>
              <w:t>2022</w:t>
            </w:r>
          </w:p>
        </w:tc>
        <w:tc>
          <w:tcPr>
            <w:tcW w:w="2268" w:type="dxa"/>
            <w:vAlign w:val="center"/>
          </w:tcPr>
          <w:p w14:paraId="6B3ED940" w14:textId="2B2B45DB" w:rsidR="003437BA" w:rsidRPr="00C3626B" w:rsidRDefault="003437BA" w:rsidP="00D54489">
            <w:pPr>
              <w:spacing w:before="0" w:after="40"/>
              <w:ind w:left="283" w:right="459"/>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26B">
              <w:rPr>
                <w:rFonts w:ascii="Arial" w:hAnsi="Arial" w:cs="Arial"/>
                <w:sz w:val="20"/>
                <w:szCs w:val="20"/>
              </w:rPr>
              <w:t>21,848,005</w:t>
            </w:r>
          </w:p>
        </w:tc>
        <w:tc>
          <w:tcPr>
            <w:tcW w:w="2268" w:type="dxa"/>
            <w:vAlign w:val="center"/>
          </w:tcPr>
          <w:p w14:paraId="65215646" w14:textId="0FF1B0BD" w:rsidR="003437BA" w:rsidRPr="00C3626B" w:rsidRDefault="003437BA" w:rsidP="00D54489">
            <w:pPr>
              <w:spacing w:before="0" w:after="40"/>
              <w:ind w:left="283" w:right="463"/>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26B">
              <w:rPr>
                <w:rFonts w:ascii="Arial" w:hAnsi="Arial" w:cs="Arial"/>
                <w:sz w:val="20"/>
                <w:szCs w:val="20"/>
              </w:rPr>
              <w:t>21,059,515</w:t>
            </w:r>
          </w:p>
        </w:tc>
        <w:tc>
          <w:tcPr>
            <w:tcW w:w="2268" w:type="dxa"/>
            <w:vAlign w:val="center"/>
          </w:tcPr>
          <w:p w14:paraId="4AF7962B" w14:textId="58D1821A" w:rsidR="003437BA" w:rsidRPr="00C3626B" w:rsidRDefault="003437BA" w:rsidP="00D54489">
            <w:pPr>
              <w:spacing w:before="0" w:after="40"/>
              <w:ind w:left="172" w:right="458"/>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26B">
              <w:rPr>
                <w:rFonts w:ascii="Arial" w:hAnsi="Arial" w:cs="Arial"/>
                <w:sz w:val="20"/>
                <w:szCs w:val="20"/>
              </w:rPr>
              <w:t>788,490</w:t>
            </w:r>
          </w:p>
        </w:tc>
      </w:tr>
      <w:tr w:rsidR="00D54489" w:rsidRPr="00F50C85" w14:paraId="1D7F0E7A" w14:textId="77777777" w:rsidTr="00D544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58A089E" w14:textId="77777777" w:rsidR="003437BA" w:rsidRPr="00C3626B" w:rsidRDefault="003437BA" w:rsidP="00D54489">
            <w:pPr>
              <w:spacing w:before="0" w:after="40"/>
              <w:ind w:right="170"/>
              <w:jc w:val="right"/>
              <w:rPr>
                <w:rFonts w:ascii="Arial" w:hAnsi="Arial" w:cs="Arial"/>
                <w:sz w:val="20"/>
                <w:szCs w:val="20"/>
              </w:rPr>
            </w:pPr>
            <w:r w:rsidRPr="00C3626B">
              <w:rPr>
                <w:rFonts w:ascii="Arial" w:hAnsi="Arial" w:cs="Arial"/>
                <w:sz w:val="20"/>
                <w:szCs w:val="20"/>
              </w:rPr>
              <w:t>2023</w:t>
            </w:r>
          </w:p>
        </w:tc>
        <w:tc>
          <w:tcPr>
            <w:tcW w:w="2268" w:type="dxa"/>
            <w:shd w:val="clear" w:color="auto" w:fill="auto"/>
            <w:vAlign w:val="center"/>
          </w:tcPr>
          <w:p w14:paraId="3B79505E" w14:textId="77777777" w:rsidR="003437BA" w:rsidRPr="00B06607" w:rsidRDefault="003437BA" w:rsidP="00D54489">
            <w:pPr>
              <w:spacing w:before="0" w:after="40"/>
              <w:ind w:left="283" w:right="45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22,126,604</w:t>
            </w:r>
          </w:p>
        </w:tc>
        <w:tc>
          <w:tcPr>
            <w:tcW w:w="2268" w:type="dxa"/>
            <w:shd w:val="clear" w:color="auto" w:fill="auto"/>
            <w:vAlign w:val="center"/>
          </w:tcPr>
          <w:p w14:paraId="380CFE1D" w14:textId="77777777" w:rsidR="003437BA" w:rsidRPr="00B06607" w:rsidRDefault="003437BA" w:rsidP="00D54489">
            <w:pPr>
              <w:spacing w:before="0" w:after="40"/>
              <w:ind w:left="283" w:right="4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21,364,753</w:t>
            </w:r>
          </w:p>
        </w:tc>
        <w:tc>
          <w:tcPr>
            <w:tcW w:w="2268" w:type="dxa"/>
            <w:shd w:val="clear" w:color="auto" w:fill="auto"/>
            <w:vAlign w:val="center"/>
          </w:tcPr>
          <w:p w14:paraId="657D81D0" w14:textId="77777777" w:rsidR="003437BA" w:rsidRPr="00B06607" w:rsidRDefault="003437BA" w:rsidP="00D54489">
            <w:pPr>
              <w:spacing w:before="0" w:after="40"/>
              <w:ind w:left="172" w:right="458"/>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761,851</w:t>
            </w:r>
          </w:p>
        </w:tc>
      </w:tr>
    </w:tbl>
    <w:p w14:paraId="1E9FDE8D" w14:textId="77777777" w:rsidR="005300F7" w:rsidRDefault="00F50C85" w:rsidP="005038A9">
      <w:pPr>
        <w:pStyle w:val="FigureTablefootnote"/>
        <w:spacing w:before="60"/>
      </w:pPr>
      <w:bookmarkStart w:id="16" w:name="_Hlk169106035"/>
      <w:r w:rsidRPr="000B76CA">
        <w:t>J01 = antibacterials for systemic use; PBS = Pharmaceutical Benefits Scheme; RPBS = Repatriation Pharmaceutical Benefits Scheme</w:t>
      </w:r>
    </w:p>
    <w:p w14:paraId="07C9647D" w14:textId="56AD8FEC" w:rsidR="000C331C" w:rsidRDefault="005300F7" w:rsidP="005300F7">
      <w:pPr>
        <w:pStyle w:val="FigureTablefootnote"/>
      </w:pPr>
      <w:r>
        <w:t>*</w:t>
      </w:r>
      <w:r>
        <w:tab/>
      </w:r>
      <w:r w:rsidR="00E62CB4">
        <w:t>Total number of</w:t>
      </w:r>
      <w:r w:rsidR="00261A0F">
        <w:t xml:space="preserve"> </w:t>
      </w:r>
      <w:r w:rsidR="00052438">
        <w:t>all</w:t>
      </w:r>
      <w:r>
        <w:t xml:space="preserve"> antimicrobial prescriptions (originals and repeats) dispensed under the PBS and RPBS in the given year (see Appendix 1)</w:t>
      </w:r>
      <w:r w:rsidR="00F50C85" w:rsidRPr="000B76CA">
        <w:br/>
      </w:r>
      <w:bookmarkEnd w:id="16"/>
      <w:r w:rsidR="000C331C">
        <w:t>Note: C</w:t>
      </w:r>
      <w:r w:rsidR="000C331C" w:rsidRPr="004D37A3">
        <w:t xml:space="preserve">hloramphenicol eye drops were rescheduled to become available </w:t>
      </w:r>
      <w:proofErr w:type="gramStart"/>
      <w:r w:rsidR="000C331C" w:rsidRPr="004D37A3">
        <w:t>over</w:t>
      </w:r>
      <w:r w:rsidR="000C331C">
        <w:t>-</w:t>
      </w:r>
      <w:r w:rsidR="000C331C" w:rsidRPr="004D37A3">
        <w:t>the</w:t>
      </w:r>
      <w:r w:rsidR="000C331C">
        <w:t>-</w:t>
      </w:r>
      <w:r w:rsidR="000C331C" w:rsidRPr="004D37A3">
        <w:t>counter</w:t>
      </w:r>
      <w:proofErr w:type="gramEnd"/>
      <w:r w:rsidR="000C331C" w:rsidRPr="004D37A3">
        <w:t xml:space="preserve"> without a prescription</w:t>
      </w:r>
      <w:r w:rsidR="000C331C">
        <w:t xml:space="preserve"> in 2016</w:t>
      </w:r>
      <w:r w:rsidR="00B612AD">
        <w:t xml:space="preserve">. This </w:t>
      </w:r>
      <w:r w:rsidR="000C331C">
        <w:t xml:space="preserve">contributed to the drop in </w:t>
      </w:r>
      <w:r w:rsidR="00B612AD">
        <w:t>the number of all antimicrobials and non-J01 antimicrobials dispen</w:t>
      </w:r>
      <w:r w:rsidR="00450BE6">
        <w:t>s</w:t>
      </w:r>
      <w:r w:rsidR="00B612AD">
        <w:t xml:space="preserve">ed from 2015 to 2016. </w:t>
      </w:r>
    </w:p>
    <w:p w14:paraId="0C021A79" w14:textId="0739BC68" w:rsidR="00BB59F3" w:rsidRDefault="00F50C85" w:rsidP="0051775A">
      <w:pPr>
        <w:pStyle w:val="FigureTablefootnote"/>
      </w:pPr>
      <w:r w:rsidRPr="000B76CA">
        <w:t xml:space="preserve">Source: </w:t>
      </w:r>
      <w:proofErr w:type="spellStart"/>
      <w:r w:rsidRPr="000B76CA">
        <w:t>Gadzhanova</w:t>
      </w:r>
      <w:proofErr w:type="spellEnd"/>
      <w:r w:rsidRPr="000B76CA">
        <w:t>, Roughead</w:t>
      </w:r>
      <w:r w:rsidRPr="000B76CA">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0B76CA">
        <w:fldChar w:fldCharType="separate"/>
      </w:r>
      <w:r w:rsidR="00087F2D" w:rsidRPr="00087F2D">
        <w:rPr>
          <w:noProof/>
          <w:vertAlign w:val="superscript"/>
        </w:rPr>
        <w:t>19</w:t>
      </w:r>
      <w:r w:rsidRPr="000B76CA">
        <w:fldChar w:fldCharType="end"/>
      </w:r>
    </w:p>
    <w:p w14:paraId="066CA2F3" w14:textId="77777777" w:rsidR="0051775A" w:rsidRPr="0051775A" w:rsidRDefault="0051775A" w:rsidP="0051775A">
      <w:pPr>
        <w:pStyle w:val="FigureTablefootnote"/>
      </w:pPr>
    </w:p>
    <w:p w14:paraId="15F4395C" w14:textId="7C41BC78" w:rsidR="00902B86" w:rsidRDefault="0051775A" w:rsidP="00AE4E7F">
      <w:pPr>
        <w:tabs>
          <w:tab w:val="left" w:pos="0"/>
        </w:tabs>
      </w:pPr>
      <w:r>
        <w:t>Following an overall downward trend from 2015, t</w:t>
      </w:r>
      <w:r w:rsidR="00902B86">
        <w:t xml:space="preserve">he </w:t>
      </w:r>
      <w:r w:rsidR="00E61E59">
        <w:t xml:space="preserve">rate </w:t>
      </w:r>
      <w:r w:rsidR="00902B86">
        <w:t>of all antimicrobials supplied in Australia remained stable</w:t>
      </w:r>
      <w:r w:rsidR="00C53C4B">
        <w:t xml:space="preserve"> from 2022 to 2023 </w:t>
      </w:r>
      <w:r w:rsidR="00902B86">
        <w:t>at 16.8</w:t>
      </w:r>
      <w:r w:rsidR="00674DCF">
        <w:t> </w:t>
      </w:r>
      <w:r w:rsidR="00902B86">
        <w:t>defined daily doses (DDD)</w:t>
      </w:r>
      <w:r w:rsidR="00DA65F2">
        <w:t xml:space="preserve"> per </w:t>
      </w:r>
      <w:r w:rsidR="00902B86">
        <w:t>1,000 people</w:t>
      </w:r>
      <w:r w:rsidR="00DA65F2">
        <w:t xml:space="preserve"> per </w:t>
      </w:r>
      <w:r w:rsidR="00902B86">
        <w:t xml:space="preserve">day </w:t>
      </w:r>
      <w:r w:rsidR="003B14C0">
        <w:t>(Figure 1)</w:t>
      </w:r>
      <w:r w:rsidR="00902B86">
        <w:t>.</w:t>
      </w:r>
    </w:p>
    <w:p w14:paraId="3ACC5CAE" w14:textId="66FCA5C5" w:rsidR="003B14C0" w:rsidRPr="001F3FA3" w:rsidRDefault="00445847" w:rsidP="001F3FA3">
      <w:pPr>
        <w:spacing w:before="0" w:after="200"/>
        <w:rPr>
          <w:rFonts w:ascii="Arial" w:hAnsi="Arial" w:cs="Arial"/>
        </w:rPr>
      </w:pPr>
      <w:r>
        <w:rPr>
          <w:rFonts w:ascii="Arial" w:hAnsi="Arial" w:cs="Arial"/>
        </w:rPr>
        <w:t>C</w:t>
      </w:r>
      <w:r w:rsidR="003B14C0" w:rsidRPr="004D37A3">
        <w:rPr>
          <w:rFonts w:ascii="Arial" w:hAnsi="Arial" w:cs="Arial"/>
        </w:rPr>
        <w:t xml:space="preserve">rude and age-standardised rates of antimicrobial prescriptions supplied per 1,000 people in Australia </w:t>
      </w:r>
      <w:r>
        <w:rPr>
          <w:rFonts w:ascii="Arial" w:hAnsi="Arial" w:cs="Arial"/>
        </w:rPr>
        <w:t xml:space="preserve">followed a similar trend to </w:t>
      </w:r>
      <w:r w:rsidR="00AD60D4">
        <w:rPr>
          <w:rFonts w:ascii="Arial" w:hAnsi="Arial" w:cs="Arial"/>
        </w:rPr>
        <w:t xml:space="preserve">rate </w:t>
      </w:r>
      <w:r>
        <w:rPr>
          <w:rFonts w:ascii="Arial" w:hAnsi="Arial" w:cs="Arial"/>
        </w:rPr>
        <w:t>of supply</w:t>
      </w:r>
      <w:r w:rsidR="00E61E59">
        <w:rPr>
          <w:rFonts w:ascii="Arial" w:hAnsi="Arial" w:cs="Arial"/>
        </w:rPr>
        <w:t>. When controlled for population, there was just over a 1% drop in antimicrobial use per person from 2022 to 2023</w:t>
      </w:r>
      <w:r w:rsidR="00BB2ED4">
        <w:rPr>
          <w:rFonts w:ascii="Arial" w:hAnsi="Arial" w:cs="Arial"/>
        </w:rPr>
        <w:t xml:space="preserve"> </w:t>
      </w:r>
      <w:r w:rsidR="003B14C0" w:rsidRPr="004D37A3">
        <w:rPr>
          <w:rFonts w:ascii="Arial" w:hAnsi="Arial" w:cs="Arial"/>
        </w:rPr>
        <w:t>(Figure </w:t>
      </w:r>
      <w:r w:rsidR="003B14C0">
        <w:rPr>
          <w:rFonts w:ascii="Arial" w:hAnsi="Arial" w:cs="Arial"/>
        </w:rPr>
        <w:t>2</w:t>
      </w:r>
      <w:r w:rsidR="003B14C0" w:rsidRPr="004D37A3">
        <w:rPr>
          <w:rFonts w:ascii="Arial" w:hAnsi="Arial" w:cs="Arial"/>
        </w:rPr>
        <w:t>).</w:t>
      </w:r>
      <w:r w:rsidR="003B14C0" w:rsidRPr="007A09EB">
        <w:rPr>
          <w:rFonts w:ascii="Arial" w:hAnsi="Arial" w:cs="Arial"/>
        </w:rPr>
        <w:br w:type="page"/>
      </w:r>
    </w:p>
    <w:p w14:paraId="3B47436E" w14:textId="782C1D00" w:rsidR="00AE4E7F" w:rsidRDefault="00AE4E7F" w:rsidP="00595FD1">
      <w:pPr>
        <w:pStyle w:val="FigureTableTitle"/>
        <w:spacing w:after="0"/>
        <w:rPr>
          <w:b w:val="0"/>
          <w:bCs/>
        </w:rPr>
      </w:pPr>
      <w:bookmarkStart w:id="17" w:name="_Toc121491314"/>
      <w:bookmarkStart w:id="18" w:name="_Toc121840886"/>
      <w:bookmarkStart w:id="19" w:name="_Toc166587366"/>
      <w:r w:rsidRPr="00ED020C">
        <w:rPr>
          <w:bCs/>
        </w:rPr>
        <w:lastRenderedPageBreak/>
        <w:t>Figure </w:t>
      </w:r>
      <w:r w:rsidR="00902B86">
        <w:rPr>
          <w:bCs/>
        </w:rPr>
        <w:t>1</w:t>
      </w:r>
      <w:r w:rsidRPr="00ED020C">
        <w:rPr>
          <w:bCs/>
        </w:rPr>
        <w:t>:</w:t>
      </w:r>
      <w:r w:rsidRPr="00ED020C">
        <w:t> </w:t>
      </w:r>
      <w:r w:rsidR="00363B0C">
        <w:rPr>
          <w:b w:val="0"/>
          <w:bCs/>
        </w:rPr>
        <w:t>Rate</w:t>
      </w:r>
      <w:r w:rsidR="00363B0C" w:rsidRPr="00ED020C">
        <w:rPr>
          <w:b w:val="0"/>
          <w:bCs/>
        </w:rPr>
        <w:t xml:space="preserve"> </w:t>
      </w:r>
      <w:r w:rsidRPr="00ED020C">
        <w:rPr>
          <w:b w:val="0"/>
          <w:bCs/>
        </w:rPr>
        <w:t>of PBS</w:t>
      </w:r>
      <w:r w:rsidR="00B86AB6">
        <w:rPr>
          <w:b w:val="0"/>
          <w:bCs/>
        </w:rPr>
        <w:t xml:space="preserve"> and </w:t>
      </w:r>
      <w:r w:rsidRPr="00ED020C">
        <w:rPr>
          <w:b w:val="0"/>
          <w:bCs/>
        </w:rPr>
        <w:t>RPBS antimicrobial prescriptions dispensed (DDD/1,000 people/day), 2015–</w:t>
      </w:r>
      <w:proofErr w:type="gramStart"/>
      <w:r w:rsidRPr="00ED020C">
        <w:rPr>
          <w:b w:val="0"/>
          <w:bCs/>
        </w:rPr>
        <w:t>2023</w:t>
      </w:r>
      <w:bookmarkEnd w:id="17"/>
      <w:bookmarkEnd w:id="18"/>
      <w:bookmarkEnd w:id="19"/>
      <w:proofErr w:type="gramEnd"/>
    </w:p>
    <w:p w14:paraId="37F2AE99" w14:textId="3BB4B7E5" w:rsidR="00AE4E7F" w:rsidRPr="00DC71BB" w:rsidRDefault="00DC71BB" w:rsidP="00DC71BB">
      <w:pPr>
        <w:pStyle w:val="FigureTableTitle"/>
        <w:spacing w:after="0"/>
      </w:pPr>
      <w:r>
        <w:rPr>
          <w:noProof/>
        </w:rPr>
        <w:drawing>
          <wp:inline distT="0" distB="0" distL="0" distR="0" wp14:anchorId="5D39F2A2" wp14:editId="1D21EE59">
            <wp:extent cx="6115050" cy="3237230"/>
            <wp:effectExtent l="0" t="0" r="0" b="1270"/>
            <wp:docPr id="18" name="Picture 18" descr="Figure 1: Rate of PBS and RPBS antimicrobial prescriptions dispensed (DDD/1,000 people/day),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Rate of PBS and RPBS antimicrobial prescriptions dispensed (DDD/1,000 people/day), 2015–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237230"/>
                    </a:xfrm>
                    <a:prstGeom prst="rect">
                      <a:avLst/>
                    </a:prstGeom>
                    <a:noFill/>
                  </pic:spPr>
                </pic:pic>
              </a:graphicData>
            </a:graphic>
          </wp:inline>
        </w:drawing>
      </w:r>
    </w:p>
    <w:p w14:paraId="7421030A" w14:textId="06A7599F" w:rsidR="00AE4E7F" w:rsidRPr="00B511BD" w:rsidRDefault="00AE4E7F" w:rsidP="00AE4E7F">
      <w:pPr>
        <w:pStyle w:val="FigureTablefootnote"/>
        <w:rPr>
          <w:color w:val="FF00FF"/>
        </w:rPr>
      </w:pPr>
      <w:r w:rsidRPr="000B76CA">
        <w:t>DDD = defined daily dose; PBS = Pharmaceutical Benefits Scheme; RPBS = Repatriation Pharmaceutical Benefits Scheme</w:t>
      </w:r>
    </w:p>
    <w:p w14:paraId="653A40AD" w14:textId="75ABFFB0" w:rsidR="006A3287" w:rsidRPr="006A3287" w:rsidRDefault="00AE4E7F" w:rsidP="00AE4E7F">
      <w:pPr>
        <w:pStyle w:val="FigureTablefootnote"/>
        <w:rPr>
          <w:rFonts w:cs="Arial"/>
        </w:rPr>
      </w:pPr>
      <w:r w:rsidRPr="000B76CA">
        <w:t>Note: The DDD value</w:t>
      </w:r>
      <w:r>
        <w:t>s</w:t>
      </w:r>
      <w:r w:rsidRPr="000B76CA">
        <w:t xml:space="preserve"> </w:t>
      </w:r>
      <w:r>
        <w:t xml:space="preserve">determined by the World Health Organization Collaborating Centre for Drug Statistics Methodology for 2024 have </w:t>
      </w:r>
      <w:r w:rsidRPr="000B76CA">
        <w:t xml:space="preserve">been applied in this report, causing slight </w:t>
      </w:r>
      <w:r w:rsidR="00B7573E">
        <w:t xml:space="preserve">variation with </w:t>
      </w:r>
      <w:r w:rsidRPr="000B76CA">
        <w:t>results presented in previous reports.</w:t>
      </w:r>
      <w:r w:rsidR="002B0915">
        <w:fldChar w:fldCharType="begin"/>
      </w:r>
      <w:r w:rsidR="006908DE">
        <w:instrText xml:space="preserve"> ADDIN EN.CITE &lt;EndNote&gt;&lt;Cite&gt;&lt;Author&gt;WHO Collaborating Centre for Drug Statistics Methodology&lt;/Author&gt;&lt;Year&gt;2024&lt;/Year&gt;&lt;RecNum&gt;471&lt;/RecNum&gt;&lt;DisplayText&gt;&lt;style face="superscript"&gt;39&lt;/style&gt;&lt;/DisplayText&gt;&lt;record&gt;&lt;rec-number&gt;471&lt;/rec-number&gt;&lt;foreign-keys&gt;&lt;key app="EN" db-id="0a9sasvr7dwawyeva9qpw09xaap9erv5ad5e" timestamp="1716861931"&gt;471&lt;/key&gt;&lt;/foreign-keys&gt;&lt;ref-type name="Web Page"&gt;12&lt;/ref-type&gt;&lt;contributors&gt;&lt;authors&gt;&lt;author&gt;WHO Collaborating Centre for Drug Statistics Methodology, &lt;/author&gt;&lt;author&gt;Norwegian Institute of Public Health, &lt;/author&gt;&lt;/authors&gt;&lt;/contributors&gt;&lt;titles&gt;&lt;title&gt;DDD alterations from 2005–2024&lt;/title&gt;&lt;/titles&gt;&lt;number&gt;May 2024&lt;/number&gt;&lt;dates&gt;&lt;year&gt;2024&lt;/year&gt;&lt;/dates&gt;&lt;pub-location&gt;Norway&lt;/pub-location&gt;&lt;publisher&gt;WHO CC&lt;/publisher&gt;&lt;urls&gt;&lt;related-urls&gt;&lt;url&gt;https://www.whocc.no/atc_ddd_alterations__cumulative/ddd_alterations/&lt;/url&gt;&lt;/related-urls&gt;&lt;/urls&gt;&lt;/record&gt;&lt;/Cite&gt;&lt;/EndNote&gt;</w:instrText>
      </w:r>
      <w:r w:rsidR="002B0915">
        <w:fldChar w:fldCharType="separate"/>
      </w:r>
      <w:r w:rsidR="00577C74" w:rsidRPr="00577C74">
        <w:rPr>
          <w:noProof/>
          <w:vertAlign w:val="superscript"/>
        </w:rPr>
        <w:t>39</w:t>
      </w:r>
      <w:r w:rsidR="002B0915">
        <w:fldChar w:fldCharType="end"/>
      </w:r>
      <w:r w:rsidRPr="000B76CA">
        <w:br/>
      </w:r>
      <w:r w:rsidRPr="000B76CA">
        <w:rPr>
          <w:rFonts w:cs="Arial"/>
        </w:rPr>
        <w:t xml:space="preserve">Source: </w:t>
      </w:r>
      <w:proofErr w:type="spellStart"/>
      <w:r w:rsidRPr="000B76CA">
        <w:rPr>
          <w:rFonts w:cs="Arial"/>
        </w:rPr>
        <w:t>Gadzhanova</w:t>
      </w:r>
      <w:proofErr w:type="spellEnd"/>
      <w:r w:rsidRPr="000B76CA">
        <w:rPr>
          <w:rFonts w:cs="Arial"/>
        </w:rPr>
        <w:t>, Roughead</w:t>
      </w:r>
      <w:r w:rsidRPr="000B76CA">
        <w:rPr>
          <w:rFonts w:cs="Arial"/>
        </w:rPr>
        <w:fldChar w:fldCharType="begin"/>
      </w:r>
      <w:r w:rsidR="00214844">
        <w:rPr>
          <w:rFonts w:cs="Arial"/>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0B76CA">
        <w:rPr>
          <w:rFonts w:cs="Arial"/>
        </w:rPr>
        <w:fldChar w:fldCharType="separate"/>
      </w:r>
      <w:r w:rsidR="00087F2D" w:rsidRPr="00087F2D">
        <w:rPr>
          <w:rFonts w:cs="Arial"/>
          <w:noProof/>
          <w:vertAlign w:val="superscript"/>
        </w:rPr>
        <w:t>19</w:t>
      </w:r>
      <w:r w:rsidRPr="000B76CA">
        <w:rPr>
          <w:rFonts w:cs="Arial"/>
        </w:rPr>
        <w:fldChar w:fldCharType="end"/>
      </w:r>
    </w:p>
    <w:p w14:paraId="7A57C1A1" w14:textId="7CB9F0CC" w:rsidR="00F50C85" w:rsidRDefault="00F50C85" w:rsidP="00595FD1">
      <w:pPr>
        <w:pStyle w:val="FigureTableTitle"/>
        <w:spacing w:after="0"/>
        <w:rPr>
          <w:b w:val="0"/>
          <w:bCs/>
        </w:rPr>
      </w:pPr>
      <w:bookmarkStart w:id="20" w:name="_Toc121491313"/>
      <w:bookmarkStart w:id="21" w:name="_Toc121840885"/>
      <w:bookmarkStart w:id="22" w:name="_Toc166587365"/>
      <w:r w:rsidRPr="000B76CA">
        <w:rPr>
          <w:bCs/>
        </w:rPr>
        <w:t>Figure </w:t>
      </w:r>
      <w:r w:rsidR="003B14C0">
        <w:rPr>
          <w:bCs/>
        </w:rPr>
        <w:t>2</w:t>
      </w:r>
      <w:r w:rsidRPr="000B76CA">
        <w:rPr>
          <w:bCs/>
        </w:rPr>
        <w:t>:</w:t>
      </w:r>
      <w:r w:rsidRPr="000B76CA">
        <w:t> </w:t>
      </w:r>
      <w:r w:rsidR="00BE594F">
        <w:rPr>
          <w:b w:val="0"/>
          <w:bCs/>
        </w:rPr>
        <w:t>Proportion</w:t>
      </w:r>
      <w:r w:rsidR="00BE594F" w:rsidRPr="000B76CA">
        <w:rPr>
          <w:b w:val="0"/>
          <w:bCs/>
        </w:rPr>
        <w:t xml:space="preserve"> </w:t>
      </w:r>
      <w:r w:rsidRPr="000B76CA">
        <w:rPr>
          <w:b w:val="0"/>
          <w:bCs/>
        </w:rPr>
        <w:t>of PBS</w:t>
      </w:r>
      <w:r w:rsidR="00B93A31" w:rsidRPr="000B76CA">
        <w:rPr>
          <w:b w:val="0"/>
          <w:bCs/>
        </w:rPr>
        <w:t xml:space="preserve"> and </w:t>
      </w:r>
      <w:r w:rsidRPr="000B76CA">
        <w:rPr>
          <w:b w:val="0"/>
          <w:bCs/>
        </w:rPr>
        <w:t>RPBS antimicrobial prescriptions dispensed per 1,000 people, crude and age-standardised rates, 2015–</w:t>
      </w:r>
      <w:proofErr w:type="gramStart"/>
      <w:r w:rsidRPr="000B76CA">
        <w:rPr>
          <w:b w:val="0"/>
          <w:bCs/>
        </w:rPr>
        <w:t>202</w:t>
      </w:r>
      <w:r w:rsidR="003361D4" w:rsidRPr="000B76CA">
        <w:rPr>
          <w:b w:val="0"/>
          <w:bCs/>
        </w:rPr>
        <w:t>3</w:t>
      </w:r>
      <w:bookmarkEnd w:id="20"/>
      <w:bookmarkEnd w:id="21"/>
      <w:bookmarkEnd w:id="22"/>
      <w:proofErr w:type="gramEnd"/>
    </w:p>
    <w:p w14:paraId="24E5E9B4" w14:textId="688D9A33" w:rsidR="000740D6" w:rsidRPr="00DC71BB" w:rsidRDefault="00DC71BB" w:rsidP="00DC71BB">
      <w:pPr>
        <w:pStyle w:val="FigureTableTitle"/>
        <w:spacing w:after="0"/>
        <w:rPr>
          <w:b w:val="0"/>
          <w:bCs/>
        </w:rPr>
      </w:pPr>
      <w:r>
        <w:rPr>
          <w:b w:val="0"/>
          <w:bCs/>
          <w:noProof/>
        </w:rPr>
        <w:drawing>
          <wp:inline distT="0" distB="0" distL="0" distR="0" wp14:anchorId="77A8C21A" wp14:editId="51D72F1B">
            <wp:extent cx="6115050" cy="3602990"/>
            <wp:effectExtent l="0" t="0" r="0" b="0"/>
            <wp:docPr id="24" name="Picture 24" descr="Figure 2: Proportion of PBS and RPBS antimicrobial prescriptions dispensed per 1,000 people, crude and age-standardised rate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Proportion of PBS and RPBS antimicrobial prescriptions dispensed per 1,000 people, crude and age-standardised rates, 2015–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602990"/>
                    </a:xfrm>
                    <a:prstGeom prst="rect">
                      <a:avLst/>
                    </a:prstGeom>
                    <a:noFill/>
                  </pic:spPr>
                </pic:pic>
              </a:graphicData>
            </a:graphic>
          </wp:inline>
        </w:drawing>
      </w:r>
    </w:p>
    <w:p w14:paraId="29104ABB" w14:textId="2AAFF92F" w:rsidR="00272C3E" w:rsidRDefault="00F50C85" w:rsidP="00725BBA">
      <w:pPr>
        <w:pStyle w:val="FigureTablefootnote"/>
      </w:pPr>
      <w:r w:rsidRPr="000B76CA">
        <w:t>PBS = Pharmaceutical Benefits Scheme; RPBS = Repatriation Pharmaceutical Benefits Scheme</w:t>
      </w:r>
      <w:r w:rsidRPr="000B76CA">
        <w:br/>
      </w:r>
      <w:r w:rsidR="00272C3E">
        <w:t xml:space="preserve">Note: </w:t>
      </w:r>
      <w:r w:rsidR="00077DE4">
        <w:t>A</w:t>
      </w:r>
      <w:r w:rsidR="00272C3E">
        <w:t xml:space="preserve">ge-standardised </w:t>
      </w:r>
      <w:r w:rsidR="00077DE4">
        <w:t xml:space="preserve">rates were </w:t>
      </w:r>
      <w:r w:rsidR="00272C3E">
        <w:t xml:space="preserve">based on the age structure of the Australian national population in 2013 for consistency with previous reports; national rates </w:t>
      </w:r>
      <w:r w:rsidR="00077DE4">
        <w:t xml:space="preserve">were </w:t>
      </w:r>
      <w:r w:rsidR="00272C3E">
        <w:t>based on the total number of prescriptions dispensed and people in Australia in the given year.</w:t>
      </w:r>
    </w:p>
    <w:p w14:paraId="44A29D92" w14:textId="29E6C00C" w:rsidR="00595FD1" w:rsidRDefault="00F50C85" w:rsidP="00595FD1">
      <w:pPr>
        <w:pStyle w:val="FigureTablefootnote"/>
        <w:rPr>
          <w:rFonts w:cs="Arial"/>
        </w:rPr>
      </w:pPr>
      <w:r w:rsidRPr="000B76CA">
        <w:rPr>
          <w:rFonts w:cs="Arial"/>
        </w:rPr>
        <w:t xml:space="preserve">Source: </w:t>
      </w:r>
      <w:proofErr w:type="spellStart"/>
      <w:r w:rsidRPr="000B76CA">
        <w:rPr>
          <w:rFonts w:cs="Arial"/>
        </w:rPr>
        <w:t>Gadzhanova</w:t>
      </w:r>
      <w:proofErr w:type="spellEnd"/>
      <w:r w:rsidRPr="000B76CA">
        <w:rPr>
          <w:rFonts w:cs="Arial"/>
        </w:rPr>
        <w:t>, Roughead</w:t>
      </w:r>
      <w:r w:rsidRPr="000B76CA">
        <w:rPr>
          <w:rFonts w:cs="Arial"/>
        </w:rPr>
        <w:fldChar w:fldCharType="begin"/>
      </w:r>
      <w:r w:rsidR="00214844">
        <w:rPr>
          <w:rFonts w:cs="Arial"/>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0B76CA">
        <w:rPr>
          <w:rFonts w:cs="Arial"/>
        </w:rPr>
        <w:fldChar w:fldCharType="separate"/>
      </w:r>
      <w:r w:rsidR="00087F2D" w:rsidRPr="00087F2D">
        <w:rPr>
          <w:rFonts w:cs="Arial"/>
          <w:noProof/>
          <w:vertAlign w:val="superscript"/>
        </w:rPr>
        <w:t>19</w:t>
      </w:r>
      <w:r w:rsidRPr="000B76CA">
        <w:rPr>
          <w:rFonts w:cs="Arial"/>
        </w:rPr>
        <w:fldChar w:fldCharType="end"/>
      </w:r>
      <w:r w:rsidR="00595FD1">
        <w:rPr>
          <w:rFonts w:cs="Arial"/>
        </w:rPr>
        <w:br w:type="page"/>
      </w:r>
    </w:p>
    <w:p w14:paraId="670CFFC6" w14:textId="2267250A" w:rsidR="00760422" w:rsidRPr="00ED5814" w:rsidRDefault="00302615" w:rsidP="00ED5814">
      <w:bookmarkStart w:id="23" w:name="_Toc121491318"/>
      <w:bookmarkStart w:id="24" w:name="_Toc121840890"/>
      <w:bookmarkStart w:id="25" w:name="_Toc166587370"/>
      <w:r w:rsidRPr="00ED5814">
        <w:lastRenderedPageBreak/>
        <w:t xml:space="preserve">The substantial difference in antimicrobial use across age groups (Figure 3) </w:t>
      </w:r>
      <w:r w:rsidR="00EA2C35" w:rsidRPr="00ED5814">
        <w:t>was</w:t>
      </w:r>
      <w:r w:rsidR="00EA2C35" w:rsidRPr="00ED5814">
        <w:rPr>
          <w:rStyle w:val="CommentReference"/>
          <w:sz w:val="22"/>
          <w:szCs w:val="22"/>
        </w:rPr>
        <w:t xml:space="preserve"> consistent across state</w:t>
      </w:r>
      <w:r w:rsidR="00EA2C35" w:rsidRPr="00ED5814">
        <w:t>s and territories</w:t>
      </w:r>
      <w:r w:rsidR="002B0915">
        <w:fldChar w:fldCharType="begin"/>
      </w:r>
      <w:r w:rsidR="00087F2D">
        <w:instrText xml:space="preserve"> ADDIN EN.CITE &lt;EndNote&gt;&lt;Cite&gt;&lt;Author&gt;Gadzhanova S and Roughead E on behalf of the Australian Commission on Safety and Quality in Health Care&lt;/Author&gt;&lt;Year&gt;2023&lt;/Year&gt;&lt;RecNum&gt;353&lt;/RecNum&gt;&lt;DisplayText&gt;&lt;style face="superscript"&gt;13&lt;/style&gt;&lt;/DisplayText&gt;&lt;record&gt;&lt;rec-number&gt;353&lt;/rec-number&gt;&lt;foreign-keys&gt;&lt;key app="EN" db-id="0a9sasvr7dwawyeva9qpw09xaap9erv5ad5e" timestamp="1716861523"&gt;353&lt;/key&gt;&lt;/foreign-keys&gt;&lt;ref-type name="Government Document"&gt;46&lt;/ref-type&gt;&lt;contributors&gt;&lt;authors&gt;&lt;author&gt;Gadzhanova S and Roughead E on behalf of the Australian Commission on Safety and Quality in Health Care, &lt;/author&gt;&lt;/authors&gt;&lt;/contributors&gt;&lt;titles&gt;&lt;title&gt;Analysis of 2015–2022 PBS and RPBS antimicrobial dispensing data&lt;/title&gt;&lt;/titles&gt;&lt;dates&gt;&lt;year&gt;2023&lt;/year&gt;&lt;/dates&gt;&lt;pub-location&gt;Sydney&lt;/pub-location&gt;&lt;publisher&gt;ACSQHC&lt;/publisher&gt;&lt;urls&gt;&lt;/urls&gt;&lt;/record&gt;&lt;/Cite&gt;&lt;/EndNote&gt;</w:instrText>
      </w:r>
      <w:r w:rsidR="002B0915">
        <w:fldChar w:fldCharType="separate"/>
      </w:r>
      <w:r w:rsidR="00087F2D" w:rsidRPr="00087F2D">
        <w:rPr>
          <w:noProof/>
          <w:vertAlign w:val="superscript"/>
        </w:rPr>
        <w:t>13</w:t>
      </w:r>
      <w:r w:rsidR="002B0915">
        <w:fldChar w:fldCharType="end"/>
      </w:r>
      <w:r w:rsidR="00EA2C35" w:rsidRPr="00ED5814">
        <w:t xml:space="preserve"> and </w:t>
      </w:r>
      <w:r w:rsidRPr="00ED5814">
        <w:t>followed a similar pattern to previous years</w:t>
      </w:r>
      <w:r w:rsidR="00EA2C35" w:rsidRPr="00ED5814">
        <w:t>.</w:t>
      </w:r>
      <w:r w:rsidR="002B0915">
        <w:fldChar w:fldCharType="begin"/>
      </w:r>
      <w:r w:rsidR="00087F2D">
        <w:instrText xml:space="preserve"> ADDIN EN.CITE &lt;EndNote&gt;&lt;Cite&gt;&lt;Author&gt;Australian Commission on Safety and Quality in Health Care&lt;/Author&gt;&lt;Year&gt;2022&lt;/Year&gt;&lt;RecNum&gt;327&lt;/RecNum&gt;&lt;DisplayText&gt;&lt;style face="superscript"&gt;12, 18&lt;/style&gt;&lt;/DisplayText&gt;&lt;record&gt;&lt;rec-number&gt;327&lt;/rec-number&gt;&lt;foreign-keys&gt;&lt;key app="EN" db-id="0a9sasvr7dwawyeva9qpw09xaap9erv5ad5e" timestamp="1716861441"&gt;327&lt;/key&gt;&lt;/foreign-keys&gt;&lt;ref-type name="Government Document"&gt;46&lt;/ref-type&gt;&lt;contributors&gt;&lt;authors&gt;&lt;author&gt;Australian Commission on Safety and Quality in Health Care, &lt;/author&gt;&lt;/authors&gt;&lt;/contributors&gt;&lt;titles&gt;&lt;title&gt;Antimicrobial use and appropriateness in the community: 2020–2021&lt;/title&gt;&lt;/titles&gt;&lt;dates&gt;&lt;year&gt;2022&lt;/year&gt;&lt;/dates&gt;&lt;pub-location&gt;Sydney&lt;/pub-location&gt;&lt;publisher&gt;ACSQHC&lt;/publisher&gt;&lt;urls&gt;&lt;/urls&gt;&lt;/record&gt;&lt;/Cite&gt;&lt;Cite&gt;&lt;Author&gt;Australian Commission on Safety and Quality in Health Care&lt;/Author&gt;&lt;Year&gt;2023&lt;/Year&gt;&lt;RecNum&gt;68&lt;/RecNum&gt;&lt;record&gt;&lt;rec-number&gt;68&lt;/rec-number&gt;&lt;foreign-keys&gt;&lt;key app="EN" db-id="0a9sasvr7dwawyeva9qpw09xaap9erv5ad5e" timestamp="1704343318"&gt;68&lt;/key&gt;&lt;/foreign-keys&gt;&lt;ref-type name="Government Document"&gt;46&lt;/ref-type&gt;&lt;contributors&gt;&lt;authors&gt;&lt;author&gt;Australian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health&lt;/title&gt;&lt;/titles&gt;&lt;dates&gt;&lt;year&gt;2023&lt;/year&gt;&lt;/dates&gt;&lt;pub-location&gt;Sydney&lt;/pub-location&gt;&lt;publisher&gt;ACSQHC&lt;/publisher&gt;&lt;urls&gt;&lt;/urls&gt;&lt;access-date&gt;Jan 2024&lt;/access-date&gt;&lt;/record&gt;&lt;/Cite&gt;&lt;/EndNote&gt;</w:instrText>
      </w:r>
      <w:r w:rsidR="002B0915">
        <w:fldChar w:fldCharType="separate"/>
      </w:r>
      <w:r w:rsidR="00087F2D" w:rsidRPr="00087F2D">
        <w:rPr>
          <w:noProof/>
          <w:vertAlign w:val="superscript"/>
        </w:rPr>
        <w:t>12,18</w:t>
      </w:r>
      <w:r w:rsidR="002B0915">
        <w:fldChar w:fldCharType="end"/>
      </w:r>
      <w:r w:rsidR="00EA2C35" w:rsidRPr="00ED5814">
        <w:t xml:space="preserve"> </w:t>
      </w:r>
      <w:r w:rsidR="00865523">
        <w:t xml:space="preserve">Older </w:t>
      </w:r>
      <w:r w:rsidR="00EA2C35" w:rsidRPr="00ED5814">
        <w:rPr>
          <w:rStyle w:val="CommentReference"/>
          <w:sz w:val="22"/>
          <w:szCs w:val="22"/>
        </w:rPr>
        <w:t>Au</w:t>
      </w:r>
      <w:r w:rsidR="0085094C" w:rsidRPr="00ED5814">
        <w:t xml:space="preserve">stralians received the </w:t>
      </w:r>
      <w:r w:rsidR="00B530E7" w:rsidRPr="00ED5814">
        <w:t xml:space="preserve">greatest </w:t>
      </w:r>
      <w:r w:rsidR="0085094C" w:rsidRPr="00ED5814">
        <w:t>number of antimicrobial</w:t>
      </w:r>
      <w:r w:rsidR="00B530E7" w:rsidRPr="00ED5814">
        <w:t>s</w:t>
      </w:r>
      <w:r w:rsidR="00A154EF" w:rsidRPr="00ED5814">
        <w:t>. On average</w:t>
      </w:r>
      <w:r w:rsidR="00ED5814">
        <w:t xml:space="preserve"> </w:t>
      </w:r>
      <w:r w:rsidR="00B34AFE">
        <w:t>in</w:t>
      </w:r>
      <w:r w:rsidR="00ED5814" w:rsidRPr="00ED5814">
        <w:t xml:space="preserve"> </w:t>
      </w:r>
      <w:r w:rsidR="008B652F">
        <w:t>2023</w:t>
      </w:r>
      <w:r w:rsidR="00A154EF" w:rsidRPr="00ED5814">
        <w:t xml:space="preserve">, </w:t>
      </w:r>
      <w:r w:rsidR="00FC3620">
        <w:t>people</w:t>
      </w:r>
      <w:r w:rsidR="00A154EF" w:rsidRPr="00ED5814">
        <w:t xml:space="preserve"> aged</w:t>
      </w:r>
      <w:r w:rsidR="0085094C" w:rsidRPr="00ED5814">
        <w:t xml:space="preserve"> </w:t>
      </w:r>
      <w:r w:rsidR="00A154EF" w:rsidRPr="00ED5814">
        <w:t>65</w:t>
      </w:r>
      <w:r w:rsidR="004277AF">
        <w:t>–</w:t>
      </w:r>
      <w:r w:rsidR="00A154EF" w:rsidRPr="00ED5814">
        <w:t xml:space="preserve">79 years received </w:t>
      </w:r>
      <w:r w:rsidR="0085094C" w:rsidRPr="00ED5814">
        <w:t>1–2</w:t>
      </w:r>
      <w:r w:rsidR="00E64B23" w:rsidRPr="00ED5814">
        <w:t> </w:t>
      </w:r>
      <w:r w:rsidR="00A154EF" w:rsidRPr="00ED5814">
        <w:t xml:space="preserve">antimicrobial </w:t>
      </w:r>
      <w:r w:rsidR="0085094C" w:rsidRPr="00ED5814">
        <w:t>prescriptions</w:t>
      </w:r>
      <w:r w:rsidR="00A154EF" w:rsidRPr="00ED5814">
        <w:t>, while those aged 80 years and over received</w:t>
      </w:r>
      <w:r w:rsidR="00FC3620">
        <w:br/>
      </w:r>
      <w:r w:rsidR="00A154EF" w:rsidRPr="00ED5814">
        <w:t>2–3</w:t>
      </w:r>
      <w:r w:rsidR="00493BCF">
        <w:t> </w:t>
      </w:r>
      <w:r w:rsidR="00A154EF" w:rsidRPr="00ED5814">
        <w:t>antimicrobial prescriptions</w:t>
      </w:r>
      <w:r w:rsidR="00760422">
        <w:t>. The lowest number of antimicrobial prescriptions w</w:t>
      </w:r>
      <w:r w:rsidR="00B34AFE">
        <w:t>as</w:t>
      </w:r>
      <w:r w:rsidR="00760422">
        <w:t xml:space="preserve"> supplied to Australians aged 10–14</w:t>
      </w:r>
      <w:r w:rsidR="00493BCF">
        <w:t> </w:t>
      </w:r>
      <w:r w:rsidR="00760422">
        <w:t xml:space="preserve">years </w:t>
      </w:r>
      <w:r w:rsidR="00A154EF" w:rsidRPr="00ED5814">
        <w:t>(Figure 3).</w:t>
      </w:r>
    </w:p>
    <w:p w14:paraId="09A85CE9" w14:textId="3BF75232" w:rsidR="006A3287" w:rsidRDefault="006A3287" w:rsidP="006A3287">
      <w:pPr>
        <w:pStyle w:val="FigureTableTitle"/>
        <w:spacing w:after="0"/>
        <w:rPr>
          <w:b w:val="0"/>
          <w:bCs/>
        </w:rPr>
      </w:pPr>
      <w:r w:rsidRPr="000B76CA">
        <w:t>Figure </w:t>
      </w:r>
      <w:r>
        <w:t>3</w:t>
      </w:r>
      <w:r w:rsidRPr="000B76CA">
        <w:rPr>
          <w:rStyle w:val="figurenumber"/>
          <w:rFonts w:asciiTheme="majorHAnsi" w:hAnsiTheme="majorHAnsi" w:cstheme="majorHAnsi"/>
        </w:rPr>
        <w:t>:</w:t>
      </w:r>
      <w:r w:rsidRPr="000B76CA">
        <w:t> </w:t>
      </w:r>
      <w:r w:rsidR="009E2274">
        <w:rPr>
          <w:b w:val="0"/>
          <w:bCs/>
        </w:rPr>
        <w:t>Proportion</w:t>
      </w:r>
      <w:r w:rsidR="009E2274" w:rsidRPr="000B76CA">
        <w:rPr>
          <w:b w:val="0"/>
          <w:bCs/>
        </w:rPr>
        <w:t xml:space="preserve"> </w:t>
      </w:r>
      <w:r w:rsidRPr="000B76CA">
        <w:rPr>
          <w:b w:val="0"/>
          <w:bCs/>
        </w:rPr>
        <w:t xml:space="preserve">of PBS and RPBS antimicrobial prescriptions dispensed per 1,000 people, by age group, </w:t>
      </w:r>
      <w:proofErr w:type="gramStart"/>
      <w:r w:rsidRPr="000B76CA">
        <w:rPr>
          <w:b w:val="0"/>
          <w:bCs/>
        </w:rPr>
        <w:t>2023</w:t>
      </w:r>
      <w:bookmarkEnd w:id="23"/>
      <w:bookmarkEnd w:id="24"/>
      <w:bookmarkEnd w:id="25"/>
      <w:proofErr w:type="gramEnd"/>
    </w:p>
    <w:p w14:paraId="6A8E131E" w14:textId="59E76EF0" w:rsidR="00D8069C" w:rsidRPr="000B76CA" w:rsidRDefault="00D8069C" w:rsidP="006A3287">
      <w:pPr>
        <w:pStyle w:val="FigureTableTitle"/>
        <w:spacing w:after="0"/>
        <w:rPr>
          <w:bCs/>
        </w:rPr>
      </w:pPr>
      <w:r>
        <w:rPr>
          <w:bCs/>
          <w:noProof/>
        </w:rPr>
        <w:drawing>
          <wp:inline distT="0" distB="0" distL="0" distR="0" wp14:anchorId="42F3CF77" wp14:editId="2AAD7810">
            <wp:extent cx="6115050" cy="3609340"/>
            <wp:effectExtent l="0" t="0" r="0" b="0"/>
            <wp:docPr id="25" name="Picture 25" descr="Figure 3: Proportion of PBS and RPBS antimicrobial prescriptions dispensed per 1,000 people, by age group,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Proportion of PBS and RPBS antimicrobial prescriptions dispensed per 1,000 people, by age group,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609340"/>
                    </a:xfrm>
                    <a:prstGeom prst="rect">
                      <a:avLst/>
                    </a:prstGeom>
                    <a:noFill/>
                  </pic:spPr>
                </pic:pic>
              </a:graphicData>
            </a:graphic>
          </wp:inline>
        </w:drawing>
      </w:r>
    </w:p>
    <w:p w14:paraId="5FFE9E87" w14:textId="0C6F699E" w:rsidR="000D02E4" w:rsidRDefault="006A3287" w:rsidP="000D02E4">
      <w:pPr>
        <w:pStyle w:val="FigureTablefootnote"/>
      </w:pPr>
      <w:r w:rsidRPr="000B76CA">
        <w:t>PBS = Pharmaceutical Benefits Scheme; RPBS = Repatriation Pharmaceutical Benefits Scheme</w:t>
      </w:r>
      <w:r w:rsidRPr="000B76CA">
        <w:br/>
        <w:t xml:space="preserve">Source: </w:t>
      </w:r>
      <w:proofErr w:type="spellStart"/>
      <w:r w:rsidRPr="000B76CA">
        <w:t>Gadzhanova</w:t>
      </w:r>
      <w:proofErr w:type="spellEnd"/>
      <w:r w:rsidRPr="000B76CA">
        <w:t>, Roughead</w:t>
      </w:r>
      <w:r w:rsidRPr="000B76CA">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0B76CA">
        <w:fldChar w:fldCharType="separate"/>
      </w:r>
      <w:r w:rsidR="00087F2D" w:rsidRPr="00087F2D">
        <w:rPr>
          <w:noProof/>
          <w:vertAlign w:val="superscript"/>
        </w:rPr>
        <w:t>19</w:t>
      </w:r>
      <w:r w:rsidRPr="000B76CA">
        <w:fldChar w:fldCharType="end"/>
      </w:r>
      <w:r w:rsidR="000D02E4">
        <w:br w:type="page"/>
      </w:r>
    </w:p>
    <w:p w14:paraId="015A013D" w14:textId="4F777393" w:rsidR="005950D0" w:rsidRPr="005950D0" w:rsidRDefault="005950D0" w:rsidP="003C71C5">
      <w:pPr>
        <w:ind w:right="-57"/>
      </w:pPr>
      <w:r w:rsidRPr="005950D0">
        <w:lastRenderedPageBreak/>
        <w:t>The 10 most commonly dispensed antimicrobials were generally consistent from 2015 to 2023</w:t>
      </w:r>
      <w:r w:rsidR="00B34AFE">
        <w:t>.</w:t>
      </w:r>
      <w:r w:rsidRPr="005950D0">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 </w:instrText>
      </w:r>
      <w:r w:rsidR="00C43D56">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EN.CITE.DATA </w:instrText>
      </w:r>
      <w:r w:rsidR="00C43D56">
        <w:rPr>
          <w:rFonts w:asciiTheme="majorHAnsi" w:hAnsiTheme="majorHAnsi" w:cstheme="majorHAnsi"/>
        </w:rPr>
      </w:r>
      <w:r w:rsidR="00C43D56">
        <w:rPr>
          <w:rFonts w:asciiTheme="majorHAnsi" w:hAnsiTheme="majorHAnsi" w:cstheme="majorHAnsi"/>
        </w:rPr>
        <w:fldChar w:fldCharType="end"/>
      </w:r>
      <w:r w:rsidRPr="005950D0">
        <w:rPr>
          <w:rFonts w:asciiTheme="majorHAnsi" w:hAnsiTheme="majorHAnsi" w:cstheme="majorHAnsi"/>
        </w:rPr>
      </w:r>
      <w:r w:rsidRPr="005950D0">
        <w:rPr>
          <w:rFonts w:asciiTheme="majorHAnsi" w:hAnsiTheme="majorHAnsi" w:cstheme="majorHAnsi"/>
        </w:rPr>
        <w:fldChar w:fldCharType="separate"/>
      </w:r>
      <w:r w:rsidR="00C43D56" w:rsidRPr="00C43D56">
        <w:rPr>
          <w:rFonts w:asciiTheme="majorHAnsi" w:hAnsiTheme="majorHAnsi" w:cstheme="majorHAnsi"/>
          <w:noProof/>
          <w:vertAlign w:val="superscript"/>
        </w:rPr>
        <w:t>12,14-18</w:t>
      </w:r>
      <w:r w:rsidRPr="005950D0">
        <w:rPr>
          <w:rFonts w:asciiTheme="majorHAnsi" w:hAnsiTheme="majorHAnsi" w:cstheme="majorHAnsi"/>
        </w:rPr>
        <w:fldChar w:fldCharType="end"/>
      </w:r>
      <w:r w:rsidR="004659A2">
        <w:rPr>
          <w:rFonts w:asciiTheme="majorHAnsi" w:hAnsiTheme="majorHAnsi" w:cstheme="majorHAnsi"/>
        </w:rPr>
        <w:t xml:space="preserve"> </w:t>
      </w:r>
      <w:r w:rsidRPr="005950D0">
        <w:rPr>
          <w:rFonts w:asciiTheme="majorHAnsi" w:hAnsiTheme="majorHAnsi" w:cstheme="majorHAnsi"/>
        </w:rPr>
        <w:t xml:space="preserve">In 2023, these medicines accounted for </w:t>
      </w:r>
      <w:r w:rsidR="002F7290">
        <w:rPr>
          <w:rFonts w:asciiTheme="majorHAnsi" w:hAnsiTheme="majorHAnsi" w:cstheme="majorHAnsi"/>
        </w:rPr>
        <w:t>a vast majority (</w:t>
      </w:r>
      <w:r w:rsidRPr="005950D0">
        <w:rPr>
          <w:rFonts w:asciiTheme="majorHAnsi" w:hAnsiTheme="majorHAnsi" w:cstheme="majorHAnsi"/>
        </w:rPr>
        <w:t>85</w:t>
      </w:r>
      <w:r w:rsidR="002F7290">
        <w:rPr>
          <w:rFonts w:asciiTheme="majorHAnsi" w:hAnsiTheme="majorHAnsi" w:cstheme="majorHAnsi"/>
        </w:rPr>
        <w:t>.3</w:t>
      </w:r>
      <w:r w:rsidRPr="005950D0">
        <w:rPr>
          <w:rFonts w:asciiTheme="majorHAnsi" w:hAnsiTheme="majorHAnsi" w:cstheme="majorHAnsi"/>
        </w:rPr>
        <w:t>%</w:t>
      </w:r>
      <w:r w:rsidR="002F7290">
        <w:rPr>
          <w:rFonts w:asciiTheme="majorHAnsi" w:hAnsiTheme="majorHAnsi" w:cstheme="majorHAnsi"/>
        </w:rPr>
        <w:t>)</w:t>
      </w:r>
      <w:r w:rsidRPr="005950D0">
        <w:rPr>
          <w:rFonts w:asciiTheme="majorHAnsi" w:hAnsiTheme="majorHAnsi" w:cstheme="majorHAnsi"/>
        </w:rPr>
        <w:t xml:space="preserve"> of all antimicrobials supplied in Australia. A</w:t>
      </w:r>
      <w:r w:rsidRPr="005950D0">
        <w:t xml:space="preserve">s in previous </w:t>
      </w:r>
      <w:r w:rsidR="00F50C85" w:rsidRPr="005950D0">
        <w:t>years</w:t>
      </w:r>
      <w:r>
        <w:t>,</w:t>
      </w:r>
      <w:r w:rsidR="00F50C85" w:rsidRPr="005950D0">
        <w:t xml:space="preserve"> the three most commonly dispensed antimicrobials in </w:t>
      </w:r>
      <w:r w:rsidR="008E7950" w:rsidRPr="005950D0">
        <w:t xml:space="preserve">2023 </w:t>
      </w:r>
      <w:r w:rsidR="00F50C85" w:rsidRPr="005950D0">
        <w:t>were cefalexin, amoxicillin and amoxicillin</w:t>
      </w:r>
      <w:r w:rsidR="00F50C85" w:rsidRPr="005950D0">
        <w:rPr>
          <w:rFonts w:asciiTheme="majorHAnsi" w:hAnsiTheme="majorHAnsi" w:cstheme="majorHAnsi"/>
        </w:rPr>
        <w:t>–</w:t>
      </w:r>
      <w:r w:rsidR="00F50C85" w:rsidRPr="005950D0">
        <w:t>clavulanic acid (Figure</w:t>
      </w:r>
      <w:r w:rsidRPr="005950D0">
        <w:t> </w:t>
      </w:r>
      <w:r w:rsidR="00827262">
        <w:t>4</w:t>
      </w:r>
      <w:r w:rsidR="00F50C85" w:rsidRPr="005950D0">
        <w:t>)</w:t>
      </w:r>
      <w:r>
        <w:rPr>
          <w:rFonts w:asciiTheme="majorHAnsi" w:hAnsiTheme="majorHAnsi" w:cstheme="majorHAnsi"/>
        </w:rPr>
        <w:t>.</w:t>
      </w:r>
      <w:r w:rsidRPr="005950D0">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 </w:instrText>
      </w:r>
      <w:r w:rsidR="00C43D56">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EN.CITE.DATA </w:instrText>
      </w:r>
      <w:r w:rsidR="00C43D56">
        <w:rPr>
          <w:rFonts w:asciiTheme="majorHAnsi" w:hAnsiTheme="majorHAnsi" w:cstheme="majorHAnsi"/>
        </w:rPr>
      </w:r>
      <w:r w:rsidR="00C43D56">
        <w:rPr>
          <w:rFonts w:asciiTheme="majorHAnsi" w:hAnsiTheme="majorHAnsi" w:cstheme="majorHAnsi"/>
        </w:rPr>
        <w:fldChar w:fldCharType="end"/>
      </w:r>
      <w:r w:rsidRPr="005950D0">
        <w:rPr>
          <w:rFonts w:asciiTheme="majorHAnsi" w:hAnsiTheme="majorHAnsi" w:cstheme="majorHAnsi"/>
        </w:rPr>
      </w:r>
      <w:r w:rsidRPr="005950D0">
        <w:rPr>
          <w:rFonts w:asciiTheme="majorHAnsi" w:hAnsiTheme="majorHAnsi" w:cstheme="majorHAnsi"/>
        </w:rPr>
        <w:fldChar w:fldCharType="separate"/>
      </w:r>
      <w:r w:rsidR="00C43D56" w:rsidRPr="00C43D56">
        <w:rPr>
          <w:rFonts w:asciiTheme="majorHAnsi" w:hAnsiTheme="majorHAnsi" w:cstheme="majorHAnsi"/>
          <w:noProof/>
          <w:vertAlign w:val="superscript"/>
        </w:rPr>
        <w:t>12,14-18</w:t>
      </w:r>
      <w:r w:rsidRPr="005950D0">
        <w:rPr>
          <w:rFonts w:asciiTheme="majorHAnsi" w:hAnsiTheme="majorHAnsi" w:cstheme="majorHAnsi"/>
        </w:rPr>
        <w:fldChar w:fldCharType="end"/>
      </w:r>
      <w:bookmarkStart w:id="26" w:name="_Hlk104992185"/>
    </w:p>
    <w:p w14:paraId="7DD1A3E4" w14:textId="75038225" w:rsidR="003D21B1" w:rsidRDefault="00F50C85" w:rsidP="00B04820">
      <w:pPr>
        <w:pStyle w:val="FigureTableTitle"/>
        <w:rPr>
          <w:b w:val="0"/>
          <w:bCs/>
        </w:rPr>
      </w:pPr>
      <w:bookmarkStart w:id="27" w:name="_Toc121491316"/>
      <w:bookmarkStart w:id="28" w:name="_Toc121840888"/>
      <w:bookmarkStart w:id="29" w:name="_Toc166587368"/>
      <w:bookmarkEnd w:id="26"/>
      <w:r w:rsidRPr="000B76CA">
        <w:rPr>
          <w:bCs/>
        </w:rPr>
        <w:t>Figure </w:t>
      </w:r>
      <w:r w:rsidR="00827262">
        <w:rPr>
          <w:bCs/>
        </w:rPr>
        <w:t>4</w:t>
      </w:r>
      <w:r w:rsidRPr="000B76CA">
        <w:rPr>
          <w:bCs/>
        </w:rPr>
        <w:t>:</w:t>
      </w:r>
      <w:r w:rsidRPr="000B76CA">
        <w:t> </w:t>
      </w:r>
      <w:bookmarkStart w:id="30" w:name="_Hlk104991557"/>
      <w:r w:rsidRPr="000B76CA">
        <w:rPr>
          <w:b w:val="0"/>
          <w:bCs/>
        </w:rPr>
        <w:t>T</w:t>
      </w:r>
      <w:r w:rsidR="00B04820">
        <w:rPr>
          <w:b w:val="0"/>
          <w:bCs/>
        </w:rPr>
        <w:t xml:space="preserve">he 10 </w:t>
      </w:r>
      <w:proofErr w:type="gramStart"/>
      <w:r w:rsidRPr="000B76CA">
        <w:rPr>
          <w:b w:val="0"/>
          <w:bCs/>
        </w:rPr>
        <w:t>most commonly dispensed</w:t>
      </w:r>
      <w:proofErr w:type="gramEnd"/>
      <w:r w:rsidRPr="000B76CA">
        <w:rPr>
          <w:b w:val="0"/>
          <w:bCs/>
        </w:rPr>
        <w:t xml:space="preserve"> PBS</w:t>
      </w:r>
      <w:r w:rsidR="00063CB4" w:rsidRPr="000B76CA">
        <w:rPr>
          <w:b w:val="0"/>
          <w:bCs/>
        </w:rPr>
        <w:t xml:space="preserve"> and </w:t>
      </w:r>
      <w:r w:rsidRPr="000B76CA">
        <w:rPr>
          <w:b w:val="0"/>
          <w:bCs/>
        </w:rPr>
        <w:t>RPBS antimicrobial prescriptions</w:t>
      </w:r>
      <w:r w:rsidR="00B04820">
        <w:rPr>
          <w:b w:val="0"/>
          <w:bCs/>
        </w:rPr>
        <w:t xml:space="preserve">, </w:t>
      </w:r>
      <w:r w:rsidR="000B68F9">
        <w:rPr>
          <w:b w:val="0"/>
          <w:bCs/>
        </w:rPr>
        <w:t>2023</w:t>
      </w:r>
      <w:bookmarkEnd w:id="27"/>
      <w:bookmarkEnd w:id="28"/>
      <w:bookmarkEnd w:id="29"/>
      <w:bookmarkEnd w:id="30"/>
    </w:p>
    <w:p w14:paraId="5B6CEE47" w14:textId="7FA61EC3" w:rsidR="00B04820" w:rsidRPr="00780D7E" w:rsidRDefault="00780D7E" w:rsidP="00780D7E">
      <w:pPr>
        <w:pStyle w:val="FigureTableTitle"/>
        <w:spacing w:before="0" w:after="0"/>
        <w:rPr>
          <w:b w:val="0"/>
          <w:bCs/>
        </w:rPr>
      </w:pPr>
      <w:r>
        <w:rPr>
          <w:b w:val="0"/>
          <w:bCs/>
          <w:noProof/>
        </w:rPr>
        <w:drawing>
          <wp:inline distT="0" distB="0" distL="0" distR="0" wp14:anchorId="09533E6E" wp14:editId="5C8E2B2A">
            <wp:extent cx="6115050" cy="3347085"/>
            <wp:effectExtent l="0" t="0" r="0" b="0"/>
            <wp:docPr id="26" name="Picture 26" descr="Figure 4: The 10 most commonly dispensed PBS and RPBS antimicrobial prescription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The 10 most commonly dispensed PBS and RPBS antimicrobial prescriptions, 20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347085"/>
                    </a:xfrm>
                    <a:prstGeom prst="rect">
                      <a:avLst/>
                    </a:prstGeom>
                    <a:noFill/>
                  </pic:spPr>
                </pic:pic>
              </a:graphicData>
            </a:graphic>
          </wp:inline>
        </w:drawing>
      </w:r>
    </w:p>
    <w:p w14:paraId="2D6DC9E4" w14:textId="3B2A09E7" w:rsidR="00F50C85" w:rsidRPr="000B76CA" w:rsidRDefault="00F50C85" w:rsidP="00725BBA">
      <w:pPr>
        <w:pStyle w:val="FigureTablefootnote"/>
      </w:pPr>
      <w:r w:rsidRPr="000B76CA">
        <w:t>PBS = Pharmaceutical Benefits Scheme; RPBS</w:t>
      </w:r>
      <w:r w:rsidR="009E7D9A">
        <w:t> </w:t>
      </w:r>
      <w:r w:rsidRPr="000B76CA">
        <w:t>=</w:t>
      </w:r>
      <w:r w:rsidR="009E7D9A">
        <w:t> </w:t>
      </w:r>
      <w:r w:rsidRPr="000B76CA">
        <w:t>Repatriation Pharmaceutical Benefits Scheme</w:t>
      </w:r>
    </w:p>
    <w:p w14:paraId="67E6FA3B" w14:textId="0C6A40E6" w:rsidR="00F50C85" w:rsidRDefault="00F50C85" w:rsidP="00725BBA">
      <w:pPr>
        <w:pStyle w:val="FigureTablefootnote"/>
      </w:pPr>
      <w:r w:rsidRPr="00B04820">
        <w:t xml:space="preserve">Source: </w:t>
      </w:r>
      <w:proofErr w:type="spellStart"/>
      <w:r w:rsidRPr="00B04820">
        <w:t>Gadzhanova</w:t>
      </w:r>
      <w:proofErr w:type="spellEnd"/>
      <w:r w:rsidRPr="00B04820">
        <w:t>, Roughead</w:t>
      </w:r>
      <w:r w:rsidRPr="00B04820">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B04820">
        <w:fldChar w:fldCharType="separate"/>
      </w:r>
      <w:r w:rsidR="00087F2D" w:rsidRPr="00087F2D">
        <w:rPr>
          <w:noProof/>
          <w:vertAlign w:val="superscript"/>
        </w:rPr>
        <w:t>19</w:t>
      </w:r>
      <w:r w:rsidRPr="00B04820">
        <w:fldChar w:fldCharType="end"/>
      </w:r>
    </w:p>
    <w:p w14:paraId="10DD7080" w14:textId="77777777" w:rsidR="00AF7077" w:rsidRPr="00B04820" w:rsidRDefault="00AF7077" w:rsidP="00725BBA">
      <w:pPr>
        <w:pStyle w:val="FigureTablefootnote"/>
      </w:pPr>
    </w:p>
    <w:p w14:paraId="3121F89B" w14:textId="5820AD65" w:rsidR="00AF7077" w:rsidRDefault="00F50C85" w:rsidP="00F746F9">
      <w:pPr>
        <w:rPr>
          <w:rFonts w:cstheme="minorHAnsi"/>
        </w:rPr>
      </w:pPr>
      <w:r w:rsidRPr="00AF7077">
        <w:rPr>
          <w:rFonts w:cstheme="minorHAnsi"/>
        </w:rPr>
        <w:t xml:space="preserve">The most commonly dispensed antimicrobial classes </w:t>
      </w:r>
      <w:r w:rsidR="00C95CB1" w:rsidRPr="00AF7077">
        <w:rPr>
          <w:rFonts w:cstheme="minorHAnsi"/>
        </w:rPr>
        <w:t>by</w:t>
      </w:r>
      <w:r w:rsidRPr="00AF7077">
        <w:rPr>
          <w:rFonts w:cstheme="minorHAnsi"/>
        </w:rPr>
        <w:t xml:space="preserve"> DDD per 1,000 people per day </w:t>
      </w:r>
      <w:r w:rsidR="00C95CB1" w:rsidRPr="00AF7077">
        <w:rPr>
          <w:rFonts w:cstheme="minorHAnsi"/>
        </w:rPr>
        <w:t>in 2023</w:t>
      </w:r>
      <w:r w:rsidRPr="00AF7077">
        <w:rPr>
          <w:rFonts w:cstheme="minorHAnsi"/>
        </w:rPr>
        <w:t xml:space="preserve"> were</w:t>
      </w:r>
      <w:r w:rsidR="00AF7077" w:rsidRPr="00AF7077">
        <w:rPr>
          <w:rFonts w:cstheme="minorHAnsi"/>
        </w:rPr>
        <w:t xml:space="preserve"> </w:t>
      </w:r>
      <w:r w:rsidR="00B34AFE">
        <w:rPr>
          <w:rFonts w:cstheme="minorHAnsi"/>
        </w:rPr>
        <w:t>t</w:t>
      </w:r>
      <w:r w:rsidR="00AF7077" w:rsidRPr="00AF7077">
        <w:rPr>
          <w:rFonts w:cstheme="minorHAnsi"/>
        </w:rPr>
        <w:t>etracyclines followed by penicillins with extended spectrum, first-generation cephalosporins and β-lactamase inhibitor combinations (Figure </w:t>
      </w:r>
      <w:r w:rsidR="00827262">
        <w:rPr>
          <w:rFonts w:cstheme="minorHAnsi"/>
        </w:rPr>
        <w:t>5</w:t>
      </w:r>
      <w:r w:rsidR="00AF7077" w:rsidRPr="00AF7077">
        <w:rPr>
          <w:rFonts w:cstheme="minorHAnsi"/>
        </w:rPr>
        <w:t>).</w:t>
      </w:r>
      <w:r w:rsidR="00AF7077">
        <w:rPr>
          <w:rFonts w:cstheme="minorHAnsi"/>
        </w:rPr>
        <w:t xml:space="preserve"> </w:t>
      </w:r>
      <w:r w:rsidR="00AF7077">
        <w:rPr>
          <w:rFonts w:cstheme="minorHAnsi"/>
        </w:rPr>
        <w:br w:type="page"/>
      </w:r>
    </w:p>
    <w:p w14:paraId="66B26D79" w14:textId="2BB5C0E9" w:rsidR="0001417E" w:rsidRDefault="0001417E" w:rsidP="00D61078">
      <w:pPr>
        <w:pStyle w:val="FigureTableTitle"/>
        <w:rPr>
          <w:b w:val="0"/>
          <w:bCs/>
        </w:rPr>
      </w:pPr>
      <w:bookmarkStart w:id="31" w:name="_Toc121491317"/>
      <w:bookmarkStart w:id="32" w:name="_Toc121840889"/>
      <w:bookmarkStart w:id="33" w:name="_Toc166587369"/>
      <w:r w:rsidRPr="000B76CA">
        <w:rPr>
          <w:bCs/>
        </w:rPr>
        <w:lastRenderedPageBreak/>
        <w:t>Figure </w:t>
      </w:r>
      <w:r w:rsidR="00827262">
        <w:rPr>
          <w:bCs/>
        </w:rPr>
        <w:t>5</w:t>
      </w:r>
      <w:r w:rsidRPr="000B76CA">
        <w:rPr>
          <w:rStyle w:val="figurenumber"/>
          <w:rFonts w:asciiTheme="majorHAnsi" w:hAnsiTheme="majorHAnsi" w:cstheme="majorHAnsi"/>
        </w:rPr>
        <w:t>:</w:t>
      </w:r>
      <w:r w:rsidRPr="000B76CA">
        <w:t> </w:t>
      </w:r>
      <w:bookmarkStart w:id="34" w:name="_Hlk166596435"/>
      <w:r w:rsidRPr="000B76CA">
        <w:rPr>
          <w:b w:val="0"/>
          <w:bCs/>
        </w:rPr>
        <w:t>Number of PBS</w:t>
      </w:r>
      <w:r w:rsidR="00063CB4" w:rsidRPr="000B76CA">
        <w:rPr>
          <w:b w:val="0"/>
          <w:bCs/>
        </w:rPr>
        <w:t xml:space="preserve"> and </w:t>
      </w:r>
      <w:r w:rsidRPr="000B76CA">
        <w:rPr>
          <w:b w:val="0"/>
          <w:bCs/>
        </w:rPr>
        <w:t>RPBS prescriptions dispensed (DDD/1,000 people/day), by antimicrobial class</w:t>
      </w:r>
      <w:r w:rsidR="00FC3CB2">
        <w:rPr>
          <w:b w:val="0"/>
          <w:bCs/>
        </w:rPr>
        <w:t>*</w:t>
      </w:r>
      <w:r w:rsidRPr="000B76CA">
        <w:rPr>
          <w:b w:val="0"/>
          <w:bCs/>
        </w:rPr>
        <w:t>, 2015–</w:t>
      </w:r>
      <w:proofErr w:type="gramStart"/>
      <w:r w:rsidRPr="000B76CA">
        <w:rPr>
          <w:b w:val="0"/>
          <w:bCs/>
        </w:rPr>
        <w:t>202</w:t>
      </w:r>
      <w:r w:rsidR="00063CB4" w:rsidRPr="000B76CA">
        <w:rPr>
          <w:b w:val="0"/>
          <w:bCs/>
        </w:rPr>
        <w:t>3</w:t>
      </w:r>
      <w:bookmarkEnd w:id="31"/>
      <w:bookmarkEnd w:id="32"/>
      <w:bookmarkEnd w:id="33"/>
      <w:bookmarkEnd w:id="34"/>
      <w:proofErr w:type="gramEnd"/>
    </w:p>
    <w:p w14:paraId="04B0F476" w14:textId="0E3D8BE0" w:rsidR="008245C4" w:rsidRPr="007A469F" w:rsidRDefault="007A469F" w:rsidP="00875BAE">
      <w:pPr>
        <w:pStyle w:val="FigureTableTitle"/>
        <w:spacing w:after="0"/>
        <w:rPr>
          <w:b w:val="0"/>
          <w:bCs/>
        </w:rPr>
      </w:pPr>
      <w:r>
        <w:rPr>
          <w:b w:val="0"/>
          <w:bCs/>
          <w:noProof/>
        </w:rPr>
        <w:drawing>
          <wp:inline distT="0" distB="0" distL="0" distR="0" wp14:anchorId="4E5F66E4" wp14:editId="5E1C9FBE">
            <wp:extent cx="6115050" cy="5864860"/>
            <wp:effectExtent l="0" t="0" r="0" b="0"/>
            <wp:docPr id="28" name="Picture 28" descr="Figure 5: Number of PBS and RPBS prescriptions dispensed (DDD/1,000 people/day), by antimicrobial class*,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Number of PBS and RPBS prescriptions dispensed (DDD/1,000 people/day), by antimicrobial class*, 2015–2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5864860"/>
                    </a:xfrm>
                    <a:prstGeom prst="rect">
                      <a:avLst/>
                    </a:prstGeom>
                    <a:noFill/>
                  </pic:spPr>
                </pic:pic>
              </a:graphicData>
            </a:graphic>
          </wp:inline>
        </w:drawing>
      </w:r>
      <w:r w:rsidR="00D526CA" w:rsidRPr="00FC3CB2">
        <w:rPr>
          <w:rFonts w:ascii="Arial" w:hAnsi="Arial" w:cs="Arial"/>
          <w:noProof/>
          <w:sz w:val="18"/>
          <w:szCs w:val="18"/>
        </w:rPr>
        <mc:AlternateContent>
          <mc:Choice Requires="wps">
            <w:drawing>
              <wp:anchor distT="0" distB="0" distL="114300" distR="114300" simplePos="0" relativeHeight="251799552" behindDoc="0" locked="0" layoutInCell="1" allowOverlap="1" wp14:anchorId="723AC38B" wp14:editId="28DBFD2A">
                <wp:simplePos x="0" y="0"/>
                <wp:positionH relativeFrom="column">
                  <wp:posOffset>-207645</wp:posOffset>
                </wp:positionH>
                <wp:positionV relativeFrom="paragraph">
                  <wp:posOffset>7760744</wp:posOffset>
                </wp:positionV>
                <wp:extent cx="107950" cy="107950"/>
                <wp:effectExtent l="0" t="0" r="6350" b="6350"/>
                <wp:wrapNone/>
                <wp:docPr id="2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418AB3"/>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E506" id="Rectangle 2" o:spid="_x0000_s1026" style="position:absolute;margin-left:-16.35pt;margin-top:611.1pt;width:8.5pt;height: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" fillcolor="#418ab3" stroked="f" strokeweight="2pt">
                <o:lock v:ext="edit" aspectratio="t"/>
              </v:rect>
            </w:pict>
          </mc:Fallback>
        </mc:AlternateContent>
      </w:r>
      <w:r w:rsidR="00D526CA" w:rsidRPr="00FC3CB2">
        <w:rPr>
          <w:rFonts w:ascii="Arial" w:hAnsi="Arial" w:cs="Arial"/>
          <w:noProof/>
          <w:sz w:val="18"/>
          <w:szCs w:val="18"/>
        </w:rPr>
        <mc:AlternateContent>
          <mc:Choice Requires="wps">
            <w:drawing>
              <wp:anchor distT="0" distB="0" distL="114300" distR="114300" simplePos="0" relativeHeight="251797504" behindDoc="0" locked="0" layoutInCell="1" allowOverlap="1" wp14:anchorId="0B38A1F0" wp14:editId="54755B5E">
                <wp:simplePos x="0" y="0"/>
                <wp:positionH relativeFrom="column">
                  <wp:posOffset>-207645</wp:posOffset>
                </wp:positionH>
                <wp:positionV relativeFrom="paragraph">
                  <wp:posOffset>7556893</wp:posOffset>
                </wp:positionV>
                <wp:extent cx="107950" cy="107950"/>
                <wp:effectExtent l="0" t="0" r="6350" b="6350"/>
                <wp:wrapNone/>
                <wp:docPr id="2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A6B727"/>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9D635" id="Rectangle 2" o:spid="_x0000_s1026" style="position:absolute;margin-left:-16.35pt;margin-top:595.05pt;width:8.5pt;height: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" fillcolor="#a6b727" stroked="f" strokeweight="2pt">
                <o:lock v:ext="edit" aspectratio="t"/>
              </v:rect>
            </w:pict>
          </mc:Fallback>
        </mc:AlternateContent>
      </w:r>
    </w:p>
    <w:tbl>
      <w:tblPr>
        <w:tblW w:w="10450" w:type="dxa"/>
        <w:tblInd w:w="-4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2"/>
        <w:gridCol w:w="708"/>
        <w:gridCol w:w="709"/>
        <w:gridCol w:w="709"/>
        <w:gridCol w:w="765"/>
        <w:gridCol w:w="765"/>
        <w:gridCol w:w="709"/>
        <w:gridCol w:w="709"/>
        <w:gridCol w:w="709"/>
        <w:gridCol w:w="709"/>
        <w:gridCol w:w="924"/>
        <w:gridCol w:w="714"/>
        <w:gridCol w:w="714"/>
        <w:gridCol w:w="754"/>
      </w:tblGrid>
      <w:tr w:rsidR="000E2231" w:rsidRPr="002C6BFE" w14:paraId="6AFE24F7" w14:textId="77777777" w:rsidTr="00406960">
        <w:trPr>
          <w:trHeight w:val="300"/>
        </w:trPr>
        <w:tc>
          <w:tcPr>
            <w:tcW w:w="852" w:type="dxa"/>
            <w:tcBorders>
              <w:top w:val="nil"/>
              <w:left w:val="nil"/>
              <w:bottom w:val="single" w:sz="4" w:space="0" w:color="BFBFBF"/>
              <w:right w:val="single" w:sz="4" w:space="0" w:color="BFBFBF"/>
            </w:tcBorders>
            <w:shd w:val="clear" w:color="auto" w:fill="auto"/>
            <w:noWrap/>
            <w:vAlign w:val="bottom"/>
            <w:hideMark/>
          </w:tcPr>
          <w:p w14:paraId="0FB40B58" w14:textId="77777777" w:rsidR="000E2231" w:rsidRPr="00FC3CB2" w:rsidRDefault="000E2231" w:rsidP="000E2231">
            <w:pPr>
              <w:spacing w:before="0" w:after="0"/>
              <w:rPr>
                <w:rFonts w:ascii="Arial" w:hAnsi="Arial" w:cs="Arial"/>
                <w:color w:val="000000"/>
                <w:sz w:val="18"/>
                <w:szCs w:val="18"/>
              </w:rPr>
            </w:pPr>
          </w:p>
        </w:tc>
        <w:tc>
          <w:tcPr>
            <w:tcW w:w="708" w:type="dxa"/>
            <w:tcBorders>
              <w:left w:val="single" w:sz="4" w:space="0" w:color="BFBFBF"/>
              <w:right w:val="single" w:sz="4" w:space="0" w:color="BFBFBF"/>
            </w:tcBorders>
            <w:vAlign w:val="center"/>
          </w:tcPr>
          <w:p w14:paraId="6433CE7C" w14:textId="07D73FA6" w:rsidR="000E2231" w:rsidRPr="00875BAE"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J01AA</w:t>
            </w:r>
          </w:p>
        </w:tc>
        <w:tc>
          <w:tcPr>
            <w:tcW w:w="709" w:type="dxa"/>
            <w:tcBorders>
              <w:left w:val="single" w:sz="4" w:space="0" w:color="BFBFBF"/>
              <w:right w:val="single" w:sz="4" w:space="0" w:color="BFBFBF"/>
            </w:tcBorders>
            <w:vAlign w:val="center"/>
          </w:tcPr>
          <w:p w14:paraId="1460A57B" w14:textId="5AAB25B6" w:rsidR="000E2231" w:rsidRPr="00875BAE"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J01CA</w:t>
            </w:r>
          </w:p>
        </w:tc>
        <w:tc>
          <w:tcPr>
            <w:tcW w:w="709" w:type="dxa"/>
            <w:tcBorders>
              <w:left w:val="single" w:sz="4" w:space="0" w:color="BFBFBF"/>
            </w:tcBorders>
            <w:shd w:val="clear" w:color="auto" w:fill="auto"/>
            <w:noWrap/>
            <w:vAlign w:val="center"/>
          </w:tcPr>
          <w:p w14:paraId="0923F302" w14:textId="01807111"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J01DB</w:t>
            </w:r>
          </w:p>
        </w:tc>
        <w:tc>
          <w:tcPr>
            <w:tcW w:w="765" w:type="dxa"/>
            <w:vAlign w:val="center"/>
          </w:tcPr>
          <w:p w14:paraId="1F11D19D" w14:textId="4E5A2BCD"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J01CR</w:t>
            </w:r>
          </w:p>
        </w:tc>
        <w:tc>
          <w:tcPr>
            <w:tcW w:w="765" w:type="dxa"/>
            <w:vAlign w:val="center"/>
          </w:tcPr>
          <w:p w14:paraId="56884FDA" w14:textId="69F2B4DF"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J01GB,</w:t>
            </w:r>
            <w:r w:rsidRPr="00FC3CB2">
              <w:rPr>
                <w:rFonts w:ascii="Arial" w:hAnsi="Arial" w:cs="Arial"/>
                <w:color w:val="000000"/>
                <w:sz w:val="16"/>
                <w:szCs w:val="16"/>
              </w:rPr>
              <w:br/>
              <w:t>J01FF</w:t>
            </w:r>
          </w:p>
        </w:tc>
        <w:tc>
          <w:tcPr>
            <w:tcW w:w="709" w:type="dxa"/>
            <w:shd w:val="clear" w:color="auto" w:fill="auto"/>
            <w:noWrap/>
            <w:vAlign w:val="center"/>
          </w:tcPr>
          <w:p w14:paraId="61A0F4A3" w14:textId="261D6537"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J01E</w:t>
            </w:r>
          </w:p>
        </w:tc>
        <w:tc>
          <w:tcPr>
            <w:tcW w:w="709" w:type="dxa"/>
            <w:shd w:val="clear" w:color="auto" w:fill="auto"/>
            <w:noWrap/>
            <w:vAlign w:val="center"/>
          </w:tcPr>
          <w:p w14:paraId="76D5F850" w14:textId="7D434A80"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J01FA</w:t>
            </w:r>
          </w:p>
        </w:tc>
        <w:tc>
          <w:tcPr>
            <w:tcW w:w="709" w:type="dxa"/>
            <w:shd w:val="clear" w:color="auto" w:fill="auto"/>
            <w:noWrap/>
            <w:vAlign w:val="center"/>
          </w:tcPr>
          <w:p w14:paraId="09A412DF" w14:textId="6A76093B"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J01CF</w:t>
            </w:r>
          </w:p>
        </w:tc>
        <w:tc>
          <w:tcPr>
            <w:tcW w:w="709" w:type="dxa"/>
            <w:shd w:val="clear" w:color="auto" w:fill="auto"/>
            <w:noWrap/>
            <w:vAlign w:val="center"/>
          </w:tcPr>
          <w:p w14:paraId="7674A796" w14:textId="49E7AEB2"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J01CE</w:t>
            </w:r>
          </w:p>
        </w:tc>
        <w:tc>
          <w:tcPr>
            <w:tcW w:w="924" w:type="dxa"/>
            <w:shd w:val="clear" w:color="auto" w:fill="auto"/>
            <w:noWrap/>
            <w:vAlign w:val="center"/>
          </w:tcPr>
          <w:p w14:paraId="744E16A2" w14:textId="276C7781" w:rsidR="000E2231" w:rsidRPr="00FC3CB2" w:rsidRDefault="000E2231" w:rsidP="000E2231">
            <w:pPr>
              <w:tabs>
                <w:tab w:val="left" w:pos="325"/>
              </w:tabs>
              <w:spacing w:before="0" w:after="0"/>
              <w:jc w:val="center"/>
              <w:rPr>
                <w:rFonts w:ascii="Arial" w:hAnsi="Arial" w:cs="Arial"/>
                <w:color w:val="000000"/>
                <w:sz w:val="16"/>
                <w:szCs w:val="16"/>
              </w:rPr>
            </w:pPr>
            <w:r w:rsidRPr="00FC3CB2">
              <w:rPr>
                <w:rFonts w:ascii="Arial" w:hAnsi="Arial" w:cs="Arial"/>
                <w:color w:val="000000"/>
                <w:sz w:val="16"/>
                <w:szCs w:val="16"/>
              </w:rPr>
              <w:t>J01XD01,</w:t>
            </w:r>
            <w:r w:rsidRPr="00FC3CB2">
              <w:rPr>
                <w:rFonts w:ascii="Arial" w:hAnsi="Arial" w:cs="Arial"/>
                <w:color w:val="000000"/>
                <w:sz w:val="16"/>
                <w:szCs w:val="16"/>
              </w:rPr>
              <w:br/>
              <w:t>J01XD02</w:t>
            </w:r>
          </w:p>
        </w:tc>
        <w:tc>
          <w:tcPr>
            <w:tcW w:w="714" w:type="dxa"/>
            <w:vAlign w:val="center"/>
          </w:tcPr>
          <w:p w14:paraId="78B208A2" w14:textId="4B8166FE"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J01DC</w:t>
            </w:r>
          </w:p>
        </w:tc>
        <w:tc>
          <w:tcPr>
            <w:tcW w:w="714" w:type="dxa"/>
            <w:shd w:val="clear" w:color="auto" w:fill="auto"/>
            <w:noWrap/>
            <w:vAlign w:val="center"/>
            <w:hideMark/>
          </w:tcPr>
          <w:p w14:paraId="5881C30C" w14:textId="131DC8EE"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J01MA</w:t>
            </w:r>
          </w:p>
        </w:tc>
        <w:tc>
          <w:tcPr>
            <w:tcW w:w="754" w:type="dxa"/>
            <w:shd w:val="clear" w:color="auto" w:fill="auto"/>
            <w:noWrap/>
            <w:vAlign w:val="center"/>
            <w:hideMark/>
          </w:tcPr>
          <w:p w14:paraId="64E9736E" w14:textId="77777777" w:rsidR="000E2231" w:rsidRPr="00FC3CB2" w:rsidRDefault="000E2231" w:rsidP="000E2231">
            <w:pPr>
              <w:spacing w:before="0" w:after="0"/>
              <w:jc w:val="center"/>
              <w:rPr>
                <w:rFonts w:ascii="Arial" w:hAnsi="Arial" w:cs="Arial"/>
                <w:color w:val="000000"/>
                <w:sz w:val="16"/>
                <w:szCs w:val="16"/>
              </w:rPr>
            </w:pPr>
            <w:r w:rsidRPr="00FC3CB2">
              <w:rPr>
                <w:rFonts w:ascii="Arial" w:hAnsi="Arial" w:cs="Arial"/>
                <w:color w:val="000000"/>
                <w:sz w:val="16"/>
                <w:szCs w:val="16"/>
              </w:rPr>
              <w:t>J01DD,</w:t>
            </w:r>
            <w:r w:rsidRPr="00FC3CB2">
              <w:rPr>
                <w:rFonts w:ascii="Arial" w:hAnsi="Arial" w:cs="Arial"/>
                <w:color w:val="000000"/>
                <w:sz w:val="16"/>
                <w:szCs w:val="16"/>
              </w:rPr>
              <w:br/>
              <w:t>J01DE</w:t>
            </w:r>
          </w:p>
        </w:tc>
      </w:tr>
      <w:tr w:rsidR="000E2231" w:rsidRPr="002C6BFE" w14:paraId="01C5E882" w14:textId="77777777" w:rsidTr="00406960">
        <w:trPr>
          <w:trHeight w:val="300"/>
        </w:trPr>
        <w:tc>
          <w:tcPr>
            <w:tcW w:w="852" w:type="dxa"/>
            <w:tcBorders>
              <w:top w:val="single" w:sz="4" w:space="0" w:color="BFBFBF"/>
            </w:tcBorders>
            <w:shd w:val="clear" w:color="auto" w:fill="auto"/>
            <w:noWrap/>
            <w:vAlign w:val="bottom"/>
            <w:hideMark/>
          </w:tcPr>
          <w:p w14:paraId="32DD080D"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noProof/>
                <w:sz w:val="18"/>
                <w:szCs w:val="18"/>
              </w:rPr>
              <mc:AlternateContent>
                <mc:Choice Requires="wps">
                  <w:drawing>
                    <wp:anchor distT="0" distB="0" distL="114300" distR="114300" simplePos="0" relativeHeight="251848704" behindDoc="0" locked="0" layoutInCell="1" allowOverlap="1" wp14:anchorId="6C9BEA0D" wp14:editId="3AB6C67A">
                      <wp:simplePos x="0" y="0"/>
                      <wp:positionH relativeFrom="column">
                        <wp:posOffset>-3175</wp:posOffset>
                      </wp:positionH>
                      <wp:positionV relativeFrom="paragraph">
                        <wp:posOffset>1184910</wp:posOffset>
                      </wp:positionV>
                      <wp:extent cx="107950" cy="107950"/>
                      <wp:effectExtent l="0" t="0" r="6350" b="6350"/>
                      <wp:wrapNone/>
                      <wp:docPr id="8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F69200"/>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73E3B" id="Rectangle 2" o:spid="_x0000_s1026" style="position:absolute;margin-left:-.25pt;margin-top:93.3pt;width:8.5pt;height: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" fillcolor="#f69200"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7680" behindDoc="0" locked="0" layoutInCell="1" allowOverlap="1" wp14:anchorId="1F5DDDC8" wp14:editId="6881D631">
                      <wp:simplePos x="0" y="0"/>
                      <wp:positionH relativeFrom="column">
                        <wp:posOffset>-3175</wp:posOffset>
                      </wp:positionH>
                      <wp:positionV relativeFrom="paragraph">
                        <wp:posOffset>988060</wp:posOffset>
                      </wp:positionV>
                      <wp:extent cx="107950" cy="107950"/>
                      <wp:effectExtent l="0" t="0" r="6350" b="6350"/>
                      <wp:wrapNone/>
                      <wp:docPr id="8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838383"/>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1C152" id="Rectangle 2" o:spid="_x0000_s1026" style="position:absolute;margin-left:-.25pt;margin-top:77.8pt;width:8.5pt;height: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" fillcolor="#838383"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6656" behindDoc="0" locked="0" layoutInCell="1" allowOverlap="1" wp14:anchorId="20CA75F2" wp14:editId="3053B418">
                      <wp:simplePos x="0" y="0"/>
                      <wp:positionH relativeFrom="column">
                        <wp:posOffset>-4445</wp:posOffset>
                      </wp:positionH>
                      <wp:positionV relativeFrom="paragraph">
                        <wp:posOffset>791210</wp:posOffset>
                      </wp:positionV>
                      <wp:extent cx="107950" cy="107950"/>
                      <wp:effectExtent l="0" t="0" r="6350" b="6350"/>
                      <wp:wrapNone/>
                      <wp:docPr id="7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FEC30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DC2A" id="Rectangle 2" o:spid="_x0000_s1026" style="position:absolute;margin-left:-.35pt;margin-top:62.3pt;width:8.5pt;height: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" fillcolor="#fec306"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5632" behindDoc="0" locked="0" layoutInCell="1" allowOverlap="1" wp14:anchorId="45A98630" wp14:editId="52F5A4CB">
                      <wp:simplePos x="0" y="0"/>
                      <wp:positionH relativeFrom="column">
                        <wp:posOffset>-4445</wp:posOffset>
                      </wp:positionH>
                      <wp:positionV relativeFrom="paragraph">
                        <wp:posOffset>594360</wp:posOffset>
                      </wp:positionV>
                      <wp:extent cx="107950" cy="107950"/>
                      <wp:effectExtent l="0" t="0" r="6350" b="6350"/>
                      <wp:wrapNone/>
                      <wp:docPr id="7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DF5327"/>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4846" id="Rectangle 2" o:spid="_x0000_s1026" style="position:absolute;margin-left:-.35pt;margin-top:46.8pt;width:8.5pt;height: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" fillcolor="#df5327"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4608" behindDoc="0" locked="0" layoutInCell="1" allowOverlap="1" wp14:anchorId="3C85C76F" wp14:editId="0214974A">
                      <wp:simplePos x="0" y="0"/>
                      <wp:positionH relativeFrom="column">
                        <wp:posOffset>-4445</wp:posOffset>
                      </wp:positionH>
                      <wp:positionV relativeFrom="paragraph">
                        <wp:posOffset>397510</wp:posOffset>
                      </wp:positionV>
                      <wp:extent cx="107950" cy="107950"/>
                      <wp:effectExtent l="0" t="0" r="6350" b="6350"/>
                      <wp:wrapNone/>
                      <wp:docPr id="7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264478"/>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771E" id="Rectangle 2" o:spid="_x0000_s1026" style="position:absolute;margin-left:-.35pt;margin-top:31.3pt;width:8.5pt;height: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" fillcolor="#264478"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3584" behindDoc="0" locked="0" layoutInCell="1" allowOverlap="1" wp14:anchorId="17702492" wp14:editId="43BCDAA1">
                      <wp:simplePos x="0" y="0"/>
                      <wp:positionH relativeFrom="column">
                        <wp:posOffset>-4445</wp:posOffset>
                      </wp:positionH>
                      <wp:positionV relativeFrom="paragraph">
                        <wp:posOffset>200660</wp:posOffset>
                      </wp:positionV>
                      <wp:extent cx="107950" cy="107950"/>
                      <wp:effectExtent l="0" t="0" r="6350" b="6350"/>
                      <wp:wrapNone/>
                      <wp:docPr id="7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646E17"/>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6DAA" id="Rectangle 2" o:spid="_x0000_s1026" style="position:absolute;margin-left:-.35pt;margin-top:15.8pt;width:8.5pt;height: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" fillcolor="#646e17" stroked="f" strokeweight="2pt">
                      <o:lock v:ext="edit" aspectratio="t"/>
                    </v:rect>
                  </w:pict>
                </mc:Fallback>
              </mc:AlternateContent>
            </w:r>
            <w:r w:rsidRPr="00FC3CB2">
              <w:rPr>
                <w:rFonts w:ascii="Arial" w:hAnsi="Arial" w:cs="Arial"/>
                <w:noProof/>
                <w:sz w:val="18"/>
                <w:szCs w:val="18"/>
              </w:rPr>
              <mc:AlternateContent>
                <mc:Choice Requires="wps">
                  <w:drawing>
                    <wp:anchor distT="0" distB="0" distL="114300" distR="114300" simplePos="0" relativeHeight="251842560" behindDoc="0" locked="0" layoutInCell="1" allowOverlap="1" wp14:anchorId="276814B2" wp14:editId="43F84087">
                      <wp:simplePos x="0" y="0"/>
                      <wp:positionH relativeFrom="column">
                        <wp:posOffset>-4445</wp:posOffset>
                      </wp:positionH>
                      <wp:positionV relativeFrom="paragraph">
                        <wp:posOffset>3810</wp:posOffset>
                      </wp:positionV>
                      <wp:extent cx="107950" cy="107950"/>
                      <wp:effectExtent l="0" t="0" r="6350" b="6350"/>
                      <wp:wrapNone/>
                      <wp:docPr id="4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50" cy="107950"/>
                              </a:xfrm>
                              <a:prstGeom prst="rect">
                                <a:avLst/>
                              </a:prstGeom>
                              <a:solidFill>
                                <a:srgbClr val="945800"/>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93A4D" id="Rectangle 2" o:spid="_x0000_s1026" style="position:absolute;margin-left:-.35pt;margin-top:.3pt;width:8.5pt;height: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" fillcolor="#945800" stroked="f" strokeweight="2pt">
                      <o:lock v:ext="edit" aspectratio="t"/>
                    </v:rect>
                  </w:pict>
                </mc:Fallback>
              </mc:AlternateContent>
            </w:r>
            <w:r w:rsidRPr="00FC3CB2">
              <w:rPr>
                <w:rFonts w:ascii="Arial" w:hAnsi="Arial" w:cs="Arial"/>
                <w:color w:val="000000"/>
                <w:sz w:val="18"/>
                <w:szCs w:val="18"/>
              </w:rPr>
              <w:t>2015</w:t>
            </w:r>
          </w:p>
        </w:tc>
        <w:tc>
          <w:tcPr>
            <w:tcW w:w="708" w:type="dxa"/>
            <w:vAlign w:val="center"/>
          </w:tcPr>
          <w:p w14:paraId="3F62969C" w14:textId="67B179ED"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3.50</w:t>
            </w:r>
          </w:p>
        </w:tc>
        <w:tc>
          <w:tcPr>
            <w:tcW w:w="709" w:type="dxa"/>
            <w:vAlign w:val="center"/>
          </w:tcPr>
          <w:p w14:paraId="0CC433AB" w14:textId="5F2490A9"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4.08</w:t>
            </w:r>
          </w:p>
        </w:tc>
        <w:tc>
          <w:tcPr>
            <w:tcW w:w="709" w:type="dxa"/>
            <w:shd w:val="clear" w:color="auto" w:fill="auto"/>
            <w:noWrap/>
            <w:vAlign w:val="center"/>
          </w:tcPr>
          <w:p w14:paraId="648A98FC" w14:textId="377E3BDE"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3.13</w:t>
            </w:r>
          </w:p>
        </w:tc>
        <w:tc>
          <w:tcPr>
            <w:tcW w:w="765" w:type="dxa"/>
            <w:vAlign w:val="center"/>
          </w:tcPr>
          <w:p w14:paraId="56A2168F" w14:textId="744F2F49"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3.28</w:t>
            </w:r>
          </w:p>
        </w:tc>
        <w:tc>
          <w:tcPr>
            <w:tcW w:w="765" w:type="dxa"/>
            <w:vAlign w:val="center"/>
          </w:tcPr>
          <w:p w14:paraId="43731306" w14:textId="09A33E8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1.2</w:t>
            </w:r>
          </w:p>
        </w:tc>
        <w:tc>
          <w:tcPr>
            <w:tcW w:w="709" w:type="dxa"/>
            <w:shd w:val="clear" w:color="auto" w:fill="auto"/>
            <w:noWrap/>
            <w:vAlign w:val="center"/>
          </w:tcPr>
          <w:p w14:paraId="7EEFF7CB" w14:textId="23352743"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1.98</w:t>
            </w:r>
          </w:p>
        </w:tc>
        <w:tc>
          <w:tcPr>
            <w:tcW w:w="709" w:type="dxa"/>
            <w:shd w:val="clear" w:color="auto" w:fill="auto"/>
            <w:noWrap/>
            <w:vAlign w:val="center"/>
          </w:tcPr>
          <w:p w14:paraId="57021078" w14:textId="76D2C76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2.9</w:t>
            </w:r>
          </w:p>
        </w:tc>
        <w:tc>
          <w:tcPr>
            <w:tcW w:w="709" w:type="dxa"/>
            <w:shd w:val="clear" w:color="auto" w:fill="auto"/>
            <w:noWrap/>
            <w:vAlign w:val="center"/>
          </w:tcPr>
          <w:p w14:paraId="053EB0D3" w14:textId="4D4D0D0D"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0.69</w:t>
            </w:r>
          </w:p>
        </w:tc>
        <w:tc>
          <w:tcPr>
            <w:tcW w:w="709" w:type="dxa"/>
            <w:shd w:val="clear" w:color="auto" w:fill="auto"/>
            <w:noWrap/>
            <w:vAlign w:val="center"/>
          </w:tcPr>
          <w:p w14:paraId="51125156" w14:textId="5825C1D2"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0.65</w:t>
            </w:r>
          </w:p>
        </w:tc>
        <w:tc>
          <w:tcPr>
            <w:tcW w:w="924" w:type="dxa"/>
            <w:shd w:val="clear" w:color="auto" w:fill="auto"/>
            <w:noWrap/>
            <w:vAlign w:val="center"/>
          </w:tcPr>
          <w:p w14:paraId="46C74368" w14:textId="07316AAE" w:rsidR="000E2231" w:rsidRPr="00FC3CB2" w:rsidRDefault="000E2231" w:rsidP="000E2231">
            <w:pPr>
              <w:tabs>
                <w:tab w:val="left" w:pos="325"/>
              </w:tabs>
              <w:spacing w:before="0" w:after="0"/>
              <w:jc w:val="center"/>
              <w:rPr>
                <w:rFonts w:ascii="Arial" w:hAnsi="Arial" w:cs="Arial"/>
                <w:color w:val="000000"/>
                <w:sz w:val="18"/>
                <w:szCs w:val="18"/>
              </w:rPr>
            </w:pPr>
            <w:r w:rsidRPr="00FC3CB2">
              <w:rPr>
                <w:rFonts w:ascii="Arial" w:hAnsi="Arial" w:cs="Arial"/>
                <w:color w:val="000000"/>
                <w:sz w:val="18"/>
                <w:szCs w:val="18"/>
              </w:rPr>
              <w:t>0.37</w:t>
            </w:r>
          </w:p>
        </w:tc>
        <w:tc>
          <w:tcPr>
            <w:tcW w:w="714" w:type="dxa"/>
            <w:vAlign w:val="center"/>
          </w:tcPr>
          <w:p w14:paraId="27F44A87" w14:textId="3E59072C"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0.4</w:t>
            </w:r>
          </w:p>
        </w:tc>
        <w:tc>
          <w:tcPr>
            <w:tcW w:w="714" w:type="dxa"/>
            <w:shd w:val="clear" w:color="auto" w:fill="auto"/>
            <w:noWrap/>
            <w:vAlign w:val="center"/>
            <w:hideMark/>
          </w:tcPr>
          <w:p w14:paraId="57025A8B" w14:textId="6102153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0.42</w:t>
            </w:r>
          </w:p>
        </w:tc>
        <w:tc>
          <w:tcPr>
            <w:tcW w:w="754" w:type="dxa"/>
            <w:shd w:val="clear" w:color="auto" w:fill="auto"/>
            <w:noWrap/>
            <w:vAlign w:val="center"/>
            <w:hideMark/>
          </w:tcPr>
          <w:p w14:paraId="2CEFACD3"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0.02</w:t>
            </w:r>
          </w:p>
        </w:tc>
      </w:tr>
      <w:tr w:rsidR="000E2231" w:rsidRPr="002C6BFE" w14:paraId="302BB633" w14:textId="77777777" w:rsidTr="00406960">
        <w:trPr>
          <w:trHeight w:val="300"/>
        </w:trPr>
        <w:tc>
          <w:tcPr>
            <w:tcW w:w="852" w:type="dxa"/>
            <w:shd w:val="clear" w:color="auto" w:fill="auto"/>
            <w:noWrap/>
            <w:vAlign w:val="bottom"/>
            <w:hideMark/>
          </w:tcPr>
          <w:p w14:paraId="20756C24"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2016</w:t>
            </w:r>
          </w:p>
        </w:tc>
        <w:tc>
          <w:tcPr>
            <w:tcW w:w="708" w:type="dxa"/>
            <w:vAlign w:val="center"/>
          </w:tcPr>
          <w:p w14:paraId="4DB53AA7" w14:textId="1E9F62E6"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3.43</w:t>
            </w:r>
          </w:p>
        </w:tc>
        <w:tc>
          <w:tcPr>
            <w:tcW w:w="709" w:type="dxa"/>
            <w:vAlign w:val="center"/>
          </w:tcPr>
          <w:p w14:paraId="1623251A" w14:textId="3E5F529C"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3.7</w:t>
            </w:r>
          </w:p>
        </w:tc>
        <w:tc>
          <w:tcPr>
            <w:tcW w:w="709" w:type="dxa"/>
            <w:shd w:val="clear" w:color="auto" w:fill="auto"/>
            <w:noWrap/>
            <w:vAlign w:val="center"/>
          </w:tcPr>
          <w:p w14:paraId="53C25B4D" w14:textId="00CB9150"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2.91</w:t>
            </w:r>
          </w:p>
        </w:tc>
        <w:tc>
          <w:tcPr>
            <w:tcW w:w="765" w:type="dxa"/>
            <w:vAlign w:val="center"/>
          </w:tcPr>
          <w:p w14:paraId="26B88769" w14:textId="1CD5FF3B"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3.19</w:t>
            </w:r>
          </w:p>
        </w:tc>
        <w:tc>
          <w:tcPr>
            <w:tcW w:w="765" w:type="dxa"/>
            <w:vAlign w:val="center"/>
          </w:tcPr>
          <w:p w14:paraId="135460D1" w14:textId="2348462A"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1.5</w:t>
            </w:r>
          </w:p>
        </w:tc>
        <w:tc>
          <w:tcPr>
            <w:tcW w:w="709" w:type="dxa"/>
            <w:shd w:val="clear" w:color="auto" w:fill="auto"/>
            <w:noWrap/>
            <w:vAlign w:val="center"/>
          </w:tcPr>
          <w:p w14:paraId="0B57010F" w14:textId="039A5B30"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1.21</w:t>
            </w:r>
          </w:p>
        </w:tc>
        <w:tc>
          <w:tcPr>
            <w:tcW w:w="709" w:type="dxa"/>
            <w:shd w:val="clear" w:color="auto" w:fill="auto"/>
            <w:noWrap/>
            <w:vAlign w:val="center"/>
          </w:tcPr>
          <w:p w14:paraId="23D05E17" w14:textId="7A125BE9"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2.48</w:t>
            </w:r>
          </w:p>
        </w:tc>
        <w:tc>
          <w:tcPr>
            <w:tcW w:w="709" w:type="dxa"/>
            <w:shd w:val="clear" w:color="auto" w:fill="auto"/>
            <w:noWrap/>
            <w:vAlign w:val="center"/>
          </w:tcPr>
          <w:p w14:paraId="0BB65055" w14:textId="1FFA85CA"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0.65</w:t>
            </w:r>
          </w:p>
        </w:tc>
        <w:tc>
          <w:tcPr>
            <w:tcW w:w="709" w:type="dxa"/>
            <w:shd w:val="clear" w:color="auto" w:fill="auto"/>
            <w:noWrap/>
            <w:vAlign w:val="center"/>
          </w:tcPr>
          <w:p w14:paraId="6C34744A" w14:textId="3B89895B"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0.57</w:t>
            </w:r>
          </w:p>
        </w:tc>
        <w:tc>
          <w:tcPr>
            <w:tcW w:w="924" w:type="dxa"/>
            <w:shd w:val="clear" w:color="auto" w:fill="auto"/>
            <w:noWrap/>
            <w:vAlign w:val="center"/>
          </w:tcPr>
          <w:p w14:paraId="335E298E" w14:textId="0DD64E62" w:rsidR="000E2231" w:rsidRPr="00FC3CB2" w:rsidRDefault="000E2231" w:rsidP="000E2231">
            <w:pPr>
              <w:tabs>
                <w:tab w:val="left" w:pos="325"/>
              </w:tabs>
              <w:spacing w:before="0" w:after="0"/>
              <w:jc w:val="center"/>
              <w:rPr>
                <w:rFonts w:ascii="Arial" w:hAnsi="Arial" w:cs="Arial"/>
                <w:color w:val="000000"/>
                <w:sz w:val="18"/>
                <w:szCs w:val="18"/>
              </w:rPr>
            </w:pPr>
            <w:r w:rsidRPr="00FC3CB2">
              <w:rPr>
                <w:rFonts w:ascii="Arial" w:hAnsi="Arial" w:cs="Arial"/>
                <w:color w:val="000000"/>
                <w:sz w:val="18"/>
                <w:szCs w:val="18"/>
              </w:rPr>
              <w:t>0.31</w:t>
            </w:r>
          </w:p>
        </w:tc>
        <w:tc>
          <w:tcPr>
            <w:tcW w:w="714" w:type="dxa"/>
            <w:vAlign w:val="center"/>
          </w:tcPr>
          <w:p w14:paraId="4B39D4B3" w14:textId="78750836"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0.35</w:t>
            </w:r>
          </w:p>
        </w:tc>
        <w:tc>
          <w:tcPr>
            <w:tcW w:w="714" w:type="dxa"/>
            <w:shd w:val="clear" w:color="auto" w:fill="auto"/>
            <w:noWrap/>
            <w:vAlign w:val="center"/>
            <w:hideMark/>
          </w:tcPr>
          <w:p w14:paraId="1AD4AD7A" w14:textId="61DBE05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0.33</w:t>
            </w:r>
          </w:p>
        </w:tc>
        <w:tc>
          <w:tcPr>
            <w:tcW w:w="754" w:type="dxa"/>
            <w:shd w:val="clear" w:color="auto" w:fill="auto"/>
            <w:noWrap/>
            <w:vAlign w:val="center"/>
            <w:hideMark/>
          </w:tcPr>
          <w:p w14:paraId="371B5F81"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0.02</w:t>
            </w:r>
          </w:p>
        </w:tc>
      </w:tr>
      <w:tr w:rsidR="000E2231" w:rsidRPr="002C6BFE" w14:paraId="3C716890" w14:textId="77777777" w:rsidTr="00406960">
        <w:trPr>
          <w:trHeight w:val="300"/>
        </w:trPr>
        <w:tc>
          <w:tcPr>
            <w:tcW w:w="852" w:type="dxa"/>
            <w:shd w:val="clear" w:color="auto" w:fill="auto"/>
            <w:noWrap/>
            <w:vAlign w:val="bottom"/>
            <w:hideMark/>
          </w:tcPr>
          <w:p w14:paraId="17F9904E"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2017</w:t>
            </w:r>
          </w:p>
        </w:tc>
        <w:tc>
          <w:tcPr>
            <w:tcW w:w="708" w:type="dxa"/>
            <w:vAlign w:val="center"/>
          </w:tcPr>
          <w:p w14:paraId="2AEEE608" w14:textId="38084D61"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3.85</w:t>
            </w:r>
          </w:p>
        </w:tc>
        <w:tc>
          <w:tcPr>
            <w:tcW w:w="709" w:type="dxa"/>
            <w:vAlign w:val="center"/>
          </w:tcPr>
          <w:p w14:paraId="550F7BA6" w14:textId="6C74F010"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3.47</w:t>
            </w:r>
          </w:p>
        </w:tc>
        <w:tc>
          <w:tcPr>
            <w:tcW w:w="709" w:type="dxa"/>
            <w:shd w:val="clear" w:color="auto" w:fill="auto"/>
            <w:noWrap/>
            <w:vAlign w:val="center"/>
          </w:tcPr>
          <w:p w14:paraId="5C21C8A4" w14:textId="194F5906" w:rsidR="000E2231" w:rsidRPr="00FC3CB2"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2.94</w:t>
            </w:r>
          </w:p>
        </w:tc>
        <w:tc>
          <w:tcPr>
            <w:tcW w:w="765" w:type="dxa"/>
            <w:vAlign w:val="center"/>
          </w:tcPr>
          <w:p w14:paraId="0B17F990" w14:textId="58AD29B6"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2.97</w:t>
            </w:r>
          </w:p>
        </w:tc>
        <w:tc>
          <w:tcPr>
            <w:tcW w:w="765" w:type="dxa"/>
            <w:vAlign w:val="center"/>
          </w:tcPr>
          <w:p w14:paraId="1AF77218" w14:textId="102F8BEF"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1.7</w:t>
            </w:r>
          </w:p>
        </w:tc>
        <w:tc>
          <w:tcPr>
            <w:tcW w:w="709" w:type="dxa"/>
            <w:shd w:val="clear" w:color="auto" w:fill="auto"/>
            <w:noWrap/>
            <w:vAlign w:val="center"/>
          </w:tcPr>
          <w:p w14:paraId="009F5709" w14:textId="001F98AF"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1.3</w:t>
            </w:r>
          </w:p>
        </w:tc>
        <w:tc>
          <w:tcPr>
            <w:tcW w:w="709" w:type="dxa"/>
            <w:shd w:val="clear" w:color="auto" w:fill="auto"/>
            <w:noWrap/>
            <w:vAlign w:val="center"/>
          </w:tcPr>
          <w:p w14:paraId="7BDAAC16" w14:textId="504D3B22"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2.2</w:t>
            </w:r>
          </w:p>
        </w:tc>
        <w:tc>
          <w:tcPr>
            <w:tcW w:w="709" w:type="dxa"/>
            <w:shd w:val="clear" w:color="auto" w:fill="auto"/>
            <w:noWrap/>
            <w:vAlign w:val="center"/>
          </w:tcPr>
          <w:p w14:paraId="0F08D490" w14:textId="1A2DC9E7"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0.67</w:t>
            </w:r>
          </w:p>
        </w:tc>
        <w:tc>
          <w:tcPr>
            <w:tcW w:w="709" w:type="dxa"/>
            <w:shd w:val="clear" w:color="auto" w:fill="auto"/>
            <w:noWrap/>
            <w:vAlign w:val="center"/>
          </w:tcPr>
          <w:p w14:paraId="60CF4E09" w14:textId="748A5883"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0.62</w:t>
            </w:r>
          </w:p>
        </w:tc>
        <w:tc>
          <w:tcPr>
            <w:tcW w:w="924" w:type="dxa"/>
            <w:shd w:val="clear" w:color="auto" w:fill="auto"/>
            <w:noWrap/>
            <w:vAlign w:val="center"/>
          </w:tcPr>
          <w:p w14:paraId="0BF1922E" w14:textId="162FF8C7" w:rsidR="000E2231" w:rsidRPr="00AC4722" w:rsidRDefault="000E2231" w:rsidP="000E2231">
            <w:pPr>
              <w:tabs>
                <w:tab w:val="left" w:pos="325"/>
              </w:tabs>
              <w:spacing w:before="0" w:after="0"/>
              <w:jc w:val="center"/>
              <w:rPr>
                <w:rFonts w:ascii="Arial" w:hAnsi="Arial" w:cs="Arial"/>
                <w:color w:val="000000"/>
                <w:sz w:val="18"/>
                <w:szCs w:val="18"/>
              </w:rPr>
            </w:pPr>
            <w:r w:rsidRPr="00AC4722">
              <w:rPr>
                <w:rFonts w:ascii="Arial" w:hAnsi="Arial" w:cs="Arial"/>
                <w:color w:val="000000"/>
                <w:sz w:val="18"/>
                <w:szCs w:val="18"/>
              </w:rPr>
              <w:t>0.29</w:t>
            </w:r>
          </w:p>
        </w:tc>
        <w:tc>
          <w:tcPr>
            <w:tcW w:w="714" w:type="dxa"/>
            <w:vAlign w:val="center"/>
          </w:tcPr>
          <w:p w14:paraId="4BE550FB" w14:textId="3CC8E8AB"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0.33</w:t>
            </w:r>
          </w:p>
        </w:tc>
        <w:tc>
          <w:tcPr>
            <w:tcW w:w="714" w:type="dxa"/>
            <w:shd w:val="clear" w:color="auto" w:fill="auto"/>
            <w:noWrap/>
            <w:vAlign w:val="center"/>
            <w:hideMark/>
          </w:tcPr>
          <w:p w14:paraId="2628B1AF" w14:textId="04A1BD3C"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0.26</w:t>
            </w:r>
          </w:p>
        </w:tc>
        <w:tc>
          <w:tcPr>
            <w:tcW w:w="754" w:type="dxa"/>
            <w:shd w:val="clear" w:color="auto" w:fill="auto"/>
            <w:noWrap/>
            <w:vAlign w:val="center"/>
            <w:hideMark/>
          </w:tcPr>
          <w:p w14:paraId="5208F37A"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0.02</w:t>
            </w:r>
          </w:p>
        </w:tc>
      </w:tr>
      <w:tr w:rsidR="000E2231" w:rsidRPr="002C6BFE" w14:paraId="0DD2EEB3" w14:textId="77777777" w:rsidTr="00406960">
        <w:trPr>
          <w:trHeight w:val="300"/>
        </w:trPr>
        <w:tc>
          <w:tcPr>
            <w:tcW w:w="852" w:type="dxa"/>
            <w:shd w:val="clear" w:color="auto" w:fill="auto"/>
            <w:noWrap/>
            <w:vAlign w:val="bottom"/>
            <w:hideMark/>
          </w:tcPr>
          <w:p w14:paraId="65C5339A"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2018</w:t>
            </w:r>
          </w:p>
        </w:tc>
        <w:tc>
          <w:tcPr>
            <w:tcW w:w="708" w:type="dxa"/>
            <w:vAlign w:val="center"/>
          </w:tcPr>
          <w:p w14:paraId="31DFE06B" w14:textId="52CDF606"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3.93</w:t>
            </w:r>
          </w:p>
        </w:tc>
        <w:tc>
          <w:tcPr>
            <w:tcW w:w="709" w:type="dxa"/>
            <w:vAlign w:val="center"/>
          </w:tcPr>
          <w:p w14:paraId="0D5F41DC" w14:textId="7BD32630"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3.28</w:t>
            </w:r>
          </w:p>
        </w:tc>
        <w:tc>
          <w:tcPr>
            <w:tcW w:w="709" w:type="dxa"/>
            <w:shd w:val="clear" w:color="auto" w:fill="auto"/>
            <w:noWrap/>
            <w:vAlign w:val="center"/>
          </w:tcPr>
          <w:p w14:paraId="59598C3C" w14:textId="381DD1A8"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2.92</w:t>
            </w:r>
          </w:p>
        </w:tc>
        <w:tc>
          <w:tcPr>
            <w:tcW w:w="765" w:type="dxa"/>
            <w:vAlign w:val="center"/>
          </w:tcPr>
          <w:p w14:paraId="3DD0378C" w14:textId="06261C90"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2.82</w:t>
            </w:r>
          </w:p>
        </w:tc>
        <w:tc>
          <w:tcPr>
            <w:tcW w:w="765" w:type="dxa"/>
            <w:vAlign w:val="center"/>
          </w:tcPr>
          <w:p w14:paraId="44A92E9D" w14:textId="31CDC375"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1.77</w:t>
            </w:r>
          </w:p>
        </w:tc>
        <w:tc>
          <w:tcPr>
            <w:tcW w:w="709" w:type="dxa"/>
            <w:shd w:val="clear" w:color="auto" w:fill="auto"/>
            <w:noWrap/>
            <w:vAlign w:val="center"/>
          </w:tcPr>
          <w:p w14:paraId="2E229AFE" w14:textId="4C9C07DA"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1.19</w:t>
            </w:r>
          </w:p>
        </w:tc>
        <w:tc>
          <w:tcPr>
            <w:tcW w:w="709" w:type="dxa"/>
            <w:shd w:val="clear" w:color="auto" w:fill="auto"/>
            <w:noWrap/>
            <w:vAlign w:val="center"/>
          </w:tcPr>
          <w:p w14:paraId="00A0D85F" w14:textId="7C09E888"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1.91</w:t>
            </w:r>
          </w:p>
        </w:tc>
        <w:tc>
          <w:tcPr>
            <w:tcW w:w="709" w:type="dxa"/>
            <w:shd w:val="clear" w:color="auto" w:fill="auto"/>
            <w:noWrap/>
            <w:vAlign w:val="center"/>
          </w:tcPr>
          <w:p w14:paraId="35995CAD" w14:textId="2765F89C"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0.66</w:t>
            </w:r>
          </w:p>
        </w:tc>
        <w:tc>
          <w:tcPr>
            <w:tcW w:w="709" w:type="dxa"/>
            <w:shd w:val="clear" w:color="auto" w:fill="auto"/>
            <w:noWrap/>
            <w:vAlign w:val="center"/>
          </w:tcPr>
          <w:p w14:paraId="57851A1C" w14:textId="5EABF08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0.58</w:t>
            </w:r>
          </w:p>
        </w:tc>
        <w:tc>
          <w:tcPr>
            <w:tcW w:w="924" w:type="dxa"/>
            <w:shd w:val="clear" w:color="auto" w:fill="auto"/>
            <w:noWrap/>
            <w:vAlign w:val="center"/>
          </w:tcPr>
          <w:p w14:paraId="2847917E" w14:textId="26EE624F" w:rsidR="000E2231" w:rsidRPr="00AC4722" w:rsidRDefault="000E2231" w:rsidP="000E2231">
            <w:pPr>
              <w:tabs>
                <w:tab w:val="left" w:pos="325"/>
              </w:tabs>
              <w:spacing w:before="0" w:after="0"/>
              <w:jc w:val="center"/>
              <w:rPr>
                <w:rFonts w:ascii="Arial" w:hAnsi="Arial" w:cs="Arial"/>
                <w:color w:val="000000"/>
                <w:sz w:val="18"/>
                <w:szCs w:val="18"/>
              </w:rPr>
            </w:pPr>
            <w:r w:rsidRPr="00AC4722">
              <w:rPr>
                <w:rFonts w:ascii="Arial" w:hAnsi="Arial" w:cs="Arial"/>
                <w:color w:val="000000"/>
                <w:sz w:val="18"/>
                <w:szCs w:val="18"/>
              </w:rPr>
              <w:t>0.29</w:t>
            </w:r>
          </w:p>
        </w:tc>
        <w:tc>
          <w:tcPr>
            <w:tcW w:w="714" w:type="dxa"/>
            <w:vAlign w:val="center"/>
          </w:tcPr>
          <w:p w14:paraId="0EACD165" w14:textId="0292B51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w:t>
            </w:r>
          </w:p>
        </w:tc>
        <w:tc>
          <w:tcPr>
            <w:tcW w:w="714" w:type="dxa"/>
            <w:shd w:val="clear" w:color="auto" w:fill="auto"/>
            <w:noWrap/>
            <w:vAlign w:val="center"/>
            <w:hideMark/>
          </w:tcPr>
          <w:p w14:paraId="53FF7E61" w14:textId="3760912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0.27</w:t>
            </w:r>
          </w:p>
        </w:tc>
        <w:tc>
          <w:tcPr>
            <w:tcW w:w="754" w:type="dxa"/>
            <w:shd w:val="clear" w:color="auto" w:fill="auto"/>
            <w:noWrap/>
            <w:vAlign w:val="center"/>
            <w:hideMark/>
          </w:tcPr>
          <w:p w14:paraId="18FBC576"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0.02</w:t>
            </w:r>
          </w:p>
        </w:tc>
      </w:tr>
      <w:tr w:rsidR="000E2231" w:rsidRPr="002C6BFE" w14:paraId="5F988A9C" w14:textId="77777777" w:rsidTr="00406960">
        <w:trPr>
          <w:trHeight w:val="300"/>
        </w:trPr>
        <w:tc>
          <w:tcPr>
            <w:tcW w:w="852" w:type="dxa"/>
            <w:shd w:val="clear" w:color="auto" w:fill="auto"/>
            <w:noWrap/>
            <w:vAlign w:val="bottom"/>
            <w:hideMark/>
          </w:tcPr>
          <w:p w14:paraId="701C10A8"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2019</w:t>
            </w:r>
          </w:p>
        </w:tc>
        <w:tc>
          <w:tcPr>
            <w:tcW w:w="708" w:type="dxa"/>
            <w:vAlign w:val="center"/>
          </w:tcPr>
          <w:p w14:paraId="4BBE5B4D" w14:textId="4264157A"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4.13</w:t>
            </w:r>
          </w:p>
        </w:tc>
        <w:tc>
          <w:tcPr>
            <w:tcW w:w="709" w:type="dxa"/>
            <w:vAlign w:val="center"/>
          </w:tcPr>
          <w:p w14:paraId="128ED1BB" w14:textId="39F6CCC4"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3.46</w:t>
            </w:r>
          </w:p>
        </w:tc>
        <w:tc>
          <w:tcPr>
            <w:tcW w:w="709" w:type="dxa"/>
            <w:shd w:val="clear" w:color="auto" w:fill="auto"/>
            <w:noWrap/>
            <w:vAlign w:val="center"/>
          </w:tcPr>
          <w:p w14:paraId="7FB7EFBE" w14:textId="6B00F62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2.97</w:t>
            </w:r>
          </w:p>
        </w:tc>
        <w:tc>
          <w:tcPr>
            <w:tcW w:w="765" w:type="dxa"/>
            <w:vAlign w:val="center"/>
          </w:tcPr>
          <w:p w14:paraId="42B59D98" w14:textId="7F2273EF"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2.82</w:t>
            </w:r>
          </w:p>
        </w:tc>
        <w:tc>
          <w:tcPr>
            <w:tcW w:w="765" w:type="dxa"/>
            <w:vAlign w:val="center"/>
          </w:tcPr>
          <w:p w14:paraId="7D53F95B" w14:textId="77EFB9BE"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1.91</w:t>
            </w:r>
          </w:p>
        </w:tc>
        <w:tc>
          <w:tcPr>
            <w:tcW w:w="709" w:type="dxa"/>
            <w:shd w:val="clear" w:color="auto" w:fill="auto"/>
            <w:noWrap/>
            <w:vAlign w:val="center"/>
          </w:tcPr>
          <w:p w14:paraId="37B0F309" w14:textId="7871CB37"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1.17</w:t>
            </w:r>
          </w:p>
        </w:tc>
        <w:tc>
          <w:tcPr>
            <w:tcW w:w="709" w:type="dxa"/>
            <w:shd w:val="clear" w:color="auto" w:fill="auto"/>
            <w:noWrap/>
            <w:vAlign w:val="center"/>
          </w:tcPr>
          <w:p w14:paraId="1A687C5C" w14:textId="2D18F2AA"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1.85</w:t>
            </w:r>
          </w:p>
        </w:tc>
        <w:tc>
          <w:tcPr>
            <w:tcW w:w="709" w:type="dxa"/>
            <w:shd w:val="clear" w:color="auto" w:fill="auto"/>
            <w:noWrap/>
            <w:vAlign w:val="center"/>
          </w:tcPr>
          <w:p w14:paraId="357791F7" w14:textId="0DFF4806"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0.56</w:t>
            </w:r>
          </w:p>
        </w:tc>
        <w:tc>
          <w:tcPr>
            <w:tcW w:w="709" w:type="dxa"/>
            <w:shd w:val="clear" w:color="auto" w:fill="auto"/>
            <w:noWrap/>
            <w:vAlign w:val="center"/>
          </w:tcPr>
          <w:p w14:paraId="47278194" w14:textId="0536D638"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0.56</w:t>
            </w:r>
          </w:p>
        </w:tc>
        <w:tc>
          <w:tcPr>
            <w:tcW w:w="924" w:type="dxa"/>
            <w:shd w:val="clear" w:color="auto" w:fill="auto"/>
            <w:noWrap/>
            <w:vAlign w:val="center"/>
          </w:tcPr>
          <w:p w14:paraId="51A2E43B" w14:textId="490F3534" w:rsidR="000E2231" w:rsidRPr="00AC4722" w:rsidRDefault="000E2231" w:rsidP="000E2231">
            <w:pPr>
              <w:tabs>
                <w:tab w:val="left" w:pos="325"/>
              </w:tabs>
              <w:spacing w:before="0" w:after="0"/>
              <w:jc w:val="center"/>
              <w:rPr>
                <w:rFonts w:ascii="Arial" w:hAnsi="Arial" w:cs="Arial"/>
                <w:color w:val="000000"/>
                <w:sz w:val="18"/>
                <w:szCs w:val="18"/>
              </w:rPr>
            </w:pPr>
            <w:r w:rsidRPr="00AC4722">
              <w:rPr>
                <w:rFonts w:ascii="Arial" w:hAnsi="Arial" w:cs="Arial"/>
                <w:color w:val="000000"/>
                <w:sz w:val="18"/>
                <w:szCs w:val="18"/>
              </w:rPr>
              <w:t>0.28</w:t>
            </w:r>
          </w:p>
        </w:tc>
        <w:tc>
          <w:tcPr>
            <w:tcW w:w="714" w:type="dxa"/>
            <w:vAlign w:val="center"/>
          </w:tcPr>
          <w:p w14:paraId="23BCDA18" w14:textId="51396248"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0.31</w:t>
            </w:r>
          </w:p>
        </w:tc>
        <w:tc>
          <w:tcPr>
            <w:tcW w:w="714" w:type="dxa"/>
            <w:shd w:val="clear" w:color="auto" w:fill="auto"/>
            <w:noWrap/>
            <w:vAlign w:val="center"/>
            <w:hideMark/>
          </w:tcPr>
          <w:p w14:paraId="5038399D" w14:textId="16E9D5D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0.27</w:t>
            </w:r>
          </w:p>
        </w:tc>
        <w:tc>
          <w:tcPr>
            <w:tcW w:w="754" w:type="dxa"/>
            <w:shd w:val="clear" w:color="auto" w:fill="auto"/>
            <w:noWrap/>
            <w:vAlign w:val="center"/>
            <w:hideMark/>
          </w:tcPr>
          <w:p w14:paraId="63661DF7"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0.01</w:t>
            </w:r>
          </w:p>
        </w:tc>
      </w:tr>
      <w:tr w:rsidR="000E2231" w:rsidRPr="002C6BFE" w14:paraId="66BAE1CB" w14:textId="77777777" w:rsidTr="00406960">
        <w:trPr>
          <w:trHeight w:val="300"/>
        </w:trPr>
        <w:tc>
          <w:tcPr>
            <w:tcW w:w="852" w:type="dxa"/>
            <w:shd w:val="clear" w:color="auto" w:fill="auto"/>
            <w:noWrap/>
            <w:vAlign w:val="bottom"/>
            <w:hideMark/>
          </w:tcPr>
          <w:p w14:paraId="7A0A6280"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2020</w:t>
            </w:r>
          </w:p>
        </w:tc>
        <w:tc>
          <w:tcPr>
            <w:tcW w:w="708" w:type="dxa"/>
            <w:vAlign w:val="center"/>
          </w:tcPr>
          <w:p w14:paraId="7B1607EF" w14:textId="1498C63C"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3.55</w:t>
            </w:r>
          </w:p>
        </w:tc>
        <w:tc>
          <w:tcPr>
            <w:tcW w:w="709" w:type="dxa"/>
            <w:vAlign w:val="center"/>
          </w:tcPr>
          <w:p w14:paraId="7861FE11" w14:textId="1BB3013C"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2.25</w:t>
            </w:r>
          </w:p>
        </w:tc>
        <w:tc>
          <w:tcPr>
            <w:tcW w:w="709" w:type="dxa"/>
            <w:shd w:val="clear" w:color="auto" w:fill="auto"/>
            <w:noWrap/>
            <w:vAlign w:val="center"/>
          </w:tcPr>
          <w:p w14:paraId="7B71D4EA" w14:textId="1EF02FB4"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2.48</w:t>
            </w:r>
          </w:p>
        </w:tc>
        <w:tc>
          <w:tcPr>
            <w:tcW w:w="765" w:type="dxa"/>
            <w:vAlign w:val="center"/>
          </w:tcPr>
          <w:p w14:paraId="5654368E" w14:textId="67C69DCB"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1.83</w:t>
            </w:r>
          </w:p>
        </w:tc>
        <w:tc>
          <w:tcPr>
            <w:tcW w:w="765" w:type="dxa"/>
            <w:vAlign w:val="center"/>
          </w:tcPr>
          <w:p w14:paraId="15C7C7EF" w14:textId="4C6B958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w:t>
            </w:r>
          </w:p>
        </w:tc>
        <w:tc>
          <w:tcPr>
            <w:tcW w:w="709" w:type="dxa"/>
            <w:shd w:val="clear" w:color="auto" w:fill="auto"/>
            <w:noWrap/>
            <w:vAlign w:val="center"/>
          </w:tcPr>
          <w:p w14:paraId="76B58BD1" w14:textId="643F8BD8"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1.12</w:t>
            </w:r>
          </w:p>
        </w:tc>
        <w:tc>
          <w:tcPr>
            <w:tcW w:w="709" w:type="dxa"/>
            <w:shd w:val="clear" w:color="auto" w:fill="auto"/>
            <w:noWrap/>
            <w:vAlign w:val="center"/>
          </w:tcPr>
          <w:p w14:paraId="2DC1C118" w14:textId="40A01CC9"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1.09</w:t>
            </w:r>
          </w:p>
        </w:tc>
        <w:tc>
          <w:tcPr>
            <w:tcW w:w="709" w:type="dxa"/>
            <w:shd w:val="clear" w:color="auto" w:fill="auto"/>
            <w:noWrap/>
            <w:vAlign w:val="center"/>
          </w:tcPr>
          <w:p w14:paraId="7D198C68" w14:textId="157ACF5F"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0.62</w:t>
            </w:r>
          </w:p>
        </w:tc>
        <w:tc>
          <w:tcPr>
            <w:tcW w:w="709" w:type="dxa"/>
            <w:shd w:val="clear" w:color="auto" w:fill="auto"/>
            <w:noWrap/>
            <w:vAlign w:val="center"/>
          </w:tcPr>
          <w:p w14:paraId="582C780D" w14:textId="23C4C2CA"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0.37</w:t>
            </w:r>
          </w:p>
        </w:tc>
        <w:tc>
          <w:tcPr>
            <w:tcW w:w="924" w:type="dxa"/>
            <w:shd w:val="clear" w:color="auto" w:fill="auto"/>
            <w:noWrap/>
            <w:vAlign w:val="center"/>
          </w:tcPr>
          <w:p w14:paraId="3D0677BE" w14:textId="24A781E2" w:rsidR="000E2231" w:rsidRPr="00AC4722" w:rsidRDefault="000E2231" w:rsidP="000E2231">
            <w:pPr>
              <w:tabs>
                <w:tab w:val="left" w:pos="325"/>
              </w:tabs>
              <w:spacing w:before="0" w:after="0"/>
              <w:jc w:val="center"/>
              <w:rPr>
                <w:rFonts w:ascii="Arial" w:hAnsi="Arial" w:cs="Arial"/>
                <w:color w:val="000000"/>
                <w:sz w:val="18"/>
                <w:szCs w:val="18"/>
              </w:rPr>
            </w:pPr>
            <w:r w:rsidRPr="00AC4722">
              <w:rPr>
                <w:rFonts w:ascii="Arial" w:hAnsi="Arial" w:cs="Arial"/>
                <w:color w:val="000000"/>
                <w:sz w:val="18"/>
                <w:szCs w:val="18"/>
              </w:rPr>
              <w:t>0.26</w:t>
            </w:r>
          </w:p>
        </w:tc>
        <w:tc>
          <w:tcPr>
            <w:tcW w:w="714" w:type="dxa"/>
            <w:vAlign w:val="center"/>
          </w:tcPr>
          <w:p w14:paraId="7EE2A5ED" w14:textId="217C4FD5"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0.18</w:t>
            </w:r>
          </w:p>
        </w:tc>
        <w:tc>
          <w:tcPr>
            <w:tcW w:w="714" w:type="dxa"/>
            <w:shd w:val="clear" w:color="auto" w:fill="auto"/>
            <w:noWrap/>
            <w:vAlign w:val="center"/>
            <w:hideMark/>
          </w:tcPr>
          <w:p w14:paraId="74DDE651" w14:textId="1F07876A"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0.24</w:t>
            </w:r>
          </w:p>
        </w:tc>
        <w:tc>
          <w:tcPr>
            <w:tcW w:w="754" w:type="dxa"/>
            <w:shd w:val="clear" w:color="auto" w:fill="auto"/>
            <w:noWrap/>
            <w:vAlign w:val="center"/>
            <w:hideMark/>
          </w:tcPr>
          <w:p w14:paraId="5E43B670"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0.01</w:t>
            </w:r>
          </w:p>
        </w:tc>
      </w:tr>
      <w:tr w:rsidR="000E2231" w:rsidRPr="00FC3CB2" w14:paraId="5B086873" w14:textId="77777777" w:rsidTr="00406960">
        <w:trPr>
          <w:trHeight w:val="300"/>
        </w:trPr>
        <w:tc>
          <w:tcPr>
            <w:tcW w:w="852" w:type="dxa"/>
            <w:shd w:val="clear" w:color="auto" w:fill="auto"/>
            <w:noWrap/>
            <w:vAlign w:val="bottom"/>
            <w:hideMark/>
          </w:tcPr>
          <w:p w14:paraId="2A75134C" w14:textId="77777777" w:rsidR="000E2231" w:rsidRPr="00FC3CB2"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2021</w:t>
            </w:r>
          </w:p>
        </w:tc>
        <w:tc>
          <w:tcPr>
            <w:tcW w:w="708" w:type="dxa"/>
            <w:vAlign w:val="center"/>
          </w:tcPr>
          <w:p w14:paraId="5B3ACACE" w14:textId="43F9A844"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3.57</w:t>
            </w:r>
          </w:p>
        </w:tc>
        <w:tc>
          <w:tcPr>
            <w:tcW w:w="709" w:type="dxa"/>
            <w:vAlign w:val="center"/>
          </w:tcPr>
          <w:p w14:paraId="1F9D925D" w14:textId="6607459D"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2.44</w:t>
            </w:r>
          </w:p>
        </w:tc>
        <w:tc>
          <w:tcPr>
            <w:tcW w:w="709" w:type="dxa"/>
            <w:shd w:val="clear" w:color="auto" w:fill="auto"/>
            <w:noWrap/>
            <w:vAlign w:val="center"/>
          </w:tcPr>
          <w:p w14:paraId="68720952" w14:textId="7F62D7D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2.42</w:t>
            </w:r>
          </w:p>
        </w:tc>
        <w:tc>
          <w:tcPr>
            <w:tcW w:w="765" w:type="dxa"/>
            <w:vAlign w:val="center"/>
          </w:tcPr>
          <w:p w14:paraId="47D26E56" w14:textId="49A06C42" w:rsidR="000E2231" w:rsidRPr="00FC3CB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1.79</w:t>
            </w:r>
          </w:p>
        </w:tc>
        <w:tc>
          <w:tcPr>
            <w:tcW w:w="765" w:type="dxa"/>
            <w:vAlign w:val="center"/>
          </w:tcPr>
          <w:p w14:paraId="4080E9DC" w14:textId="77BDCF9B"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1.98</w:t>
            </w:r>
          </w:p>
        </w:tc>
        <w:tc>
          <w:tcPr>
            <w:tcW w:w="709" w:type="dxa"/>
            <w:shd w:val="clear" w:color="auto" w:fill="auto"/>
            <w:noWrap/>
            <w:vAlign w:val="center"/>
          </w:tcPr>
          <w:p w14:paraId="51C16085" w14:textId="1E7E9F1B"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1.14</w:t>
            </w:r>
          </w:p>
        </w:tc>
        <w:tc>
          <w:tcPr>
            <w:tcW w:w="709" w:type="dxa"/>
            <w:shd w:val="clear" w:color="auto" w:fill="auto"/>
            <w:noWrap/>
            <w:vAlign w:val="center"/>
          </w:tcPr>
          <w:p w14:paraId="02A0A9E2" w14:textId="1789E775" w:rsidR="000E2231" w:rsidRPr="00AC4722" w:rsidRDefault="000E2231" w:rsidP="000E2231">
            <w:pPr>
              <w:spacing w:before="0" w:after="0"/>
              <w:jc w:val="center"/>
              <w:rPr>
                <w:rFonts w:ascii="Arial" w:hAnsi="Arial" w:cs="Arial"/>
                <w:color w:val="000000"/>
                <w:sz w:val="18"/>
                <w:szCs w:val="18"/>
              </w:rPr>
            </w:pPr>
            <w:r w:rsidRPr="00AC4722">
              <w:rPr>
                <w:rFonts w:ascii="Arial" w:hAnsi="Arial" w:cs="Arial"/>
                <w:color w:val="000000"/>
                <w:sz w:val="18"/>
                <w:szCs w:val="18"/>
              </w:rPr>
              <w:t>0.88</w:t>
            </w:r>
          </w:p>
        </w:tc>
        <w:tc>
          <w:tcPr>
            <w:tcW w:w="709" w:type="dxa"/>
            <w:shd w:val="clear" w:color="auto" w:fill="auto"/>
            <w:noWrap/>
            <w:vAlign w:val="center"/>
          </w:tcPr>
          <w:p w14:paraId="68A1F53A" w14:textId="2372240A"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0.61</w:t>
            </w:r>
          </w:p>
        </w:tc>
        <w:tc>
          <w:tcPr>
            <w:tcW w:w="709" w:type="dxa"/>
            <w:shd w:val="clear" w:color="auto" w:fill="auto"/>
            <w:noWrap/>
            <w:vAlign w:val="center"/>
          </w:tcPr>
          <w:p w14:paraId="28499FC5" w14:textId="4E718BCF"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0.38</w:t>
            </w:r>
          </w:p>
        </w:tc>
        <w:tc>
          <w:tcPr>
            <w:tcW w:w="924" w:type="dxa"/>
            <w:shd w:val="clear" w:color="auto" w:fill="auto"/>
            <w:noWrap/>
            <w:vAlign w:val="center"/>
          </w:tcPr>
          <w:p w14:paraId="2B83100D" w14:textId="0E60C6BA" w:rsidR="000E2231" w:rsidRPr="00FC3CB2" w:rsidRDefault="000E2231" w:rsidP="000E2231">
            <w:pPr>
              <w:tabs>
                <w:tab w:val="left" w:pos="325"/>
              </w:tabs>
              <w:spacing w:before="0" w:after="0"/>
              <w:jc w:val="center"/>
              <w:rPr>
                <w:rFonts w:ascii="Arial" w:hAnsi="Arial" w:cs="Arial"/>
                <w:color w:val="000000"/>
                <w:sz w:val="18"/>
                <w:szCs w:val="18"/>
              </w:rPr>
            </w:pPr>
            <w:r w:rsidRPr="00FC3CB2">
              <w:rPr>
                <w:rFonts w:ascii="Arial" w:hAnsi="Arial" w:cs="Arial"/>
                <w:color w:val="000000"/>
                <w:sz w:val="18"/>
                <w:szCs w:val="18"/>
              </w:rPr>
              <w:t>0.24</w:t>
            </w:r>
          </w:p>
        </w:tc>
        <w:tc>
          <w:tcPr>
            <w:tcW w:w="714" w:type="dxa"/>
            <w:vAlign w:val="center"/>
          </w:tcPr>
          <w:p w14:paraId="3CCA4B84" w14:textId="390F6988"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0.18</w:t>
            </w:r>
          </w:p>
        </w:tc>
        <w:tc>
          <w:tcPr>
            <w:tcW w:w="714" w:type="dxa"/>
            <w:shd w:val="clear" w:color="auto" w:fill="auto"/>
            <w:noWrap/>
            <w:vAlign w:val="center"/>
            <w:hideMark/>
          </w:tcPr>
          <w:p w14:paraId="364D65F4" w14:textId="58046CAF"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0.23</w:t>
            </w:r>
          </w:p>
        </w:tc>
        <w:tc>
          <w:tcPr>
            <w:tcW w:w="754" w:type="dxa"/>
            <w:shd w:val="clear" w:color="auto" w:fill="auto"/>
            <w:noWrap/>
            <w:vAlign w:val="center"/>
            <w:hideMark/>
          </w:tcPr>
          <w:p w14:paraId="73DC0713" w14:textId="77777777" w:rsidR="000E2231" w:rsidRPr="00FC3CB2"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0.01</w:t>
            </w:r>
          </w:p>
        </w:tc>
      </w:tr>
      <w:tr w:rsidR="000E2231" w:rsidRPr="00FC3CB2" w14:paraId="59D26F44" w14:textId="77777777" w:rsidTr="00406960">
        <w:trPr>
          <w:trHeight w:val="300"/>
        </w:trPr>
        <w:tc>
          <w:tcPr>
            <w:tcW w:w="852" w:type="dxa"/>
            <w:shd w:val="clear" w:color="auto" w:fill="auto"/>
            <w:noWrap/>
            <w:vAlign w:val="bottom"/>
          </w:tcPr>
          <w:p w14:paraId="5350AFFE" w14:textId="03A9E3F6" w:rsidR="000E2231" w:rsidRPr="00875BAE"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202</w:t>
            </w:r>
            <w:r>
              <w:rPr>
                <w:rFonts w:ascii="Arial" w:hAnsi="Arial" w:cs="Arial"/>
                <w:color w:val="000000"/>
                <w:sz w:val="18"/>
                <w:szCs w:val="18"/>
              </w:rPr>
              <w:t>2</w:t>
            </w:r>
          </w:p>
        </w:tc>
        <w:tc>
          <w:tcPr>
            <w:tcW w:w="708" w:type="dxa"/>
            <w:vAlign w:val="center"/>
          </w:tcPr>
          <w:p w14:paraId="597C7372" w14:textId="728ABFD6"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3.69</w:t>
            </w:r>
          </w:p>
        </w:tc>
        <w:tc>
          <w:tcPr>
            <w:tcW w:w="709" w:type="dxa"/>
            <w:vAlign w:val="center"/>
          </w:tcPr>
          <w:p w14:paraId="1665C3E5" w14:textId="4FEE62BC"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2.96</w:t>
            </w:r>
          </w:p>
        </w:tc>
        <w:tc>
          <w:tcPr>
            <w:tcW w:w="709" w:type="dxa"/>
            <w:shd w:val="clear" w:color="auto" w:fill="auto"/>
            <w:noWrap/>
            <w:vAlign w:val="center"/>
          </w:tcPr>
          <w:p w14:paraId="5918D5BF" w14:textId="074EB904"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2.53</w:t>
            </w:r>
          </w:p>
        </w:tc>
        <w:tc>
          <w:tcPr>
            <w:tcW w:w="765" w:type="dxa"/>
            <w:vAlign w:val="center"/>
          </w:tcPr>
          <w:p w14:paraId="15AF8C45" w14:textId="2A65EEF4" w:rsidR="000E2231"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1.94</w:t>
            </w:r>
          </w:p>
        </w:tc>
        <w:tc>
          <w:tcPr>
            <w:tcW w:w="765" w:type="dxa"/>
            <w:vAlign w:val="center"/>
          </w:tcPr>
          <w:p w14:paraId="7025079B" w14:textId="6EDFAAFD"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1.95</w:t>
            </w:r>
          </w:p>
        </w:tc>
        <w:tc>
          <w:tcPr>
            <w:tcW w:w="709" w:type="dxa"/>
            <w:shd w:val="clear" w:color="auto" w:fill="auto"/>
            <w:noWrap/>
            <w:vAlign w:val="center"/>
          </w:tcPr>
          <w:p w14:paraId="586097C6" w14:textId="4FA2B7AD"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1.09</w:t>
            </w:r>
          </w:p>
        </w:tc>
        <w:tc>
          <w:tcPr>
            <w:tcW w:w="709" w:type="dxa"/>
            <w:shd w:val="clear" w:color="auto" w:fill="auto"/>
            <w:noWrap/>
            <w:vAlign w:val="center"/>
          </w:tcPr>
          <w:p w14:paraId="0CAB5DED" w14:textId="306D4EA7"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w:t>
            </w:r>
          </w:p>
        </w:tc>
        <w:tc>
          <w:tcPr>
            <w:tcW w:w="709" w:type="dxa"/>
            <w:shd w:val="clear" w:color="auto" w:fill="auto"/>
            <w:noWrap/>
            <w:vAlign w:val="center"/>
          </w:tcPr>
          <w:p w14:paraId="253EFC28" w14:textId="6C6F183C"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0.58</w:t>
            </w:r>
          </w:p>
        </w:tc>
        <w:tc>
          <w:tcPr>
            <w:tcW w:w="709" w:type="dxa"/>
            <w:shd w:val="clear" w:color="auto" w:fill="auto"/>
            <w:noWrap/>
            <w:vAlign w:val="center"/>
          </w:tcPr>
          <w:p w14:paraId="7C5C40B3" w14:textId="7D019F25"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0.43</w:t>
            </w:r>
          </w:p>
        </w:tc>
        <w:tc>
          <w:tcPr>
            <w:tcW w:w="924" w:type="dxa"/>
            <w:shd w:val="clear" w:color="auto" w:fill="auto"/>
            <w:noWrap/>
            <w:vAlign w:val="center"/>
          </w:tcPr>
          <w:p w14:paraId="7A2B1FBD" w14:textId="42433744" w:rsidR="000E2231" w:rsidRPr="00875BAE" w:rsidRDefault="000E2231" w:rsidP="000E2231">
            <w:pPr>
              <w:tabs>
                <w:tab w:val="left" w:pos="325"/>
              </w:tabs>
              <w:spacing w:before="0" w:after="0"/>
              <w:jc w:val="center"/>
              <w:rPr>
                <w:rFonts w:ascii="Arial" w:hAnsi="Arial" w:cs="Arial"/>
                <w:color w:val="000000"/>
                <w:sz w:val="18"/>
                <w:szCs w:val="18"/>
              </w:rPr>
            </w:pPr>
            <w:r>
              <w:rPr>
                <w:rFonts w:ascii="Arial" w:hAnsi="Arial" w:cs="Arial"/>
                <w:color w:val="000000"/>
                <w:sz w:val="18"/>
                <w:szCs w:val="18"/>
              </w:rPr>
              <w:t>0.17</w:t>
            </w:r>
          </w:p>
        </w:tc>
        <w:tc>
          <w:tcPr>
            <w:tcW w:w="714" w:type="dxa"/>
            <w:vAlign w:val="center"/>
          </w:tcPr>
          <w:p w14:paraId="5916A6C9" w14:textId="1F50675E" w:rsidR="000E2231"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0.23</w:t>
            </w:r>
          </w:p>
        </w:tc>
        <w:tc>
          <w:tcPr>
            <w:tcW w:w="714" w:type="dxa"/>
            <w:shd w:val="clear" w:color="auto" w:fill="auto"/>
            <w:noWrap/>
            <w:vAlign w:val="center"/>
          </w:tcPr>
          <w:p w14:paraId="0103B945" w14:textId="37BFEDE8"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0.2</w:t>
            </w:r>
          </w:p>
        </w:tc>
        <w:tc>
          <w:tcPr>
            <w:tcW w:w="754" w:type="dxa"/>
            <w:shd w:val="clear" w:color="auto" w:fill="auto"/>
            <w:noWrap/>
            <w:vAlign w:val="center"/>
          </w:tcPr>
          <w:p w14:paraId="71BF7AAF" w14:textId="2E325774"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0.01</w:t>
            </w:r>
          </w:p>
        </w:tc>
      </w:tr>
      <w:tr w:rsidR="000E2231" w:rsidRPr="00FC3CB2" w14:paraId="6BF22E7E" w14:textId="77777777" w:rsidTr="00406960">
        <w:trPr>
          <w:trHeight w:val="300"/>
        </w:trPr>
        <w:tc>
          <w:tcPr>
            <w:tcW w:w="852" w:type="dxa"/>
            <w:shd w:val="clear" w:color="auto" w:fill="auto"/>
            <w:noWrap/>
            <w:vAlign w:val="bottom"/>
          </w:tcPr>
          <w:p w14:paraId="6410B8B5" w14:textId="41D8DFD4" w:rsidR="000E2231" w:rsidRPr="00875BAE" w:rsidRDefault="000E2231" w:rsidP="000E2231">
            <w:pPr>
              <w:spacing w:before="0" w:after="0"/>
              <w:jc w:val="right"/>
              <w:rPr>
                <w:rFonts w:ascii="Arial" w:hAnsi="Arial" w:cs="Arial"/>
                <w:color w:val="000000"/>
                <w:sz w:val="18"/>
                <w:szCs w:val="18"/>
              </w:rPr>
            </w:pPr>
            <w:r w:rsidRPr="00FC3CB2">
              <w:rPr>
                <w:rFonts w:ascii="Arial" w:hAnsi="Arial" w:cs="Arial"/>
                <w:color w:val="000000"/>
                <w:sz w:val="18"/>
                <w:szCs w:val="18"/>
              </w:rPr>
              <w:t>202</w:t>
            </w:r>
            <w:r w:rsidRPr="00875BAE">
              <w:rPr>
                <w:rFonts w:ascii="Arial" w:hAnsi="Arial" w:cs="Arial"/>
                <w:color w:val="000000"/>
                <w:sz w:val="18"/>
                <w:szCs w:val="18"/>
              </w:rPr>
              <w:t>3</w:t>
            </w:r>
          </w:p>
        </w:tc>
        <w:tc>
          <w:tcPr>
            <w:tcW w:w="708" w:type="dxa"/>
            <w:vAlign w:val="center"/>
          </w:tcPr>
          <w:p w14:paraId="708AE6B8" w14:textId="5C51BB7B"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3.76</w:t>
            </w:r>
          </w:p>
        </w:tc>
        <w:tc>
          <w:tcPr>
            <w:tcW w:w="709" w:type="dxa"/>
            <w:vAlign w:val="center"/>
          </w:tcPr>
          <w:p w14:paraId="1BC2216C" w14:textId="46923C51"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2.99</w:t>
            </w:r>
          </w:p>
        </w:tc>
        <w:tc>
          <w:tcPr>
            <w:tcW w:w="709" w:type="dxa"/>
            <w:shd w:val="clear" w:color="auto" w:fill="auto"/>
            <w:noWrap/>
            <w:vAlign w:val="center"/>
          </w:tcPr>
          <w:p w14:paraId="0188FA64" w14:textId="7320D912"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2.56</w:t>
            </w:r>
          </w:p>
        </w:tc>
        <w:tc>
          <w:tcPr>
            <w:tcW w:w="765" w:type="dxa"/>
            <w:vAlign w:val="center"/>
          </w:tcPr>
          <w:p w14:paraId="76970CDA" w14:textId="238CCB5A" w:rsidR="000E2231"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2.01</w:t>
            </w:r>
          </w:p>
        </w:tc>
        <w:tc>
          <w:tcPr>
            <w:tcW w:w="765" w:type="dxa"/>
            <w:vAlign w:val="center"/>
          </w:tcPr>
          <w:p w14:paraId="6FBF16D3" w14:textId="0AA4FD53"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1.96</w:t>
            </w:r>
          </w:p>
        </w:tc>
        <w:tc>
          <w:tcPr>
            <w:tcW w:w="709" w:type="dxa"/>
            <w:shd w:val="clear" w:color="auto" w:fill="auto"/>
            <w:noWrap/>
            <w:vAlign w:val="center"/>
          </w:tcPr>
          <w:p w14:paraId="682AD1D9" w14:textId="7E034494"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1.03</w:t>
            </w:r>
          </w:p>
        </w:tc>
        <w:tc>
          <w:tcPr>
            <w:tcW w:w="709" w:type="dxa"/>
            <w:shd w:val="clear" w:color="auto" w:fill="auto"/>
            <w:noWrap/>
            <w:vAlign w:val="center"/>
          </w:tcPr>
          <w:p w14:paraId="4DC15DF4" w14:textId="5E6AE7F6"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0.85</w:t>
            </w:r>
          </w:p>
        </w:tc>
        <w:tc>
          <w:tcPr>
            <w:tcW w:w="709" w:type="dxa"/>
            <w:shd w:val="clear" w:color="auto" w:fill="auto"/>
            <w:noWrap/>
            <w:vAlign w:val="center"/>
          </w:tcPr>
          <w:p w14:paraId="0E3E379B" w14:textId="4651AE7F"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0.59</w:t>
            </w:r>
          </w:p>
        </w:tc>
        <w:tc>
          <w:tcPr>
            <w:tcW w:w="709" w:type="dxa"/>
            <w:shd w:val="clear" w:color="auto" w:fill="auto"/>
            <w:noWrap/>
            <w:vAlign w:val="center"/>
          </w:tcPr>
          <w:p w14:paraId="03E7E03F" w14:textId="46A007B7"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0.45</w:t>
            </w:r>
          </w:p>
        </w:tc>
        <w:tc>
          <w:tcPr>
            <w:tcW w:w="924" w:type="dxa"/>
            <w:shd w:val="clear" w:color="auto" w:fill="auto"/>
            <w:noWrap/>
            <w:vAlign w:val="center"/>
          </w:tcPr>
          <w:p w14:paraId="7192876F" w14:textId="0454DF8F" w:rsidR="000E2231" w:rsidRPr="00875BAE" w:rsidRDefault="000E2231" w:rsidP="000E2231">
            <w:pPr>
              <w:tabs>
                <w:tab w:val="left" w:pos="325"/>
              </w:tabs>
              <w:spacing w:before="0" w:after="0"/>
              <w:jc w:val="center"/>
              <w:rPr>
                <w:rFonts w:ascii="Arial" w:hAnsi="Arial" w:cs="Arial"/>
                <w:color w:val="000000"/>
                <w:sz w:val="18"/>
                <w:szCs w:val="18"/>
              </w:rPr>
            </w:pPr>
            <w:r>
              <w:rPr>
                <w:rFonts w:ascii="Arial" w:hAnsi="Arial" w:cs="Arial"/>
                <w:color w:val="000000"/>
                <w:sz w:val="18"/>
                <w:szCs w:val="18"/>
              </w:rPr>
              <w:t>0.21</w:t>
            </w:r>
          </w:p>
        </w:tc>
        <w:tc>
          <w:tcPr>
            <w:tcW w:w="714" w:type="dxa"/>
            <w:vAlign w:val="center"/>
          </w:tcPr>
          <w:p w14:paraId="61070B0C" w14:textId="6A9A3645" w:rsidR="000E2231"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0.19</w:t>
            </w:r>
          </w:p>
        </w:tc>
        <w:tc>
          <w:tcPr>
            <w:tcW w:w="714" w:type="dxa"/>
            <w:shd w:val="clear" w:color="auto" w:fill="auto"/>
            <w:noWrap/>
            <w:vAlign w:val="center"/>
          </w:tcPr>
          <w:p w14:paraId="0155319B" w14:textId="55094E20" w:rsidR="000E2231" w:rsidRPr="00875BAE" w:rsidRDefault="000E2231" w:rsidP="000E2231">
            <w:pPr>
              <w:spacing w:before="0" w:after="0"/>
              <w:jc w:val="center"/>
              <w:rPr>
                <w:rFonts w:ascii="Arial" w:hAnsi="Arial" w:cs="Arial"/>
                <w:color w:val="000000"/>
                <w:sz w:val="18"/>
                <w:szCs w:val="18"/>
              </w:rPr>
            </w:pPr>
            <w:r>
              <w:rPr>
                <w:rFonts w:ascii="Arial" w:hAnsi="Arial" w:cs="Arial"/>
                <w:color w:val="000000"/>
                <w:sz w:val="18"/>
                <w:szCs w:val="18"/>
              </w:rPr>
              <w:t>0.19</w:t>
            </w:r>
          </w:p>
        </w:tc>
        <w:tc>
          <w:tcPr>
            <w:tcW w:w="754" w:type="dxa"/>
            <w:shd w:val="clear" w:color="auto" w:fill="auto"/>
            <w:noWrap/>
            <w:vAlign w:val="center"/>
          </w:tcPr>
          <w:p w14:paraId="4B17D278" w14:textId="0096E8BB" w:rsidR="000E2231" w:rsidRPr="00875BAE" w:rsidRDefault="000E2231" w:rsidP="000E2231">
            <w:pPr>
              <w:spacing w:before="0" w:after="0"/>
              <w:jc w:val="center"/>
              <w:rPr>
                <w:rFonts w:ascii="Arial" w:hAnsi="Arial" w:cs="Arial"/>
                <w:color w:val="000000"/>
                <w:sz w:val="18"/>
                <w:szCs w:val="18"/>
              </w:rPr>
            </w:pPr>
            <w:r w:rsidRPr="00FC3CB2">
              <w:rPr>
                <w:rFonts w:ascii="Arial" w:hAnsi="Arial" w:cs="Arial"/>
                <w:color w:val="000000"/>
                <w:sz w:val="18"/>
                <w:szCs w:val="18"/>
              </w:rPr>
              <w:t>0.01</w:t>
            </w:r>
          </w:p>
        </w:tc>
      </w:tr>
    </w:tbl>
    <w:p w14:paraId="7BF2BABE" w14:textId="5E5CA71D" w:rsidR="00FC3CB2" w:rsidRPr="00ED2A60" w:rsidRDefault="00FC3CB2" w:rsidP="00FC3CB2">
      <w:pPr>
        <w:pStyle w:val="FigureTablefootnote"/>
        <w:spacing w:before="120"/>
      </w:pPr>
      <w:r w:rsidRPr="00ED2A60">
        <w:t>*</w:t>
      </w:r>
      <w:r w:rsidRPr="00ED2A60">
        <w:tab/>
      </w:r>
      <w:r w:rsidR="00ED2A60" w:rsidRPr="00ED2A60">
        <w:t>J01 antibacterials for systemic use</w:t>
      </w:r>
    </w:p>
    <w:p w14:paraId="661E983E" w14:textId="74264A06" w:rsidR="0001417E" w:rsidRPr="000B76CA" w:rsidRDefault="0001417E" w:rsidP="00FC3CB2">
      <w:pPr>
        <w:pStyle w:val="FigureTablefootnote"/>
      </w:pPr>
      <w:r w:rsidRPr="000B76CA">
        <w:t>DDD = defined daily dose; PBS = Pharmaceutical Benefits Scheme; RPBS = Repatriation Pharmaceutical Benefits Scheme</w:t>
      </w:r>
    </w:p>
    <w:p w14:paraId="7D2B15EA" w14:textId="68DC3729" w:rsidR="001712DF" w:rsidRDefault="001712DF" w:rsidP="00A713FF">
      <w:pPr>
        <w:pStyle w:val="FigureTablefootnote"/>
      </w:pPr>
      <w:r w:rsidRPr="000B76CA">
        <w:t>Note: The DDD value</w:t>
      </w:r>
      <w:r>
        <w:t>s</w:t>
      </w:r>
      <w:r w:rsidRPr="000B76CA">
        <w:t xml:space="preserve"> </w:t>
      </w:r>
      <w:r>
        <w:t xml:space="preserve">determined by the World Health Organization Collaborating Centre for Drug Statistics Methodology for 2024 have </w:t>
      </w:r>
      <w:r w:rsidRPr="000B76CA">
        <w:t xml:space="preserve">been applied in this report, causing slight </w:t>
      </w:r>
      <w:r w:rsidR="00B7573E">
        <w:t xml:space="preserve">variation with </w:t>
      </w:r>
      <w:r w:rsidRPr="000B76CA">
        <w:t>results presented in previous reports.</w:t>
      </w:r>
      <w:r w:rsidR="001A5170">
        <w:fldChar w:fldCharType="begin"/>
      </w:r>
      <w:r w:rsidR="006908DE">
        <w:instrText xml:space="preserve"> ADDIN EN.CITE &lt;EndNote&gt;&lt;Cite&gt;&lt;Author&gt;WHO Collaborating Centre for Drug Statistics Methodology&lt;/Author&gt;&lt;Year&gt;2024&lt;/Year&gt;&lt;RecNum&gt;471&lt;/RecNum&gt;&lt;DisplayText&gt;&lt;style face="superscript"&gt;39&lt;/style&gt;&lt;/DisplayText&gt;&lt;record&gt;&lt;rec-number&gt;471&lt;/rec-number&gt;&lt;foreign-keys&gt;&lt;key app="EN" db-id="0a9sasvr7dwawyeva9qpw09xaap9erv5ad5e" timestamp="1716861931"&gt;471&lt;/key&gt;&lt;/foreign-keys&gt;&lt;ref-type name="Web Page"&gt;12&lt;/ref-type&gt;&lt;contributors&gt;&lt;authors&gt;&lt;author&gt;WHO Collaborating Centre for Drug Statistics Methodology, &lt;/author&gt;&lt;author&gt;Norwegian Institute of Public Health, &lt;/author&gt;&lt;/authors&gt;&lt;/contributors&gt;&lt;titles&gt;&lt;title&gt;DDD alterations from 2005–2024&lt;/title&gt;&lt;/titles&gt;&lt;number&gt;May 2024&lt;/number&gt;&lt;dates&gt;&lt;year&gt;2024&lt;/year&gt;&lt;/dates&gt;&lt;pub-location&gt;Norway&lt;/pub-location&gt;&lt;publisher&gt;WHO CC&lt;/publisher&gt;&lt;urls&gt;&lt;related-urls&gt;&lt;url&gt;https://www.whocc.no/atc_ddd_alterations__cumulative/ddd_alterations/&lt;/url&gt;&lt;/related-urls&gt;&lt;/urls&gt;&lt;/record&gt;&lt;/Cite&gt;&lt;/EndNote&gt;</w:instrText>
      </w:r>
      <w:r w:rsidR="001A5170">
        <w:fldChar w:fldCharType="separate"/>
      </w:r>
      <w:r w:rsidR="00577C74" w:rsidRPr="00577C74">
        <w:rPr>
          <w:noProof/>
          <w:vertAlign w:val="superscript"/>
        </w:rPr>
        <w:t>39</w:t>
      </w:r>
      <w:r w:rsidR="001A5170">
        <w:fldChar w:fldCharType="end"/>
      </w:r>
    </w:p>
    <w:p w14:paraId="479BE766" w14:textId="6124C93A" w:rsidR="00096A81" w:rsidRDefault="0001417E" w:rsidP="00096A81">
      <w:pPr>
        <w:pStyle w:val="FigureTablefootnote"/>
      </w:pPr>
      <w:r w:rsidRPr="000B76CA">
        <w:t xml:space="preserve">Source: </w:t>
      </w:r>
      <w:proofErr w:type="spellStart"/>
      <w:r w:rsidRPr="000B76CA">
        <w:t>Gadzhanova</w:t>
      </w:r>
      <w:proofErr w:type="spellEnd"/>
      <w:r w:rsidRPr="000B76CA">
        <w:t>, Roughead</w:t>
      </w:r>
      <w:r w:rsidRPr="000B76CA">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0B76CA">
        <w:fldChar w:fldCharType="separate"/>
      </w:r>
      <w:r w:rsidR="00087F2D" w:rsidRPr="00087F2D">
        <w:rPr>
          <w:noProof/>
          <w:vertAlign w:val="superscript"/>
        </w:rPr>
        <w:t>19</w:t>
      </w:r>
      <w:r w:rsidRPr="000B76CA">
        <w:fldChar w:fldCharType="end"/>
      </w:r>
      <w:r w:rsidR="00096A81">
        <w:br w:type="page"/>
      </w:r>
    </w:p>
    <w:p w14:paraId="2AE46662" w14:textId="3ECECDBE" w:rsidR="001B397B" w:rsidRPr="001B397B" w:rsidRDefault="005D118D" w:rsidP="001B397B">
      <w:r>
        <w:lastRenderedPageBreak/>
        <w:t>Original prescriptions accounted for 8</w:t>
      </w:r>
      <w:r w:rsidR="00E43997">
        <w:t>6.6</w:t>
      </w:r>
      <w:r>
        <w:t>% of all prescriptions supplied for the</w:t>
      </w:r>
      <w:r w:rsidR="007E68B3">
        <w:t xml:space="preserve"> </w:t>
      </w:r>
      <w:r>
        <w:t>top</w:t>
      </w:r>
      <w:r w:rsidR="007E68B3">
        <w:t> 10 </w:t>
      </w:r>
      <w:r>
        <w:t xml:space="preserve">antimicrobials </w:t>
      </w:r>
      <w:r w:rsidR="00D325FD">
        <w:t>in 2023</w:t>
      </w:r>
      <w:r>
        <w:t xml:space="preserve">. </w:t>
      </w:r>
      <w:r w:rsidR="007E68B3">
        <w:t xml:space="preserve">This </w:t>
      </w:r>
      <w:r w:rsidR="005541CC">
        <w:t>is similar to 2022</w:t>
      </w:r>
      <w:r w:rsidR="007453BE">
        <w:t xml:space="preserve"> </w:t>
      </w:r>
      <w:r w:rsidR="009670A3">
        <w:t>(86.5</w:t>
      </w:r>
      <w:r w:rsidR="00F92A57">
        <w:t>%</w:t>
      </w:r>
      <w:r w:rsidR="009670A3">
        <w:t xml:space="preserve">) </w:t>
      </w:r>
      <w:r w:rsidR="007453BE">
        <w:t xml:space="preserve">but </w:t>
      </w:r>
      <w:r w:rsidR="00D325FD">
        <w:t xml:space="preserve">is </w:t>
      </w:r>
      <w:r w:rsidR="007453BE">
        <w:t xml:space="preserve">a marked increase from </w:t>
      </w:r>
      <w:r w:rsidR="007E68B3">
        <w:t>77</w:t>
      </w:r>
      <w:r w:rsidR="00E43997">
        <w:t>.1</w:t>
      </w:r>
      <w:r w:rsidR="007E68B3">
        <w:t>% in 2019</w:t>
      </w:r>
      <w:r w:rsidR="007453BE">
        <w:t xml:space="preserve">, which was </w:t>
      </w:r>
      <w:r w:rsidR="007E68B3">
        <w:t xml:space="preserve">before </w:t>
      </w:r>
      <w:r w:rsidR="00B34AFE">
        <w:t xml:space="preserve">the </w:t>
      </w:r>
      <w:r w:rsidR="007E68B3">
        <w:t xml:space="preserve">PBS and RPBS policy changes </w:t>
      </w:r>
      <w:r w:rsidR="00D325FD">
        <w:t xml:space="preserve">to restrict repeat prescriptions </w:t>
      </w:r>
      <w:r w:rsidR="007E68B3">
        <w:t>came into effect in April 2020</w:t>
      </w:r>
      <w:r w:rsidR="00D325FD">
        <w:t>. This policy change was</w:t>
      </w:r>
      <w:r w:rsidR="00450BE6">
        <w:t xml:space="preserve"> </w:t>
      </w:r>
      <w:r w:rsidR="007E68B3">
        <w:t>to encourage prescribers to issue repeat prescriptions for antimicrobials only when indicated.</w:t>
      </w:r>
      <w:r w:rsidR="003D7C04" w:rsidRPr="004D37A3">
        <w:fldChar w:fldCharType="begin"/>
      </w:r>
      <w:r w:rsidR="00087F2D">
        <w:instrText xml:space="preserve"> ADDIN EN.CITE &lt;EndNote&gt;&lt;Cite&gt;&lt;Author&gt;Australian Government Department of Health and Aged Care&lt;/Author&gt;&lt;Year&gt;2020&lt;/Year&gt;&lt;RecNum&gt;108&lt;/RecNum&gt;&lt;DisplayText&gt;&lt;style face="superscript"&gt;25&lt;/style&gt;&lt;/DisplayText&gt;&lt;record&gt;&lt;rec-number&gt;108&lt;/rec-number&gt;&lt;foreign-keys&gt;&lt;key app="EN" db-id="0a9sasvr7dwawyeva9qpw09xaap9erv5ad5e" timestamp="1707963072"&gt;108&lt;/key&gt;&lt;/foreign-keys&gt;&lt;ref-type name="Web Page"&gt;12&lt;/ref-type&gt;&lt;contributors&gt;&lt;authors&gt;&lt;author&gt;Australian Government Department of Health and Aged Care,&lt;/author&gt;&lt;/authors&gt;&lt;/contributors&gt;&lt;titles&gt;&lt;title&gt;Revised PBS listings for Antibiotic use&lt;/title&gt;&lt;/titles&gt;&lt;number&gt;Feb 2024&lt;/number&gt;&lt;dates&gt;&lt;year&gt;2020&lt;/year&gt;&lt;/dates&gt;&lt;pub-location&gt;Canberra&lt;/pub-location&gt;&lt;publisher&gt;Department of Health and Aged Care&lt;/publisher&gt;&lt;urls&gt;&lt;related-urls&gt;&lt;url&gt;https://www.pbs.gov.au/news/2020/03/files/Antibiotics-factsheet-2020.pdf&lt;/url&gt;&lt;/related-urls&gt;&lt;/urls&gt;&lt;/record&gt;&lt;/Cite&gt;&lt;/EndNote&gt;</w:instrText>
      </w:r>
      <w:r w:rsidR="003D7C04" w:rsidRPr="004D37A3">
        <w:fldChar w:fldCharType="separate"/>
      </w:r>
      <w:r w:rsidR="00087F2D" w:rsidRPr="00087F2D">
        <w:rPr>
          <w:noProof/>
          <w:vertAlign w:val="superscript"/>
        </w:rPr>
        <w:t>25</w:t>
      </w:r>
      <w:r w:rsidR="003D7C04" w:rsidRPr="004D37A3">
        <w:fldChar w:fldCharType="end"/>
      </w:r>
      <w:r w:rsidR="007E68B3">
        <w:t xml:space="preserve"> </w:t>
      </w:r>
      <w:r w:rsidR="001B397B">
        <w:t xml:space="preserve">Since then, </w:t>
      </w:r>
      <w:r w:rsidR="00952DF9" w:rsidRPr="004B1541">
        <w:t>the majority of</w:t>
      </w:r>
      <w:r w:rsidR="00952DF9" w:rsidRPr="00F95F1E">
        <w:t xml:space="preserve"> original prescriptions for </w:t>
      </w:r>
      <w:r w:rsidR="00952DF9" w:rsidRPr="00656E9F">
        <w:t>amoxicillin, amoxicillin</w:t>
      </w:r>
      <w:r w:rsidR="00952DF9" w:rsidRPr="00656E9F">
        <w:rPr>
          <w:rFonts w:asciiTheme="majorHAnsi" w:hAnsiTheme="majorHAnsi" w:cstheme="majorHAnsi"/>
        </w:rPr>
        <w:t>–</w:t>
      </w:r>
      <w:r w:rsidR="00952DF9" w:rsidRPr="00656E9F">
        <w:t xml:space="preserve">clavulanic acid, cefalexin, doxycycline and roxithromycin were ordered without repeats, which reflects the marked </w:t>
      </w:r>
      <w:r w:rsidR="00952DF9">
        <w:t>decrease in the number of repeat prescriptions dispensed.</w:t>
      </w:r>
      <w:r w:rsidR="0078265D">
        <w:fldChar w:fldCharType="begin"/>
      </w:r>
      <w:r w:rsidR="00214844">
        <w:instrText xml:space="preserve"> ADDIN EN.CITE &lt;EndNote&gt;&lt;Cite ExcludeYear="1"&gt;&lt;Author&gt;Gadzhanova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0078265D">
        <w:fldChar w:fldCharType="separate"/>
      </w:r>
      <w:r w:rsidR="0078265D" w:rsidRPr="0078265D">
        <w:rPr>
          <w:noProof/>
          <w:vertAlign w:val="superscript"/>
        </w:rPr>
        <w:t>19</w:t>
      </w:r>
      <w:r w:rsidR="0078265D">
        <w:fldChar w:fldCharType="end"/>
      </w:r>
    </w:p>
    <w:p w14:paraId="2C1A804B" w14:textId="1F92DF2C" w:rsidR="00D61078" w:rsidRPr="00127C4B" w:rsidRDefault="001B397B" w:rsidP="00070001">
      <w:r w:rsidRPr="00B87C0E">
        <w:t xml:space="preserve">Repeat prescriptions filled within 10 days usually indicate a continuation of </w:t>
      </w:r>
      <w:r>
        <w:t xml:space="preserve">the original course of treatment. </w:t>
      </w:r>
      <w:r w:rsidR="0010088A">
        <w:t xml:space="preserve">If a repeat prescription is dispensed after </w:t>
      </w:r>
      <w:r>
        <w:t>10</w:t>
      </w:r>
      <w:r w:rsidR="0010088A">
        <w:t> </w:t>
      </w:r>
      <w:r>
        <w:t>days</w:t>
      </w:r>
      <w:r w:rsidR="0010088A">
        <w:t xml:space="preserve">, it </w:t>
      </w:r>
      <w:r>
        <w:t xml:space="preserve">may indicate an interruption of the original </w:t>
      </w:r>
      <w:r w:rsidR="002B77C8">
        <w:t xml:space="preserve">course </w:t>
      </w:r>
      <w:r>
        <w:t xml:space="preserve">and </w:t>
      </w:r>
      <w:r w:rsidR="008A7502">
        <w:t xml:space="preserve">that use </w:t>
      </w:r>
      <w:r w:rsidR="00D325FD">
        <w:t xml:space="preserve">is likely to be </w:t>
      </w:r>
      <w:r>
        <w:t>inappropriate</w:t>
      </w:r>
      <w:r w:rsidR="00656E9F">
        <w:t xml:space="preserve">. </w:t>
      </w:r>
      <w:r w:rsidR="00952DF9">
        <w:t xml:space="preserve">The pattern of repeat dispensing remained similar from 2021 to 2023, except for </w:t>
      </w:r>
      <w:r w:rsidR="00656E9F">
        <w:t>phenoxymethylpenicillin</w:t>
      </w:r>
      <w:r w:rsidR="00FB4F9D">
        <w:t>,</w:t>
      </w:r>
      <w:r w:rsidR="00656E9F">
        <w:t xml:space="preserve"> which increased </w:t>
      </w:r>
      <w:r w:rsidR="00FB4F9D">
        <w:t xml:space="preserve">in 2022 and 2023 </w:t>
      </w:r>
      <w:r w:rsidR="00864B8D">
        <w:t>compared to</w:t>
      </w:r>
      <w:r w:rsidR="00656E9F">
        <w:t xml:space="preserve"> 202</w:t>
      </w:r>
      <w:r w:rsidR="00FB4F9D">
        <w:t>1</w:t>
      </w:r>
      <w:r w:rsidR="00656E9F">
        <w:t xml:space="preserve"> (Table </w:t>
      </w:r>
      <w:r w:rsidR="00827262">
        <w:t>2</w:t>
      </w:r>
      <w:r w:rsidR="00656E9F">
        <w:t>).</w:t>
      </w:r>
      <w:bookmarkStart w:id="35" w:name="_Toc121744367"/>
      <w:bookmarkStart w:id="36" w:name="_Toc121491307"/>
    </w:p>
    <w:p w14:paraId="707109B3" w14:textId="60886D1B" w:rsidR="00D61078" w:rsidRPr="008245C4" w:rsidRDefault="00D61078" w:rsidP="000C7E5C">
      <w:pPr>
        <w:pStyle w:val="FigureTableTitle"/>
        <w:spacing w:after="120"/>
      </w:pPr>
      <w:r w:rsidRPr="008F0670">
        <w:rPr>
          <w:bCs/>
        </w:rPr>
        <w:t>Table </w:t>
      </w:r>
      <w:r w:rsidR="00827262" w:rsidRPr="008F0670">
        <w:rPr>
          <w:bCs/>
        </w:rPr>
        <w:t>2</w:t>
      </w:r>
      <w:r w:rsidRPr="008F0670">
        <w:rPr>
          <w:bCs/>
        </w:rPr>
        <w:t>:</w:t>
      </w:r>
      <w:r w:rsidRPr="008F0670">
        <w:t> </w:t>
      </w:r>
      <w:r w:rsidRPr="008F0670">
        <w:rPr>
          <w:b w:val="0"/>
          <w:bCs/>
        </w:rPr>
        <w:t>Number and percent</w:t>
      </w:r>
      <w:r w:rsidR="000127BF" w:rsidRPr="008F0670">
        <w:rPr>
          <w:b w:val="0"/>
          <w:bCs/>
        </w:rPr>
        <w:t>age</w:t>
      </w:r>
      <w:r w:rsidRPr="008F0670">
        <w:rPr>
          <w:b w:val="0"/>
          <w:bCs/>
        </w:rPr>
        <w:t xml:space="preserve"> of PBS</w:t>
      </w:r>
      <w:r w:rsidR="009C529C" w:rsidRPr="008F0670">
        <w:rPr>
          <w:b w:val="0"/>
          <w:bCs/>
        </w:rPr>
        <w:t xml:space="preserve"> and </w:t>
      </w:r>
      <w:r w:rsidRPr="008F0670">
        <w:rPr>
          <w:b w:val="0"/>
          <w:bCs/>
        </w:rPr>
        <w:t>RPBS repeat antimicrobial* prescriptions dispensed within 10 days of the original prescription, 2019</w:t>
      </w:r>
      <w:r w:rsidR="00E616AF" w:rsidRPr="008F0670">
        <w:rPr>
          <w:b w:val="0"/>
          <w:bCs/>
        </w:rPr>
        <w:t xml:space="preserve"> and </w:t>
      </w:r>
      <w:r w:rsidR="000C052D" w:rsidRPr="008F0670">
        <w:rPr>
          <w:b w:val="0"/>
          <w:bCs/>
        </w:rPr>
        <w:t>2021</w:t>
      </w:r>
      <w:r w:rsidR="00AC5CBE" w:rsidRPr="008F0670">
        <w:rPr>
          <w:b w:val="0"/>
          <w:bCs/>
        </w:rPr>
        <w:t>–</w:t>
      </w:r>
      <w:r w:rsidRPr="008F0670">
        <w:rPr>
          <w:b w:val="0"/>
          <w:bCs/>
        </w:rPr>
        <w:t>202</w:t>
      </w:r>
      <w:r w:rsidR="000D0E65" w:rsidRPr="008F0670">
        <w:rPr>
          <w:b w:val="0"/>
          <w:bCs/>
        </w:rPr>
        <w:t>3</w:t>
      </w:r>
      <w:bookmarkEnd w:id="35"/>
      <w:bookmarkEnd w:id="36"/>
    </w:p>
    <w:tbl>
      <w:tblPr>
        <w:tblStyle w:val="PlainTable2"/>
        <w:tblW w:w="9792" w:type="dxa"/>
        <w:tblLook w:val="04A0" w:firstRow="1" w:lastRow="0" w:firstColumn="1" w:lastColumn="0" w:noHBand="0" w:noVBand="1"/>
        <w:tblCaption w:val="Table 2: Number and percentage of PBS and RPBS repeat antimicrobial* prescriptions dispensed within 10 days of the original prescription, 2019 and 2021–2023"/>
      </w:tblPr>
      <w:tblGrid>
        <w:gridCol w:w="2580"/>
        <w:gridCol w:w="901"/>
        <w:gridCol w:w="902"/>
        <w:gridCol w:w="901"/>
        <w:gridCol w:w="902"/>
        <w:gridCol w:w="901"/>
        <w:gridCol w:w="902"/>
        <w:gridCol w:w="901"/>
        <w:gridCol w:w="902"/>
      </w:tblGrid>
      <w:tr w:rsidR="000C7E5C" w:rsidRPr="000C7E5C" w14:paraId="1E860036" w14:textId="77777777" w:rsidTr="0006148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vMerge w:val="restart"/>
            <w:shd w:val="clear" w:color="auto" w:fill="E18E69"/>
            <w:vAlign w:val="bottom"/>
          </w:tcPr>
          <w:p w14:paraId="07429FA8" w14:textId="39151E54" w:rsidR="000C7E5C" w:rsidRPr="000C7E5C" w:rsidRDefault="000C7E5C" w:rsidP="000C7E5C">
            <w:pPr>
              <w:spacing w:before="0"/>
              <w:rPr>
                <w:rFonts w:asciiTheme="majorHAnsi" w:hAnsiTheme="majorHAnsi" w:cstheme="majorHAnsi"/>
                <w:sz w:val="18"/>
                <w:szCs w:val="18"/>
              </w:rPr>
            </w:pPr>
            <w:r w:rsidRPr="000C7E5C">
              <w:rPr>
                <w:rFonts w:asciiTheme="majorHAnsi" w:hAnsiTheme="majorHAnsi" w:cstheme="majorHAnsi"/>
                <w:sz w:val="18"/>
                <w:szCs w:val="18"/>
              </w:rPr>
              <w:t>Antimicrobial</w:t>
            </w:r>
          </w:p>
        </w:tc>
        <w:tc>
          <w:tcPr>
            <w:tcW w:w="1803" w:type="dxa"/>
            <w:gridSpan w:val="2"/>
            <w:tcBorders>
              <w:top w:val="single" w:sz="4" w:space="0" w:color="7F7F7F" w:themeColor="text1" w:themeTint="80"/>
              <w:right w:val="single" w:sz="4" w:space="0" w:color="808080" w:themeColor="background1" w:themeShade="80"/>
            </w:tcBorders>
            <w:shd w:val="clear" w:color="auto" w:fill="E18E69"/>
            <w:vAlign w:val="center"/>
          </w:tcPr>
          <w:p w14:paraId="1CCB8D45" w14:textId="6C11A0D0" w:rsidR="000C7E5C" w:rsidRPr="000C7E5C" w:rsidRDefault="000C7E5C" w:rsidP="000C7E5C">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2019</w:t>
            </w:r>
          </w:p>
        </w:tc>
        <w:tc>
          <w:tcPr>
            <w:tcW w:w="1803" w:type="dxa"/>
            <w:gridSpan w:val="2"/>
            <w:tcBorders>
              <w:left w:val="single" w:sz="4" w:space="0" w:color="808080" w:themeColor="background1" w:themeShade="80"/>
              <w:right w:val="single" w:sz="4" w:space="0" w:color="7F7F7F" w:themeColor="text1" w:themeTint="80"/>
            </w:tcBorders>
            <w:shd w:val="clear" w:color="auto" w:fill="E18E69"/>
            <w:vAlign w:val="center"/>
          </w:tcPr>
          <w:p w14:paraId="74FDD09F" w14:textId="2D2366FD" w:rsidR="000C7E5C" w:rsidRPr="000C7E5C" w:rsidRDefault="000C7E5C" w:rsidP="000C7E5C">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2021</w:t>
            </w:r>
          </w:p>
        </w:tc>
        <w:tc>
          <w:tcPr>
            <w:tcW w:w="1803" w:type="dxa"/>
            <w:gridSpan w:val="2"/>
            <w:tcBorders>
              <w:left w:val="single" w:sz="4" w:space="0" w:color="7F7F7F" w:themeColor="text1" w:themeTint="80"/>
              <w:right w:val="single" w:sz="4" w:space="0" w:color="7F7F7F" w:themeColor="text1" w:themeTint="80"/>
            </w:tcBorders>
            <w:shd w:val="clear" w:color="auto" w:fill="E18E69"/>
            <w:vAlign w:val="center"/>
          </w:tcPr>
          <w:p w14:paraId="5A418922" w14:textId="71B969BF" w:rsidR="000C7E5C" w:rsidRPr="000C7E5C" w:rsidRDefault="000C7E5C" w:rsidP="000C7E5C">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2022</w:t>
            </w:r>
          </w:p>
        </w:tc>
        <w:tc>
          <w:tcPr>
            <w:tcW w:w="1803" w:type="dxa"/>
            <w:gridSpan w:val="2"/>
            <w:tcBorders>
              <w:left w:val="single" w:sz="4" w:space="0" w:color="7F7F7F" w:themeColor="text1" w:themeTint="80"/>
            </w:tcBorders>
            <w:shd w:val="clear" w:color="auto" w:fill="E18E69"/>
            <w:vAlign w:val="center"/>
          </w:tcPr>
          <w:p w14:paraId="11A5BE66" w14:textId="30042B1A" w:rsidR="000C7E5C" w:rsidRPr="000C7E5C" w:rsidRDefault="000C7E5C" w:rsidP="000C7E5C">
            <w:pPr>
              <w:spacing w:before="0" w:after="0"/>
              <w:ind w:right="-10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2023</w:t>
            </w:r>
          </w:p>
        </w:tc>
      </w:tr>
      <w:tr w:rsidR="001938FF" w:rsidRPr="000C7E5C" w14:paraId="6DDCBE5F" w14:textId="17A79DB4" w:rsidTr="000614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E18E69"/>
            <w:vAlign w:val="center"/>
          </w:tcPr>
          <w:p w14:paraId="66E8BD3D" w14:textId="7D9ADCCA" w:rsidR="000C7E5C" w:rsidRPr="000C7E5C" w:rsidRDefault="000C7E5C" w:rsidP="000C7E5C">
            <w:pPr>
              <w:spacing w:before="0" w:after="0"/>
              <w:rPr>
                <w:rFonts w:asciiTheme="majorHAnsi" w:hAnsiTheme="majorHAnsi" w:cstheme="majorHAnsi"/>
                <w:sz w:val="18"/>
                <w:szCs w:val="18"/>
              </w:rPr>
            </w:pPr>
          </w:p>
        </w:tc>
        <w:tc>
          <w:tcPr>
            <w:tcW w:w="901" w:type="dxa"/>
            <w:shd w:val="clear" w:color="auto" w:fill="E18E69"/>
            <w:vAlign w:val="center"/>
          </w:tcPr>
          <w:p w14:paraId="4F082E18" w14:textId="2AF643C3"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r w:rsidRPr="000C7E5C">
              <w:rPr>
                <w:rFonts w:asciiTheme="majorHAnsi" w:hAnsiTheme="majorHAnsi" w:cstheme="majorHAnsi"/>
                <w:i/>
                <w:iCs/>
                <w:sz w:val="18"/>
                <w:szCs w:val="18"/>
              </w:rPr>
              <w:t>n</w:t>
            </w:r>
            <w:r w:rsidRPr="000C7E5C">
              <w:rPr>
                <w:rFonts w:asciiTheme="majorHAnsi" w:hAnsiTheme="majorHAnsi" w:cstheme="majorHAnsi"/>
                <w:sz w:val="18"/>
                <w:szCs w:val="18"/>
              </w:rPr>
              <w:t>)</w:t>
            </w:r>
          </w:p>
        </w:tc>
        <w:tc>
          <w:tcPr>
            <w:tcW w:w="902" w:type="dxa"/>
            <w:tcBorders>
              <w:right w:val="single" w:sz="4" w:space="0" w:color="808080" w:themeColor="background1" w:themeShade="80"/>
            </w:tcBorders>
            <w:shd w:val="clear" w:color="auto" w:fill="E18E69"/>
            <w:vAlign w:val="center"/>
          </w:tcPr>
          <w:p w14:paraId="3FB0D377" w14:textId="3CF90BE5"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p>
        </w:tc>
        <w:tc>
          <w:tcPr>
            <w:tcW w:w="901" w:type="dxa"/>
            <w:tcBorders>
              <w:left w:val="single" w:sz="4" w:space="0" w:color="808080" w:themeColor="background1" w:themeShade="80"/>
            </w:tcBorders>
            <w:shd w:val="clear" w:color="auto" w:fill="E18E69"/>
            <w:vAlign w:val="center"/>
          </w:tcPr>
          <w:p w14:paraId="768E5EA6" w14:textId="17CAD800"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r w:rsidRPr="000C7E5C">
              <w:rPr>
                <w:rFonts w:asciiTheme="majorHAnsi" w:hAnsiTheme="majorHAnsi" w:cstheme="majorHAnsi"/>
                <w:i/>
                <w:iCs/>
                <w:sz w:val="18"/>
                <w:szCs w:val="18"/>
              </w:rPr>
              <w:t>n</w:t>
            </w:r>
            <w:r w:rsidRPr="000C7E5C">
              <w:rPr>
                <w:rFonts w:asciiTheme="majorHAnsi" w:hAnsiTheme="majorHAnsi" w:cstheme="majorHAnsi"/>
                <w:sz w:val="18"/>
                <w:szCs w:val="18"/>
              </w:rPr>
              <w:t>)</w:t>
            </w:r>
          </w:p>
        </w:tc>
        <w:tc>
          <w:tcPr>
            <w:tcW w:w="902" w:type="dxa"/>
            <w:tcBorders>
              <w:right w:val="single" w:sz="4" w:space="0" w:color="7F7F7F" w:themeColor="text1" w:themeTint="80"/>
            </w:tcBorders>
            <w:shd w:val="clear" w:color="auto" w:fill="E18E69"/>
            <w:vAlign w:val="center"/>
          </w:tcPr>
          <w:p w14:paraId="23C11FE8" w14:textId="6C4593BE"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p>
        </w:tc>
        <w:tc>
          <w:tcPr>
            <w:tcW w:w="901" w:type="dxa"/>
            <w:tcBorders>
              <w:left w:val="single" w:sz="4" w:space="0" w:color="7F7F7F" w:themeColor="text1" w:themeTint="80"/>
            </w:tcBorders>
            <w:shd w:val="clear" w:color="auto" w:fill="E18E69"/>
            <w:vAlign w:val="center"/>
          </w:tcPr>
          <w:p w14:paraId="0226C46C" w14:textId="7172C5C9"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r w:rsidRPr="000C7E5C">
              <w:rPr>
                <w:rFonts w:asciiTheme="majorHAnsi" w:hAnsiTheme="majorHAnsi" w:cstheme="majorHAnsi"/>
                <w:i/>
                <w:iCs/>
                <w:sz w:val="18"/>
                <w:szCs w:val="18"/>
              </w:rPr>
              <w:t>n</w:t>
            </w:r>
            <w:r w:rsidRPr="000C7E5C">
              <w:rPr>
                <w:rFonts w:asciiTheme="majorHAnsi" w:hAnsiTheme="majorHAnsi" w:cstheme="majorHAnsi"/>
                <w:sz w:val="18"/>
                <w:szCs w:val="18"/>
              </w:rPr>
              <w:t>)</w:t>
            </w:r>
          </w:p>
        </w:tc>
        <w:tc>
          <w:tcPr>
            <w:tcW w:w="902" w:type="dxa"/>
            <w:tcBorders>
              <w:right w:val="single" w:sz="4" w:space="0" w:color="7F7F7F" w:themeColor="text1" w:themeTint="80"/>
            </w:tcBorders>
            <w:shd w:val="clear" w:color="auto" w:fill="E18E69"/>
            <w:vAlign w:val="center"/>
          </w:tcPr>
          <w:p w14:paraId="31C47899" w14:textId="25C29C40"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p>
        </w:tc>
        <w:tc>
          <w:tcPr>
            <w:tcW w:w="901" w:type="dxa"/>
            <w:tcBorders>
              <w:left w:val="single" w:sz="4" w:space="0" w:color="7F7F7F" w:themeColor="text1" w:themeTint="80"/>
            </w:tcBorders>
            <w:shd w:val="clear" w:color="auto" w:fill="E18E69"/>
            <w:vAlign w:val="center"/>
          </w:tcPr>
          <w:p w14:paraId="247BAD27" w14:textId="119378C5"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r w:rsidRPr="000C7E5C">
              <w:rPr>
                <w:rFonts w:asciiTheme="majorHAnsi" w:hAnsiTheme="majorHAnsi" w:cstheme="majorHAnsi"/>
                <w:i/>
                <w:iCs/>
                <w:sz w:val="18"/>
                <w:szCs w:val="18"/>
              </w:rPr>
              <w:t>n</w:t>
            </w:r>
            <w:r w:rsidRPr="000C7E5C">
              <w:rPr>
                <w:rFonts w:asciiTheme="majorHAnsi" w:hAnsiTheme="majorHAnsi" w:cstheme="majorHAnsi"/>
                <w:sz w:val="18"/>
                <w:szCs w:val="18"/>
              </w:rPr>
              <w:t>)</w:t>
            </w:r>
          </w:p>
        </w:tc>
        <w:tc>
          <w:tcPr>
            <w:tcW w:w="902" w:type="dxa"/>
            <w:shd w:val="clear" w:color="auto" w:fill="E18E69"/>
            <w:vAlign w:val="center"/>
          </w:tcPr>
          <w:p w14:paraId="1459B652" w14:textId="71E348AD" w:rsidR="000C7E5C" w:rsidRPr="000C7E5C" w:rsidRDefault="000C7E5C" w:rsidP="000C7E5C">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0C7E5C">
              <w:rPr>
                <w:rFonts w:asciiTheme="majorHAnsi" w:hAnsiTheme="majorHAnsi" w:cstheme="majorHAnsi"/>
                <w:sz w:val="18"/>
                <w:szCs w:val="18"/>
              </w:rPr>
              <w:t>(%)</w:t>
            </w:r>
          </w:p>
        </w:tc>
      </w:tr>
      <w:tr w:rsidR="000C7E5C" w:rsidRPr="000C7E5C" w14:paraId="2F48B4AB" w14:textId="50B4168B" w:rsidTr="00061484">
        <w:trPr>
          <w:trHeight w:val="420"/>
        </w:trPr>
        <w:tc>
          <w:tcPr>
            <w:cnfStyle w:val="001000000000" w:firstRow="0" w:lastRow="0" w:firstColumn="1" w:lastColumn="0" w:oddVBand="0" w:evenVBand="0" w:oddHBand="0" w:evenHBand="0" w:firstRowFirstColumn="0" w:firstRowLastColumn="0" w:lastRowFirstColumn="0" w:lastRowLastColumn="0"/>
            <w:tcW w:w="2580" w:type="dxa"/>
            <w:shd w:val="clear" w:color="auto" w:fill="EFC3AF"/>
          </w:tcPr>
          <w:p w14:paraId="488029FD"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sz w:val="18"/>
                <w:szCs w:val="18"/>
              </w:rPr>
              <w:t>Cefalexin</w:t>
            </w:r>
          </w:p>
        </w:tc>
        <w:tc>
          <w:tcPr>
            <w:tcW w:w="901" w:type="dxa"/>
            <w:shd w:val="clear" w:color="auto" w:fill="EFC3AF"/>
          </w:tcPr>
          <w:p w14:paraId="49B78FA4" w14:textId="3EE0E98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398,222</w:t>
            </w:r>
          </w:p>
        </w:tc>
        <w:tc>
          <w:tcPr>
            <w:tcW w:w="902"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EFC3AF"/>
          </w:tcPr>
          <w:p w14:paraId="7F05141C" w14:textId="556BC6FE"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51.3%</w:t>
            </w:r>
          </w:p>
        </w:tc>
        <w:tc>
          <w:tcPr>
            <w:tcW w:w="901" w:type="dxa"/>
            <w:tcBorders>
              <w:left w:val="single" w:sz="4" w:space="0" w:color="808080" w:themeColor="background1" w:themeShade="80"/>
            </w:tcBorders>
            <w:shd w:val="clear" w:color="auto" w:fill="EFC3AF"/>
          </w:tcPr>
          <w:p w14:paraId="671D3FE7" w14:textId="22BDEE25"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33,495</w:t>
            </w:r>
          </w:p>
        </w:tc>
        <w:tc>
          <w:tcPr>
            <w:tcW w:w="902" w:type="dxa"/>
            <w:tcBorders>
              <w:right w:val="single" w:sz="4" w:space="0" w:color="7F7F7F" w:themeColor="text1" w:themeTint="80"/>
            </w:tcBorders>
            <w:shd w:val="clear" w:color="auto" w:fill="EFC3AF"/>
          </w:tcPr>
          <w:p w14:paraId="5045A2C0" w14:textId="6B65BC2F"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36.5%</w:t>
            </w:r>
          </w:p>
        </w:tc>
        <w:tc>
          <w:tcPr>
            <w:tcW w:w="901" w:type="dxa"/>
            <w:tcBorders>
              <w:left w:val="single" w:sz="4" w:space="0" w:color="7F7F7F" w:themeColor="text1" w:themeTint="80"/>
            </w:tcBorders>
            <w:shd w:val="clear" w:color="auto" w:fill="EFC3AF"/>
          </w:tcPr>
          <w:p w14:paraId="49DD2FB6" w14:textId="42F1C5FF"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37,447</w:t>
            </w:r>
          </w:p>
        </w:tc>
        <w:tc>
          <w:tcPr>
            <w:tcW w:w="902" w:type="dxa"/>
            <w:tcBorders>
              <w:right w:val="single" w:sz="4" w:space="0" w:color="7F7F7F" w:themeColor="text1" w:themeTint="80"/>
            </w:tcBorders>
            <w:shd w:val="clear" w:color="auto" w:fill="EFC3AF"/>
          </w:tcPr>
          <w:p w14:paraId="6F525A76" w14:textId="7C622C15"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37.6%</w:t>
            </w:r>
          </w:p>
        </w:tc>
        <w:tc>
          <w:tcPr>
            <w:tcW w:w="901" w:type="dxa"/>
            <w:tcBorders>
              <w:left w:val="single" w:sz="4" w:space="0" w:color="7F7F7F" w:themeColor="text1" w:themeTint="80"/>
            </w:tcBorders>
            <w:shd w:val="clear" w:color="auto" w:fill="EFC3AF"/>
          </w:tcPr>
          <w:p w14:paraId="3D936359" w14:textId="6CF1560D"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34,059</w:t>
            </w:r>
          </w:p>
        </w:tc>
        <w:tc>
          <w:tcPr>
            <w:tcW w:w="902" w:type="dxa"/>
            <w:shd w:val="clear" w:color="auto" w:fill="EFC3AF"/>
          </w:tcPr>
          <w:p w14:paraId="27D1B986" w14:textId="4F741FC3"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36.3%</w:t>
            </w:r>
          </w:p>
        </w:tc>
      </w:tr>
      <w:tr w:rsidR="000C7E5C" w:rsidRPr="000C7E5C" w14:paraId="39A382FB" w14:textId="33C71A27" w:rsidTr="000614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shd w:val="clear" w:color="auto" w:fill="EFC3AF"/>
          </w:tcPr>
          <w:p w14:paraId="1347CC0E"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Amoxicillin</w:t>
            </w:r>
          </w:p>
        </w:tc>
        <w:tc>
          <w:tcPr>
            <w:tcW w:w="901" w:type="dxa"/>
            <w:shd w:val="clear" w:color="auto" w:fill="EFC3AF"/>
          </w:tcPr>
          <w:p w14:paraId="1A9051D3" w14:textId="38F1408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193,492</w:t>
            </w:r>
          </w:p>
        </w:tc>
        <w:tc>
          <w:tcPr>
            <w:tcW w:w="902" w:type="dxa"/>
            <w:tcBorders>
              <w:right w:val="single" w:sz="4" w:space="0" w:color="808080" w:themeColor="background1" w:themeShade="80"/>
            </w:tcBorders>
            <w:shd w:val="clear" w:color="auto" w:fill="EFC3AF"/>
          </w:tcPr>
          <w:p w14:paraId="6624FFFF" w14:textId="1A4437DC"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50.3%</w:t>
            </w:r>
          </w:p>
        </w:tc>
        <w:tc>
          <w:tcPr>
            <w:tcW w:w="901" w:type="dxa"/>
            <w:tcBorders>
              <w:left w:val="single" w:sz="4" w:space="0" w:color="808080" w:themeColor="background1" w:themeShade="80"/>
            </w:tcBorders>
            <w:shd w:val="clear" w:color="auto" w:fill="EFC3AF"/>
          </w:tcPr>
          <w:p w14:paraId="1B1A7622" w14:textId="461F9FBB"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39,902</w:t>
            </w:r>
          </w:p>
        </w:tc>
        <w:tc>
          <w:tcPr>
            <w:tcW w:w="902" w:type="dxa"/>
            <w:tcBorders>
              <w:right w:val="single" w:sz="4" w:space="0" w:color="7F7F7F" w:themeColor="text1" w:themeTint="80"/>
            </w:tcBorders>
            <w:shd w:val="clear" w:color="auto" w:fill="EFC3AF"/>
          </w:tcPr>
          <w:p w14:paraId="736A6FCD" w14:textId="463F943D"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50.4%</w:t>
            </w:r>
          </w:p>
        </w:tc>
        <w:tc>
          <w:tcPr>
            <w:tcW w:w="901" w:type="dxa"/>
            <w:tcBorders>
              <w:left w:val="single" w:sz="4" w:space="0" w:color="7F7F7F" w:themeColor="text1" w:themeTint="80"/>
            </w:tcBorders>
            <w:shd w:val="clear" w:color="auto" w:fill="EFC3AF"/>
          </w:tcPr>
          <w:p w14:paraId="4BD50EFB" w14:textId="1A8174CC"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46,809</w:t>
            </w:r>
          </w:p>
        </w:tc>
        <w:tc>
          <w:tcPr>
            <w:tcW w:w="902" w:type="dxa"/>
            <w:tcBorders>
              <w:right w:val="single" w:sz="4" w:space="0" w:color="7F7F7F" w:themeColor="text1" w:themeTint="80"/>
            </w:tcBorders>
            <w:shd w:val="clear" w:color="auto" w:fill="EFC3AF"/>
          </w:tcPr>
          <w:p w14:paraId="5E2157A9" w14:textId="3A62FCB4"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52.8%</w:t>
            </w:r>
          </w:p>
        </w:tc>
        <w:tc>
          <w:tcPr>
            <w:tcW w:w="901" w:type="dxa"/>
            <w:tcBorders>
              <w:left w:val="single" w:sz="4" w:space="0" w:color="7F7F7F" w:themeColor="text1" w:themeTint="80"/>
            </w:tcBorders>
            <w:shd w:val="clear" w:color="auto" w:fill="EFC3AF"/>
          </w:tcPr>
          <w:p w14:paraId="5C1F1950" w14:textId="1C65D51F"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54,516</w:t>
            </w:r>
          </w:p>
        </w:tc>
        <w:tc>
          <w:tcPr>
            <w:tcW w:w="902" w:type="dxa"/>
            <w:shd w:val="clear" w:color="auto" w:fill="EFC3AF"/>
          </w:tcPr>
          <w:p w14:paraId="78432727" w14:textId="5BB8DD4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54.3%</w:t>
            </w:r>
          </w:p>
        </w:tc>
      </w:tr>
      <w:tr w:rsidR="000C7E5C" w:rsidRPr="000C7E5C" w14:paraId="000215C4" w14:textId="4341ECF8" w:rsidTr="00061484">
        <w:trPr>
          <w:trHeight w:val="420"/>
        </w:trPr>
        <w:tc>
          <w:tcPr>
            <w:cnfStyle w:val="001000000000" w:firstRow="0" w:lastRow="0" w:firstColumn="1" w:lastColumn="0" w:oddVBand="0" w:evenVBand="0" w:oddHBand="0" w:evenHBand="0" w:firstRowFirstColumn="0" w:firstRowLastColumn="0" w:lastRowFirstColumn="0" w:lastRowLastColumn="0"/>
            <w:tcW w:w="2580" w:type="dxa"/>
            <w:shd w:val="clear" w:color="auto" w:fill="EFC3AF"/>
          </w:tcPr>
          <w:p w14:paraId="50E49A3E"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Amoxicillin–clavulanic acid</w:t>
            </w:r>
          </w:p>
        </w:tc>
        <w:tc>
          <w:tcPr>
            <w:tcW w:w="901" w:type="dxa"/>
            <w:shd w:val="clear" w:color="auto" w:fill="EFC3AF"/>
          </w:tcPr>
          <w:p w14:paraId="66515131" w14:textId="1026B0B2"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510,847</w:t>
            </w:r>
          </w:p>
        </w:tc>
        <w:tc>
          <w:tcPr>
            <w:tcW w:w="902"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EFC3AF"/>
          </w:tcPr>
          <w:p w14:paraId="59631E07" w14:textId="3755498C"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61.1%</w:t>
            </w:r>
          </w:p>
        </w:tc>
        <w:tc>
          <w:tcPr>
            <w:tcW w:w="901" w:type="dxa"/>
            <w:tcBorders>
              <w:left w:val="single" w:sz="4" w:space="0" w:color="808080" w:themeColor="background1" w:themeShade="80"/>
            </w:tcBorders>
            <w:shd w:val="clear" w:color="auto" w:fill="EFC3AF"/>
          </w:tcPr>
          <w:p w14:paraId="7458A5C1" w14:textId="5DF35221"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25,934</w:t>
            </w:r>
          </w:p>
        </w:tc>
        <w:tc>
          <w:tcPr>
            <w:tcW w:w="902" w:type="dxa"/>
            <w:tcBorders>
              <w:right w:val="single" w:sz="4" w:space="0" w:color="7F7F7F" w:themeColor="text1" w:themeTint="80"/>
            </w:tcBorders>
            <w:shd w:val="clear" w:color="auto" w:fill="EFC3AF"/>
          </w:tcPr>
          <w:p w14:paraId="7A1386A5" w14:textId="71F53E6F"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w:t>
            </w:r>
            <w:r w:rsidR="0014506C">
              <w:rPr>
                <w:rFonts w:asciiTheme="majorHAnsi" w:hAnsiTheme="majorHAnsi" w:cstheme="majorHAnsi"/>
                <w:color w:val="000000"/>
                <w:sz w:val="18"/>
                <w:szCs w:val="18"/>
              </w:rPr>
              <w:t>0</w:t>
            </w:r>
            <w:r w:rsidRPr="000C7E5C">
              <w:rPr>
                <w:rFonts w:asciiTheme="majorHAnsi" w:hAnsiTheme="majorHAnsi" w:cstheme="majorHAnsi"/>
                <w:color w:val="000000"/>
                <w:sz w:val="18"/>
                <w:szCs w:val="18"/>
              </w:rPr>
              <w:t>%</w:t>
            </w:r>
          </w:p>
        </w:tc>
        <w:tc>
          <w:tcPr>
            <w:tcW w:w="901" w:type="dxa"/>
            <w:tcBorders>
              <w:left w:val="single" w:sz="4" w:space="0" w:color="7F7F7F" w:themeColor="text1" w:themeTint="80"/>
            </w:tcBorders>
            <w:shd w:val="clear" w:color="auto" w:fill="EFC3AF"/>
          </w:tcPr>
          <w:p w14:paraId="439F1A59" w14:textId="5550066E"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28,631</w:t>
            </w:r>
          </w:p>
        </w:tc>
        <w:tc>
          <w:tcPr>
            <w:tcW w:w="902" w:type="dxa"/>
            <w:tcBorders>
              <w:right w:val="single" w:sz="4" w:space="0" w:color="7F7F7F" w:themeColor="text1" w:themeTint="80"/>
            </w:tcBorders>
            <w:shd w:val="clear" w:color="auto" w:fill="EFC3AF"/>
          </w:tcPr>
          <w:p w14:paraId="12BC83F2" w14:textId="4552ADB6"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59.9%</w:t>
            </w:r>
          </w:p>
        </w:tc>
        <w:tc>
          <w:tcPr>
            <w:tcW w:w="901" w:type="dxa"/>
            <w:tcBorders>
              <w:left w:val="single" w:sz="4" w:space="0" w:color="7F7F7F" w:themeColor="text1" w:themeTint="80"/>
            </w:tcBorders>
            <w:shd w:val="clear" w:color="auto" w:fill="EFC3AF"/>
          </w:tcPr>
          <w:p w14:paraId="1304182A" w14:textId="63D8DD98"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22,709</w:t>
            </w:r>
          </w:p>
        </w:tc>
        <w:tc>
          <w:tcPr>
            <w:tcW w:w="902" w:type="dxa"/>
            <w:shd w:val="clear" w:color="auto" w:fill="EFC3AF"/>
          </w:tcPr>
          <w:p w14:paraId="532CABDA" w14:textId="10D4C6CB"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60.8%</w:t>
            </w:r>
          </w:p>
        </w:tc>
      </w:tr>
      <w:tr w:rsidR="000C7E5C" w:rsidRPr="000C7E5C" w14:paraId="5E28C87F" w14:textId="73C9A827" w:rsidTr="000614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shd w:val="clear" w:color="auto" w:fill="EFC3AF"/>
          </w:tcPr>
          <w:p w14:paraId="6B09BCF8"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Doxycycline</w:t>
            </w:r>
          </w:p>
        </w:tc>
        <w:tc>
          <w:tcPr>
            <w:tcW w:w="901" w:type="dxa"/>
            <w:shd w:val="clear" w:color="auto" w:fill="EFC3AF"/>
          </w:tcPr>
          <w:p w14:paraId="3F4CC0E7" w14:textId="2CE45A76"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102,562</w:t>
            </w:r>
          </w:p>
        </w:tc>
        <w:tc>
          <w:tcPr>
            <w:tcW w:w="902" w:type="dxa"/>
            <w:tcBorders>
              <w:right w:val="single" w:sz="4" w:space="0" w:color="808080" w:themeColor="background1" w:themeShade="80"/>
            </w:tcBorders>
            <w:shd w:val="clear" w:color="auto" w:fill="EFC3AF"/>
          </w:tcPr>
          <w:p w14:paraId="3E80CF0C" w14:textId="4F6F2F9E"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32.8%</w:t>
            </w:r>
          </w:p>
        </w:tc>
        <w:tc>
          <w:tcPr>
            <w:tcW w:w="901" w:type="dxa"/>
            <w:tcBorders>
              <w:left w:val="single" w:sz="4" w:space="0" w:color="808080" w:themeColor="background1" w:themeShade="80"/>
            </w:tcBorders>
            <w:shd w:val="clear" w:color="auto" w:fill="EFC3AF"/>
          </w:tcPr>
          <w:p w14:paraId="19E2D172" w14:textId="7782969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66,969</w:t>
            </w:r>
          </w:p>
        </w:tc>
        <w:tc>
          <w:tcPr>
            <w:tcW w:w="902" w:type="dxa"/>
            <w:tcBorders>
              <w:right w:val="single" w:sz="4" w:space="0" w:color="7F7F7F" w:themeColor="text1" w:themeTint="80"/>
            </w:tcBorders>
            <w:shd w:val="clear" w:color="auto" w:fill="EFC3AF"/>
          </w:tcPr>
          <w:p w14:paraId="4CDC19AD" w14:textId="67D70E2B"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24.1%</w:t>
            </w:r>
          </w:p>
        </w:tc>
        <w:tc>
          <w:tcPr>
            <w:tcW w:w="901" w:type="dxa"/>
            <w:tcBorders>
              <w:left w:val="single" w:sz="4" w:space="0" w:color="7F7F7F" w:themeColor="text1" w:themeTint="80"/>
            </w:tcBorders>
            <w:shd w:val="clear" w:color="auto" w:fill="EFC3AF"/>
          </w:tcPr>
          <w:p w14:paraId="4C893000" w14:textId="5A215C3B"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76,934</w:t>
            </w:r>
          </w:p>
        </w:tc>
        <w:tc>
          <w:tcPr>
            <w:tcW w:w="902" w:type="dxa"/>
            <w:tcBorders>
              <w:right w:val="single" w:sz="4" w:space="0" w:color="7F7F7F" w:themeColor="text1" w:themeTint="80"/>
            </w:tcBorders>
            <w:shd w:val="clear" w:color="auto" w:fill="EFC3AF"/>
          </w:tcPr>
          <w:p w14:paraId="5EF35363" w14:textId="3A740CB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26.8%</w:t>
            </w:r>
          </w:p>
        </w:tc>
        <w:tc>
          <w:tcPr>
            <w:tcW w:w="901" w:type="dxa"/>
            <w:tcBorders>
              <w:left w:val="single" w:sz="4" w:space="0" w:color="7F7F7F" w:themeColor="text1" w:themeTint="80"/>
            </w:tcBorders>
            <w:shd w:val="clear" w:color="auto" w:fill="EFC3AF"/>
          </w:tcPr>
          <w:p w14:paraId="1E56201C" w14:textId="03443F8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73,713</w:t>
            </w:r>
          </w:p>
        </w:tc>
        <w:tc>
          <w:tcPr>
            <w:tcW w:w="902" w:type="dxa"/>
            <w:shd w:val="clear" w:color="auto" w:fill="EFC3AF"/>
          </w:tcPr>
          <w:p w14:paraId="1A44D7D5" w14:textId="55D9870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25.6%</w:t>
            </w:r>
          </w:p>
        </w:tc>
      </w:tr>
      <w:tr w:rsidR="000C7E5C" w:rsidRPr="000C7E5C" w14:paraId="5572DEC5" w14:textId="77777777" w:rsidTr="00061484">
        <w:trPr>
          <w:trHeight w:val="420"/>
        </w:trPr>
        <w:tc>
          <w:tcPr>
            <w:cnfStyle w:val="001000000000" w:firstRow="0" w:lastRow="0" w:firstColumn="1" w:lastColumn="0" w:oddVBand="0" w:evenVBand="0" w:oddHBand="0" w:evenHBand="0" w:firstRowFirstColumn="0" w:firstRowLastColumn="0" w:lastRowFirstColumn="0" w:lastRowLastColumn="0"/>
            <w:tcW w:w="2580" w:type="dxa"/>
          </w:tcPr>
          <w:p w14:paraId="7C3FB3E0"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Flucloxacillin</w:t>
            </w:r>
          </w:p>
        </w:tc>
        <w:tc>
          <w:tcPr>
            <w:tcW w:w="901" w:type="dxa"/>
          </w:tcPr>
          <w:p w14:paraId="26598507" w14:textId="6551DF91"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7,466</w:t>
            </w:r>
          </w:p>
        </w:tc>
        <w:tc>
          <w:tcPr>
            <w:tcW w:w="902" w:type="dxa"/>
            <w:tcBorders>
              <w:top w:val="single" w:sz="4" w:space="0" w:color="7F7F7F" w:themeColor="text1" w:themeTint="80"/>
              <w:bottom w:val="single" w:sz="4" w:space="0" w:color="7F7F7F" w:themeColor="text1" w:themeTint="80"/>
              <w:right w:val="single" w:sz="4" w:space="0" w:color="808080" w:themeColor="background1" w:themeShade="80"/>
            </w:tcBorders>
          </w:tcPr>
          <w:p w14:paraId="39FD3FD2" w14:textId="10FAA36E"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56.1%</w:t>
            </w:r>
          </w:p>
        </w:tc>
        <w:tc>
          <w:tcPr>
            <w:tcW w:w="901" w:type="dxa"/>
            <w:tcBorders>
              <w:left w:val="single" w:sz="4" w:space="0" w:color="808080" w:themeColor="background1" w:themeShade="80"/>
            </w:tcBorders>
          </w:tcPr>
          <w:p w14:paraId="1B32AE0A" w14:textId="7A5C800F"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5,370</w:t>
            </w:r>
          </w:p>
        </w:tc>
        <w:tc>
          <w:tcPr>
            <w:tcW w:w="902" w:type="dxa"/>
            <w:tcBorders>
              <w:right w:val="single" w:sz="4" w:space="0" w:color="7F7F7F" w:themeColor="text1" w:themeTint="80"/>
            </w:tcBorders>
          </w:tcPr>
          <w:p w14:paraId="384A5C15" w14:textId="49A9BC21"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47.9%</w:t>
            </w:r>
          </w:p>
        </w:tc>
        <w:tc>
          <w:tcPr>
            <w:tcW w:w="901" w:type="dxa"/>
            <w:tcBorders>
              <w:left w:val="single" w:sz="4" w:space="0" w:color="7F7F7F" w:themeColor="text1" w:themeTint="80"/>
            </w:tcBorders>
          </w:tcPr>
          <w:p w14:paraId="32E48147" w14:textId="32D1DE4F"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5,055</w:t>
            </w:r>
          </w:p>
        </w:tc>
        <w:tc>
          <w:tcPr>
            <w:tcW w:w="902" w:type="dxa"/>
            <w:tcBorders>
              <w:right w:val="single" w:sz="4" w:space="0" w:color="7F7F7F" w:themeColor="text1" w:themeTint="80"/>
            </w:tcBorders>
          </w:tcPr>
          <w:p w14:paraId="03403FA9"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47.2%</w:t>
            </w:r>
          </w:p>
        </w:tc>
        <w:tc>
          <w:tcPr>
            <w:tcW w:w="901" w:type="dxa"/>
            <w:tcBorders>
              <w:left w:val="single" w:sz="4" w:space="0" w:color="7F7F7F" w:themeColor="text1" w:themeTint="80"/>
            </w:tcBorders>
          </w:tcPr>
          <w:p w14:paraId="52D6F914"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6,161</w:t>
            </w:r>
          </w:p>
        </w:tc>
        <w:tc>
          <w:tcPr>
            <w:tcW w:w="902" w:type="dxa"/>
          </w:tcPr>
          <w:p w14:paraId="1C1E676F"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52.1%</w:t>
            </w:r>
          </w:p>
        </w:tc>
      </w:tr>
      <w:tr w:rsidR="000C7E5C" w:rsidRPr="000C7E5C" w14:paraId="3ABC326E" w14:textId="77777777" w:rsidTr="000614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tcPr>
          <w:p w14:paraId="1FAA6441" w14:textId="77777777" w:rsidR="000C7E5C" w:rsidRPr="000C7E5C" w:rsidRDefault="000C7E5C" w:rsidP="000C7E5C">
            <w:pPr>
              <w:spacing w:before="0" w:after="0"/>
              <w:rPr>
                <w:rFonts w:asciiTheme="majorHAnsi" w:hAnsiTheme="majorHAnsi" w:cstheme="majorHAnsi"/>
                <w:color w:val="000000"/>
                <w:sz w:val="18"/>
                <w:szCs w:val="18"/>
              </w:rPr>
            </w:pPr>
            <w:r w:rsidRPr="000C7E5C">
              <w:rPr>
                <w:rFonts w:asciiTheme="majorHAnsi" w:hAnsiTheme="majorHAnsi" w:cstheme="majorHAnsi"/>
                <w:color w:val="000000"/>
                <w:sz w:val="18"/>
                <w:szCs w:val="18"/>
              </w:rPr>
              <w:t>Trimethoprim</w:t>
            </w:r>
          </w:p>
        </w:tc>
        <w:tc>
          <w:tcPr>
            <w:tcW w:w="901" w:type="dxa"/>
          </w:tcPr>
          <w:p w14:paraId="69B02B59" w14:textId="1AC2D29E"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35,494</w:t>
            </w:r>
          </w:p>
        </w:tc>
        <w:tc>
          <w:tcPr>
            <w:tcW w:w="902" w:type="dxa"/>
            <w:tcBorders>
              <w:right w:val="single" w:sz="4" w:space="0" w:color="808080" w:themeColor="background1" w:themeShade="80"/>
            </w:tcBorders>
          </w:tcPr>
          <w:p w14:paraId="0C0AA32F" w14:textId="3F16C8FF"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40.8%</w:t>
            </w:r>
          </w:p>
        </w:tc>
        <w:tc>
          <w:tcPr>
            <w:tcW w:w="901" w:type="dxa"/>
            <w:tcBorders>
              <w:left w:val="single" w:sz="4" w:space="0" w:color="808080" w:themeColor="background1" w:themeShade="80"/>
            </w:tcBorders>
          </w:tcPr>
          <w:p w14:paraId="254AE378" w14:textId="6829B10E"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30,485</w:t>
            </w:r>
          </w:p>
        </w:tc>
        <w:tc>
          <w:tcPr>
            <w:tcW w:w="902" w:type="dxa"/>
            <w:tcBorders>
              <w:right w:val="single" w:sz="4" w:space="0" w:color="7F7F7F" w:themeColor="text1" w:themeTint="80"/>
            </w:tcBorders>
          </w:tcPr>
          <w:p w14:paraId="0D66FD23" w14:textId="227A5ECC"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39.3%</w:t>
            </w:r>
          </w:p>
        </w:tc>
        <w:tc>
          <w:tcPr>
            <w:tcW w:w="901" w:type="dxa"/>
            <w:tcBorders>
              <w:left w:val="single" w:sz="4" w:space="0" w:color="7F7F7F" w:themeColor="text1" w:themeTint="80"/>
            </w:tcBorders>
          </w:tcPr>
          <w:p w14:paraId="66D4C5B0" w14:textId="17BB743D"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27,600</w:t>
            </w:r>
          </w:p>
        </w:tc>
        <w:tc>
          <w:tcPr>
            <w:tcW w:w="902" w:type="dxa"/>
            <w:tcBorders>
              <w:right w:val="single" w:sz="4" w:space="0" w:color="7F7F7F" w:themeColor="text1" w:themeTint="80"/>
            </w:tcBorders>
          </w:tcPr>
          <w:p w14:paraId="0BB0D3FF"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37.9%</w:t>
            </w:r>
          </w:p>
        </w:tc>
        <w:tc>
          <w:tcPr>
            <w:tcW w:w="901" w:type="dxa"/>
            <w:tcBorders>
              <w:left w:val="single" w:sz="4" w:space="0" w:color="7F7F7F" w:themeColor="text1" w:themeTint="80"/>
            </w:tcBorders>
          </w:tcPr>
          <w:p w14:paraId="19C1960F"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23,856</w:t>
            </w:r>
          </w:p>
        </w:tc>
        <w:tc>
          <w:tcPr>
            <w:tcW w:w="902" w:type="dxa"/>
          </w:tcPr>
          <w:p w14:paraId="32A68EAC"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36.9%</w:t>
            </w:r>
          </w:p>
        </w:tc>
      </w:tr>
      <w:tr w:rsidR="000C7E5C" w:rsidRPr="000C7E5C" w14:paraId="7894C4F8" w14:textId="77777777" w:rsidTr="00061484">
        <w:trPr>
          <w:trHeight w:val="420"/>
        </w:trPr>
        <w:tc>
          <w:tcPr>
            <w:cnfStyle w:val="001000000000" w:firstRow="0" w:lastRow="0" w:firstColumn="1" w:lastColumn="0" w:oddVBand="0" w:evenVBand="0" w:oddHBand="0" w:evenHBand="0" w:firstRowFirstColumn="0" w:firstRowLastColumn="0" w:lastRowFirstColumn="0" w:lastRowLastColumn="0"/>
            <w:tcW w:w="2580" w:type="dxa"/>
          </w:tcPr>
          <w:p w14:paraId="722CBCBB" w14:textId="77777777" w:rsidR="000C7E5C" w:rsidRPr="000C7E5C" w:rsidRDefault="000C7E5C" w:rsidP="000C7E5C">
            <w:pPr>
              <w:spacing w:before="0" w:after="0"/>
              <w:rPr>
                <w:rFonts w:asciiTheme="majorHAnsi" w:hAnsiTheme="majorHAnsi" w:cstheme="majorHAnsi"/>
                <w:color w:val="000000"/>
                <w:sz w:val="18"/>
                <w:szCs w:val="18"/>
              </w:rPr>
            </w:pPr>
            <w:r w:rsidRPr="000C7E5C">
              <w:rPr>
                <w:rFonts w:asciiTheme="majorHAnsi" w:hAnsiTheme="majorHAnsi" w:cstheme="majorHAnsi"/>
                <w:color w:val="000000"/>
                <w:sz w:val="18"/>
                <w:szCs w:val="18"/>
              </w:rPr>
              <w:t>Metronidazole</w:t>
            </w:r>
          </w:p>
        </w:tc>
        <w:tc>
          <w:tcPr>
            <w:tcW w:w="901" w:type="dxa"/>
          </w:tcPr>
          <w:p w14:paraId="774BD6B4" w14:textId="3F45B652"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14,613</w:t>
            </w:r>
          </w:p>
        </w:tc>
        <w:tc>
          <w:tcPr>
            <w:tcW w:w="902" w:type="dxa"/>
            <w:tcBorders>
              <w:top w:val="single" w:sz="4" w:space="0" w:color="7F7F7F" w:themeColor="text1" w:themeTint="80"/>
              <w:bottom w:val="single" w:sz="4" w:space="0" w:color="7F7F7F" w:themeColor="text1" w:themeTint="80"/>
              <w:right w:val="single" w:sz="4" w:space="0" w:color="808080" w:themeColor="background1" w:themeShade="80"/>
            </w:tcBorders>
          </w:tcPr>
          <w:p w14:paraId="4D271D64" w14:textId="7070363D"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44.8%</w:t>
            </w:r>
          </w:p>
        </w:tc>
        <w:tc>
          <w:tcPr>
            <w:tcW w:w="901" w:type="dxa"/>
            <w:tcBorders>
              <w:left w:val="single" w:sz="4" w:space="0" w:color="808080" w:themeColor="background1" w:themeShade="80"/>
            </w:tcBorders>
          </w:tcPr>
          <w:p w14:paraId="76FECABF" w14:textId="1BDDB9D3"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12,381</w:t>
            </w:r>
          </w:p>
        </w:tc>
        <w:tc>
          <w:tcPr>
            <w:tcW w:w="902" w:type="dxa"/>
            <w:tcBorders>
              <w:right w:val="single" w:sz="4" w:space="0" w:color="7F7F7F" w:themeColor="text1" w:themeTint="80"/>
            </w:tcBorders>
          </w:tcPr>
          <w:p w14:paraId="6E94BCAA" w14:textId="242E8A4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40.3%</w:t>
            </w:r>
          </w:p>
        </w:tc>
        <w:tc>
          <w:tcPr>
            <w:tcW w:w="901" w:type="dxa"/>
            <w:tcBorders>
              <w:left w:val="single" w:sz="4" w:space="0" w:color="7F7F7F" w:themeColor="text1" w:themeTint="80"/>
            </w:tcBorders>
          </w:tcPr>
          <w:p w14:paraId="39513A16" w14:textId="4309EB4D"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7,879</w:t>
            </w:r>
          </w:p>
        </w:tc>
        <w:tc>
          <w:tcPr>
            <w:tcW w:w="902" w:type="dxa"/>
            <w:tcBorders>
              <w:right w:val="single" w:sz="4" w:space="0" w:color="7F7F7F" w:themeColor="text1" w:themeTint="80"/>
            </w:tcBorders>
          </w:tcPr>
          <w:p w14:paraId="7C2E240C"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41.8%</w:t>
            </w:r>
          </w:p>
        </w:tc>
        <w:tc>
          <w:tcPr>
            <w:tcW w:w="901" w:type="dxa"/>
            <w:tcBorders>
              <w:left w:val="single" w:sz="4" w:space="0" w:color="7F7F7F" w:themeColor="text1" w:themeTint="80"/>
            </w:tcBorders>
          </w:tcPr>
          <w:p w14:paraId="1129DA32"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8,971</w:t>
            </w:r>
          </w:p>
        </w:tc>
        <w:tc>
          <w:tcPr>
            <w:tcW w:w="902" w:type="dxa"/>
          </w:tcPr>
          <w:p w14:paraId="0DA47121"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39.2%</w:t>
            </w:r>
          </w:p>
        </w:tc>
      </w:tr>
      <w:tr w:rsidR="000C7E5C" w:rsidRPr="000C7E5C" w14:paraId="4E8EF747" w14:textId="77777777" w:rsidTr="0006148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80" w:type="dxa"/>
          </w:tcPr>
          <w:p w14:paraId="2F15176A"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Phenoxymethylpenicillin</w:t>
            </w:r>
          </w:p>
        </w:tc>
        <w:tc>
          <w:tcPr>
            <w:tcW w:w="901" w:type="dxa"/>
          </w:tcPr>
          <w:p w14:paraId="396D10DD" w14:textId="1D159573"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2,582</w:t>
            </w:r>
          </w:p>
        </w:tc>
        <w:tc>
          <w:tcPr>
            <w:tcW w:w="902" w:type="dxa"/>
            <w:tcBorders>
              <w:right w:val="single" w:sz="4" w:space="0" w:color="808080" w:themeColor="background1" w:themeShade="80"/>
            </w:tcBorders>
          </w:tcPr>
          <w:p w14:paraId="2EC7B2A3" w14:textId="601311E6"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32.5%</w:t>
            </w:r>
          </w:p>
        </w:tc>
        <w:tc>
          <w:tcPr>
            <w:tcW w:w="901" w:type="dxa"/>
            <w:tcBorders>
              <w:left w:val="single" w:sz="4" w:space="0" w:color="808080" w:themeColor="background1" w:themeShade="80"/>
            </w:tcBorders>
          </w:tcPr>
          <w:p w14:paraId="65475865" w14:textId="56A29C7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1,709</w:t>
            </w:r>
          </w:p>
        </w:tc>
        <w:tc>
          <w:tcPr>
            <w:tcW w:w="902" w:type="dxa"/>
            <w:tcBorders>
              <w:right w:val="single" w:sz="4" w:space="0" w:color="7F7F7F" w:themeColor="text1" w:themeTint="80"/>
            </w:tcBorders>
          </w:tcPr>
          <w:p w14:paraId="13172728" w14:textId="37586681" w:rsidR="000C7E5C" w:rsidRPr="00656E9F"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656E9F">
              <w:rPr>
                <w:rFonts w:asciiTheme="majorHAnsi" w:hAnsiTheme="majorHAnsi" w:cstheme="majorHAnsi"/>
                <w:color w:val="000000"/>
                <w:sz w:val="18"/>
                <w:szCs w:val="18"/>
              </w:rPr>
              <w:t>27.3%</w:t>
            </w:r>
          </w:p>
        </w:tc>
        <w:tc>
          <w:tcPr>
            <w:tcW w:w="901" w:type="dxa"/>
            <w:tcBorders>
              <w:left w:val="single" w:sz="4" w:space="0" w:color="7F7F7F" w:themeColor="text1" w:themeTint="80"/>
            </w:tcBorders>
          </w:tcPr>
          <w:p w14:paraId="572FFF5E" w14:textId="5B16C1D6" w:rsidR="000C7E5C" w:rsidRPr="00656E9F"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656E9F">
              <w:rPr>
                <w:rFonts w:asciiTheme="majorHAnsi" w:hAnsiTheme="majorHAnsi" w:cstheme="majorHAnsi"/>
                <w:color w:val="000000"/>
                <w:sz w:val="18"/>
                <w:szCs w:val="18"/>
              </w:rPr>
              <w:t>2,264</w:t>
            </w:r>
          </w:p>
        </w:tc>
        <w:tc>
          <w:tcPr>
            <w:tcW w:w="902" w:type="dxa"/>
            <w:tcBorders>
              <w:right w:val="single" w:sz="4" w:space="0" w:color="7F7F7F" w:themeColor="text1" w:themeTint="80"/>
            </w:tcBorders>
          </w:tcPr>
          <w:p w14:paraId="6764AC63" w14:textId="77777777" w:rsidR="000C7E5C" w:rsidRPr="00656E9F"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656E9F">
              <w:rPr>
                <w:rFonts w:asciiTheme="majorHAnsi" w:hAnsiTheme="majorHAnsi" w:cstheme="majorHAnsi"/>
                <w:color w:val="000000"/>
                <w:sz w:val="18"/>
                <w:szCs w:val="18"/>
              </w:rPr>
              <w:t>34.3%</w:t>
            </w:r>
          </w:p>
        </w:tc>
        <w:tc>
          <w:tcPr>
            <w:tcW w:w="901" w:type="dxa"/>
            <w:tcBorders>
              <w:left w:val="single" w:sz="4" w:space="0" w:color="7F7F7F" w:themeColor="text1" w:themeTint="80"/>
            </w:tcBorders>
          </w:tcPr>
          <w:p w14:paraId="1C3639BE" w14:textId="77777777" w:rsidR="000C7E5C" w:rsidRPr="00656E9F"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656E9F">
              <w:rPr>
                <w:rFonts w:asciiTheme="majorHAnsi" w:hAnsiTheme="majorHAnsi" w:cstheme="majorHAnsi"/>
                <w:color w:val="000000"/>
                <w:sz w:val="18"/>
                <w:szCs w:val="18"/>
              </w:rPr>
              <w:t>2,079</w:t>
            </w:r>
          </w:p>
        </w:tc>
        <w:tc>
          <w:tcPr>
            <w:tcW w:w="902" w:type="dxa"/>
          </w:tcPr>
          <w:p w14:paraId="6751F773" w14:textId="77777777" w:rsidR="000C7E5C" w:rsidRPr="00656E9F"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656E9F">
              <w:rPr>
                <w:rFonts w:asciiTheme="majorHAnsi" w:hAnsiTheme="majorHAnsi" w:cstheme="majorHAnsi"/>
                <w:color w:val="000000"/>
                <w:sz w:val="18"/>
                <w:szCs w:val="18"/>
              </w:rPr>
              <w:t>35.4%</w:t>
            </w:r>
          </w:p>
        </w:tc>
      </w:tr>
      <w:tr w:rsidR="000C7E5C" w:rsidRPr="000C7E5C" w14:paraId="2E21EF55" w14:textId="77777777" w:rsidTr="00061484">
        <w:trPr>
          <w:trHeight w:val="420"/>
        </w:trPr>
        <w:tc>
          <w:tcPr>
            <w:cnfStyle w:val="001000000000" w:firstRow="0" w:lastRow="0" w:firstColumn="1" w:lastColumn="0" w:oddVBand="0" w:evenVBand="0" w:oddHBand="0" w:evenHBand="0" w:firstRowFirstColumn="0" w:firstRowLastColumn="0" w:lastRowFirstColumn="0" w:lastRowLastColumn="0"/>
            <w:tcW w:w="2580" w:type="dxa"/>
            <w:shd w:val="clear" w:color="auto" w:fill="EFC3AF"/>
          </w:tcPr>
          <w:p w14:paraId="45DAA885"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Roxithromycin</w:t>
            </w:r>
          </w:p>
        </w:tc>
        <w:tc>
          <w:tcPr>
            <w:tcW w:w="901" w:type="dxa"/>
            <w:shd w:val="clear" w:color="auto" w:fill="EFC3AF"/>
          </w:tcPr>
          <w:p w14:paraId="56AD8053" w14:textId="1B907909"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142,145</w:t>
            </w:r>
          </w:p>
        </w:tc>
        <w:tc>
          <w:tcPr>
            <w:tcW w:w="902"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EFC3AF"/>
          </w:tcPr>
          <w:p w14:paraId="756A0E00" w14:textId="108016A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69.9%</w:t>
            </w:r>
          </w:p>
        </w:tc>
        <w:tc>
          <w:tcPr>
            <w:tcW w:w="901" w:type="dxa"/>
            <w:tcBorders>
              <w:left w:val="single" w:sz="4" w:space="0" w:color="808080" w:themeColor="background1" w:themeShade="80"/>
            </w:tcBorders>
            <w:shd w:val="clear" w:color="auto" w:fill="EFC3AF"/>
          </w:tcPr>
          <w:p w14:paraId="776A57A6" w14:textId="1CF1C9FB"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144</w:t>
            </w:r>
          </w:p>
        </w:tc>
        <w:tc>
          <w:tcPr>
            <w:tcW w:w="902" w:type="dxa"/>
            <w:tcBorders>
              <w:right w:val="single" w:sz="4" w:space="0" w:color="7F7F7F" w:themeColor="text1" w:themeTint="80"/>
            </w:tcBorders>
            <w:shd w:val="clear" w:color="auto" w:fill="EFC3AF"/>
          </w:tcPr>
          <w:p w14:paraId="64A40E40" w14:textId="02DE5656"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6.4%</w:t>
            </w:r>
          </w:p>
        </w:tc>
        <w:tc>
          <w:tcPr>
            <w:tcW w:w="901" w:type="dxa"/>
            <w:tcBorders>
              <w:left w:val="single" w:sz="4" w:space="0" w:color="7F7F7F" w:themeColor="text1" w:themeTint="80"/>
            </w:tcBorders>
            <w:shd w:val="clear" w:color="auto" w:fill="EFC3AF"/>
          </w:tcPr>
          <w:p w14:paraId="707FDED7" w14:textId="7A45D908"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123</w:t>
            </w:r>
          </w:p>
        </w:tc>
        <w:tc>
          <w:tcPr>
            <w:tcW w:w="902" w:type="dxa"/>
            <w:tcBorders>
              <w:right w:val="single" w:sz="4" w:space="0" w:color="7F7F7F" w:themeColor="text1" w:themeTint="80"/>
            </w:tcBorders>
            <w:shd w:val="clear" w:color="auto" w:fill="EFC3AF"/>
          </w:tcPr>
          <w:p w14:paraId="7494C6DA" w14:textId="77777777"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5.9%</w:t>
            </w:r>
          </w:p>
        </w:tc>
        <w:tc>
          <w:tcPr>
            <w:tcW w:w="901" w:type="dxa"/>
            <w:tcBorders>
              <w:left w:val="single" w:sz="4" w:space="0" w:color="7F7F7F" w:themeColor="text1" w:themeTint="80"/>
            </w:tcBorders>
            <w:shd w:val="clear" w:color="auto" w:fill="EFC3AF"/>
          </w:tcPr>
          <w:p w14:paraId="0A9D9701" w14:textId="77777777" w:rsidR="000C7E5C" w:rsidRPr="000C7E5C" w:rsidRDefault="000C7E5C" w:rsidP="000C7E5C">
            <w:pPr>
              <w:spacing w:before="0" w:after="0"/>
              <w:ind w:right="3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89</w:t>
            </w:r>
          </w:p>
        </w:tc>
        <w:tc>
          <w:tcPr>
            <w:tcW w:w="902" w:type="dxa"/>
            <w:shd w:val="clear" w:color="auto" w:fill="EFC3AF"/>
          </w:tcPr>
          <w:p w14:paraId="5AB6B3F0" w14:textId="11E9D15A" w:rsidR="000C7E5C" w:rsidRPr="000C7E5C" w:rsidRDefault="000C7E5C" w:rsidP="000C7E5C">
            <w:pPr>
              <w:spacing w:before="0"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w:t>
            </w:r>
          </w:p>
        </w:tc>
      </w:tr>
      <w:tr w:rsidR="000C7E5C" w:rsidRPr="000C7E5C" w14:paraId="69573BF2" w14:textId="77777777" w:rsidTr="000614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80" w:type="dxa"/>
          </w:tcPr>
          <w:p w14:paraId="27E553F0" w14:textId="77777777" w:rsidR="000C7E5C" w:rsidRPr="000C7E5C" w:rsidRDefault="000C7E5C" w:rsidP="000C7E5C">
            <w:pPr>
              <w:spacing w:before="0" w:after="0"/>
              <w:rPr>
                <w:rFonts w:asciiTheme="majorHAnsi" w:hAnsiTheme="majorHAnsi" w:cstheme="majorHAnsi"/>
                <w:sz w:val="18"/>
                <w:szCs w:val="18"/>
              </w:rPr>
            </w:pPr>
            <w:r w:rsidRPr="000C7E5C">
              <w:rPr>
                <w:rFonts w:asciiTheme="majorHAnsi" w:hAnsiTheme="majorHAnsi" w:cstheme="majorHAnsi"/>
                <w:color w:val="000000"/>
                <w:sz w:val="18"/>
                <w:szCs w:val="18"/>
              </w:rPr>
              <w:t>Clarithromycin</w:t>
            </w:r>
          </w:p>
        </w:tc>
        <w:tc>
          <w:tcPr>
            <w:tcW w:w="901" w:type="dxa"/>
          </w:tcPr>
          <w:p w14:paraId="5C78A9D8" w14:textId="64974BEB"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54,748</w:t>
            </w:r>
          </w:p>
        </w:tc>
        <w:tc>
          <w:tcPr>
            <w:tcW w:w="902" w:type="dxa"/>
            <w:tcBorders>
              <w:right w:val="single" w:sz="4" w:space="0" w:color="808080" w:themeColor="background1" w:themeShade="80"/>
            </w:tcBorders>
          </w:tcPr>
          <w:p w14:paraId="4854FE13" w14:textId="1B485FA6"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55.8%</w:t>
            </w:r>
          </w:p>
        </w:tc>
        <w:tc>
          <w:tcPr>
            <w:tcW w:w="901" w:type="dxa"/>
            <w:tcBorders>
              <w:left w:val="single" w:sz="4" w:space="0" w:color="808080" w:themeColor="background1" w:themeShade="80"/>
            </w:tcBorders>
          </w:tcPr>
          <w:p w14:paraId="44354379" w14:textId="428A1EA6"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28,456</w:t>
            </w:r>
          </w:p>
        </w:tc>
        <w:tc>
          <w:tcPr>
            <w:tcW w:w="902" w:type="dxa"/>
            <w:tcBorders>
              <w:right w:val="single" w:sz="4" w:space="0" w:color="7F7F7F" w:themeColor="text1" w:themeTint="80"/>
            </w:tcBorders>
          </w:tcPr>
          <w:p w14:paraId="601061C3" w14:textId="47C69AC0"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49.5%</w:t>
            </w:r>
          </w:p>
        </w:tc>
        <w:tc>
          <w:tcPr>
            <w:tcW w:w="901" w:type="dxa"/>
            <w:tcBorders>
              <w:left w:val="single" w:sz="4" w:space="0" w:color="7F7F7F" w:themeColor="text1" w:themeTint="80"/>
            </w:tcBorders>
          </w:tcPr>
          <w:p w14:paraId="23D1F927" w14:textId="04C3A151"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31,705</w:t>
            </w:r>
          </w:p>
        </w:tc>
        <w:tc>
          <w:tcPr>
            <w:tcW w:w="902" w:type="dxa"/>
            <w:tcBorders>
              <w:right w:val="single" w:sz="4" w:space="0" w:color="7F7F7F" w:themeColor="text1" w:themeTint="80"/>
            </w:tcBorders>
          </w:tcPr>
          <w:p w14:paraId="49501446"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49.4%</w:t>
            </w:r>
          </w:p>
        </w:tc>
        <w:tc>
          <w:tcPr>
            <w:tcW w:w="901" w:type="dxa"/>
            <w:tcBorders>
              <w:left w:val="single" w:sz="4" w:space="0" w:color="7F7F7F" w:themeColor="text1" w:themeTint="80"/>
            </w:tcBorders>
          </w:tcPr>
          <w:p w14:paraId="2026A9BB"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27,844</w:t>
            </w:r>
          </w:p>
        </w:tc>
        <w:tc>
          <w:tcPr>
            <w:tcW w:w="902" w:type="dxa"/>
          </w:tcPr>
          <w:p w14:paraId="064A3EC8" w14:textId="77777777" w:rsidR="000C7E5C" w:rsidRPr="000C7E5C" w:rsidRDefault="000C7E5C" w:rsidP="000C7E5C">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0C7E5C">
              <w:rPr>
                <w:rFonts w:asciiTheme="majorHAnsi" w:hAnsiTheme="majorHAnsi" w:cstheme="majorHAnsi"/>
                <w:color w:val="000000"/>
                <w:sz w:val="18"/>
                <w:szCs w:val="18"/>
              </w:rPr>
              <w:t>48.7%</w:t>
            </w:r>
          </w:p>
        </w:tc>
      </w:tr>
    </w:tbl>
    <w:p w14:paraId="34FFADEC" w14:textId="60A34D79" w:rsidR="00070001" w:rsidRPr="00070001" w:rsidRDefault="00070001" w:rsidP="00070001">
      <w:pPr>
        <w:tabs>
          <w:tab w:val="left" w:pos="142"/>
        </w:tabs>
        <w:spacing w:before="0" w:after="0"/>
        <w:rPr>
          <w:rFonts w:ascii="Arial" w:hAnsi="Arial" w:cs="Arial"/>
          <w:sz w:val="16"/>
          <w:szCs w:val="16"/>
        </w:rPr>
      </w:pPr>
      <w:r w:rsidRPr="00DD659E">
        <w:rPr>
          <w:rStyle w:val="FigureTablefootnoteChar"/>
        </w:rPr>
        <w:t>PBS = Pharmaceutical Benefits Scheme; RPBS = Repatriation Pharmaceutical Benefits Scheme</w:t>
      </w:r>
      <w:r w:rsidRPr="00DD659E">
        <w:rPr>
          <w:rStyle w:val="FigureTablefootnoteChar"/>
        </w:rPr>
        <w:br/>
        <w:t>*</w:t>
      </w:r>
      <w:r w:rsidRPr="00DD659E">
        <w:rPr>
          <w:rStyle w:val="FigureTablefootnoteChar"/>
        </w:rPr>
        <w:tab/>
        <w:t>Most commonly dispensed antimicrobials</w:t>
      </w:r>
      <w:r w:rsidR="001C09B9">
        <w:rPr>
          <w:rStyle w:val="FigureTablefootnoteChar"/>
        </w:rPr>
        <w:t xml:space="preserve"> in 2023</w:t>
      </w:r>
      <w:r w:rsidR="00DB338F">
        <w:rPr>
          <w:rStyle w:val="FigureTablefootnoteChar"/>
        </w:rPr>
        <w:t xml:space="preserve"> (see Figure </w:t>
      </w:r>
      <w:r w:rsidR="00827262">
        <w:rPr>
          <w:rStyle w:val="FigureTablefootnoteChar"/>
        </w:rPr>
        <w:t>4</w:t>
      </w:r>
      <w:r w:rsidR="00DB338F">
        <w:rPr>
          <w:rStyle w:val="FigureTablefootnoteChar"/>
        </w:rPr>
        <w:t>)</w:t>
      </w:r>
      <w:r w:rsidRPr="00070001">
        <w:rPr>
          <w:rFonts w:ascii="Arial" w:hAnsi="Arial" w:cs="Arial"/>
          <w:sz w:val="16"/>
          <w:szCs w:val="16"/>
        </w:rPr>
        <w:br/>
        <w:t>Notes:</w:t>
      </w:r>
    </w:p>
    <w:p w14:paraId="1A119799" w14:textId="3D78994C" w:rsidR="00E82353" w:rsidRDefault="00E82353" w:rsidP="00D146DD">
      <w:pPr>
        <w:numPr>
          <w:ilvl w:val="0"/>
          <w:numId w:val="9"/>
        </w:numPr>
        <w:spacing w:before="0" w:after="0"/>
        <w:ind w:left="284" w:hanging="284"/>
        <w:contextualSpacing/>
        <w:rPr>
          <w:rFonts w:ascii="Arial" w:hAnsi="Arial" w:cs="Arial"/>
          <w:sz w:val="16"/>
          <w:szCs w:val="16"/>
        </w:rPr>
      </w:pPr>
      <w:r>
        <w:rPr>
          <w:rFonts w:ascii="Arial" w:hAnsi="Arial" w:cs="Arial"/>
          <w:sz w:val="16"/>
          <w:szCs w:val="16"/>
        </w:rPr>
        <w:t xml:space="preserve">Number of repeat prescriptions dispensed within 10 days of the original prescription being dispensed, and as a percentage of </w:t>
      </w:r>
      <w:r w:rsidR="001C2A5F">
        <w:rPr>
          <w:rFonts w:ascii="Arial" w:hAnsi="Arial" w:cs="Arial"/>
          <w:sz w:val="16"/>
          <w:szCs w:val="16"/>
        </w:rPr>
        <w:t xml:space="preserve">number </w:t>
      </w:r>
      <w:r w:rsidR="006D3FEF">
        <w:rPr>
          <w:rFonts w:ascii="Arial" w:hAnsi="Arial" w:cs="Arial"/>
          <w:sz w:val="16"/>
          <w:szCs w:val="16"/>
        </w:rPr>
        <w:t xml:space="preserve">of </w:t>
      </w:r>
      <w:r>
        <w:rPr>
          <w:rFonts w:ascii="Arial" w:hAnsi="Arial" w:cs="Arial"/>
          <w:sz w:val="16"/>
          <w:szCs w:val="16"/>
        </w:rPr>
        <w:t>repeat</w:t>
      </w:r>
      <w:r w:rsidR="00614782">
        <w:rPr>
          <w:rFonts w:ascii="Arial" w:hAnsi="Arial" w:cs="Arial"/>
          <w:sz w:val="16"/>
          <w:szCs w:val="16"/>
        </w:rPr>
        <w:t xml:space="preserve"> prescriptions </w:t>
      </w:r>
      <w:r>
        <w:rPr>
          <w:rFonts w:ascii="Arial" w:hAnsi="Arial" w:cs="Arial"/>
          <w:sz w:val="16"/>
          <w:szCs w:val="16"/>
        </w:rPr>
        <w:t xml:space="preserve">dispensed </w:t>
      </w:r>
      <w:r w:rsidR="00CB043E">
        <w:rPr>
          <w:rFonts w:ascii="Arial" w:hAnsi="Arial" w:cs="Arial"/>
          <w:sz w:val="16"/>
          <w:szCs w:val="16"/>
        </w:rPr>
        <w:t xml:space="preserve">in the given year </w:t>
      </w:r>
      <w:r>
        <w:rPr>
          <w:rFonts w:ascii="Arial" w:hAnsi="Arial" w:cs="Arial"/>
          <w:sz w:val="16"/>
          <w:szCs w:val="16"/>
        </w:rPr>
        <w:t xml:space="preserve">(number of repeat prescriptions </w:t>
      </w:r>
      <w:r w:rsidR="00614782">
        <w:rPr>
          <w:rFonts w:ascii="Arial" w:hAnsi="Arial" w:cs="Arial"/>
          <w:sz w:val="16"/>
          <w:szCs w:val="16"/>
        </w:rPr>
        <w:t xml:space="preserve">dispensed </w:t>
      </w:r>
      <w:r w:rsidR="00B063CB">
        <w:rPr>
          <w:rFonts w:ascii="Arial" w:hAnsi="Arial" w:cs="Arial"/>
          <w:sz w:val="16"/>
          <w:szCs w:val="16"/>
        </w:rPr>
        <w:t xml:space="preserve">in the given year </w:t>
      </w:r>
      <w:r>
        <w:rPr>
          <w:rFonts w:ascii="Arial" w:hAnsi="Arial" w:cs="Arial"/>
          <w:sz w:val="16"/>
          <w:szCs w:val="16"/>
        </w:rPr>
        <w:t>not shown).</w:t>
      </w:r>
    </w:p>
    <w:p w14:paraId="4FC0191D" w14:textId="737F94CF" w:rsidR="00070001" w:rsidRPr="00C638F3" w:rsidRDefault="00070001" w:rsidP="00D146DD">
      <w:pPr>
        <w:numPr>
          <w:ilvl w:val="0"/>
          <w:numId w:val="9"/>
        </w:numPr>
        <w:spacing w:before="0" w:after="0"/>
        <w:ind w:left="284" w:hanging="284"/>
        <w:contextualSpacing/>
        <w:rPr>
          <w:rFonts w:ascii="Arial" w:hAnsi="Arial" w:cs="Arial"/>
          <w:sz w:val="16"/>
          <w:szCs w:val="16"/>
        </w:rPr>
      </w:pPr>
      <w:r w:rsidRPr="00C638F3">
        <w:rPr>
          <w:rFonts w:ascii="Arial" w:hAnsi="Arial" w:cs="Arial"/>
          <w:sz w:val="16"/>
          <w:szCs w:val="16"/>
        </w:rPr>
        <w:t xml:space="preserve">From 1 April 2020, </w:t>
      </w:r>
      <w:bookmarkStart w:id="37" w:name="_Hlk120099924"/>
      <w:r w:rsidRPr="00C638F3">
        <w:rPr>
          <w:rFonts w:ascii="Arial" w:hAnsi="Arial" w:cs="Arial"/>
          <w:sz w:val="16"/>
          <w:szCs w:val="16"/>
        </w:rPr>
        <w:t>repeats were not allowed for amoxicillin, amoxicillin–clavulanic acid, cefalexin, doxycycline and roxithromycin</w:t>
      </w:r>
      <w:bookmarkEnd w:id="37"/>
      <w:r w:rsidRPr="00C638F3">
        <w:rPr>
          <w:rFonts w:ascii="Arial" w:hAnsi="Arial" w:cs="Arial"/>
          <w:sz w:val="16"/>
          <w:szCs w:val="16"/>
        </w:rPr>
        <w:t xml:space="preserve"> (shaded) so 2020 data </w:t>
      </w:r>
      <w:r w:rsidR="00C75173">
        <w:rPr>
          <w:rFonts w:ascii="Arial" w:hAnsi="Arial" w:cs="Arial"/>
          <w:sz w:val="16"/>
          <w:szCs w:val="16"/>
        </w:rPr>
        <w:t>were</w:t>
      </w:r>
      <w:r w:rsidRPr="00C638F3">
        <w:rPr>
          <w:rFonts w:ascii="Arial" w:hAnsi="Arial" w:cs="Arial"/>
          <w:sz w:val="16"/>
          <w:szCs w:val="16"/>
        </w:rPr>
        <w:t xml:space="preserve"> excluded from Table </w:t>
      </w:r>
      <w:r w:rsidR="00F25C03">
        <w:rPr>
          <w:rFonts w:ascii="Arial" w:hAnsi="Arial" w:cs="Arial"/>
          <w:sz w:val="16"/>
          <w:szCs w:val="16"/>
        </w:rPr>
        <w:t>2</w:t>
      </w:r>
      <w:r w:rsidRPr="00C638F3">
        <w:rPr>
          <w:rFonts w:ascii="Arial" w:hAnsi="Arial" w:cs="Arial"/>
          <w:sz w:val="16"/>
          <w:szCs w:val="16"/>
        </w:rPr>
        <w:t xml:space="preserve"> to enable full year-to-year comparison.</w:t>
      </w:r>
    </w:p>
    <w:p w14:paraId="17905A55" w14:textId="77777777" w:rsidR="00070001" w:rsidRPr="00C638F3" w:rsidRDefault="00070001" w:rsidP="00D146DD">
      <w:pPr>
        <w:numPr>
          <w:ilvl w:val="0"/>
          <w:numId w:val="9"/>
        </w:numPr>
        <w:spacing w:before="0" w:after="0"/>
        <w:ind w:left="284" w:hanging="284"/>
        <w:contextualSpacing/>
        <w:rPr>
          <w:rFonts w:ascii="Arial" w:hAnsi="Arial" w:cs="Arial"/>
          <w:sz w:val="16"/>
          <w:szCs w:val="16"/>
        </w:rPr>
      </w:pPr>
      <w:r w:rsidRPr="00C638F3">
        <w:rPr>
          <w:rFonts w:ascii="Arial" w:hAnsi="Arial" w:cs="Arial"/>
          <w:sz w:val="16"/>
          <w:szCs w:val="16"/>
        </w:rPr>
        <w:t>Repeats were not allowed for flucloxacillin capsules, but repeats were allowed for flucloxacillin powder for oral liquid.</w:t>
      </w:r>
    </w:p>
    <w:p w14:paraId="17E63ED5" w14:textId="007CCCB4" w:rsidR="00070001" w:rsidRPr="00C638F3" w:rsidRDefault="00070001" w:rsidP="00D146DD">
      <w:pPr>
        <w:numPr>
          <w:ilvl w:val="0"/>
          <w:numId w:val="9"/>
        </w:numPr>
        <w:spacing w:before="0" w:after="0"/>
        <w:ind w:left="284" w:hanging="284"/>
        <w:contextualSpacing/>
        <w:rPr>
          <w:rFonts w:ascii="Arial" w:hAnsi="Arial" w:cs="Arial"/>
          <w:sz w:val="16"/>
          <w:szCs w:val="16"/>
        </w:rPr>
      </w:pPr>
      <w:r w:rsidRPr="00C638F3">
        <w:rPr>
          <w:rFonts w:ascii="Arial" w:hAnsi="Arial" w:cs="Arial"/>
          <w:sz w:val="16"/>
          <w:szCs w:val="16"/>
        </w:rPr>
        <w:t xml:space="preserve">Less than 10 days was chosen for analysis as most pack sizes provide </w:t>
      </w:r>
      <w:r w:rsidR="00D62329">
        <w:rPr>
          <w:rFonts w:ascii="Arial" w:hAnsi="Arial" w:cs="Arial"/>
          <w:sz w:val="16"/>
          <w:szCs w:val="16"/>
        </w:rPr>
        <w:t>courses</w:t>
      </w:r>
      <w:r w:rsidR="00D62329" w:rsidRPr="00C638F3">
        <w:rPr>
          <w:rFonts w:ascii="Arial" w:hAnsi="Arial" w:cs="Arial"/>
          <w:sz w:val="16"/>
          <w:szCs w:val="16"/>
        </w:rPr>
        <w:t xml:space="preserve"> </w:t>
      </w:r>
      <w:r w:rsidRPr="00C638F3">
        <w:rPr>
          <w:rFonts w:ascii="Arial" w:hAnsi="Arial" w:cs="Arial"/>
          <w:sz w:val="16"/>
          <w:szCs w:val="16"/>
        </w:rPr>
        <w:t>for 5 to 10 days.</w:t>
      </w:r>
    </w:p>
    <w:p w14:paraId="72FE6A92" w14:textId="42ECE009" w:rsidR="009A471F" w:rsidRDefault="00070001" w:rsidP="009A471F">
      <w:pPr>
        <w:spacing w:before="0" w:after="200"/>
        <w:rPr>
          <w:rFonts w:ascii="Arial" w:hAnsi="Arial" w:cs="Arial"/>
          <w:sz w:val="16"/>
          <w:szCs w:val="16"/>
        </w:rPr>
      </w:pPr>
      <w:r w:rsidRPr="00C638F3">
        <w:rPr>
          <w:rStyle w:val="FigureTablefootnoteChar"/>
        </w:rPr>
        <w:t xml:space="preserve">Source: </w:t>
      </w:r>
      <w:proofErr w:type="spellStart"/>
      <w:r w:rsidRPr="00C638F3">
        <w:rPr>
          <w:rStyle w:val="FigureTablefootnoteChar"/>
        </w:rPr>
        <w:t>Gadzhanova</w:t>
      </w:r>
      <w:proofErr w:type="spellEnd"/>
      <w:r w:rsidRPr="00C638F3">
        <w:rPr>
          <w:rStyle w:val="FigureTablefootnoteChar"/>
        </w:rPr>
        <w:t>, Roughead</w:t>
      </w:r>
      <w:r w:rsidRPr="00C638F3">
        <w:rPr>
          <w:rFonts w:ascii="Arial" w:hAnsi="Arial" w:cs="Arial"/>
          <w:sz w:val="16"/>
          <w:szCs w:val="16"/>
          <w:vertAlign w:val="superscript"/>
        </w:rPr>
        <w:fldChar w:fldCharType="begin"/>
      </w:r>
      <w:r w:rsidR="00C43D56">
        <w:rPr>
          <w:rFonts w:ascii="Arial" w:hAnsi="Arial" w:cs="Arial"/>
          <w:sz w:val="16"/>
          <w:szCs w:val="16"/>
          <w:vertAlign w:val="superscript"/>
        </w:rPr>
        <w:instrText xml:space="preserve"> ADDIN EN.CITE &lt;EndNote&gt;&lt;Cite&gt;&lt;Author&gt;Gadzhanova S and Roughead E&lt;/Author&gt;&lt;RecNum&gt;3&lt;/RecNum&gt;&lt;DisplayText&gt;&lt;style face="superscript"&gt;13, 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(unpublished)&lt;/title&gt;&lt;/titles&gt;&lt;dates&gt;&lt;/dates&gt;&lt;urls&gt;&lt;/urls&gt;&lt;/record&gt;&lt;/Cite&gt;&lt;Cite&gt;&lt;Author&gt;Gadzhanova S and Roughead E on behalf of the Australian Commission on Safety and Quality in Health Care&lt;/Author&gt;&lt;Year&gt;2023&lt;/Year&gt;&lt;RecNum&gt;353&lt;/RecNum&gt;&lt;record&gt;&lt;rec-number&gt;353&lt;/rec-number&gt;&lt;foreign-keys&gt;&lt;key app="EN" db-id="0a9sasvr7dwawyeva9qpw09xaap9erv5ad5e" timestamp="1716861523"&gt;353&lt;/key&gt;&lt;/foreign-keys&gt;&lt;ref-type name="Government Document"&gt;46&lt;/ref-type&gt;&lt;contributors&gt;&lt;authors&gt;&lt;author&gt;Gadzhanova S and Roughead E on behalf of the Australian Commission on Safety and Quality in Health Care, &lt;/author&gt;&lt;/authors&gt;&lt;/contributors&gt;&lt;titles&gt;&lt;title&gt;Analysis of 2015–2022 PBS and RPBS antimicrobial dispensing data&lt;/title&gt;&lt;/titles&gt;&lt;dates&gt;&lt;year&gt;2023&lt;/year&gt;&lt;/dates&gt;&lt;pub-location&gt;Sydney&lt;/pub-location&gt;&lt;publisher&gt;ACSQHC&lt;/publisher&gt;&lt;urls&gt;&lt;/urls&gt;&lt;/record&gt;&lt;/Cite&gt;&lt;/EndNote&gt;</w:instrText>
      </w:r>
      <w:r w:rsidRPr="00C638F3">
        <w:rPr>
          <w:rFonts w:ascii="Arial" w:hAnsi="Arial" w:cs="Arial"/>
          <w:sz w:val="16"/>
          <w:szCs w:val="16"/>
          <w:vertAlign w:val="superscript"/>
        </w:rPr>
        <w:fldChar w:fldCharType="separate"/>
      </w:r>
      <w:r w:rsidR="00C43D56">
        <w:rPr>
          <w:rFonts w:ascii="Arial" w:hAnsi="Arial" w:cs="Arial"/>
          <w:noProof/>
          <w:sz w:val="16"/>
          <w:szCs w:val="16"/>
          <w:vertAlign w:val="superscript"/>
        </w:rPr>
        <w:t>13,19</w:t>
      </w:r>
      <w:r w:rsidRPr="00C638F3">
        <w:rPr>
          <w:rFonts w:ascii="Arial" w:hAnsi="Arial" w:cs="Arial"/>
          <w:sz w:val="16"/>
          <w:szCs w:val="16"/>
          <w:vertAlign w:val="superscript"/>
        </w:rPr>
        <w:fldChar w:fldCharType="end"/>
      </w:r>
      <w:r w:rsidRPr="00070001">
        <w:rPr>
          <w:rFonts w:ascii="Arial" w:hAnsi="Arial" w:cs="Arial"/>
          <w:sz w:val="16"/>
          <w:szCs w:val="16"/>
        </w:rPr>
        <w:t xml:space="preserve"> </w:t>
      </w:r>
      <w:r w:rsidR="009A471F">
        <w:rPr>
          <w:rFonts w:ascii="Arial" w:hAnsi="Arial" w:cs="Arial"/>
          <w:sz w:val="16"/>
          <w:szCs w:val="16"/>
        </w:rPr>
        <w:br w:type="page"/>
      </w:r>
    </w:p>
    <w:p w14:paraId="71EFD1E3" w14:textId="0487DA08" w:rsidR="00DB1EE0" w:rsidRPr="00DB1EE0" w:rsidRDefault="004277AF" w:rsidP="00DB1EE0">
      <w:pPr>
        <w:pStyle w:val="Heading3"/>
        <w:spacing w:after="0"/>
        <w:rPr>
          <w:color w:val="005370"/>
        </w:rPr>
      </w:pPr>
      <w:bookmarkStart w:id="38" w:name="_Toc173763621"/>
      <w:r>
        <w:rPr>
          <w:color w:val="005370"/>
        </w:rPr>
        <w:lastRenderedPageBreak/>
        <w:t>State and territory and l</w:t>
      </w:r>
      <w:r w:rsidR="00DB1EE0">
        <w:rPr>
          <w:color w:val="005370"/>
        </w:rPr>
        <w:t>ocal area</w:t>
      </w:r>
      <w:bookmarkEnd w:id="38"/>
    </w:p>
    <w:p w14:paraId="18BCFFE3" w14:textId="77777777" w:rsidR="00CC6681" w:rsidRDefault="00827262" w:rsidP="00827262">
      <w:r>
        <w:t>Following the national trend, antimicrobial use declined overall across all states and territories from 2015 to 2023 (Figure</w:t>
      </w:r>
      <w:r w:rsidR="0001050C">
        <w:t>s</w:t>
      </w:r>
      <w:r>
        <w:t> </w:t>
      </w:r>
      <w:r w:rsidR="00ED2A60">
        <w:t>6</w:t>
      </w:r>
      <w:r w:rsidR="0001050C">
        <w:t xml:space="preserve"> and 7</w:t>
      </w:r>
      <w:r>
        <w:t xml:space="preserve">). However, there was </w:t>
      </w:r>
      <w:r w:rsidR="00C12430">
        <w:t xml:space="preserve">variation </w:t>
      </w:r>
      <w:r>
        <w:t>between jurisdictions.</w:t>
      </w:r>
    </w:p>
    <w:p w14:paraId="737ADF9B" w14:textId="1B8A03B5" w:rsidR="00827262" w:rsidRDefault="00827262" w:rsidP="00827262">
      <w:r>
        <w:t>Comparatively lower rates of antimicrobial use in the Northern Territory (NT) observed in Figures </w:t>
      </w:r>
      <w:r w:rsidR="00ED2A60">
        <w:t>6</w:t>
      </w:r>
      <w:r w:rsidR="003F6645">
        <w:t>–11</w:t>
      </w:r>
      <w:r w:rsidR="0001050C">
        <w:t xml:space="preserve"> </w:t>
      </w:r>
      <w:r>
        <w:t>and Tables </w:t>
      </w:r>
      <w:r w:rsidR="0001050C">
        <w:t>3</w:t>
      </w:r>
      <w:r>
        <w:t xml:space="preserve"> and </w:t>
      </w:r>
      <w:r w:rsidR="0001050C">
        <w:t>4</w:t>
      </w:r>
      <w:r>
        <w:t xml:space="preserve"> may reflect </w:t>
      </w:r>
      <w:r w:rsidR="00B70595">
        <w:t>the access to</w:t>
      </w:r>
      <w:r>
        <w:t xml:space="preserve"> supply of antimicrobials outside the PBS and RPBS</w:t>
      </w:r>
      <w:r w:rsidR="00B70595">
        <w:t xml:space="preserve"> (see Appendix 1).</w:t>
      </w:r>
    </w:p>
    <w:p w14:paraId="4BE13EEF" w14:textId="10DBC4D9" w:rsidR="00827262" w:rsidRDefault="00827262" w:rsidP="00827262">
      <w:pPr>
        <w:tabs>
          <w:tab w:val="left" w:pos="0"/>
        </w:tabs>
      </w:pPr>
      <w:r>
        <w:t xml:space="preserve">In 2023, the </w:t>
      </w:r>
      <w:r w:rsidR="007C299A">
        <w:t xml:space="preserve">rate </w:t>
      </w:r>
      <w:r>
        <w:t xml:space="preserve">of antimicrobials supplied was highest in South Australia </w:t>
      </w:r>
      <w:r w:rsidR="00576B06">
        <w:t xml:space="preserve">(SA) </w:t>
      </w:r>
      <w:r>
        <w:t>(17.6 DDD/1,000 people/day) and lowest in the NT (9.2 DDD/1,000 people/day) (Figure </w:t>
      </w:r>
      <w:r w:rsidR="00ED2A60">
        <w:t>6</w:t>
      </w:r>
      <w:r>
        <w:t>).</w:t>
      </w:r>
    </w:p>
    <w:p w14:paraId="1B3839F5" w14:textId="2F14F91F" w:rsidR="00827262" w:rsidRDefault="00827262" w:rsidP="00827262">
      <w:r>
        <w:t>When analysed by aged-standardised rate, antimicrobial use was highest in Queensland (837 prescriptions/1,000 people) and lowest in the NT (562 prescriptions/1,000 people) in 2023 (Figure </w:t>
      </w:r>
      <w:r w:rsidR="00ED2A60">
        <w:t>7</w:t>
      </w:r>
      <w:r>
        <w:t>).</w:t>
      </w:r>
    </w:p>
    <w:p w14:paraId="57142B64" w14:textId="52A5F539" w:rsidR="00827262" w:rsidRDefault="00827262" w:rsidP="00827262">
      <w:r>
        <w:t xml:space="preserve">From 2022 to 2023, antimicrobial use increased in </w:t>
      </w:r>
      <w:r w:rsidR="00576B06">
        <w:t>SA</w:t>
      </w:r>
      <w:r>
        <w:t>, Western Australia, Tasmania and the NT</w:t>
      </w:r>
      <w:r w:rsidR="00B34AFE">
        <w:t>;</w:t>
      </w:r>
      <w:r>
        <w:t xml:space="preserve"> the greatest increase was observed in Tasmania (Figures </w:t>
      </w:r>
      <w:r w:rsidR="00ED2A60">
        <w:t>6</w:t>
      </w:r>
      <w:r>
        <w:t xml:space="preserve"> and</w:t>
      </w:r>
      <w:r w:rsidR="00ED2A60">
        <w:t> 7</w:t>
      </w:r>
      <w:r>
        <w:t>).</w:t>
      </w:r>
    </w:p>
    <w:p w14:paraId="3BD18ECB" w14:textId="678A3637" w:rsidR="00827262" w:rsidRDefault="00827262" w:rsidP="00827262">
      <w:pPr>
        <w:pStyle w:val="FigureTableTitle"/>
        <w:spacing w:after="0"/>
        <w:rPr>
          <w:b w:val="0"/>
          <w:bCs/>
        </w:rPr>
      </w:pPr>
      <w:r w:rsidRPr="000B76CA">
        <w:rPr>
          <w:bCs/>
        </w:rPr>
        <w:t>Figure </w:t>
      </w:r>
      <w:r w:rsidR="00ED2A60">
        <w:rPr>
          <w:bCs/>
        </w:rPr>
        <w:t>6</w:t>
      </w:r>
      <w:r w:rsidRPr="000B76CA">
        <w:rPr>
          <w:bCs/>
        </w:rPr>
        <w:t>:</w:t>
      </w:r>
      <w:r w:rsidRPr="00A7261B">
        <w:rPr>
          <w:b w:val="0"/>
          <w:bCs/>
        </w:rPr>
        <w:t> </w:t>
      </w:r>
      <w:r w:rsidR="007C299A">
        <w:rPr>
          <w:b w:val="0"/>
          <w:bCs/>
        </w:rPr>
        <w:t>Rate</w:t>
      </w:r>
      <w:r w:rsidR="007C299A" w:rsidRPr="00ED020C">
        <w:rPr>
          <w:b w:val="0"/>
          <w:bCs/>
        </w:rPr>
        <w:t xml:space="preserve"> </w:t>
      </w:r>
      <w:r w:rsidRPr="00ED020C">
        <w:rPr>
          <w:b w:val="0"/>
          <w:bCs/>
        </w:rPr>
        <w:t>of PBS</w:t>
      </w:r>
      <w:r>
        <w:rPr>
          <w:b w:val="0"/>
          <w:bCs/>
        </w:rPr>
        <w:t xml:space="preserve"> and </w:t>
      </w:r>
      <w:r w:rsidRPr="00ED020C">
        <w:rPr>
          <w:b w:val="0"/>
          <w:bCs/>
        </w:rPr>
        <w:t xml:space="preserve">RPBS antimicrobial prescriptions dispensed (DDD/1,000 people/day), </w:t>
      </w:r>
      <w:r w:rsidRPr="005300F7">
        <w:rPr>
          <w:b w:val="0"/>
          <w:bCs/>
        </w:rPr>
        <w:t xml:space="preserve">by </w:t>
      </w:r>
      <w:r w:rsidR="005300F7" w:rsidRPr="005300F7">
        <w:rPr>
          <w:b w:val="0"/>
          <w:bCs/>
        </w:rPr>
        <w:t xml:space="preserve">patient’s </w:t>
      </w:r>
      <w:r w:rsidRPr="005300F7">
        <w:rPr>
          <w:b w:val="0"/>
          <w:bCs/>
        </w:rPr>
        <w:t xml:space="preserve">state </w:t>
      </w:r>
      <w:r w:rsidR="005300F7">
        <w:rPr>
          <w:b w:val="0"/>
          <w:bCs/>
        </w:rPr>
        <w:t>or</w:t>
      </w:r>
      <w:r w:rsidR="005300F7" w:rsidRPr="005300F7">
        <w:rPr>
          <w:b w:val="0"/>
          <w:bCs/>
        </w:rPr>
        <w:t xml:space="preserve"> </w:t>
      </w:r>
      <w:r w:rsidRPr="005300F7">
        <w:rPr>
          <w:b w:val="0"/>
          <w:bCs/>
        </w:rPr>
        <w:t>territory, 2015</w:t>
      </w:r>
      <w:r w:rsidRPr="00ED020C">
        <w:rPr>
          <w:b w:val="0"/>
          <w:bCs/>
        </w:rPr>
        <w:t>–</w:t>
      </w:r>
      <w:proofErr w:type="gramStart"/>
      <w:r w:rsidRPr="00ED020C">
        <w:rPr>
          <w:b w:val="0"/>
          <w:bCs/>
        </w:rPr>
        <w:t>2023</w:t>
      </w:r>
      <w:proofErr w:type="gramEnd"/>
    </w:p>
    <w:p w14:paraId="715FD810" w14:textId="1DF45A6B" w:rsidR="00827262" w:rsidRPr="006B20B8" w:rsidRDefault="007A469F" w:rsidP="00827262">
      <w:pPr>
        <w:pStyle w:val="FigureTableTitle"/>
        <w:spacing w:after="0"/>
        <w:rPr>
          <w:b w:val="0"/>
          <w:bCs/>
        </w:rPr>
      </w:pPr>
      <w:r>
        <w:rPr>
          <w:b w:val="0"/>
          <w:bCs/>
          <w:noProof/>
        </w:rPr>
        <w:drawing>
          <wp:inline distT="0" distB="0" distL="0" distR="0" wp14:anchorId="3E544156" wp14:editId="291B29BD">
            <wp:extent cx="6115050" cy="4669790"/>
            <wp:effectExtent l="0" t="0" r="0" b="0"/>
            <wp:docPr id="30" name="Picture 30" descr="Figure 6: Rate of PBS and RPBS antimicrobial prescriptions dispensed (DDD/1,000 people/day), by patient’s state or territory,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6: Rate of PBS and RPBS antimicrobial prescriptions dispensed (DDD/1,000 people/day), by patient’s state or territory, 2015–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669790"/>
                    </a:xfrm>
                    <a:prstGeom prst="rect">
                      <a:avLst/>
                    </a:prstGeom>
                    <a:noFill/>
                  </pic:spPr>
                </pic:pic>
              </a:graphicData>
            </a:graphic>
          </wp:inline>
        </w:drawing>
      </w:r>
    </w:p>
    <w:p w14:paraId="4AE0A320" w14:textId="77777777" w:rsidR="00B554C6" w:rsidRDefault="00827262" w:rsidP="00D325FD">
      <w:pPr>
        <w:pStyle w:val="FigureTablefootnote"/>
        <w:tabs>
          <w:tab w:val="clear" w:pos="142"/>
          <w:tab w:val="left" w:pos="0"/>
        </w:tabs>
      </w:pPr>
      <w:r w:rsidRPr="006B20B8">
        <w:t>DDD = defined daily dose; PBS = Pharmaceutical Benefits Scheme; RPBS = Repatriation Pharmaceutical Benefits Scheme</w:t>
      </w:r>
      <w:r w:rsidRPr="006B20B8">
        <w:br/>
        <w:t>Note</w:t>
      </w:r>
      <w:r w:rsidR="00B554C6">
        <w:t>s</w:t>
      </w:r>
      <w:r w:rsidRPr="006B20B8">
        <w:t>:</w:t>
      </w:r>
    </w:p>
    <w:p w14:paraId="29381064" w14:textId="03502BB8" w:rsidR="00D325FD" w:rsidRPr="00B554C6" w:rsidRDefault="00827262" w:rsidP="00B554C6">
      <w:pPr>
        <w:pStyle w:val="FigureTablefootnote"/>
        <w:numPr>
          <w:ilvl w:val="0"/>
          <w:numId w:val="24"/>
        </w:numPr>
        <w:tabs>
          <w:tab w:val="clear" w:pos="142"/>
          <w:tab w:val="left" w:pos="0"/>
        </w:tabs>
        <w:ind w:left="284" w:hanging="284"/>
        <w:rPr>
          <w:rFonts w:cs="Arial"/>
        </w:rPr>
      </w:pPr>
      <w:r w:rsidRPr="006B20B8">
        <w:t xml:space="preserve">The DDD values determined by the World Health Organization Collaborating Centre for Drug Statistics Methodology for 2024 have been applied in this report, causing slight </w:t>
      </w:r>
      <w:r w:rsidR="00B7573E">
        <w:t xml:space="preserve">variation with </w:t>
      </w:r>
      <w:r w:rsidRPr="006B20B8">
        <w:t>results presented in previous reports.</w:t>
      </w:r>
      <w:r>
        <w:fldChar w:fldCharType="begin"/>
      </w:r>
      <w:r w:rsidR="006908DE">
        <w:instrText xml:space="preserve"> ADDIN EN.CITE &lt;EndNote&gt;&lt;Cite&gt;&lt;Author&gt;WHO Collaborating Centre for Drug Statistics Methodology&lt;/Author&gt;&lt;Year&gt;2024&lt;/Year&gt;&lt;RecNum&gt;471&lt;/RecNum&gt;&lt;DisplayText&gt;&lt;style face="superscript"&gt;39&lt;/style&gt;&lt;/DisplayText&gt;&lt;record&gt;&lt;rec-number&gt;471&lt;/rec-number&gt;&lt;foreign-keys&gt;&lt;key app="EN" db-id="0a9sasvr7dwawyeva9qpw09xaap9erv5ad5e" timestamp="1716861931"&gt;471&lt;/key&gt;&lt;/foreign-keys&gt;&lt;ref-type name="Web Page"&gt;12&lt;/ref-type&gt;&lt;contributors&gt;&lt;authors&gt;&lt;author&gt;WHO Collaborating Centre for Drug Statistics Methodology, &lt;/author&gt;&lt;author&gt;Norwegian Institute of Public Health, &lt;/author&gt;&lt;/authors&gt;&lt;/contributors&gt;&lt;titles&gt;&lt;title&gt;DDD alterations from 2005–2024&lt;/title&gt;&lt;/titles&gt;&lt;number&gt;May 2024&lt;/number&gt;&lt;dates&gt;&lt;year&gt;2024&lt;/year&gt;&lt;/dates&gt;&lt;pub-location&gt;Norway&lt;/pub-location&gt;&lt;publisher&gt;WHO CC&lt;/publisher&gt;&lt;urls&gt;&lt;related-urls&gt;&lt;url&gt;https://www.whocc.no/atc_ddd_alterations__cumulative/ddd_alterations/&lt;/url&gt;&lt;/related-urls&gt;&lt;/urls&gt;&lt;/record&gt;&lt;/Cite&gt;&lt;/EndNote&gt;</w:instrText>
      </w:r>
      <w:r>
        <w:fldChar w:fldCharType="separate"/>
      </w:r>
      <w:r w:rsidR="00577C74" w:rsidRPr="00577C74">
        <w:rPr>
          <w:noProof/>
          <w:vertAlign w:val="superscript"/>
        </w:rPr>
        <w:t>39</w:t>
      </w:r>
      <w:r>
        <w:fldChar w:fldCharType="end"/>
      </w:r>
    </w:p>
    <w:p w14:paraId="2506F2CA" w14:textId="5542CE1E" w:rsidR="00B554C6" w:rsidRPr="00D325FD" w:rsidRDefault="00EF6097" w:rsidP="00A12A3C">
      <w:pPr>
        <w:pStyle w:val="FigureTablefootnote"/>
        <w:numPr>
          <w:ilvl w:val="0"/>
          <w:numId w:val="24"/>
        </w:numPr>
        <w:tabs>
          <w:tab w:val="clear" w:pos="142"/>
          <w:tab w:val="left" w:pos="0"/>
        </w:tabs>
        <w:ind w:left="284" w:hanging="284"/>
        <w:rPr>
          <w:rFonts w:cs="Arial"/>
        </w:rPr>
      </w:pPr>
      <w:r w:rsidRPr="00F50C85">
        <w:rPr>
          <w:rFonts w:cs="Arial"/>
        </w:rPr>
        <w:t>Rate may</w:t>
      </w:r>
      <w:r w:rsidR="008A0C2D">
        <w:rPr>
          <w:rFonts w:cs="Arial"/>
        </w:rPr>
        <w:t xml:space="preserve"> have</w:t>
      </w:r>
      <w:r w:rsidRPr="00F50C85">
        <w:rPr>
          <w:rFonts w:cs="Arial"/>
        </w:rPr>
        <w:t xml:space="preserve"> be</w:t>
      </w:r>
      <w:r w:rsidR="008A0C2D">
        <w:rPr>
          <w:rFonts w:cs="Arial"/>
        </w:rPr>
        <w:t>en</w:t>
      </w:r>
      <w:r w:rsidRPr="00F50C85">
        <w:rPr>
          <w:rFonts w:cs="Arial"/>
        </w:rPr>
        <w:t xml:space="preserve"> influenced by the availability of other sources of supply of antimicrobials, such as Aboriginal and Torres Strait Islander health services</w:t>
      </w:r>
      <w:r w:rsidR="005A6DE8">
        <w:t>.</w:t>
      </w:r>
    </w:p>
    <w:p w14:paraId="233242DD" w14:textId="4BB23600" w:rsidR="00827262" w:rsidRDefault="00827262" w:rsidP="00D325FD">
      <w:pPr>
        <w:pStyle w:val="FigureTablefootnote"/>
        <w:tabs>
          <w:tab w:val="clear" w:pos="142"/>
          <w:tab w:val="left" w:pos="0"/>
        </w:tabs>
        <w:rPr>
          <w:rFonts w:cs="Arial"/>
        </w:rPr>
      </w:pPr>
      <w:r w:rsidRPr="006B20B8">
        <w:rPr>
          <w:rFonts w:cs="Arial"/>
        </w:rPr>
        <w:t xml:space="preserve">Source: </w:t>
      </w:r>
      <w:proofErr w:type="spellStart"/>
      <w:r w:rsidRPr="006B20B8">
        <w:rPr>
          <w:rFonts w:cs="Arial"/>
        </w:rPr>
        <w:t>Gadzhanova</w:t>
      </w:r>
      <w:proofErr w:type="spellEnd"/>
      <w:r w:rsidRPr="006B20B8">
        <w:rPr>
          <w:rFonts w:cs="Arial"/>
        </w:rPr>
        <w:t>, Roughead</w:t>
      </w:r>
      <w:r w:rsidRPr="006B20B8">
        <w:rPr>
          <w:rFonts w:cs="Arial"/>
        </w:rPr>
        <w:fldChar w:fldCharType="begin"/>
      </w:r>
      <w:r w:rsidR="00214844">
        <w:rPr>
          <w:rFonts w:cs="Arial"/>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6B20B8">
        <w:rPr>
          <w:rFonts w:cs="Arial"/>
        </w:rPr>
        <w:fldChar w:fldCharType="separate"/>
      </w:r>
      <w:r w:rsidR="00087F2D" w:rsidRPr="00087F2D">
        <w:rPr>
          <w:rFonts w:cs="Arial"/>
          <w:noProof/>
          <w:vertAlign w:val="superscript"/>
        </w:rPr>
        <w:t>19</w:t>
      </w:r>
      <w:r w:rsidRPr="006B20B8">
        <w:rPr>
          <w:rFonts w:cs="Arial"/>
        </w:rPr>
        <w:fldChar w:fldCharType="end"/>
      </w:r>
      <w:r>
        <w:rPr>
          <w:rFonts w:cs="Arial"/>
        </w:rPr>
        <w:br w:type="page"/>
      </w:r>
    </w:p>
    <w:p w14:paraId="5A3BDBDF" w14:textId="55FDAF1B" w:rsidR="00827262" w:rsidRDefault="00827262" w:rsidP="00827262">
      <w:pPr>
        <w:pStyle w:val="FigureTableTitle"/>
        <w:spacing w:after="0"/>
        <w:rPr>
          <w:b w:val="0"/>
          <w:bCs/>
        </w:rPr>
      </w:pPr>
      <w:r w:rsidRPr="000B76CA">
        <w:rPr>
          <w:bCs/>
        </w:rPr>
        <w:lastRenderedPageBreak/>
        <w:t>Figure </w:t>
      </w:r>
      <w:r w:rsidR="00ED2A60">
        <w:rPr>
          <w:bCs/>
        </w:rPr>
        <w:t>7</w:t>
      </w:r>
      <w:r w:rsidRPr="000B76CA">
        <w:rPr>
          <w:bCs/>
        </w:rPr>
        <w:t>:</w:t>
      </w:r>
      <w:r w:rsidRPr="00A7261B">
        <w:rPr>
          <w:b w:val="0"/>
          <w:bCs/>
        </w:rPr>
        <w:t> </w:t>
      </w:r>
      <w:r w:rsidR="00BE59BE">
        <w:rPr>
          <w:b w:val="0"/>
          <w:bCs/>
        </w:rPr>
        <w:t>Proportion</w:t>
      </w:r>
      <w:r w:rsidR="00BE59BE" w:rsidRPr="000B76CA">
        <w:rPr>
          <w:b w:val="0"/>
          <w:bCs/>
        </w:rPr>
        <w:t xml:space="preserve"> </w:t>
      </w:r>
      <w:r w:rsidRPr="000B76CA">
        <w:rPr>
          <w:b w:val="0"/>
          <w:bCs/>
        </w:rPr>
        <w:t xml:space="preserve">of PBS and RPBS antimicrobial prescriptions dispensed per 1,000 people, </w:t>
      </w:r>
      <w:r>
        <w:rPr>
          <w:b w:val="0"/>
          <w:bCs/>
        </w:rPr>
        <w:t xml:space="preserve">age-standardised rate </w:t>
      </w:r>
      <w:r w:rsidRPr="005300F7">
        <w:rPr>
          <w:b w:val="0"/>
          <w:bCs/>
        </w:rPr>
        <w:t xml:space="preserve">by </w:t>
      </w:r>
      <w:r w:rsidR="005300F7" w:rsidRPr="005300F7">
        <w:rPr>
          <w:b w:val="0"/>
          <w:bCs/>
        </w:rPr>
        <w:t xml:space="preserve">patient’s </w:t>
      </w:r>
      <w:r w:rsidRPr="005300F7">
        <w:rPr>
          <w:b w:val="0"/>
          <w:bCs/>
        </w:rPr>
        <w:t xml:space="preserve">state </w:t>
      </w:r>
      <w:r w:rsidR="005300F7" w:rsidRPr="005300F7">
        <w:rPr>
          <w:b w:val="0"/>
          <w:bCs/>
        </w:rPr>
        <w:t xml:space="preserve">or </w:t>
      </w:r>
      <w:r w:rsidRPr="005300F7">
        <w:rPr>
          <w:b w:val="0"/>
          <w:bCs/>
        </w:rPr>
        <w:t>territory, 2015</w:t>
      </w:r>
      <w:r w:rsidRPr="000B76CA">
        <w:rPr>
          <w:b w:val="0"/>
          <w:bCs/>
        </w:rPr>
        <w:t>–</w:t>
      </w:r>
      <w:proofErr w:type="gramStart"/>
      <w:r w:rsidRPr="000B76CA">
        <w:rPr>
          <w:b w:val="0"/>
          <w:bCs/>
        </w:rPr>
        <w:t>2023</w:t>
      </w:r>
      <w:proofErr w:type="gramEnd"/>
    </w:p>
    <w:p w14:paraId="456ECDB5" w14:textId="6B575E60" w:rsidR="00827262" w:rsidRPr="00F50C85" w:rsidRDefault="007A469F" w:rsidP="00827262">
      <w:pPr>
        <w:pStyle w:val="FigureTableTitle"/>
        <w:spacing w:after="0"/>
        <w:rPr>
          <w:b w:val="0"/>
          <w:bCs/>
        </w:rPr>
      </w:pPr>
      <w:r>
        <w:rPr>
          <w:b w:val="0"/>
          <w:bCs/>
          <w:noProof/>
        </w:rPr>
        <w:drawing>
          <wp:inline distT="0" distB="0" distL="0" distR="0" wp14:anchorId="5AAFCED7" wp14:editId="41A7BA25">
            <wp:extent cx="6115050" cy="4669790"/>
            <wp:effectExtent l="0" t="0" r="0" b="0"/>
            <wp:docPr id="31" name="Picture 31" descr="Figure 7: Proportion of PBS and RPBS antimicrobial prescriptions dispensed per 1,000 people, age-standardised rate by patient’s state or territory, 20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7: Proportion of PBS and RPBS antimicrobial prescriptions dispensed per 1,000 people, age-standardised rate by patient’s state or territory, 2015–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669790"/>
                    </a:xfrm>
                    <a:prstGeom prst="rect">
                      <a:avLst/>
                    </a:prstGeom>
                    <a:noFill/>
                  </pic:spPr>
                </pic:pic>
              </a:graphicData>
            </a:graphic>
          </wp:inline>
        </w:drawing>
      </w:r>
    </w:p>
    <w:p w14:paraId="57A6B9D6" w14:textId="77777777" w:rsidR="00EF6097" w:rsidRDefault="00827262" w:rsidP="00827262">
      <w:pPr>
        <w:pStyle w:val="FigureTablefootnote"/>
      </w:pPr>
      <w:r w:rsidRPr="00F50C85">
        <w:t>PBS = Pharmaceutical Benefits Scheme; RPBS = Repatriation Pharmaceutical Benefits Scheme</w:t>
      </w:r>
    </w:p>
    <w:p w14:paraId="272402B7" w14:textId="31300E04" w:rsidR="00CD2731" w:rsidRDefault="00EF6097" w:rsidP="00827262">
      <w:pPr>
        <w:pStyle w:val="FigureTablefootnote"/>
      </w:pPr>
      <w:r>
        <w:t>Note</w:t>
      </w:r>
      <w:r w:rsidR="00CD2731">
        <w:t>s</w:t>
      </w:r>
      <w:r>
        <w:t>:</w:t>
      </w:r>
    </w:p>
    <w:p w14:paraId="0E333183" w14:textId="2A382D2F" w:rsidR="00CD2731" w:rsidRDefault="00CD2731" w:rsidP="00406960">
      <w:pPr>
        <w:pStyle w:val="FigureTablefootnote"/>
        <w:numPr>
          <w:ilvl w:val="0"/>
          <w:numId w:val="25"/>
        </w:numPr>
        <w:tabs>
          <w:tab w:val="clear" w:pos="142"/>
          <w:tab w:val="left" w:pos="426"/>
        </w:tabs>
        <w:ind w:left="284" w:hanging="284"/>
      </w:pPr>
      <w:r>
        <w:t>Age-standardised rates were based on the age structure of the Australian national population in 2013 for consistency with previous reports</w:t>
      </w:r>
      <w:r w:rsidR="003814D6">
        <w:t>.</w:t>
      </w:r>
    </w:p>
    <w:p w14:paraId="3CF8424A" w14:textId="05AAD783" w:rsidR="00EF6097" w:rsidRDefault="00EF6097" w:rsidP="00406960">
      <w:pPr>
        <w:pStyle w:val="FigureTablefootnote"/>
        <w:numPr>
          <w:ilvl w:val="0"/>
          <w:numId w:val="25"/>
        </w:numPr>
        <w:tabs>
          <w:tab w:val="clear" w:pos="142"/>
          <w:tab w:val="left" w:pos="426"/>
        </w:tabs>
        <w:ind w:left="284" w:hanging="284"/>
      </w:pPr>
      <w:r w:rsidRPr="00F50C85">
        <w:rPr>
          <w:rFonts w:cs="Arial"/>
        </w:rPr>
        <w:t xml:space="preserve">Rate may </w:t>
      </w:r>
      <w:r w:rsidR="008A0C2D">
        <w:rPr>
          <w:rFonts w:cs="Arial"/>
        </w:rPr>
        <w:t xml:space="preserve">have </w:t>
      </w:r>
      <w:r w:rsidRPr="00F50C85">
        <w:rPr>
          <w:rFonts w:cs="Arial"/>
        </w:rPr>
        <w:t>be</w:t>
      </w:r>
      <w:r w:rsidR="008A0C2D">
        <w:rPr>
          <w:rFonts w:cs="Arial"/>
        </w:rPr>
        <w:t>en</w:t>
      </w:r>
      <w:r w:rsidRPr="00F50C85">
        <w:rPr>
          <w:rFonts w:cs="Arial"/>
        </w:rPr>
        <w:t xml:space="preserve"> influenced by the availability of other sources of supply of antimicrobials, such as Aboriginal and Torres Strait Islander health services</w:t>
      </w:r>
      <w:r>
        <w:rPr>
          <w:rFonts w:cs="Arial"/>
        </w:rPr>
        <w:t>.</w:t>
      </w:r>
    </w:p>
    <w:p w14:paraId="63E09849" w14:textId="316958A0" w:rsidR="0055052B" w:rsidRDefault="00827262" w:rsidP="00827262">
      <w:pPr>
        <w:pStyle w:val="FigureTablefootnote"/>
      </w:pPr>
      <w:r w:rsidRPr="00F50C85">
        <w:t xml:space="preserve">Source: </w:t>
      </w:r>
      <w:proofErr w:type="spellStart"/>
      <w:r w:rsidRPr="00F50C85">
        <w:t>Gadzhanova</w:t>
      </w:r>
      <w:proofErr w:type="spellEnd"/>
      <w:r w:rsidRPr="00F50C85">
        <w:t>, Roughead</w:t>
      </w:r>
      <w:r w:rsidRPr="00F50C85">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F50C85">
        <w:fldChar w:fldCharType="separate"/>
      </w:r>
      <w:r w:rsidR="00087F2D" w:rsidRPr="00087F2D">
        <w:rPr>
          <w:noProof/>
          <w:vertAlign w:val="superscript"/>
        </w:rPr>
        <w:t>19</w:t>
      </w:r>
      <w:r w:rsidRPr="00F50C85">
        <w:fldChar w:fldCharType="end"/>
      </w:r>
    </w:p>
    <w:p w14:paraId="6BEBE293" w14:textId="77777777" w:rsidR="0055052B" w:rsidRDefault="0055052B" w:rsidP="00827262">
      <w:pPr>
        <w:pStyle w:val="FigureTablefootnote"/>
      </w:pPr>
    </w:p>
    <w:p w14:paraId="20F0B693" w14:textId="486B1F99" w:rsidR="0055052B" w:rsidRDefault="0055052B" w:rsidP="0055052B">
      <w:r w:rsidRPr="00C8228D">
        <w:t>Tables </w:t>
      </w:r>
      <w:r>
        <w:t>3</w:t>
      </w:r>
      <w:r w:rsidRPr="00C8228D">
        <w:t xml:space="preserve"> and </w:t>
      </w:r>
      <w:r>
        <w:t>4</w:t>
      </w:r>
      <w:r w:rsidRPr="00C8228D">
        <w:t xml:space="preserve"> show antimicrobial use also varies </w:t>
      </w:r>
      <w:r w:rsidRPr="009A1CE7">
        <w:t>by local area defined by both SA3 and PHN</w:t>
      </w:r>
      <w:r w:rsidRPr="00C8228D">
        <w:t>. The highest and lowest antimicrobial dispensing rates largely remained consistent from 2022 to 2023 and compared to previous years</w:t>
      </w:r>
      <w:r w:rsidR="004B2094">
        <w:t xml:space="preserve"> (</w:t>
      </w:r>
      <w:r w:rsidR="009D3475">
        <w:t xml:space="preserve">see </w:t>
      </w:r>
      <w:r w:rsidR="004B2094">
        <w:t>Appendix 2)</w:t>
      </w:r>
      <w:r w:rsidRPr="00C8228D">
        <w:t>.</w:t>
      </w:r>
      <w:r>
        <w:fldChar w:fldCharType="begin"/>
      </w:r>
      <w:r w:rsidR="00087F2D">
        <w:instrText xml:space="preserve"> ADDIN EN.CITE &lt;EndNote&gt;&lt;Cite&gt;&lt;Author&gt;Australian Commission on Safety and Quality in Health Care&lt;/Author&gt;&lt;Year&gt;2022&lt;/Year&gt;&lt;RecNum&gt;15&lt;/RecNum&gt;&lt;DisplayText&gt;&lt;style face="superscript"&gt;12&lt;/style&gt;&lt;/DisplayText&gt;&lt;record&gt;&lt;rec-number&gt;15&lt;/rec-number&gt;&lt;foreign-keys&gt;&lt;key app="EN" db-id="0a9sasvr7dwawyeva9qpw09xaap9erv5ad5e" timestamp="1704339860"&gt;15&lt;/key&gt;&lt;/foreign-keys&gt;&lt;ref-type name="Government Document"&gt;46&lt;/ref-type&gt;&lt;contributors&gt;&lt;authors&gt;&lt;author&gt;Australian Commission on Safety and Quality in Health Care,&lt;/author&gt;&lt;/authors&gt;&lt;/contributors&gt;&lt;titles&gt;&lt;title&gt;Antimicrobial use and appropriateness in the community: 2020–2021&lt;/title&gt;&lt;/titles&gt;&lt;dates&gt;&lt;year&gt;2022&lt;/year&gt;&lt;/dates&gt;&lt;pub-location&gt;Sydney&lt;/pub-location&gt;&lt;publisher&gt;ACSQHC&lt;/publisher&gt;&lt;urls&gt;&lt;related-urls&gt;&lt;url&gt;https://www.safetyandquality.gov.au/publications-and-resources/resource-library/antimicrobial-use-and-appropriateness-community-2020-2021&lt;/url&gt;&lt;/related-urls&gt;&lt;/urls&gt;&lt;access-date&gt;30 May 2023&lt;/access-date&gt;&lt;/record&gt;&lt;/Cite&gt;&lt;/EndNote&gt;</w:instrText>
      </w:r>
      <w:r>
        <w:fldChar w:fldCharType="separate"/>
      </w:r>
      <w:r w:rsidR="00087F2D" w:rsidRPr="00087F2D">
        <w:rPr>
          <w:noProof/>
          <w:vertAlign w:val="superscript"/>
        </w:rPr>
        <w:t>12</w:t>
      </w:r>
      <w:r>
        <w:fldChar w:fldCharType="end"/>
      </w:r>
      <w:r>
        <w:br w:type="page"/>
      </w:r>
    </w:p>
    <w:p w14:paraId="4D98F14E" w14:textId="533DD816" w:rsidR="0055052B" w:rsidRPr="000B76CA" w:rsidRDefault="0055052B" w:rsidP="0055052B">
      <w:pPr>
        <w:pStyle w:val="FigureTableTitle"/>
        <w:spacing w:after="120"/>
        <w:rPr>
          <w:b w:val="0"/>
          <w:bCs/>
        </w:rPr>
      </w:pPr>
      <w:bookmarkStart w:id="39" w:name="_Toc121744366"/>
      <w:bookmarkStart w:id="40" w:name="_Toc121491306"/>
      <w:r w:rsidRPr="000B76CA">
        <w:rPr>
          <w:bCs/>
        </w:rPr>
        <w:lastRenderedPageBreak/>
        <w:t>Table </w:t>
      </w:r>
      <w:r>
        <w:rPr>
          <w:bCs/>
        </w:rPr>
        <w:t>3</w:t>
      </w:r>
      <w:r w:rsidRPr="000B76CA">
        <w:rPr>
          <w:bCs/>
        </w:rPr>
        <w:t>:</w:t>
      </w:r>
      <w:r w:rsidRPr="000B76CA">
        <w:t> </w:t>
      </w:r>
      <w:r w:rsidRPr="000B76CA">
        <w:rPr>
          <w:b w:val="0"/>
          <w:bCs/>
        </w:rPr>
        <w:t xml:space="preserve">Highest and lowest </w:t>
      </w:r>
      <w:r>
        <w:rPr>
          <w:b w:val="0"/>
          <w:bCs/>
        </w:rPr>
        <w:t xml:space="preserve">number of </w:t>
      </w:r>
      <w:r w:rsidRPr="000B76CA">
        <w:rPr>
          <w:b w:val="0"/>
          <w:bCs/>
        </w:rPr>
        <w:t xml:space="preserve">PBS and RPBS antimicrobial </w:t>
      </w:r>
      <w:r>
        <w:rPr>
          <w:b w:val="0"/>
          <w:bCs/>
        </w:rPr>
        <w:t xml:space="preserve">prescriptions dispensed </w:t>
      </w:r>
      <w:r w:rsidRPr="000B76CA">
        <w:rPr>
          <w:b w:val="0"/>
          <w:bCs/>
        </w:rPr>
        <w:t xml:space="preserve">per </w:t>
      </w:r>
      <w:r w:rsidRPr="002D191C">
        <w:rPr>
          <w:b w:val="0"/>
          <w:bCs/>
        </w:rPr>
        <w:t xml:space="preserve">1,000 people, age-standardised rate by </w:t>
      </w:r>
      <w:r w:rsidR="004B2094" w:rsidRPr="002D191C">
        <w:rPr>
          <w:b w:val="0"/>
          <w:bCs/>
        </w:rPr>
        <w:t xml:space="preserve">patient’s </w:t>
      </w:r>
      <w:r w:rsidRPr="002D191C">
        <w:rPr>
          <w:b w:val="0"/>
          <w:bCs/>
        </w:rPr>
        <w:t>SA3, 2022–2023</w:t>
      </w:r>
      <w:bookmarkEnd w:id="39"/>
      <w:bookmarkEnd w:id="40"/>
    </w:p>
    <w:tbl>
      <w:tblPr>
        <w:tblStyle w:val="PlainTable2"/>
        <w:tblW w:w="9239" w:type="dxa"/>
        <w:tblLook w:val="04A0" w:firstRow="1" w:lastRow="0" w:firstColumn="1" w:lastColumn="0" w:noHBand="0" w:noVBand="1"/>
        <w:tblCaption w:val="Table 3: Highest and lowest number of PBS and RPBS antimicrobial prescriptions dispensed per 1,000 people, age-standardised rate by patient’s SA3, 2022–2023"/>
      </w:tblPr>
      <w:tblGrid>
        <w:gridCol w:w="849"/>
        <w:gridCol w:w="1417"/>
        <w:gridCol w:w="680"/>
        <w:gridCol w:w="1417"/>
        <w:gridCol w:w="681"/>
        <w:gridCol w:w="1417"/>
        <w:gridCol w:w="680"/>
        <w:gridCol w:w="1417"/>
        <w:gridCol w:w="681"/>
      </w:tblGrid>
      <w:tr w:rsidR="0055052B" w:rsidRPr="009B57A5" w14:paraId="0ED5078E" w14:textId="77777777" w:rsidTr="008143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9" w:type="dxa"/>
            <w:vMerge w:val="restart"/>
            <w:shd w:val="clear" w:color="auto" w:fill="E18E69"/>
            <w:vAlign w:val="center"/>
          </w:tcPr>
          <w:p w14:paraId="7F6E173F" w14:textId="77777777" w:rsidR="0055052B" w:rsidRPr="00593412" w:rsidRDefault="0055052B" w:rsidP="0081438B">
            <w:pPr>
              <w:spacing w:before="0" w:after="0"/>
              <w:ind w:right="-69"/>
              <w:rPr>
                <w:rFonts w:cstheme="minorHAnsi"/>
                <w:sz w:val="16"/>
                <w:szCs w:val="16"/>
              </w:rPr>
            </w:pPr>
            <w:r w:rsidRPr="00593412">
              <w:rPr>
                <w:rFonts w:cstheme="minorHAnsi"/>
                <w:sz w:val="16"/>
                <w:szCs w:val="16"/>
              </w:rPr>
              <w:t>State or territory</w:t>
            </w:r>
          </w:p>
        </w:tc>
        <w:tc>
          <w:tcPr>
            <w:tcW w:w="4195" w:type="dxa"/>
            <w:gridSpan w:val="4"/>
            <w:tcBorders>
              <w:right w:val="single" w:sz="4" w:space="0" w:color="5E5E5E" w:themeColor="text2"/>
            </w:tcBorders>
            <w:shd w:val="clear" w:color="auto" w:fill="E18E69"/>
            <w:vAlign w:val="center"/>
          </w:tcPr>
          <w:p w14:paraId="3D7ECAE4" w14:textId="77777777" w:rsidR="0055052B" w:rsidRPr="00593412" w:rsidRDefault="0055052B" w:rsidP="00DD543E">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93412">
              <w:rPr>
                <w:rFonts w:cstheme="minorHAnsi"/>
                <w:sz w:val="18"/>
                <w:szCs w:val="18"/>
              </w:rPr>
              <w:t>2022</w:t>
            </w:r>
          </w:p>
        </w:tc>
        <w:tc>
          <w:tcPr>
            <w:tcW w:w="4195" w:type="dxa"/>
            <w:gridSpan w:val="4"/>
            <w:tcBorders>
              <w:left w:val="single" w:sz="4" w:space="0" w:color="5E5E5E" w:themeColor="text2"/>
            </w:tcBorders>
            <w:shd w:val="clear" w:color="auto" w:fill="E18E69"/>
            <w:vAlign w:val="center"/>
          </w:tcPr>
          <w:p w14:paraId="443A622C" w14:textId="77777777" w:rsidR="0055052B" w:rsidRPr="00593412" w:rsidRDefault="0055052B" w:rsidP="00DD543E">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93412">
              <w:rPr>
                <w:rFonts w:cstheme="minorHAnsi"/>
                <w:sz w:val="18"/>
                <w:szCs w:val="18"/>
              </w:rPr>
              <w:t>2023</w:t>
            </w:r>
          </w:p>
        </w:tc>
      </w:tr>
      <w:tr w:rsidR="006851C6" w:rsidRPr="009B57A5" w14:paraId="5CE421D7" w14:textId="77777777" w:rsidTr="00814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9" w:type="dxa"/>
            <w:vMerge/>
            <w:shd w:val="clear" w:color="auto" w:fill="E18E69"/>
          </w:tcPr>
          <w:p w14:paraId="1D8F96B3" w14:textId="77777777" w:rsidR="0055052B" w:rsidRPr="00593412" w:rsidRDefault="0055052B" w:rsidP="00DD543E">
            <w:pPr>
              <w:spacing w:before="0" w:after="200"/>
              <w:rPr>
                <w:rFonts w:cstheme="minorHAnsi"/>
                <w:sz w:val="16"/>
                <w:szCs w:val="16"/>
              </w:rPr>
            </w:pPr>
          </w:p>
        </w:tc>
        <w:tc>
          <w:tcPr>
            <w:tcW w:w="1417" w:type="dxa"/>
            <w:shd w:val="clear" w:color="auto" w:fill="E18E69"/>
            <w:vAlign w:val="center"/>
          </w:tcPr>
          <w:p w14:paraId="289508C7" w14:textId="77777777" w:rsidR="0055052B" w:rsidRPr="00593412" w:rsidRDefault="0055052B" w:rsidP="0081438B">
            <w:pPr>
              <w:spacing w:before="0" w:after="0"/>
              <w:ind w:right="-74"/>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Lowest SA3</w:t>
            </w:r>
          </w:p>
        </w:tc>
        <w:tc>
          <w:tcPr>
            <w:tcW w:w="680" w:type="dxa"/>
            <w:shd w:val="clear" w:color="auto" w:fill="E18E69"/>
            <w:vAlign w:val="center"/>
          </w:tcPr>
          <w:p w14:paraId="787E7329" w14:textId="77777777" w:rsidR="0055052B" w:rsidRPr="00593412" w:rsidRDefault="0055052B" w:rsidP="0081438B">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shd w:val="clear" w:color="auto" w:fill="E18E69"/>
            <w:vAlign w:val="center"/>
          </w:tcPr>
          <w:p w14:paraId="2614E6EE"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Highest SA3</w:t>
            </w:r>
          </w:p>
        </w:tc>
        <w:tc>
          <w:tcPr>
            <w:tcW w:w="680" w:type="dxa"/>
            <w:tcBorders>
              <w:right w:val="single" w:sz="4" w:space="0" w:color="5E5E5E" w:themeColor="text2"/>
            </w:tcBorders>
            <w:shd w:val="clear" w:color="auto" w:fill="E18E69"/>
            <w:vAlign w:val="center"/>
          </w:tcPr>
          <w:p w14:paraId="0AEBF5D5"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tcBorders>
              <w:left w:val="single" w:sz="4" w:space="0" w:color="5E5E5E" w:themeColor="text2"/>
            </w:tcBorders>
            <w:shd w:val="clear" w:color="auto" w:fill="E18E69"/>
            <w:vAlign w:val="center"/>
          </w:tcPr>
          <w:p w14:paraId="194296CA"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Lowest SA3</w:t>
            </w:r>
          </w:p>
        </w:tc>
        <w:tc>
          <w:tcPr>
            <w:tcW w:w="680" w:type="dxa"/>
            <w:shd w:val="clear" w:color="auto" w:fill="E18E69"/>
            <w:vAlign w:val="center"/>
          </w:tcPr>
          <w:p w14:paraId="2A9F95E1" w14:textId="77777777" w:rsidR="0055052B" w:rsidRPr="00593412" w:rsidRDefault="0055052B" w:rsidP="0081438B">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shd w:val="clear" w:color="auto" w:fill="E18E69"/>
            <w:vAlign w:val="center"/>
          </w:tcPr>
          <w:p w14:paraId="4745B20D"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Highest SA3</w:t>
            </w:r>
          </w:p>
        </w:tc>
        <w:tc>
          <w:tcPr>
            <w:tcW w:w="680" w:type="dxa"/>
            <w:shd w:val="clear" w:color="auto" w:fill="E18E69"/>
            <w:vAlign w:val="center"/>
          </w:tcPr>
          <w:p w14:paraId="57CC8A57"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r>
      <w:tr w:rsidR="006851C6" w:rsidRPr="009B57A5" w14:paraId="1CEEA814" w14:textId="77777777" w:rsidTr="00C43515">
        <w:trPr>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36F32713" w14:textId="77777777" w:rsidR="0055052B" w:rsidRPr="00593412" w:rsidRDefault="0055052B" w:rsidP="00E6389E">
            <w:pPr>
              <w:spacing w:before="0" w:after="0"/>
              <w:rPr>
                <w:rFonts w:cstheme="minorHAnsi"/>
                <w:sz w:val="16"/>
                <w:szCs w:val="16"/>
              </w:rPr>
            </w:pPr>
            <w:r w:rsidRPr="00593412">
              <w:rPr>
                <w:rFonts w:cstheme="minorHAnsi"/>
                <w:sz w:val="16"/>
                <w:szCs w:val="16"/>
              </w:rPr>
              <w:t>NSW</w:t>
            </w:r>
          </w:p>
        </w:tc>
        <w:tc>
          <w:tcPr>
            <w:tcW w:w="1417" w:type="dxa"/>
          </w:tcPr>
          <w:p w14:paraId="292EC1F2"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Botany</w:t>
            </w:r>
          </w:p>
        </w:tc>
        <w:tc>
          <w:tcPr>
            <w:tcW w:w="680" w:type="dxa"/>
          </w:tcPr>
          <w:p w14:paraId="01D323AE"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369</w:t>
            </w:r>
          </w:p>
        </w:tc>
        <w:tc>
          <w:tcPr>
            <w:tcW w:w="1417" w:type="dxa"/>
            <w:shd w:val="clear" w:color="auto" w:fill="EAB096"/>
          </w:tcPr>
          <w:p w14:paraId="1C0C779F" w14:textId="4B0B550E"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Richmond - Windsor</w:t>
            </w:r>
          </w:p>
        </w:tc>
        <w:tc>
          <w:tcPr>
            <w:tcW w:w="680" w:type="dxa"/>
            <w:tcBorders>
              <w:right w:val="single" w:sz="4" w:space="0" w:color="5E5E5E" w:themeColor="text2"/>
            </w:tcBorders>
            <w:shd w:val="clear" w:color="auto" w:fill="EAB096"/>
          </w:tcPr>
          <w:p w14:paraId="2555C517"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1,508</w:t>
            </w:r>
          </w:p>
        </w:tc>
        <w:tc>
          <w:tcPr>
            <w:tcW w:w="1417" w:type="dxa"/>
            <w:tcBorders>
              <w:left w:val="single" w:sz="4" w:space="0" w:color="5E5E5E" w:themeColor="text2"/>
            </w:tcBorders>
          </w:tcPr>
          <w:p w14:paraId="6676C1EB"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Botany</w:t>
            </w:r>
          </w:p>
        </w:tc>
        <w:tc>
          <w:tcPr>
            <w:tcW w:w="680" w:type="dxa"/>
          </w:tcPr>
          <w:p w14:paraId="74FA47E8"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363</w:t>
            </w:r>
          </w:p>
        </w:tc>
        <w:tc>
          <w:tcPr>
            <w:tcW w:w="1417" w:type="dxa"/>
            <w:shd w:val="clear" w:color="auto" w:fill="EAB096"/>
          </w:tcPr>
          <w:p w14:paraId="40A592EE" w14:textId="02BC164B"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Richmond - Windsor</w:t>
            </w:r>
          </w:p>
        </w:tc>
        <w:tc>
          <w:tcPr>
            <w:tcW w:w="680" w:type="dxa"/>
            <w:shd w:val="clear" w:color="auto" w:fill="EAB096"/>
          </w:tcPr>
          <w:p w14:paraId="2B0293D9"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1,501</w:t>
            </w:r>
          </w:p>
        </w:tc>
      </w:tr>
      <w:tr w:rsidR="006851C6" w:rsidRPr="009B57A5" w14:paraId="361A4CF5" w14:textId="77777777" w:rsidTr="00C435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0AB2BC3E" w14:textId="77777777" w:rsidR="0055052B" w:rsidRPr="00593412" w:rsidRDefault="0055052B" w:rsidP="00E6389E">
            <w:pPr>
              <w:spacing w:before="0" w:after="0"/>
              <w:rPr>
                <w:rFonts w:cstheme="minorHAnsi"/>
                <w:sz w:val="16"/>
                <w:szCs w:val="16"/>
              </w:rPr>
            </w:pPr>
            <w:r w:rsidRPr="00593412">
              <w:rPr>
                <w:rFonts w:cstheme="minorHAnsi"/>
                <w:sz w:val="16"/>
                <w:szCs w:val="16"/>
              </w:rPr>
              <w:t>Vic</w:t>
            </w:r>
          </w:p>
        </w:tc>
        <w:tc>
          <w:tcPr>
            <w:tcW w:w="1417" w:type="dxa"/>
          </w:tcPr>
          <w:p w14:paraId="05EC5A1D"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Melbourne City</w:t>
            </w:r>
          </w:p>
        </w:tc>
        <w:tc>
          <w:tcPr>
            <w:tcW w:w="680" w:type="dxa"/>
          </w:tcPr>
          <w:p w14:paraId="5749B7DE"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521</w:t>
            </w:r>
          </w:p>
        </w:tc>
        <w:tc>
          <w:tcPr>
            <w:tcW w:w="1417" w:type="dxa"/>
            <w:shd w:val="clear" w:color="auto" w:fill="EAB096"/>
          </w:tcPr>
          <w:p w14:paraId="421F955E" w14:textId="29461A58"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Casey -</w:t>
            </w:r>
            <w:r w:rsidR="00593412">
              <w:rPr>
                <w:rFonts w:cstheme="minorHAnsi"/>
                <w:sz w:val="16"/>
                <w:szCs w:val="16"/>
              </w:rPr>
              <w:t xml:space="preserve"> </w:t>
            </w:r>
            <w:r w:rsidRPr="00593412">
              <w:rPr>
                <w:rFonts w:cstheme="minorHAnsi"/>
                <w:sz w:val="16"/>
                <w:szCs w:val="16"/>
              </w:rPr>
              <w:t>South</w:t>
            </w:r>
          </w:p>
        </w:tc>
        <w:tc>
          <w:tcPr>
            <w:tcW w:w="680" w:type="dxa"/>
            <w:tcBorders>
              <w:right w:val="single" w:sz="4" w:space="0" w:color="5E5E5E" w:themeColor="text2"/>
            </w:tcBorders>
            <w:shd w:val="clear" w:color="auto" w:fill="EAB096"/>
          </w:tcPr>
          <w:p w14:paraId="50B20932"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1,167</w:t>
            </w:r>
          </w:p>
        </w:tc>
        <w:tc>
          <w:tcPr>
            <w:tcW w:w="1417" w:type="dxa"/>
            <w:tcBorders>
              <w:left w:val="single" w:sz="4" w:space="0" w:color="5E5E5E" w:themeColor="text2"/>
            </w:tcBorders>
          </w:tcPr>
          <w:p w14:paraId="59179908"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Melbourne City</w:t>
            </w:r>
          </w:p>
        </w:tc>
        <w:tc>
          <w:tcPr>
            <w:tcW w:w="680" w:type="dxa"/>
          </w:tcPr>
          <w:p w14:paraId="7956A7E3"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531</w:t>
            </w:r>
          </w:p>
        </w:tc>
        <w:tc>
          <w:tcPr>
            <w:tcW w:w="1417" w:type="dxa"/>
            <w:shd w:val="clear" w:color="auto" w:fill="EAB096"/>
          </w:tcPr>
          <w:p w14:paraId="0C73A375" w14:textId="3B8267C0"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Casey - South</w:t>
            </w:r>
          </w:p>
        </w:tc>
        <w:tc>
          <w:tcPr>
            <w:tcW w:w="680" w:type="dxa"/>
            <w:shd w:val="clear" w:color="auto" w:fill="EAB096"/>
          </w:tcPr>
          <w:p w14:paraId="4B5279DF"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1,172</w:t>
            </w:r>
          </w:p>
        </w:tc>
      </w:tr>
      <w:tr w:rsidR="006851C6" w:rsidRPr="009B57A5" w14:paraId="423737FD" w14:textId="77777777" w:rsidTr="00C43515">
        <w:trPr>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2A0730E4" w14:textId="77777777" w:rsidR="0055052B" w:rsidRPr="00593412" w:rsidRDefault="0055052B" w:rsidP="00E6389E">
            <w:pPr>
              <w:spacing w:before="0" w:after="0"/>
              <w:rPr>
                <w:rFonts w:cstheme="minorHAnsi"/>
                <w:sz w:val="16"/>
                <w:szCs w:val="16"/>
              </w:rPr>
            </w:pPr>
            <w:r w:rsidRPr="00593412">
              <w:rPr>
                <w:rFonts w:cstheme="minorHAnsi"/>
                <w:sz w:val="16"/>
                <w:szCs w:val="16"/>
              </w:rPr>
              <w:t>Qld</w:t>
            </w:r>
          </w:p>
        </w:tc>
        <w:tc>
          <w:tcPr>
            <w:tcW w:w="1417" w:type="dxa"/>
          </w:tcPr>
          <w:p w14:paraId="70EB6528"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Far North</w:t>
            </w:r>
          </w:p>
        </w:tc>
        <w:tc>
          <w:tcPr>
            <w:tcW w:w="680" w:type="dxa"/>
          </w:tcPr>
          <w:p w14:paraId="11949091"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250</w:t>
            </w:r>
          </w:p>
        </w:tc>
        <w:tc>
          <w:tcPr>
            <w:tcW w:w="1417" w:type="dxa"/>
            <w:shd w:val="clear" w:color="auto" w:fill="EAB096"/>
          </w:tcPr>
          <w:p w14:paraId="0B7AC6D9"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Beenleigh</w:t>
            </w:r>
          </w:p>
        </w:tc>
        <w:tc>
          <w:tcPr>
            <w:tcW w:w="680" w:type="dxa"/>
            <w:tcBorders>
              <w:right w:val="single" w:sz="4" w:space="0" w:color="5E5E5E" w:themeColor="text2"/>
            </w:tcBorders>
            <w:shd w:val="clear" w:color="auto" w:fill="EAB096"/>
          </w:tcPr>
          <w:p w14:paraId="002B20D8"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1,410</w:t>
            </w:r>
          </w:p>
        </w:tc>
        <w:tc>
          <w:tcPr>
            <w:tcW w:w="1417" w:type="dxa"/>
            <w:tcBorders>
              <w:left w:val="single" w:sz="4" w:space="0" w:color="5E5E5E" w:themeColor="text2"/>
            </w:tcBorders>
          </w:tcPr>
          <w:p w14:paraId="11979FD1"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Far North</w:t>
            </w:r>
          </w:p>
        </w:tc>
        <w:tc>
          <w:tcPr>
            <w:tcW w:w="680" w:type="dxa"/>
          </w:tcPr>
          <w:p w14:paraId="00DAC1E3"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266</w:t>
            </w:r>
          </w:p>
        </w:tc>
        <w:tc>
          <w:tcPr>
            <w:tcW w:w="1417" w:type="dxa"/>
            <w:shd w:val="clear" w:color="auto" w:fill="EAB096"/>
          </w:tcPr>
          <w:p w14:paraId="634CE2B5"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Beenleigh</w:t>
            </w:r>
          </w:p>
        </w:tc>
        <w:tc>
          <w:tcPr>
            <w:tcW w:w="680" w:type="dxa"/>
            <w:shd w:val="clear" w:color="auto" w:fill="EAB096"/>
          </w:tcPr>
          <w:p w14:paraId="17A22377"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1,400</w:t>
            </w:r>
          </w:p>
        </w:tc>
      </w:tr>
      <w:tr w:rsidR="006851C6" w:rsidRPr="009B57A5" w14:paraId="67946B84" w14:textId="77777777" w:rsidTr="00C435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5B6BC1BF" w14:textId="77777777" w:rsidR="0055052B" w:rsidRPr="00593412" w:rsidRDefault="0055052B" w:rsidP="00E6389E">
            <w:pPr>
              <w:spacing w:before="0" w:after="0"/>
              <w:rPr>
                <w:rFonts w:cstheme="minorHAnsi"/>
                <w:sz w:val="16"/>
                <w:szCs w:val="16"/>
              </w:rPr>
            </w:pPr>
            <w:r w:rsidRPr="00593412">
              <w:rPr>
                <w:rFonts w:cstheme="minorHAnsi"/>
                <w:sz w:val="16"/>
                <w:szCs w:val="16"/>
              </w:rPr>
              <w:t>SA</w:t>
            </w:r>
          </w:p>
        </w:tc>
        <w:tc>
          <w:tcPr>
            <w:tcW w:w="1417" w:type="dxa"/>
          </w:tcPr>
          <w:p w14:paraId="4FF49840"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Adelaide City</w:t>
            </w:r>
          </w:p>
        </w:tc>
        <w:tc>
          <w:tcPr>
            <w:tcW w:w="680" w:type="dxa"/>
          </w:tcPr>
          <w:p w14:paraId="75819D3F"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548</w:t>
            </w:r>
          </w:p>
        </w:tc>
        <w:tc>
          <w:tcPr>
            <w:tcW w:w="1417" w:type="dxa"/>
            <w:shd w:val="clear" w:color="auto" w:fill="EAB096"/>
          </w:tcPr>
          <w:p w14:paraId="087A7D77"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Playford</w:t>
            </w:r>
          </w:p>
        </w:tc>
        <w:tc>
          <w:tcPr>
            <w:tcW w:w="680" w:type="dxa"/>
            <w:tcBorders>
              <w:right w:val="single" w:sz="4" w:space="0" w:color="5E5E5E" w:themeColor="text2"/>
            </w:tcBorders>
            <w:shd w:val="clear" w:color="auto" w:fill="EAB096"/>
          </w:tcPr>
          <w:p w14:paraId="5E2BF035"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912</w:t>
            </w:r>
          </w:p>
        </w:tc>
        <w:tc>
          <w:tcPr>
            <w:tcW w:w="1417" w:type="dxa"/>
            <w:tcBorders>
              <w:left w:val="single" w:sz="4" w:space="0" w:color="5E5E5E" w:themeColor="text2"/>
            </w:tcBorders>
          </w:tcPr>
          <w:p w14:paraId="56AB0103"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Adelaide City</w:t>
            </w:r>
          </w:p>
        </w:tc>
        <w:tc>
          <w:tcPr>
            <w:tcW w:w="680" w:type="dxa"/>
          </w:tcPr>
          <w:p w14:paraId="7952AF2C"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574</w:t>
            </w:r>
          </w:p>
        </w:tc>
        <w:tc>
          <w:tcPr>
            <w:tcW w:w="1417" w:type="dxa"/>
            <w:shd w:val="clear" w:color="auto" w:fill="EAB096"/>
          </w:tcPr>
          <w:p w14:paraId="74171814"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Playford</w:t>
            </w:r>
          </w:p>
        </w:tc>
        <w:tc>
          <w:tcPr>
            <w:tcW w:w="680" w:type="dxa"/>
            <w:shd w:val="clear" w:color="auto" w:fill="EAB096"/>
          </w:tcPr>
          <w:p w14:paraId="3503A317"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949</w:t>
            </w:r>
          </w:p>
        </w:tc>
      </w:tr>
      <w:tr w:rsidR="006851C6" w:rsidRPr="009B57A5" w14:paraId="1EA56125" w14:textId="77777777" w:rsidTr="00C43515">
        <w:trPr>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43ED8FB4" w14:textId="77777777" w:rsidR="0055052B" w:rsidRPr="00593412" w:rsidRDefault="0055052B" w:rsidP="00E6389E">
            <w:pPr>
              <w:spacing w:before="0" w:after="0"/>
              <w:rPr>
                <w:rFonts w:cstheme="minorHAnsi"/>
                <w:sz w:val="16"/>
                <w:szCs w:val="16"/>
              </w:rPr>
            </w:pPr>
            <w:r w:rsidRPr="00593412">
              <w:rPr>
                <w:rFonts w:cstheme="minorHAnsi"/>
                <w:sz w:val="16"/>
                <w:szCs w:val="16"/>
              </w:rPr>
              <w:t>WA</w:t>
            </w:r>
          </w:p>
        </w:tc>
        <w:tc>
          <w:tcPr>
            <w:tcW w:w="1417" w:type="dxa"/>
          </w:tcPr>
          <w:p w14:paraId="0BAEC3B0"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Kimberley</w:t>
            </w:r>
          </w:p>
        </w:tc>
        <w:tc>
          <w:tcPr>
            <w:tcW w:w="680" w:type="dxa"/>
          </w:tcPr>
          <w:p w14:paraId="4A95DB81"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273</w:t>
            </w:r>
          </w:p>
        </w:tc>
        <w:tc>
          <w:tcPr>
            <w:tcW w:w="1417" w:type="dxa"/>
            <w:shd w:val="clear" w:color="auto" w:fill="EAB096"/>
          </w:tcPr>
          <w:p w14:paraId="7212AFEA"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Canning</w:t>
            </w:r>
          </w:p>
        </w:tc>
        <w:tc>
          <w:tcPr>
            <w:tcW w:w="680" w:type="dxa"/>
            <w:tcBorders>
              <w:right w:val="single" w:sz="4" w:space="0" w:color="5E5E5E" w:themeColor="text2"/>
            </w:tcBorders>
            <w:shd w:val="clear" w:color="auto" w:fill="EAB096"/>
          </w:tcPr>
          <w:p w14:paraId="51F38BDC"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961</w:t>
            </w:r>
          </w:p>
        </w:tc>
        <w:tc>
          <w:tcPr>
            <w:tcW w:w="1417" w:type="dxa"/>
            <w:tcBorders>
              <w:left w:val="single" w:sz="4" w:space="0" w:color="5E5E5E" w:themeColor="text2"/>
            </w:tcBorders>
          </w:tcPr>
          <w:p w14:paraId="07494779"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Kimberley</w:t>
            </w:r>
          </w:p>
        </w:tc>
        <w:tc>
          <w:tcPr>
            <w:tcW w:w="680" w:type="dxa"/>
          </w:tcPr>
          <w:p w14:paraId="2147AA8D"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293</w:t>
            </w:r>
          </w:p>
        </w:tc>
        <w:tc>
          <w:tcPr>
            <w:tcW w:w="1417" w:type="dxa"/>
            <w:shd w:val="clear" w:color="auto" w:fill="EAB096"/>
          </w:tcPr>
          <w:p w14:paraId="5566A289"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Canning</w:t>
            </w:r>
          </w:p>
        </w:tc>
        <w:tc>
          <w:tcPr>
            <w:tcW w:w="680" w:type="dxa"/>
            <w:shd w:val="clear" w:color="auto" w:fill="EAB096"/>
          </w:tcPr>
          <w:p w14:paraId="5D764E44"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1,005</w:t>
            </w:r>
          </w:p>
        </w:tc>
      </w:tr>
      <w:tr w:rsidR="006851C6" w:rsidRPr="009B57A5" w14:paraId="523E9CE6" w14:textId="77777777" w:rsidTr="00C435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498C8522" w14:textId="77777777" w:rsidR="0055052B" w:rsidRPr="00593412" w:rsidRDefault="0055052B" w:rsidP="00E6389E">
            <w:pPr>
              <w:spacing w:before="0" w:after="0"/>
              <w:rPr>
                <w:rFonts w:cstheme="minorHAnsi"/>
                <w:sz w:val="16"/>
                <w:szCs w:val="16"/>
              </w:rPr>
            </w:pPr>
            <w:r w:rsidRPr="00593412">
              <w:rPr>
                <w:rFonts w:cstheme="minorHAnsi"/>
                <w:sz w:val="16"/>
                <w:szCs w:val="16"/>
              </w:rPr>
              <w:t>Tas</w:t>
            </w:r>
          </w:p>
        </w:tc>
        <w:tc>
          <w:tcPr>
            <w:tcW w:w="1417" w:type="dxa"/>
          </w:tcPr>
          <w:p w14:paraId="2EDC4823"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Central Highlands</w:t>
            </w:r>
          </w:p>
        </w:tc>
        <w:tc>
          <w:tcPr>
            <w:tcW w:w="680" w:type="dxa"/>
          </w:tcPr>
          <w:p w14:paraId="53C837F0"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181</w:t>
            </w:r>
          </w:p>
        </w:tc>
        <w:tc>
          <w:tcPr>
            <w:tcW w:w="1417" w:type="dxa"/>
            <w:shd w:val="clear" w:color="auto" w:fill="EAB096"/>
          </w:tcPr>
          <w:p w14:paraId="4316C821"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Brighton</w:t>
            </w:r>
          </w:p>
        </w:tc>
        <w:tc>
          <w:tcPr>
            <w:tcW w:w="680" w:type="dxa"/>
            <w:tcBorders>
              <w:right w:val="single" w:sz="4" w:space="0" w:color="5E5E5E" w:themeColor="text2"/>
            </w:tcBorders>
            <w:shd w:val="clear" w:color="auto" w:fill="EAB096"/>
          </w:tcPr>
          <w:p w14:paraId="5C0880F0"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1,028</w:t>
            </w:r>
          </w:p>
        </w:tc>
        <w:tc>
          <w:tcPr>
            <w:tcW w:w="1417" w:type="dxa"/>
            <w:tcBorders>
              <w:left w:val="single" w:sz="4" w:space="0" w:color="5E5E5E" w:themeColor="text2"/>
            </w:tcBorders>
          </w:tcPr>
          <w:p w14:paraId="4D47670E"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Central Highlands</w:t>
            </w:r>
          </w:p>
        </w:tc>
        <w:tc>
          <w:tcPr>
            <w:tcW w:w="680" w:type="dxa"/>
          </w:tcPr>
          <w:p w14:paraId="47496531"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197</w:t>
            </w:r>
          </w:p>
        </w:tc>
        <w:tc>
          <w:tcPr>
            <w:tcW w:w="1417" w:type="dxa"/>
            <w:shd w:val="clear" w:color="auto" w:fill="EAB096"/>
          </w:tcPr>
          <w:p w14:paraId="65BBF239"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Brighton</w:t>
            </w:r>
          </w:p>
        </w:tc>
        <w:tc>
          <w:tcPr>
            <w:tcW w:w="680" w:type="dxa"/>
            <w:shd w:val="clear" w:color="auto" w:fill="EAB096"/>
          </w:tcPr>
          <w:p w14:paraId="76486459"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1,075</w:t>
            </w:r>
          </w:p>
        </w:tc>
      </w:tr>
      <w:tr w:rsidR="006851C6" w:rsidRPr="009B57A5" w14:paraId="1AB65333" w14:textId="77777777" w:rsidTr="00C43515">
        <w:trPr>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4715F30E" w14:textId="77777777" w:rsidR="0055052B" w:rsidRPr="00593412" w:rsidRDefault="0055052B" w:rsidP="00E6389E">
            <w:pPr>
              <w:spacing w:before="0" w:after="0"/>
              <w:rPr>
                <w:rFonts w:cstheme="minorHAnsi"/>
                <w:sz w:val="16"/>
                <w:szCs w:val="16"/>
              </w:rPr>
            </w:pPr>
            <w:r w:rsidRPr="00593412">
              <w:rPr>
                <w:rFonts w:cstheme="minorHAnsi"/>
                <w:sz w:val="16"/>
                <w:szCs w:val="16"/>
              </w:rPr>
              <w:t>NT</w:t>
            </w:r>
          </w:p>
        </w:tc>
        <w:tc>
          <w:tcPr>
            <w:tcW w:w="1417" w:type="dxa"/>
          </w:tcPr>
          <w:p w14:paraId="301A2F36"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East Arnhem</w:t>
            </w:r>
          </w:p>
        </w:tc>
        <w:tc>
          <w:tcPr>
            <w:tcW w:w="680" w:type="dxa"/>
          </w:tcPr>
          <w:p w14:paraId="7791FD43"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33</w:t>
            </w:r>
          </w:p>
        </w:tc>
        <w:tc>
          <w:tcPr>
            <w:tcW w:w="1417" w:type="dxa"/>
            <w:shd w:val="clear" w:color="auto" w:fill="EAB096"/>
          </w:tcPr>
          <w:p w14:paraId="36ADDA98"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Palmerston</w:t>
            </w:r>
          </w:p>
        </w:tc>
        <w:tc>
          <w:tcPr>
            <w:tcW w:w="680" w:type="dxa"/>
            <w:tcBorders>
              <w:right w:val="single" w:sz="4" w:space="0" w:color="5E5E5E" w:themeColor="text2"/>
            </w:tcBorders>
            <w:shd w:val="clear" w:color="auto" w:fill="EAB096"/>
          </w:tcPr>
          <w:p w14:paraId="46A7B862"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642</w:t>
            </w:r>
          </w:p>
        </w:tc>
        <w:tc>
          <w:tcPr>
            <w:tcW w:w="1417" w:type="dxa"/>
            <w:tcBorders>
              <w:left w:val="single" w:sz="4" w:space="0" w:color="5E5E5E" w:themeColor="text2"/>
            </w:tcBorders>
          </w:tcPr>
          <w:p w14:paraId="2B59662A"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East Arnhem</w:t>
            </w:r>
          </w:p>
        </w:tc>
        <w:tc>
          <w:tcPr>
            <w:tcW w:w="680" w:type="dxa"/>
          </w:tcPr>
          <w:p w14:paraId="1FB11594" w14:textId="77777777" w:rsidR="0055052B" w:rsidRPr="00593412" w:rsidRDefault="0055052B" w:rsidP="00E6389E">
            <w:pPr>
              <w:spacing w:before="0" w:after="0"/>
              <w:ind w:right="113"/>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42</w:t>
            </w:r>
          </w:p>
        </w:tc>
        <w:tc>
          <w:tcPr>
            <w:tcW w:w="1417" w:type="dxa"/>
            <w:shd w:val="clear" w:color="auto" w:fill="EAB096"/>
          </w:tcPr>
          <w:p w14:paraId="67958AB5" w14:textId="77777777" w:rsidR="0055052B" w:rsidRPr="00593412" w:rsidRDefault="0055052B" w:rsidP="00E6389E">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Palmerston</w:t>
            </w:r>
          </w:p>
        </w:tc>
        <w:tc>
          <w:tcPr>
            <w:tcW w:w="680" w:type="dxa"/>
            <w:shd w:val="clear" w:color="auto" w:fill="EAB096"/>
          </w:tcPr>
          <w:p w14:paraId="6EF72794" w14:textId="77777777" w:rsidR="0055052B" w:rsidRPr="00593412" w:rsidRDefault="0055052B" w:rsidP="00E6389E">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698</w:t>
            </w:r>
          </w:p>
        </w:tc>
      </w:tr>
      <w:tr w:rsidR="006851C6" w:rsidRPr="009B57A5" w14:paraId="7B7BC42F" w14:textId="77777777" w:rsidTr="00C435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9" w:type="dxa"/>
            <w:shd w:val="clear" w:color="auto" w:fill="E18E69"/>
          </w:tcPr>
          <w:p w14:paraId="5FA29DDF" w14:textId="77777777" w:rsidR="0055052B" w:rsidRPr="00593412" w:rsidRDefault="0055052B" w:rsidP="00E6389E">
            <w:pPr>
              <w:spacing w:before="0" w:after="0"/>
              <w:rPr>
                <w:rFonts w:cstheme="minorHAnsi"/>
                <w:sz w:val="16"/>
                <w:szCs w:val="16"/>
              </w:rPr>
            </w:pPr>
            <w:r w:rsidRPr="00593412">
              <w:rPr>
                <w:rFonts w:cstheme="minorHAnsi"/>
                <w:sz w:val="16"/>
                <w:szCs w:val="16"/>
              </w:rPr>
              <w:t>ACT</w:t>
            </w:r>
          </w:p>
        </w:tc>
        <w:tc>
          <w:tcPr>
            <w:tcW w:w="1417" w:type="dxa"/>
          </w:tcPr>
          <w:p w14:paraId="7C8F65C0"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North Canberra</w:t>
            </w:r>
          </w:p>
        </w:tc>
        <w:tc>
          <w:tcPr>
            <w:tcW w:w="680" w:type="dxa"/>
          </w:tcPr>
          <w:p w14:paraId="243F6C9D"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549</w:t>
            </w:r>
          </w:p>
        </w:tc>
        <w:tc>
          <w:tcPr>
            <w:tcW w:w="1417" w:type="dxa"/>
            <w:shd w:val="clear" w:color="auto" w:fill="EAB096"/>
          </w:tcPr>
          <w:p w14:paraId="3036923C"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Weston Creek</w:t>
            </w:r>
          </w:p>
        </w:tc>
        <w:tc>
          <w:tcPr>
            <w:tcW w:w="680" w:type="dxa"/>
            <w:tcBorders>
              <w:right w:val="single" w:sz="4" w:space="0" w:color="5E5E5E" w:themeColor="text2"/>
            </w:tcBorders>
            <w:shd w:val="clear" w:color="auto" w:fill="EAB096"/>
          </w:tcPr>
          <w:p w14:paraId="3894E169"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951</w:t>
            </w:r>
          </w:p>
        </w:tc>
        <w:tc>
          <w:tcPr>
            <w:tcW w:w="1417" w:type="dxa"/>
            <w:tcBorders>
              <w:left w:val="single" w:sz="4" w:space="0" w:color="5E5E5E" w:themeColor="text2"/>
            </w:tcBorders>
          </w:tcPr>
          <w:p w14:paraId="42985C46"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North Canberra</w:t>
            </w:r>
          </w:p>
        </w:tc>
        <w:tc>
          <w:tcPr>
            <w:tcW w:w="680" w:type="dxa"/>
          </w:tcPr>
          <w:p w14:paraId="6A18CF2E" w14:textId="77777777" w:rsidR="0055052B" w:rsidRPr="00593412" w:rsidRDefault="0055052B" w:rsidP="00E6389E">
            <w:pPr>
              <w:spacing w:before="0" w:after="0"/>
              <w:ind w:right="113"/>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559</w:t>
            </w:r>
          </w:p>
        </w:tc>
        <w:tc>
          <w:tcPr>
            <w:tcW w:w="1417" w:type="dxa"/>
            <w:shd w:val="clear" w:color="auto" w:fill="EAB096"/>
          </w:tcPr>
          <w:p w14:paraId="54D10B2D" w14:textId="77777777" w:rsidR="0055052B" w:rsidRPr="00593412" w:rsidRDefault="0055052B" w:rsidP="00E6389E">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Weston Creek</w:t>
            </w:r>
          </w:p>
        </w:tc>
        <w:tc>
          <w:tcPr>
            <w:tcW w:w="680" w:type="dxa"/>
            <w:shd w:val="clear" w:color="auto" w:fill="EAB096"/>
          </w:tcPr>
          <w:p w14:paraId="72A693AA" w14:textId="77777777" w:rsidR="0055052B" w:rsidRPr="00593412" w:rsidRDefault="0055052B" w:rsidP="00E6389E">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1,036</w:t>
            </w:r>
          </w:p>
        </w:tc>
      </w:tr>
    </w:tbl>
    <w:p w14:paraId="6BF4DE78" w14:textId="77777777" w:rsidR="005D266C" w:rsidRDefault="0055052B" w:rsidP="00CC6681">
      <w:pPr>
        <w:pStyle w:val="FigureTablefootnote"/>
        <w:spacing w:before="60"/>
      </w:pPr>
      <w:r w:rsidRPr="00F50C85">
        <w:t>PBS = Pharmaceutical Benefits Scheme; RPBS = Repatriation Pharmaceutical Benefits Scheme; SA3 = Statistical Area Level 3</w:t>
      </w:r>
      <w:r w:rsidRPr="00F50C85">
        <w:br/>
        <w:t>Note</w:t>
      </w:r>
      <w:r w:rsidR="005D266C">
        <w:t>s</w:t>
      </w:r>
      <w:r w:rsidRPr="00F50C85">
        <w:t xml:space="preserve">: </w:t>
      </w:r>
    </w:p>
    <w:p w14:paraId="0E25765D" w14:textId="09AB0493" w:rsidR="00CD2731" w:rsidRDefault="00CD2731" w:rsidP="00E9572F">
      <w:pPr>
        <w:pStyle w:val="FigureTablefootnote"/>
        <w:numPr>
          <w:ilvl w:val="0"/>
          <w:numId w:val="14"/>
        </w:numPr>
        <w:tabs>
          <w:tab w:val="clear" w:pos="142"/>
          <w:tab w:val="left" w:pos="0"/>
        </w:tabs>
        <w:ind w:left="284" w:hanging="284"/>
        <w:rPr>
          <w:rFonts w:cs="Arial"/>
        </w:rPr>
      </w:pPr>
      <w:r>
        <w:t>Age-standardised rates were based on the age structure of the Australian national population in 2013 for consistency with previous reports</w:t>
      </w:r>
      <w:r w:rsidR="003814D6">
        <w:t>.</w:t>
      </w:r>
    </w:p>
    <w:p w14:paraId="70399015" w14:textId="31776564" w:rsidR="005D266C" w:rsidRDefault="0055052B" w:rsidP="00E9572F">
      <w:pPr>
        <w:pStyle w:val="FigureTablefootnote"/>
        <w:numPr>
          <w:ilvl w:val="0"/>
          <w:numId w:val="14"/>
        </w:numPr>
        <w:tabs>
          <w:tab w:val="clear" w:pos="142"/>
          <w:tab w:val="left" w:pos="0"/>
        </w:tabs>
        <w:ind w:left="284" w:hanging="284"/>
        <w:rPr>
          <w:rFonts w:cs="Arial"/>
        </w:rPr>
      </w:pPr>
      <w:r w:rsidRPr="00F50C85">
        <w:rPr>
          <w:rFonts w:cs="Arial"/>
        </w:rPr>
        <w:t xml:space="preserve">Rate may </w:t>
      </w:r>
      <w:r w:rsidR="008A0C2D">
        <w:rPr>
          <w:rFonts w:cs="Arial"/>
        </w:rPr>
        <w:t xml:space="preserve">have </w:t>
      </w:r>
      <w:r w:rsidRPr="00F50C85">
        <w:rPr>
          <w:rFonts w:cs="Arial"/>
        </w:rPr>
        <w:t>be</w:t>
      </w:r>
      <w:r w:rsidR="008A0C2D">
        <w:rPr>
          <w:rFonts w:cs="Arial"/>
        </w:rPr>
        <w:t>en</w:t>
      </w:r>
      <w:r w:rsidRPr="00F50C85">
        <w:rPr>
          <w:rFonts w:cs="Arial"/>
        </w:rPr>
        <w:t xml:space="preserve"> influenced by the availability of other sources of supply of antimicrobials, such as Aboriginal and Torres Strait Islander health services.</w:t>
      </w:r>
    </w:p>
    <w:p w14:paraId="23AC3201" w14:textId="1A57416B" w:rsidR="000B1EA4" w:rsidRPr="000B1EA4" w:rsidRDefault="000B1EA4" w:rsidP="00E9572F">
      <w:pPr>
        <w:pStyle w:val="FigureTablefootnote"/>
        <w:numPr>
          <w:ilvl w:val="0"/>
          <w:numId w:val="14"/>
        </w:numPr>
        <w:tabs>
          <w:tab w:val="clear" w:pos="142"/>
          <w:tab w:val="left" w:pos="0"/>
        </w:tabs>
        <w:ind w:left="284" w:hanging="284"/>
        <w:rPr>
          <w:rFonts w:ascii="Times New Roman" w:hAnsi="Times New Roman"/>
          <w:color w:val="000000"/>
        </w:rPr>
      </w:pPr>
      <w:r>
        <w:rPr>
          <w:rFonts w:cs="Arial"/>
        </w:rPr>
        <w:t>See</w:t>
      </w:r>
      <w:r w:rsidR="005D266C">
        <w:rPr>
          <w:rFonts w:cs="Arial"/>
        </w:rPr>
        <w:t xml:space="preserve"> Appendix 2 for f</w:t>
      </w:r>
      <w:r w:rsidR="005D266C" w:rsidRPr="005D266C">
        <w:rPr>
          <w:rFonts w:cs="Arial"/>
        </w:rPr>
        <w:t>urther analyses of PBS and RPBS antimicrobial dispensing by SA3</w:t>
      </w:r>
      <w:r w:rsidR="005D266C">
        <w:rPr>
          <w:rFonts w:cs="Arial"/>
        </w:rPr>
        <w:t>.</w:t>
      </w:r>
    </w:p>
    <w:p w14:paraId="7B1BD5F3" w14:textId="663203A9" w:rsidR="0055052B" w:rsidRDefault="0055052B" w:rsidP="003437BA">
      <w:pPr>
        <w:pStyle w:val="FigureTablefootnote"/>
        <w:tabs>
          <w:tab w:val="clear" w:pos="142"/>
          <w:tab w:val="left" w:pos="0"/>
        </w:tabs>
        <w:rPr>
          <w:rFonts w:cs="Arial"/>
        </w:rPr>
      </w:pPr>
      <w:r w:rsidRPr="00F50C85">
        <w:rPr>
          <w:rFonts w:cs="Arial"/>
        </w:rPr>
        <w:t xml:space="preserve">Source: </w:t>
      </w:r>
      <w:proofErr w:type="spellStart"/>
      <w:r w:rsidRPr="00F50C85">
        <w:rPr>
          <w:rFonts w:cs="Arial"/>
        </w:rPr>
        <w:t>Gadzhanova</w:t>
      </w:r>
      <w:proofErr w:type="spellEnd"/>
      <w:r w:rsidRPr="00F50C85">
        <w:rPr>
          <w:rFonts w:cs="Arial"/>
        </w:rPr>
        <w:t>, Roughead</w:t>
      </w:r>
      <w:r w:rsidRPr="00F50C85">
        <w:rPr>
          <w:rFonts w:cs="Arial"/>
        </w:rPr>
        <w:fldChar w:fldCharType="begin"/>
      </w:r>
      <w:r w:rsidR="00214844">
        <w:rPr>
          <w:rFonts w:cs="Arial"/>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F50C85">
        <w:rPr>
          <w:rFonts w:cs="Arial"/>
        </w:rPr>
        <w:fldChar w:fldCharType="separate"/>
      </w:r>
      <w:r w:rsidR="00087F2D" w:rsidRPr="00087F2D">
        <w:rPr>
          <w:rFonts w:cs="Arial"/>
          <w:noProof/>
          <w:vertAlign w:val="superscript"/>
        </w:rPr>
        <w:t>19</w:t>
      </w:r>
      <w:r w:rsidRPr="00F50C85">
        <w:rPr>
          <w:rFonts w:cs="Arial"/>
        </w:rPr>
        <w:fldChar w:fldCharType="end"/>
      </w:r>
    </w:p>
    <w:p w14:paraId="5E2900BD" w14:textId="77777777" w:rsidR="003437BA" w:rsidRPr="003437BA" w:rsidRDefault="003437BA" w:rsidP="003437BA">
      <w:pPr>
        <w:pStyle w:val="FigureTablefootnote"/>
        <w:tabs>
          <w:tab w:val="clear" w:pos="142"/>
          <w:tab w:val="left" w:pos="0"/>
        </w:tabs>
      </w:pPr>
    </w:p>
    <w:p w14:paraId="75EBCC4D" w14:textId="29CCF14E" w:rsidR="0055052B" w:rsidRDefault="0055052B" w:rsidP="0055052B">
      <w:pPr>
        <w:pStyle w:val="FigureTableTitle"/>
        <w:spacing w:after="120"/>
        <w:rPr>
          <w:b w:val="0"/>
          <w:bCs/>
        </w:rPr>
      </w:pPr>
      <w:r w:rsidRPr="000B76CA">
        <w:rPr>
          <w:bCs/>
        </w:rPr>
        <w:t>Table </w:t>
      </w:r>
      <w:r>
        <w:rPr>
          <w:bCs/>
        </w:rPr>
        <w:t>4</w:t>
      </w:r>
      <w:r w:rsidRPr="000B76CA">
        <w:rPr>
          <w:bCs/>
        </w:rPr>
        <w:t>:</w:t>
      </w:r>
      <w:r w:rsidRPr="000B76CA">
        <w:t> </w:t>
      </w:r>
      <w:r w:rsidRPr="000B76CA">
        <w:rPr>
          <w:b w:val="0"/>
          <w:bCs/>
        </w:rPr>
        <w:t xml:space="preserve">Highest and lowest </w:t>
      </w:r>
      <w:r>
        <w:rPr>
          <w:b w:val="0"/>
          <w:bCs/>
        </w:rPr>
        <w:t xml:space="preserve">number of </w:t>
      </w:r>
      <w:r w:rsidRPr="000B76CA">
        <w:rPr>
          <w:b w:val="0"/>
          <w:bCs/>
        </w:rPr>
        <w:t xml:space="preserve">PBS and RPBS antimicrobial </w:t>
      </w:r>
      <w:r>
        <w:rPr>
          <w:b w:val="0"/>
          <w:bCs/>
        </w:rPr>
        <w:t xml:space="preserve">prescriptions dispensed </w:t>
      </w:r>
      <w:r w:rsidRPr="000B76CA">
        <w:rPr>
          <w:b w:val="0"/>
          <w:bCs/>
        </w:rPr>
        <w:t xml:space="preserve">per </w:t>
      </w:r>
      <w:r w:rsidRPr="002D191C">
        <w:rPr>
          <w:b w:val="0"/>
          <w:bCs/>
        </w:rPr>
        <w:t xml:space="preserve">1,000 people, age-standardised rate by </w:t>
      </w:r>
      <w:r w:rsidR="004B2094" w:rsidRPr="002D191C">
        <w:rPr>
          <w:b w:val="0"/>
          <w:bCs/>
        </w:rPr>
        <w:t xml:space="preserve">patient’s </w:t>
      </w:r>
      <w:r w:rsidRPr="002D191C">
        <w:rPr>
          <w:b w:val="0"/>
          <w:bCs/>
        </w:rPr>
        <w:t>PHN, 2022–2023</w:t>
      </w:r>
    </w:p>
    <w:tbl>
      <w:tblPr>
        <w:tblStyle w:val="PlainTable2"/>
        <w:tblW w:w="9238" w:type="dxa"/>
        <w:tblLook w:val="04A0" w:firstRow="1" w:lastRow="0" w:firstColumn="1" w:lastColumn="0" w:noHBand="0" w:noVBand="1"/>
        <w:tblCaption w:val="Table 4: Highest and lowest number of PBS and RPBS antimicrobial prescriptions dispensed per 1,000 people, age-standardised rate by patient’s PHN, 2022–2023"/>
      </w:tblPr>
      <w:tblGrid>
        <w:gridCol w:w="847"/>
        <w:gridCol w:w="1417"/>
        <w:gridCol w:w="680"/>
        <w:gridCol w:w="1417"/>
        <w:gridCol w:w="681"/>
        <w:gridCol w:w="1417"/>
        <w:gridCol w:w="680"/>
        <w:gridCol w:w="1417"/>
        <w:gridCol w:w="682"/>
      </w:tblGrid>
      <w:tr w:rsidR="00DF4FBA" w:rsidRPr="009B57A5" w14:paraId="375F166B" w14:textId="77777777" w:rsidTr="008143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7" w:type="dxa"/>
            <w:vMerge w:val="restart"/>
            <w:shd w:val="clear" w:color="auto" w:fill="E18E69"/>
            <w:vAlign w:val="center"/>
          </w:tcPr>
          <w:p w14:paraId="72099E14" w14:textId="77777777" w:rsidR="0055052B" w:rsidRPr="00593412" w:rsidRDefault="0055052B" w:rsidP="0081438B">
            <w:pPr>
              <w:spacing w:before="0" w:after="0"/>
              <w:ind w:right="-69"/>
              <w:rPr>
                <w:rFonts w:cstheme="minorHAnsi"/>
                <w:sz w:val="16"/>
                <w:szCs w:val="16"/>
              </w:rPr>
            </w:pPr>
            <w:r w:rsidRPr="00593412">
              <w:rPr>
                <w:rFonts w:cstheme="minorHAnsi"/>
                <w:sz w:val="16"/>
                <w:szCs w:val="16"/>
              </w:rPr>
              <w:t>State or territory</w:t>
            </w:r>
          </w:p>
        </w:tc>
        <w:tc>
          <w:tcPr>
            <w:tcW w:w="4195" w:type="dxa"/>
            <w:gridSpan w:val="4"/>
            <w:tcBorders>
              <w:right w:val="single" w:sz="4" w:space="0" w:color="5E5E5E" w:themeColor="text2"/>
            </w:tcBorders>
            <w:shd w:val="clear" w:color="auto" w:fill="E18E69"/>
            <w:vAlign w:val="center"/>
          </w:tcPr>
          <w:p w14:paraId="76026C0F" w14:textId="77777777" w:rsidR="0055052B" w:rsidRPr="00593412" w:rsidRDefault="0055052B" w:rsidP="0081438B">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93412">
              <w:rPr>
                <w:rFonts w:cstheme="minorHAnsi"/>
                <w:sz w:val="18"/>
                <w:szCs w:val="18"/>
              </w:rPr>
              <w:t>2022</w:t>
            </w:r>
          </w:p>
        </w:tc>
        <w:tc>
          <w:tcPr>
            <w:tcW w:w="4196" w:type="dxa"/>
            <w:gridSpan w:val="4"/>
            <w:tcBorders>
              <w:left w:val="single" w:sz="4" w:space="0" w:color="5E5E5E" w:themeColor="text2"/>
            </w:tcBorders>
            <w:shd w:val="clear" w:color="auto" w:fill="E18E69"/>
            <w:vAlign w:val="center"/>
          </w:tcPr>
          <w:p w14:paraId="55F872F5" w14:textId="77777777" w:rsidR="0055052B" w:rsidRPr="00593412" w:rsidRDefault="0055052B" w:rsidP="0081438B">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93412">
              <w:rPr>
                <w:rFonts w:cstheme="minorHAnsi"/>
                <w:sz w:val="18"/>
                <w:szCs w:val="18"/>
              </w:rPr>
              <w:t>2023</w:t>
            </w:r>
          </w:p>
        </w:tc>
      </w:tr>
      <w:tr w:rsidR="00DF4FBA" w:rsidRPr="009B57A5" w14:paraId="6CC327B0" w14:textId="77777777" w:rsidTr="008143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47" w:type="dxa"/>
            <w:vMerge/>
            <w:shd w:val="clear" w:color="auto" w:fill="E18E69"/>
          </w:tcPr>
          <w:p w14:paraId="55EBD28C" w14:textId="77777777" w:rsidR="0055052B" w:rsidRPr="00593412" w:rsidRDefault="0055052B" w:rsidP="0081438B">
            <w:pPr>
              <w:spacing w:before="0" w:after="0"/>
              <w:rPr>
                <w:rFonts w:cstheme="minorHAnsi"/>
                <w:sz w:val="16"/>
                <w:szCs w:val="16"/>
              </w:rPr>
            </w:pPr>
          </w:p>
        </w:tc>
        <w:tc>
          <w:tcPr>
            <w:tcW w:w="1417" w:type="dxa"/>
            <w:shd w:val="clear" w:color="auto" w:fill="E18E69"/>
            <w:vAlign w:val="center"/>
          </w:tcPr>
          <w:p w14:paraId="52F9303B" w14:textId="77777777" w:rsidR="0055052B" w:rsidRPr="00593412" w:rsidRDefault="0055052B" w:rsidP="0081438B">
            <w:pPr>
              <w:spacing w:before="0" w:after="0"/>
              <w:ind w:right="-74"/>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Lowest PHN</w:t>
            </w:r>
          </w:p>
        </w:tc>
        <w:tc>
          <w:tcPr>
            <w:tcW w:w="680" w:type="dxa"/>
            <w:shd w:val="clear" w:color="auto" w:fill="E18E69"/>
            <w:vAlign w:val="center"/>
          </w:tcPr>
          <w:p w14:paraId="3CBC2C70"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shd w:val="clear" w:color="auto" w:fill="E18E69"/>
            <w:vAlign w:val="center"/>
          </w:tcPr>
          <w:p w14:paraId="1A0198D6"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Highest PHN</w:t>
            </w:r>
          </w:p>
        </w:tc>
        <w:tc>
          <w:tcPr>
            <w:tcW w:w="681" w:type="dxa"/>
            <w:tcBorders>
              <w:right w:val="single" w:sz="4" w:space="0" w:color="5E5E5E" w:themeColor="text2"/>
            </w:tcBorders>
            <w:shd w:val="clear" w:color="auto" w:fill="E18E69"/>
            <w:vAlign w:val="center"/>
          </w:tcPr>
          <w:p w14:paraId="4A50FC8B" w14:textId="77777777" w:rsidR="0055052B" w:rsidRPr="00593412" w:rsidRDefault="0055052B" w:rsidP="0081438B">
            <w:pPr>
              <w:spacing w:before="0" w:after="0"/>
              <w:ind w:right="57"/>
              <w:jc w:val="center"/>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tcBorders>
              <w:left w:val="single" w:sz="4" w:space="0" w:color="5E5E5E" w:themeColor="text2"/>
            </w:tcBorders>
            <w:shd w:val="clear" w:color="auto" w:fill="E18E69"/>
            <w:vAlign w:val="center"/>
          </w:tcPr>
          <w:p w14:paraId="1FF5402F"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Lowest PHN</w:t>
            </w:r>
          </w:p>
        </w:tc>
        <w:tc>
          <w:tcPr>
            <w:tcW w:w="680" w:type="dxa"/>
            <w:shd w:val="clear" w:color="auto" w:fill="E18E69"/>
            <w:vAlign w:val="center"/>
          </w:tcPr>
          <w:p w14:paraId="1EABFCD4"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c>
          <w:tcPr>
            <w:tcW w:w="1417" w:type="dxa"/>
            <w:shd w:val="clear" w:color="auto" w:fill="E18E69"/>
            <w:vAlign w:val="center"/>
          </w:tcPr>
          <w:p w14:paraId="470F1BDE"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Highest PHN</w:t>
            </w:r>
          </w:p>
        </w:tc>
        <w:tc>
          <w:tcPr>
            <w:tcW w:w="680" w:type="dxa"/>
            <w:shd w:val="clear" w:color="auto" w:fill="E18E69"/>
            <w:vAlign w:val="center"/>
          </w:tcPr>
          <w:p w14:paraId="29ACFF19"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bCs/>
                <w:sz w:val="16"/>
                <w:szCs w:val="16"/>
              </w:rPr>
            </w:pPr>
            <w:r w:rsidRPr="00593412">
              <w:rPr>
                <w:rFonts w:cstheme="minorHAnsi"/>
                <w:bCs/>
                <w:sz w:val="16"/>
                <w:szCs w:val="16"/>
              </w:rPr>
              <w:t>Rate</w:t>
            </w:r>
          </w:p>
        </w:tc>
      </w:tr>
      <w:tr w:rsidR="00DF4FBA" w:rsidRPr="009B57A5" w14:paraId="02F645E3" w14:textId="77777777" w:rsidTr="008B68E7">
        <w:trPr>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15D68154" w14:textId="77777777" w:rsidR="0055052B" w:rsidRPr="00593412" w:rsidRDefault="0055052B" w:rsidP="0081438B">
            <w:pPr>
              <w:spacing w:before="0" w:after="0"/>
              <w:rPr>
                <w:rFonts w:cstheme="minorHAnsi"/>
                <w:sz w:val="16"/>
                <w:szCs w:val="16"/>
              </w:rPr>
            </w:pPr>
            <w:r w:rsidRPr="00593412">
              <w:rPr>
                <w:rFonts w:cstheme="minorHAnsi"/>
                <w:sz w:val="16"/>
                <w:szCs w:val="16"/>
              </w:rPr>
              <w:t>NSW</w:t>
            </w:r>
          </w:p>
        </w:tc>
        <w:tc>
          <w:tcPr>
            <w:tcW w:w="1417" w:type="dxa"/>
          </w:tcPr>
          <w:p w14:paraId="612C26B1"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North Coast</w:t>
            </w:r>
          </w:p>
        </w:tc>
        <w:tc>
          <w:tcPr>
            <w:tcW w:w="680" w:type="dxa"/>
          </w:tcPr>
          <w:p w14:paraId="75D53076"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730</w:t>
            </w:r>
          </w:p>
        </w:tc>
        <w:tc>
          <w:tcPr>
            <w:tcW w:w="1417" w:type="dxa"/>
            <w:shd w:val="clear" w:color="auto" w:fill="EAB096"/>
          </w:tcPr>
          <w:p w14:paraId="0EB108BF"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Nepean Blue Mountains</w:t>
            </w:r>
          </w:p>
        </w:tc>
        <w:tc>
          <w:tcPr>
            <w:tcW w:w="681" w:type="dxa"/>
            <w:tcBorders>
              <w:right w:val="single" w:sz="4" w:space="0" w:color="5E5E5E" w:themeColor="text2"/>
            </w:tcBorders>
            <w:shd w:val="clear" w:color="auto" w:fill="EAB096"/>
          </w:tcPr>
          <w:p w14:paraId="38A92DD3"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1,139</w:t>
            </w:r>
          </w:p>
        </w:tc>
        <w:tc>
          <w:tcPr>
            <w:tcW w:w="1417" w:type="dxa"/>
            <w:tcBorders>
              <w:left w:val="single" w:sz="4" w:space="0" w:color="5E5E5E" w:themeColor="text2"/>
            </w:tcBorders>
          </w:tcPr>
          <w:p w14:paraId="4D4FD876"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Murrumbidgee</w:t>
            </w:r>
          </w:p>
        </w:tc>
        <w:tc>
          <w:tcPr>
            <w:tcW w:w="680" w:type="dxa"/>
          </w:tcPr>
          <w:p w14:paraId="0B2FF46C"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700</w:t>
            </w:r>
          </w:p>
        </w:tc>
        <w:tc>
          <w:tcPr>
            <w:tcW w:w="1417" w:type="dxa"/>
            <w:shd w:val="clear" w:color="auto" w:fill="EAB096"/>
          </w:tcPr>
          <w:p w14:paraId="49C086A3"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Nepean Blue Mountains</w:t>
            </w:r>
          </w:p>
        </w:tc>
        <w:tc>
          <w:tcPr>
            <w:tcW w:w="682" w:type="dxa"/>
            <w:shd w:val="clear" w:color="auto" w:fill="EAB096"/>
          </w:tcPr>
          <w:p w14:paraId="79F9E5EA"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1,118</w:t>
            </w:r>
          </w:p>
        </w:tc>
      </w:tr>
      <w:tr w:rsidR="00DF4FBA" w:rsidRPr="009B57A5" w14:paraId="432E1DAE" w14:textId="77777777" w:rsidTr="008B68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3CE3BCF4" w14:textId="77777777" w:rsidR="0055052B" w:rsidRPr="00593412" w:rsidRDefault="0055052B" w:rsidP="0081438B">
            <w:pPr>
              <w:spacing w:before="0" w:after="0"/>
              <w:rPr>
                <w:rFonts w:cstheme="minorHAnsi"/>
                <w:sz w:val="16"/>
                <w:szCs w:val="16"/>
              </w:rPr>
            </w:pPr>
            <w:r w:rsidRPr="00593412">
              <w:rPr>
                <w:rFonts w:cstheme="minorHAnsi"/>
                <w:sz w:val="16"/>
                <w:szCs w:val="16"/>
              </w:rPr>
              <w:t>Vic</w:t>
            </w:r>
          </w:p>
        </w:tc>
        <w:tc>
          <w:tcPr>
            <w:tcW w:w="1417" w:type="dxa"/>
          </w:tcPr>
          <w:p w14:paraId="07D4ABEC"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Western Victoria</w:t>
            </w:r>
          </w:p>
        </w:tc>
        <w:tc>
          <w:tcPr>
            <w:tcW w:w="680" w:type="dxa"/>
          </w:tcPr>
          <w:p w14:paraId="04D42799"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843</w:t>
            </w:r>
          </w:p>
        </w:tc>
        <w:tc>
          <w:tcPr>
            <w:tcW w:w="1417" w:type="dxa"/>
            <w:shd w:val="clear" w:color="auto" w:fill="EAB096"/>
          </w:tcPr>
          <w:p w14:paraId="59FFC829"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South Eastern Melbourne</w:t>
            </w:r>
          </w:p>
        </w:tc>
        <w:tc>
          <w:tcPr>
            <w:tcW w:w="681" w:type="dxa"/>
            <w:tcBorders>
              <w:right w:val="single" w:sz="4" w:space="0" w:color="5E5E5E" w:themeColor="text2"/>
            </w:tcBorders>
            <w:shd w:val="clear" w:color="auto" w:fill="EAB096"/>
          </w:tcPr>
          <w:p w14:paraId="44AEB3D9"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910</w:t>
            </w:r>
          </w:p>
        </w:tc>
        <w:tc>
          <w:tcPr>
            <w:tcW w:w="1417" w:type="dxa"/>
            <w:tcBorders>
              <w:left w:val="single" w:sz="4" w:space="0" w:color="5E5E5E" w:themeColor="text2"/>
            </w:tcBorders>
          </w:tcPr>
          <w:p w14:paraId="7D365555"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Western Victoria</w:t>
            </w:r>
          </w:p>
        </w:tc>
        <w:tc>
          <w:tcPr>
            <w:tcW w:w="680" w:type="dxa"/>
          </w:tcPr>
          <w:p w14:paraId="2874A55A"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827</w:t>
            </w:r>
          </w:p>
        </w:tc>
        <w:tc>
          <w:tcPr>
            <w:tcW w:w="1417" w:type="dxa"/>
            <w:shd w:val="clear" w:color="auto" w:fill="EAB096"/>
          </w:tcPr>
          <w:p w14:paraId="1DF830C2"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South Eastern Melbourne</w:t>
            </w:r>
          </w:p>
        </w:tc>
        <w:tc>
          <w:tcPr>
            <w:tcW w:w="682" w:type="dxa"/>
            <w:shd w:val="clear" w:color="auto" w:fill="EAB096"/>
          </w:tcPr>
          <w:p w14:paraId="55734BC1"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889</w:t>
            </w:r>
          </w:p>
        </w:tc>
      </w:tr>
      <w:tr w:rsidR="00DF4FBA" w:rsidRPr="009B57A5" w14:paraId="0FAFB26D" w14:textId="77777777" w:rsidTr="00DF4FBA">
        <w:trPr>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5B356BA2" w14:textId="77777777" w:rsidR="0055052B" w:rsidRPr="00593412" w:rsidRDefault="0055052B" w:rsidP="0081438B">
            <w:pPr>
              <w:spacing w:before="0" w:after="0"/>
              <w:rPr>
                <w:rFonts w:cstheme="minorHAnsi"/>
                <w:sz w:val="16"/>
                <w:szCs w:val="16"/>
              </w:rPr>
            </w:pPr>
            <w:r w:rsidRPr="00593412">
              <w:rPr>
                <w:rFonts w:cstheme="minorHAnsi"/>
                <w:sz w:val="16"/>
                <w:szCs w:val="16"/>
              </w:rPr>
              <w:t>Qld</w:t>
            </w:r>
          </w:p>
        </w:tc>
        <w:tc>
          <w:tcPr>
            <w:tcW w:w="1417" w:type="dxa"/>
          </w:tcPr>
          <w:p w14:paraId="2B6F145F"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Western Queensland</w:t>
            </w:r>
          </w:p>
        </w:tc>
        <w:tc>
          <w:tcPr>
            <w:tcW w:w="680" w:type="dxa"/>
          </w:tcPr>
          <w:p w14:paraId="5F6D5747"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831</w:t>
            </w:r>
          </w:p>
        </w:tc>
        <w:tc>
          <w:tcPr>
            <w:tcW w:w="1417" w:type="dxa"/>
            <w:shd w:val="clear" w:color="auto" w:fill="EAB096"/>
          </w:tcPr>
          <w:p w14:paraId="00BA25AC"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Gold Coast</w:t>
            </w:r>
          </w:p>
        </w:tc>
        <w:tc>
          <w:tcPr>
            <w:tcW w:w="681" w:type="dxa"/>
            <w:tcBorders>
              <w:right w:val="single" w:sz="4" w:space="0" w:color="5E5E5E" w:themeColor="text2"/>
            </w:tcBorders>
            <w:shd w:val="clear" w:color="auto" w:fill="EAB096"/>
          </w:tcPr>
          <w:p w14:paraId="0043FA06"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897</w:t>
            </w:r>
          </w:p>
        </w:tc>
        <w:tc>
          <w:tcPr>
            <w:tcW w:w="1417" w:type="dxa"/>
            <w:tcBorders>
              <w:left w:val="single" w:sz="4" w:space="0" w:color="5E5E5E" w:themeColor="text2"/>
            </w:tcBorders>
          </w:tcPr>
          <w:p w14:paraId="4ADB770C"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Central Queensland, Wide Bay, Sunshine Coast</w:t>
            </w:r>
          </w:p>
        </w:tc>
        <w:tc>
          <w:tcPr>
            <w:tcW w:w="680" w:type="dxa"/>
          </w:tcPr>
          <w:p w14:paraId="6072D58B"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824</w:t>
            </w:r>
          </w:p>
        </w:tc>
        <w:tc>
          <w:tcPr>
            <w:tcW w:w="1417" w:type="dxa"/>
            <w:shd w:val="clear" w:color="auto" w:fill="EAB096"/>
          </w:tcPr>
          <w:p w14:paraId="30772331"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Brisbane South</w:t>
            </w:r>
          </w:p>
        </w:tc>
        <w:tc>
          <w:tcPr>
            <w:tcW w:w="682" w:type="dxa"/>
            <w:shd w:val="clear" w:color="auto" w:fill="EAB096"/>
          </w:tcPr>
          <w:p w14:paraId="658DE5A4"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878</w:t>
            </w:r>
          </w:p>
        </w:tc>
      </w:tr>
      <w:tr w:rsidR="00DF4FBA" w:rsidRPr="009B57A5" w14:paraId="6E266A1A" w14:textId="77777777" w:rsidTr="008B68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625CBE03" w14:textId="52CA957E" w:rsidR="0055052B" w:rsidRPr="00593412" w:rsidRDefault="0055052B" w:rsidP="0081438B">
            <w:pPr>
              <w:spacing w:before="0" w:after="0"/>
              <w:rPr>
                <w:rFonts w:cstheme="minorHAnsi"/>
                <w:sz w:val="16"/>
                <w:szCs w:val="16"/>
              </w:rPr>
            </w:pPr>
            <w:r w:rsidRPr="00593412">
              <w:rPr>
                <w:rFonts w:cstheme="minorHAnsi"/>
                <w:sz w:val="16"/>
                <w:szCs w:val="16"/>
              </w:rPr>
              <w:t>SA</w:t>
            </w:r>
            <w:r w:rsidR="00E9572F">
              <w:rPr>
                <w:rFonts w:cstheme="minorHAnsi"/>
                <w:sz w:val="16"/>
                <w:szCs w:val="16"/>
              </w:rPr>
              <w:t>*</w:t>
            </w:r>
          </w:p>
        </w:tc>
        <w:tc>
          <w:tcPr>
            <w:tcW w:w="1417" w:type="dxa"/>
          </w:tcPr>
          <w:p w14:paraId="1AF25EB2"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Adelaide</w:t>
            </w:r>
          </w:p>
        </w:tc>
        <w:tc>
          <w:tcPr>
            <w:tcW w:w="680" w:type="dxa"/>
          </w:tcPr>
          <w:p w14:paraId="5F2791D4"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760</w:t>
            </w:r>
          </w:p>
        </w:tc>
        <w:tc>
          <w:tcPr>
            <w:tcW w:w="1417" w:type="dxa"/>
            <w:shd w:val="clear" w:color="auto" w:fill="EAB096"/>
          </w:tcPr>
          <w:p w14:paraId="0C125094"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Country SA</w:t>
            </w:r>
          </w:p>
        </w:tc>
        <w:tc>
          <w:tcPr>
            <w:tcW w:w="681" w:type="dxa"/>
            <w:tcBorders>
              <w:right w:val="single" w:sz="4" w:space="0" w:color="5E5E5E" w:themeColor="text2"/>
            </w:tcBorders>
            <w:shd w:val="clear" w:color="auto" w:fill="EAB096"/>
          </w:tcPr>
          <w:p w14:paraId="35A9FA15"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792</w:t>
            </w:r>
          </w:p>
        </w:tc>
        <w:tc>
          <w:tcPr>
            <w:tcW w:w="1417" w:type="dxa"/>
            <w:tcBorders>
              <w:left w:val="single" w:sz="4" w:space="0" w:color="5E5E5E" w:themeColor="text2"/>
            </w:tcBorders>
          </w:tcPr>
          <w:p w14:paraId="54EBD9EF"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Adelaide</w:t>
            </w:r>
          </w:p>
        </w:tc>
        <w:tc>
          <w:tcPr>
            <w:tcW w:w="680" w:type="dxa"/>
          </w:tcPr>
          <w:p w14:paraId="77148BA6"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765</w:t>
            </w:r>
          </w:p>
        </w:tc>
        <w:tc>
          <w:tcPr>
            <w:tcW w:w="1417" w:type="dxa"/>
            <w:shd w:val="clear" w:color="auto" w:fill="EAB096"/>
          </w:tcPr>
          <w:p w14:paraId="6A3E59BC" w14:textId="77777777"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Country SA</w:t>
            </w:r>
          </w:p>
        </w:tc>
        <w:tc>
          <w:tcPr>
            <w:tcW w:w="682" w:type="dxa"/>
            <w:shd w:val="clear" w:color="auto" w:fill="EAB096"/>
          </w:tcPr>
          <w:p w14:paraId="75057A01"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810</w:t>
            </w:r>
          </w:p>
        </w:tc>
      </w:tr>
      <w:tr w:rsidR="00DF4FBA" w:rsidRPr="009B57A5" w14:paraId="1E55A5BF" w14:textId="77777777" w:rsidTr="008B68E7">
        <w:trPr>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52C15D75" w14:textId="4664A9F4" w:rsidR="0055052B" w:rsidRPr="00593412" w:rsidRDefault="0055052B" w:rsidP="0081438B">
            <w:pPr>
              <w:spacing w:before="0" w:after="0"/>
              <w:rPr>
                <w:rFonts w:cstheme="minorHAnsi"/>
                <w:sz w:val="16"/>
                <w:szCs w:val="16"/>
              </w:rPr>
            </w:pPr>
            <w:r w:rsidRPr="00593412">
              <w:rPr>
                <w:rFonts w:cstheme="minorHAnsi"/>
                <w:sz w:val="16"/>
                <w:szCs w:val="16"/>
              </w:rPr>
              <w:t>WA</w:t>
            </w:r>
            <w:r w:rsidR="004979DF" w:rsidRPr="003437BA">
              <w:rPr>
                <w:rFonts w:cstheme="minorHAnsi"/>
                <w:sz w:val="16"/>
                <w:szCs w:val="16"/>
                <w:vertAlign w:val="superscript"/>
              </w:rPr>
              <w:t>†</w:t>
            </w:r>
          </w:p>
        </w:tc>
        <w:tc>
          <w:tcPr>
            <w:tcW w:w="1417" w:type="dxa"/>
          </w:tcPr>
          <w:p w14:paraId="5F2B2EA3"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Country WA</w:t>
            </w:r>
          </w:p>
        </w:tc>
        <w:tc>
          <w:tcPr>
            <w:tcW w:w="680" w:type="dxa"/>
          </w:tcPr>
          <w:p w14:paraId="16A91AF4"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613</w:t>
            </w:r>
          </w:p>
        </w:tc>
        <w:tc>
          <w:tcPr>
            <w:tcW w:w="1417" w:type="dxa"/>
            <w:shd w:val="clear" w:color="auto" w:fill="EAB096"/>
          </w:tcPr>
          <w:p w14:paraId="707BC027"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Perth North</w:t>
            </w:r>
          </w:p>
        </w:tc>
        <w:tc>
          <w:tcPr>
            <w:tcW w:w="681" w:type="dxa"/>
            <w:tcBorders>
              <w:right w:val="single" w:sz="4" w:space="0" w:color="5E5E5E" w:themeColor="text2"/>
            </w:tcBorders>
            <w:shd w:val="clear" w:color="auto" w:fill="EAB096"/>
          </w:tcPr>
          <w:p w14:paraId="56879D3D"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747</w:t>
            </w:r>
          </w:p>
        </w:tc>
        <w:tc>
          <w:tcPr>
            <w:tcW w:w="1417" w:type="dxa"/>
            <w:tcBorders>
              <w:left w:val="single" w:sz="4" w:space="0" w:color="5E5E5E" w:themeColor="text2"/>
            </w:tcBorders>
          </w:tcPr>
          <w:p w14:paraId="2BA81DC7"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Country WA</w:t>
            </w:r>
          </w:p>
        </w:tc>
        <w:tc>
          <w:tcPr>
            <w:tcW w:w="680" w:type="dxa"/>
          </w:tcPr>
          <w:p w14:paraId="6B8B355B"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633</w:t>
            </w:r>
          </w:p>
        </w:tc>
        <w:tc>
          <w:tcPr>
            <w:tcW w:w="1417" w:type="dxa"/>
            <w:shd w:val="clear" w:color="auto" w:fill="EAB096"/>
          </w:tcPr>
          <w:p w14:paraId="568ACAA2" w14:textId="7777777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Perth North</w:t>
            </w:r>
          </w:p>
        </w:tc>
        <w:tc>
          <w:tcPr>
            <w:tcW w:w="682" w:type="dxa"/>
            <w:shd w:val="clear" w:color="auto" w:fill="EAB096"/>
          </w:tcPr>
          <w:p w14:paraId="258C9C51"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764</w:t>
            </w:r>
          </w:p>
        </w:tc>
      </w:tr>
      <w:tr w:rsidR="00DF4FBA" w:rsidRPr="009B57A5" w14:paraId="0763EC71" w14:textId="77777777" w:rsidTr="008B68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56C44D74" w14:textId="1D7B53E6" w:rsidR="0055052B" w:rsidRPr="00593412" w:rsidRDefault="0055052B" w:rsidP="0081438B">
            <w:pPr>
              <w:spacing w:before="0" w:after="0"/>
              <w:rPr>
                <w:rFonts w:cstheme="minorHAnsi"/>
                <w:sz w:val="16"/>
                <w:szCs w:val="16"/>
              </w:rPr>
            </w:pPr>
            <w:r w:rsidRPr="00593412">
              <w:rPr>
                <w:rFonts w:cstheme="minorHAnsi"/>
                <w:sz w:val="16"/>
                <w:szCs w:val="16"/>
              </w:rPr>
              <w:t>Tas</w:t>
            </w:r>
            <w:r w:rsidR="004979DF" w:rsidRPr="004979DF">
              <w:rPr>
                <w:rFonts w:cstheme="minorHAnsi"/>
                <w:sz w:val="16"/>
                <w:szCs w:val="16"/>
                <w:vertAlign w:val="superscript"/>
              </w:rPr>
              <w:t>§</w:t>
            </w:r>
          </w:p>
        </w:tc>
        <w:tc>
          <w:tcPr>
            <w:tcW w:w="1417" w:type="dxa"/>
            <w:shd w:val="clear" w:color="auto" w:fill="F6DDD2"/>
          </w:tcPr>
          <w:p w14:paraId="43DC3667" w14:textId="35B91788"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Tasmania</w:t>
            </w:r>
          </w:p>
        </w:tc>
        <w:tc>
          <w:tcPr>
            <w:tcW w:w="680" w:type="dxa"/>
            <w:shd w:val="clear" w:color="auto" w:fill="F6DDD2"/>
          </w:tcPr>
          <w:p w14:paraId="721FF065"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684</w:t>
            </w:r>
          </w:p>
        </w:tc>
        <w:tc>
          <w:tcPr>
            <w:tcW w:w="1417" w:type="dxa"/>
            <w:shd w:val="clear" w:color="auto" w:fill="F6DDD2"/>
          </w:tcPr>
          <w:p w14:paraId="4E5650DF" w14:textId="39932E38"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Tasmania</w:t>
            </w:r>
          </w:p>
        </w:tc>
        <w:tc>
          <w:tcPr>
            <w:tcW w:w="681" w:type="dxa"/>
            <w:tcBorders>
              <w:right w:val="single" w:sz="4" w:space="0" w:color="5E5E5E" w:themeColor="text2"/>
            </w:tcBorders>
            <w:shd w:val="clear" w:color="auto" w:fill="F6DDD2"/>
          </w:tcPr>
          <w:p w14:paraId="6069505A"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684</w:t>
            </w:r>
          </w:p>
        </w:tc>
        <w:tc>
          <w:tcPr>
            <w:tcW w:w="1417" w:type="dxa"/>
            <w:tcBorders>
              <w:left w:val="single" w:sz="4" w:space="0" w:color="5E5E5E" w:themeColor="text2"/>
            </w:tcBorders>
            <w:shd w:val="clear" w:color="auto" w:fill="F6DDD2"/>
          </w:tcPr>
          <w:p w14:paraId="433C88A0" w14:textId="3A33E970"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Tasmania</w:t>
            </w:r>
          </w:p>
        </w:tc>
        <w:tc>
          <w:tcPr>
            <w:tcW w:w="680" w:type="dxa"/>
            <w:shd w:val="clear" w:color="auto" w:fill="F6DDD2"/>
          </w:tcPr>
          <w:p w14:paraId="04524C9A"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721</w:t>
            </w:r>
          </w:p>
        </w:tc>
        <w:tc>
          <w:tcPr>
            <w:tcW w:w="1417" w:type="dxa"/>
            <w:shd w:val="clear" w:color="auto" w:fill="F6DDD2"/>
          </w:tcPr>
          <w:p w14:paraId="645167B1" w14:textId="3AE521D5"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Tasmania</w:t>
            </w:r>
          </w:p>
        </w:tc>
        <w:tc>
          <w:tcPr>
            <w:tcW w:w="682" w:type="dxa"/>
            <w:shd w:val="clear" w:color="auto" w:fill="F6DDD2"/>
          </w:tcPr>
          <w:p w14:paraId="2203D089"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721</w:t>
            </w:r>
          </w:p>
        </w:tc>
      </w:tr>
      <w:tr w:rsidR="00DF4FBA" w:rsidRPr="009B57A5" w14:paraId="00B006E2" w14:textId="77777777" w:rsidTr="008B68E7">
        <w:trPr>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1F726845" w14:textId="61F634A4" w:rsidR="0055052B" w:rsidRPr="00593412" w:rsidRDefault="0055052B" w:rsidP="0081438B">
            <w:pPr>
              <w:spacing w:before="0" w:after="0"/>
              <w:rPr>
                <w:rFonts w:cstheme="minorHAnsi"/>
                <w:sz w:val="16"/>
                <w:szCs w:val="16"/>
              </w:rPr>
            </w:pPr>
            <w:r w:rsidRPr="00593412">
              <w:rPr>
                <w:rFonts w:cstheme="minorHAnsi"/>
                <w:sz w:val="16"/>
                <w:szCs w:val="16"/>
              </w:rPr>
              <w:t>NT</w:t>
            </w:r>
            <w:r w:rsidR="004979DF" w:rsidRPr="004979DF">
              <w:rPr>
                <w:rFonts w:cstheme="minorHAnsi"/>
                <w:sz w:val="16"/>
                <w:szCs w:val="16"/>
                <w:vertAlign w:val="superscript"/>
              </w:rPr>
              <w:t>§</w:t>
            </w:r>
          </w:p>
        </w:tc>
        <w:tc>
          <w:tcPr>
            <w:tcW w:w="1417" w:type="dxa"/>
            <w:shd w:val="clear" w:color="auto" w:fill="F6DDD2"/>
          </w:tcPr>
          <w:p w14:paraId="0316E1E8" w14:textId="425BBCEF"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Northern Territory</w:t>
            </w:r>
          </w:p>
        </w:tc>
        <w:tc>
          <w:tcPr>
            <w:tcW w:w="680" w:type="dxa"/>
            <w:shd w:val="clear" w:color="auto" w:fill="F6DDD2"/>
          </w:tcPr>
          <w:p w14:paraId="1FE535A9"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427</w:t>
            </w:r>
          </w:p>
        </w:tc>
        <w:tc>
          <w:tcPr>
            <w:tcW w:w="1417" w:type="dxa"/>
            <w:shd w:val="clear" w:color="auto" w:fill="F6DDD2"/>
          </w:tcPr>
          <w:p w14:paraId="3748469A" w14:textId="7327770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Northern Territory</w:t>
            </w:r>
          </w:p>
        </w:tc>
        <w:tc>
          <w:tcPr>
            <w:tcW w:w="681" w:type="dxa"/>
            <w:tcBorders>
              <w:right w:val="single" w:sz="4" w:space="0" w:color="5E5E5E" w:themeColor="text2"/>
            </w:tcBorders>
            <w:shd w:val="clear" w:color="auto" w:fill="F6DDD2"/>
          </w:tcPr>
          <w:p w14:paraId="6AC940E2"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427</w:t>
            </w:r>
          </w:p>
        </w:tc>
        <w:tc>
          <w:tcPr>
            <w:tcW w:w="1417" w:type="dxa"/>
            <w:tcBorders>
              <w:left w:val="single" w:sz="4" w:space="0" w:color="5E5E5E" w:themeColor="text2"/>
            </w:tcBorders>
            <w:shd w:val="clear" w:color="auto" w:fill="F6DDD2"/>
          </w:tcPr>
          <w:p w14:paraId="45CB0E1F" w14:textId="08CA84E7"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Northern Territory</w:t>
            </w:r>
          </w:p>
        </w:tc>
        <w:tc>
          <w:tcPr>
            <w:tcW w:w="680" w:type="dxa"/>
            <w:shd w:val="clear" w:color="auto" w:fill="F6DDD2"/>
          </w:tcPr>
          <w:p w14:paraId="19E98405"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451</w:t>
            </w:r>
          </w:p>
        </w:tc>
        <w:tc>
          <w:tcPr>
            <w:tcW w:w="1417" w:type="dxa"/>
            <w:shd w:val="clear" w:color="auto" w:fill="F6DDD2"/>
          </w:tcPr>
          <w:p w14:paraId="2E7A759B" w14:textId="324C0403" w:rsidR="0055052B" w:rsidRPr="00593412" w:rsidRDefault="0055052B" w:rsidP="0081438B">
            <w:pPr>
              <w:spacing w:before="0" w:after="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Northern Territory</w:t>
            </w:r>
          </w:p>
        </w:tc>
        <w:tc>
          <w:tcPr>
            <w:tcW w:w="682" w:type="dxa"/>
            <w:shd w:val="clear" w:color="auto" w:fill="F6DDD2"/>
          </w:tcPr>
          <w:p w14:paraId="2AFE8138" w14:textId="77777777" w:rsidR="0055052B" w:rsidRPr="00593412" w:rsidRDefault="0055052B" w:rsidP="0081438B">
            <w:pPr>
              <w:spacing w:before="0" w:after="0"/>
              <w:ind w:right="57"/>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93412">
              <w:rPr>
                <w:rFonts w:cstheme="minorHAnsi"/>
                <w:sz w:val="16"/>
                <w:szCs w:val="16"/>
              </w:rPr>
              <w:t>451</w:t>
            </w:r>
          </w:p>
        </w:tc>
      </w:tr>
      <w:tr w:rsidR="00DF4FBA" w:rsidRPr="009B57A5" w14:paraId="3D94032E" w14:textId="77777777" w:rsidTr="008B68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7" w:type="dxa"/>
            <w:shd w:val="clear" w:color="auto" w:fill="E18E69"/>
          </w:tcPr>
          <w:p w14:paraId="7C04AECA" w14:textId="0466076E" w:rsidR="0055052B" w:rsidRPr="00593412" w:rsidRDefault="0055052B" w:rsidP="0081438B">
            <w:pPr>
              <w:spacing w:before="0" w:after="0"/>
              <w:rPr>
                <w:rFonts w:cstheme="minorHAnsi"/>
                <w:sz w:val="16"/>
                <w:szCs w:val="16"/>
              </w:rPr>
            </w:pPr>
            <w:r w:rsidRPr="00593412">
              <w:rPr>
                <w:rFonts w:cstheme="minorHAnsi"/>
                <w:sz w:val="16"/>
                <w:szCs w:val="16"/>
              </w:rPr>
              <w:t>ACT</w:t>
            </w:r>
            <w:r w:rsidR="004979DF" w:rsidRPr="004979DF">
              <w:rPr>
                <w:rFonts w:cstheme="minorHAnsi"/>
                <w:sz w:val="16"/>
                <w:szCs w:val="16"/>
                <w:vertAlign w:val="superscript"/>
              </w:rPr>
              <w:t>§</w:t>
            </w:r>
          </w:p>
        </w:tc>
        <w:tc>
          <w:tcPr>
            <w:tcW w:w="1417" w:type="dxa"/>
            <w:shd w:val="clear" w:color="auto" w:fill="F6DDD2"/>
          </w:tcPr>
          <w:p w14:paraId="5AB27F68" w14:textId="54613F0F"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Australian Capital Territory</w:t>
            </w:r>
          </w:p>
        </w:tc>
        <w:tc>
          <w:tcPr>
            <w:tcW w:w="680" w:type="dxa"/>
            <w:shd w:val="clear" w:color="auto" w:fill="F6DDD2"/>
          </w:tcPr>
          <w:p w14:paraId="0CCEA01C"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724</w:t>
            </w:r>
          </w:p>
        </w:tc>
        <w:tc>
          <w:tcPr>
            <w:tcW w:w="1417" w:type="dxa"/>
            <w:shd w:val="clear" w:color="auto" w:fill="F6DDD2"/>
          </w:tcPr>
          <w:p w14:paraId="6DE11827" w14:textId="5B71A2AE"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Australian Capital Territory</w:t>
            </w:r>
          </w:p>
        </w:tc>
        <w:tc>
          <w:tcPr>
            <w:tcW w:w="681" w:type="dxa"/>
            <w:tcBorders>
              <w:right w:val="single" w:sz="4" w:space="0" w:color="5E5E5E" w:themeColor="text2"/>
            </w:tcBorders>
            <w:shd w:val="clear" w:color="auto" w:fill="F6DDD2"/>
          </w:tcPr>
          <w:p w14:paraId="6F688308"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724</w:t>
            </w:r>
          </w:p>
        </w:tc>
        <w:tc>
          <w:tcPr>
            <w:tcW w:w="1417" w:type="dxa"/>
            <w:tcBorders>
              <w:left w:val="single" w:sz="4" w:space="0" w:color="5E5E5E" w:themeColor="text2"/>
            </w:tcBorders>
            <w:shd w:val="clear" w:color="auto" w:fill="F6DDD2"/>
          </w:tcPr>
          <w:p w14:paraId="1777B548" w14:textId="11D06B92"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Australian Capital Territory</w:t>
            </w:r>
          </w:p>
        </w:tc>
        <w:tc>
          <w:tcPr>
            <w:tcW w:w="680" w:type="dxa"/>
            <w:shd w:val="clear" w:color="auto" w:fill="F6DDD2"/>
          </w:tcPr>
          <w:p w14:paraId="667249DF"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738</w:t>
            </w:r>
          </w:p>
        </w:tc>
        <w:tc>
          <w:tcPr>
            <w:tcW w:w="1417" w:type="dxa"/>
            <w:shd w:val="clear" w:color="auto" w:fill="F6DDD2"/>
          </w:tcPr>
          <w:p w14:paraId="4988CB20" w14:textId="44C5006C" w:rsidR="0055052B" w:rsidRPr="00593412" w:rsidRDefault="0055052B" w:rsidP="0081438B">
            <w:pPr>
              <w:spacing w:before="0" w:after="0"/>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Australian Capital Territory</w:t>
            </w:r>
          </w:p>
        </w:tc>
        <w:tc>
          <w:tcPr>
            <w:tcW w:w="682" w:type="dxa"/>
            <w:shd w:val="clear" w:color="auto" w:fill="F6DDD2"/>
          </w:tcPr>
          <w:p w14:paraId="1FE55FAC" w14:textId="77777777" w:rsidR="0055052B" w:rsidRPr="00593412" w:rsidRDefault="0055052B" w:rsidP="0081438B">
            <w:pPr>
              <w:spacing w:before="0" w:after="0"/>
              <w:ind w:right="57"/>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93412">
              <w:rPr>
                <w:rFonts w:cstheme="minorHAnsi"/>
                <w:sz w:val="16"/>
                <w:szCs w:val="16"/>
              </w:rPr>
              <w:t>738</w:t>
            </w:r>
          </w:p>
        </w:tc>
      </w:tr>
    </w:tbl>
    <w:p w14:paraId="7AE0CC46" w14:textId="104F188F" w:rsidR="00E9572F" w:rsidRDefault="0055052B" w:rsidP="00CC6681">
      <w:pPr>
        <w:pStyle w:val="FigureTablefootnote"/>
        <w:spacing w:before="60"/>
        <w:rPr>
          <w:iCs/>
        </w:rPr>
      </w:pPr>
      <w:r w:rsidRPr="00F50C85">
        <w:t xml:space="preserve">PBS = Pharmaceutical Benefits Scheme; </w:t>
      </w:r>
      <w:r>
        <w:t>PHN</w:t>
      </w:r>
      <w:r w:rsidRPr="00F50C85">
        <w:t> = </w:t>
      </w:r>
      <w:r>
        <w:t xml:space="preserve">Primary Health Network; </w:t>
      </w:r>
      <w:r w:rsidRPr="00F50C85">
        <w:t>RPBS = Repatriation Pharmaceutical Benefits Scheme</w:t>
      </w:r>
      <w:r w:rsidRPr="00F50C85">
        <w:br/>
      </w:r>
      <w:r w:rsidR="00E9572F">
        <w:rPr>
          <w:iCs/>
        </w:rPr>
        <w:t>*</w:t>
      </w:r>
      <w:r w:rsidR="00E9572F">
        <w:rPr>
          <w:iCs/>
        </w:rPr>
        <w:tab/>
        <w:t>There are two PHN regions in South Australia</w:t>
      </w:r>
    </w:p>
    <w:p w14:paraId="12E1C3E4" w14:textId="76015C35" w:rsidR="004979DF" w:rsidRDefault="00E9572F" w:rsidP="0055052B">
      <w:pPr>
        <w:pStyle w:val="FigureTablefootnote"/>
        <w:rPr>
          <w:iCs/>
        </w:rPr>
      </w:pPr>
      <w:r>
        <w:rPr>
          <w:iCs/>
        </w:rPr>
        <w:t>†</w:t>
      </w:r>
      <w:r w:rsidR="0055052B">
        <w:rPr>
          <w:iCs/>
        </w:rPr>
        <w:tab/>
      </w:r>
      <w:r w:rsidR="0055052B" w:rsidRPr="00D43AD6">
        <w:rPr>
          <w:iCs/>
        </w:rPr>
        <w:t xml:space="preserve">There </w:t>
      </w:r>
      <w:r w:rsidR="004979DF">
        <w:rPr>
          <w:iCs/>
        </w:rPr>
        <w:t xml:space="preserve">are three </w:t>
      </w:r>
      <w:r w:rsidR="0055052B" w:rsidRPr="00D43AD6">
        <w:rPr>
          <w:iCs/>
        </w:rPr>
        <w:t>PHN region</w:t>
      </w:r>
      <w:r w:rsidR="004979DF">
        <w:rPr>
          <w:iCs/>
        </w:rPr>
        <w:t>s</w:t>
      </w:r>
      <w:r w:rsidR="0055052B">
        <w:rPr>
          <w:iCs/>
        </w:rPr>
        <w:t xml:space="preserve"> in </w:t>
      </w:r>
      <w:r w:rsidR="004979DF">
        <w:rPr>
          <w:iCs/>
        </w:rPr>
        <w:t>Western Australia</w:t>
      </w:r>
    </w:p>
    <w:p w14:paraId="713416D4" w14:textId="7D0A656B" w:rsidR="004979DF" w:rsidRDefault="004979DF" w:rsidP="0055052B">
      <w:pPr>
        <w:pStyle w:val="FigureTablefootnote"/>
      </w:pPr>
      <w:r w:rsidRPr="004979DF">
        <w:t>§</w:t>
      </w:r>
      <w:r>
        <w:tab/>
      </w:r>
      <w:r w:rsidRPr="00D43AD6">
        <w:rPr>
          <w:iCs/>
        </w:rPr>
        <w:t>There is one PHN region</w:t>
      </w:r>
      <w:r>
        <w:rPr>
          <w:iCs/>
        </w:rPr>
        <w:t xml:space="preserve"> in Tasmania, the Northern Territory and the Australian Capital Territory</w:t>
      </w:r>
      <w:r w:rsidRPr="00536E8D">
        <w:rPr>
          <w:iCs/>
        </w:rPr>
        <w:t>, respectively</w:t>
      </w:r>
    </w:p>
    <w:p w14:paraId="3FF50D75" w14:textId="75484961" w:rsidR="005D266C" w:rsidRDefault="0055052B" w:rsidP="0055052B">
      <w:pPr>
        <w:pStyle w:val="FigureTablefootnote"/>
      </w:pPr>
      <w:r w:rsidRPr="00F50C85">
        <w:t>Note</w:t>
      </w:r>
      <w:r w:rsidR="005D266C">
        <w:t>s</w:t>
      </w:r>
      <w:r>
        <w:t xml:space="preserve">: </w:t>
      </w:r>
    </w:p>
    <w:p w14:paraId="559E2CA1" w14:textId="0E022F6C" w:rsidR="003814D6" w:rsidRDefault="003814D6" w:rsidP="00E9572F">
      <w:pPr>
        <w:pStyle w:val="FigureTablefootnote"/>
        <w:numPr>
          <w:ilvl w:val="0"/>
          <w:numId w:val="15"/>
        </w:numPr>
        <w:tabs>
          <w:tab w:val="clear" w:pos="142"/>
        </w:tabs>
        <w:ind w:left="284" w:hanging="284"/>
        <w:rPr>
          <w:rFonts w:cs="Arial"/>
        </w:rPr>
      </w:pPr>
      <w:r>
        <w:t>Age-standardised rates were based on the age structure of the Australian national population in 2013 for consistency with previous reports.</w:t>
      </w:r>
    </w:p>
    <w:p w14:paraId="3B261CF3" w14:textId="0B5E1E28" w:rsidR="0055052B" w:rsidRDefault="0055052B" w:rsidP="00E9572F">
      <w:pPr>
        <w:pStyle w:val="FigureTablefootnote"/>
        <w:numPr>
          <w:ilvl w:val="0"/>
          <w:numId w:val="15"/>
        </w:numPr>
        <w:tabs>
          <w:tab w:val="clear" w:pos="142"/>
        </w:tabs>
        <w:ind w:left="284" w:hanging="284"/>
        <w:rPr>
          <w:rFonts w:cs="Arial"/>
        </w:rPr>
      </w:pPr>
      <w:r w:rsidRPr="00F50C85">
        <w:rPr>
          <w:rFonts w:cs="Arial"/>
        </w:rPr>
        <w:t xml:space="preserve">Rate may </w:t>
      </w:r>
      <w:r w:rsidR="008A0C2D">
        <w:rPr>
          <w:rFonts w:cs="Arial"/>
        </w:rPr>
        <w:t xml:space="preserve">have </w:t>
      </w:r>
      <w:r w:rsidRPr="00F50C85">
        <w:rPr>
          <w:rFonts w:cs="Arial"/>
        </w:rPr>
        <w:t>be</w:t>
      </w:r>
      <w:r w:rsidR="008A0C2D">
        <w:rPr>
          <w:rFonts w:cs="Arial"/>
        </w:rPr>
        <w:t>en</w:t>
      </w:r>
      <w:r w:rsidRPr="00F50C85">
        <w:rPr>
          <w:rFonts w:cs="Arial"/>
        </w:rPr>
        <w:t xml:space="preserve"> influenced by the availability of other sources of supply of antimicrobials, such as Aboriginal and Torres Strait Islander health services</w:t>
      </w:r>
      <w:r>
        <w:rPr>
          <w:rFonts w:cs="Arial"/>
        </w:rPr>
        <w:t>.</w:t>
      </w:r>
    </w:p>
    <w:p w14:paraId="712DF464" w14:textId="4394522D" w:rsidR="005D266C" w:rsidRPr="00D43AD6" w:rsidRDefault="000B1EA4" w:rsidP="00E9572F">
      <w:pPr>
        <w:pStyle w:val="FigureTablefootnote"/>
        <w:numPr>
          <w:ilvl w:val="0"/>
          <w:numId w:val="15"/>
        </w:numPr>
        <w:tabs>
          <w:tab w:val="clear" w:pos="142"/>
        </w:tabs>
        <w:ind w:left="284" w:hanging="284"/>
      </w:pPr>
      <w:r>
        <w:rPr>
          <w:rFonts w:cs="Arial"/>
        </w:rPr>
        <w:t>See</w:t>
      </w:r>
      <w:r w:rsidR="005D266C">
        <w:rPr>
          <w:rFonts w:cs="Arial"/>
        </w:rPr>
        <w:t xml:space="preserve"> Appendix 2 for f</w:t>
      </w:r>
      <w:r w:rsidR="005D266C" w:rsidRPr="005D266C">
        <w:rPr>
          <w:rFonts w:cs="Arial"/>
        </w:rPr>
        <w:t xml:space="preserve">urther analyses of PBS and RPBS antimicrobial dispensing by </w:t>
      </w:r>
      <w:r w:rsidR="005D266C">
        <w:rPr>
          <w:rFonts w:cs="Arial"/>
        </w:rPr>
        <w:t>PHN</w:t>
      </w:r>
      <w:r w:rsidR="00FD7D4E">
        <w:rPr>
          <w:rFonts w:cs="Arial"/>
        </w:rPr>
        <w:t>.</w:t>
      </w:r>
    </w:p>
    <w:p w14:paraId="46D66E79" w14:textId="07D1F422" w:rsidR="00827262" w:rsidRPr="0055052B" w:rsidRDefault="0055052B" w:rsidP="00827262">
      <w:pPr>
        <w:pStyle w:val="FigureTablefootnote"/>
        <w:rPr>
          <w:rFonts w:cs="Arial"/>
        </w:rPr>
      </w:pPr>
      <w:r w:rsidRPr="00270CF1">
        <w:rPr>
          <w:rFonts w:cs="Arial"/>
        </w:rPr>
        <w:t xml:space="preserve">Source: </w:t>
      </w:r>
      <w:proofErr w:type="spellStart"/>
      <w:r w:rsidRPr="00270CF1">
        <w:rPr>
          <w:rFonts w:cs="Arial"/>
        </w:rPr>
        <w:t>Gadzhanova</w:t>
      </w:r>
      <w:proofErr w:type="spellEnd"/>
      <w:r w:rsidRPr="00270CF1">
        <w:rPr>
          <w:rFonts w:cs="Arial"/>
        </w:rPr>
        <w:t>, Roughead</w:t>
      </w:r>
      <w:r w:rsidRPr="00270CF1">
        <w:rPr>
          <w:rFonts w:cs="Arial"/>
        </w:rPr>
        <w:fldChar w:fldCharType="begin"/>
      </w:r>
      <w:r w:rsidR="00214844">
        <w:rPr>
          <w:rFonts w:cs="Arial"/>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270CF1">
        <w:rPr>
          <w:rFonts w:cs="Arial"/>
        </w:rPr>
        <w:fldChar w:fldCharType="separate"/>
      </w:r>
      <w:r w:rsidR="00087F2D" w:rsidRPr="00087F2D">
        <w:rPr>
          <w:rFonts w:cs="Arial"/>
          <w:noProof/>
          <w:vertAlign w:val="superscript"/>
        </w:rPr>
        <w:t>19</w:t>
      </w:r>
      <w:r w:rsidRPr="00270CF1">
        <w:rPr>
          <w:rFonts w:cs="Arial"/>
        </w:rPr>
        <w:fldChar w:fldCharType="end"/>
      </w:r>
      <w:r w:rsidR="00827262">
        <w:br w:type="page"/>
      </w:r>
    </w:p>
    <w:p w14:paraId="2B58EA01" w14:textId="152123E5" w:rsidR="00827262" w:rsidRDefault="00827262" w:rsidP="00827262">
      <w:r>
        <w:lastRenderedPageBreak/>
        <w:t xml:space="preserve">The majority of antimicrobial prescriptions are supplied in the winter months, June to August. </w:t>
      </w:r>
      <w:r w:rsidRPr="00B511BD">
        <w:t xml:space="preserve">The age-standardised rate of antimicrobials supplied in winter </w:t>
      </w:r>
      <w:r>
        <w:t>follows a similar trend to yearly national and state and territory antimicrobial use. The age-standardised rate of antimicrobials supplied in winter has fallen overall since 2019. However, rates have consistently risen in</w:t>
      </w:r>
      <w:r w:rsidR="006237FC">
        <w:t xml:space="preserve"> SA and</w:t>
      </w:r>
      <w:r>
        <w:t xml:space="preserve"> the NT since 2020 (Figure </w:t>
      </w:r>
      <w:r w:rsidR="005934B7">
        <w:t>8</w:t>
      </w:r>
      <w:r>
        <w:t>).</w:t>
      </w:r>
    </w:p>
    <w:p w14:paraId="0D15FE3C" w14:textId="6D134378" w:rsidR="00827262" w:rsidRDefault="00827262" w:rsidP="00827262">
      <w:pPr>
        <w:pStyle w:val="FigureTableTitle"/>
        <w:spacing w:after="0"/>
        <w:rPr>
          <w:b w:val="0"/>
          <w:bCs/>
        </w:rPr>
      </w:pPr>
      <w:r w:rsidRPr="000B76CA">
        <w:rPr>
          <w:bCs/>
        </w:rPr>
        <w:t>Figure </w:t>
      </w:r>
      <w:r w:rsidR="00ED2A60">
        <w:rPr>
          <w:bCs/>
        </w:rPr>
        <w:t>8</w:t>
      </w:r>
      <w:r w:rsidRPr="000B76CA">
        <w:rPr>
          <w:bCs/>
        </w:rPr>
        <w:t>:</w:t>
      </w:r>
      <w:r w:rsidRPr="00A7261B">
        <w:rPr>
          <w:b w:val="0"/>
          <w:bCs/>
        </w:rPr>
        <w:t> Number</w:t>
      </w:r>
      <w:r w:rsidRPr="000B76CA">
        <w:rPr>
          <w:b w:val="0"/>
          <w:bCs/>
        </w:rPr>
        <w:t xml:space="preserve"> of PBS and RPBS antimicrobial prescriptions dispensed per 1,000 people</w:t>
      </w:r>
      <w:r>
        <w:rPr>
          <w:b w:val="0"/>
          <w:bCs/>
        </w:rPr>
        <w:t xml:space="preserve"> in </w:t>
      </w:r>
      <w:r w:rsidRPr="002D191C">
        <w:rPr>
          <w:b w:val="0"/>
          <w:bCs/>
        </w:rPr>
        <w:t xml:space="preserve">winter (June–August), age-standardised rate by </w:t>
      </w:r>
      <w:r w:rsidR="002D191C" w:rsidRPr="002D191C">
        <w:rPr>
          <w:b w:val="0"/>
          <w:bCs/>
        </w:rPr>
        <w:t xml:space="preserve">prescriber’s </w:t>
      </w:r>
      <w:r w:rsidRPr="002D191C">
        <w:rPr>
          <w:b w:val="0"/>
          <w:bCs/>
        </w:rPr>
        <w:t>state and territory, 2019–</w:t>
      </w:r>
      <w:proofErr w:type="gramStart"/>
      <w:r w:rsidRPr="002D191C">
        <w:rPr>
          <w:b w:val="0"/>
          <w:bCs/>
        </w:rPr>
        <w:t>2023</w:t>
      </w:r>
      <w:proofErr w:type="gramEnd"/>
    </w:p>
    <w:p w14:paraId="1FC6FD6B" w14:textId="7E81DA97" w:rsidR="00827262" w:rsidRPr="00692A4D" w:rsidRDefault="00692A4D" w:rsidP="00692A4D">
      <w:pPr>
        <w:pStyle w:val="FigureTableTitle"/>
        <w:spacing w:after="0"/>
        <w:rPr>
          <w:b w:val="0"/>
          <w:bCs/>
        </w:rPr>
      </w:pPr>
      <w:r>
        <w:rPr>
          <w:b w:val="0"/>
          <w:bCs/>
          <w:noProof/>
        </w:rPr>
        <w:drawing>
          <wp:inline distT="0" distB="0" distL="0" distR="0" wp14:anchorId="0F171775" wp14:editId="77DDA6E2">
            <wp:extent cx="6115050" cy="3865245"/>
            <wp:effectExtent l="0" t="0" r="0" b="0"/>
            <wp:docPr id="32" name="Picture 32" descr="Figure 8: Number of PBS and RPBS antimicrobial prescriptions dispensed per 1,000 people in winter (June–August), age-standardised rate by prescriber’s state and territory,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8: Number of PBS and RPBS antimicrobial prescriptions dispensed per 1,000 people in winter (June–August), age-standardised rate by prescriber’s state and territory, 2019–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865245"/>
                    </a:xfrm>
                    <a:prstGeom prst="rect">
                      <a:avLst/>
                    </a:prstGeom>
                    <a:noFill/>
                  </pic:spPr>
                </pic:pic>
              </a:graphicData>
            </a:graphic>
          </wp:inline>
        </w:drawing>
      </w:r>
    </w:p>
    <w:p w14:paraId="2E61AF65" w14:textId="77777777" w:rsidR="003814D6" w:rsidRDefault="00827262" w:rsidP="00C765AE">
      <w:pPr>
        <w:pStyle w:val="FigureTablefootnote"/>
      </w:pPr>
      <w:r w:rsidRPr="00F50C85">
        <w:t>PBS = Pharmaceutical Benefits Scheme; RPBS = Repatriation Pharmaceutical Benefits Scheme</w:t>
      </w:r>
      <w:r w:rsidRPr="00F50C85">
        <w:br/>
      </w:r>
      <w:r w:rsidR="00C765AE" w:rsidRPr="00F50C85">
        <w:t>Note</w:t>
      </w:r>
      <w:r w:rsidR="00C765AE">
        <w:t>:</w:t>
      </w:r>
    </w:p>
    <w:p w14:paraId="483B1677" w14:textId="6966EF56" w:rsidR="003814D6" w:rsidRDefault="003814D6" w:rsidP="00406960">
      <w:pPr>
        <w:pStyle w:val="FigureTablefootnote"/>
        <w:numPr>
          <w:ilvl w:val="0"/>
          <w:numId w:val="26"/>
        </w:numPr>
        <w:tabs>
          <w:tab w:val="clear" w:pos="142"/>
          <w:tab w:val="left" w:pos="284"/>
        </w:tabs>
        <w:ind w:left="284" w:hanging="284"/>
      </w:pPr>
      <w:r>
        <w:t>Age-standardised rates were based on the age structure of the Australian national population in 2013 for consistency with previous reports.</w:t>
      </w:r>
    </w:p>
    <w:p w14:paraId="180A56A0" w14:textId="51ED6092" w:rsidR="00C765AE" w:rsidRPr="00D43AD6" w:rsidRDefault="00C765AE" w:rsidP="00406960">
      <w:pPr>
        <w:pStyle w:val="FigureTablefootnote"/>
        <w:numPr>
          <w:ilvl w:val="0"/>
          <w:numId w:val="26"/>
        </w:numPr>
        <w:tabs>
          <w:tab w:val="clear" w:pos="142"/>
          <w:tab w:val="left" w:pos="284"/>
        </w:tabs>
        <w:ind w:left="284" w:hanging="284"/>
      </w:pPr>
      <w:r w:rsidRPr="00F50C85">
        <w:rPr>
          <w:rFonts w:cs="Arial"/>
        </w:rPr>
        <w:t xml:space="preserve">Rate may </w:t>
      </w:r>
      <w:r w:rsidR="008A0C2D">
        <w:rPr>
          <w:rFonts w:cs="Arial"/>
        </w:rPr>
        <w:t xml:space="preserve">have </w:t>
      </w:r>
      <w:r w:rsidRPr="00F50C85">
        <w:rPr>
          <w:rFonts w:cs="Arial"/>
        </w:rPr>
        <w:t>be</w:t>
      </w:r>
      <w:r w:rsidR="008A0C2D">
        <w:rPr>
          <w:rFonts w:cs="Arial"/>
        </w:rPr>
        <w:t>en</w:t>
      </w:r>
      <w:r w:rsidRPr="00F50C85">
        <w:rPr>
          <w:rFonts w:cs="Arial"/>
        </w:rPr>
        <w:t xml:space="preserve"> influenced by the availability of other sources of supply of antimicrobials, such as Aboriginal and Torres Strait Islander health services</w:t>
      </w:r>
      <w:r>
        <w:rPr>
          <w:rFonts w:cs="Arial"/>
        </w:rPr>
        <w:t>.</w:t>
      </w:r>
    </w:p>
    <w:p w14:paraId="2BDE461C" w14:textId="450446A6" w:rsidR="0014506C" w:rsidRDefault="00827262" w:rsidP="004516AD">
      <w:pPr>
        <w:pStyle w:val="FigureTablefootnote"/>
      </w:pPr>
      <w:r w:rsidRPr="00F50C85">
        <w:t xml:space="preserve">Source: </w:t>
      </w:r>
      <w:proofErr w:type="spellStart"/>
      <w:r w:rsidRPr="00F50C85">
        <w:t>Gadzhanova</w:t>
      </w:r>
      <w:proofErr w:type="spellEnd"/>
      <w:r w:rsidRPr="00F50C85">
        <w:t>, Roughead</w:t>
      </w:r>
      <w:r w:rsidRPr="00F50C85">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F50C85">
        <w:fldChar w:fldCharType="separate"/>
      </w:r>
      <w:r w:rsidR="00087F2D" w:rsidRPr="00087F2D">
        <w:rPr>
          <w:noProof/>
          <w:vertAlign w:val="superscript"/>
        </w:rPr>
        <w:t>19</w:t>
      </w:r>
      <w:r w:rsidRPr="00F50C85">
        <w:fldChar w:fldCharType="end"/>
      </w:r>
    </w:p>
    <w:p w14:paraId="36DCF319" w14:textId="168C2631" w:rsidR="0059415C" w:rsidRPr="0014506C" w:rsidRDefault="00241326" w:rsidP="0014506C">
      <w:r>
        <w:rPr>
          <w:bCs/>
        </w:rPr>
        <w:br w:type="page"/>
      </w:r>
      <w:r w:rsidR="0014506C">
        <w:lastRenderedPageBreak/>
        <w:t xml:space="preserve">The age-standardised rates </w:t>
      </w:r>
      <w:r w:rsidR="00340C2A">
        <w:t>of antimicrobial use in</w:t>
      </w:r>
      <w:r w:rsidR="00E14BB4">
        <w:t xml:space="preserve"> the</w:t>
      </w:r>
      <w:r w:rsidR="00340C2A">
        <w:t xml:space="preserve"> </w:t>
      </w:r>
      <w:r w:rsidR="0014506C">
        <w:t xml:space="preserve">2023 winter months are </w:t>
      </w:r>
      <w:r w:rsidR="0014506C" w:rsidRPr="00326214">
        <w:t>mapped to Australian SA3 and PHN</w:t>
      </w:r>
      <w:r w:rsidR="0014506C">
        <w:t xml:space="preserve"> regions in Figures 9 and 10. Further analyses of PBS and RPBS a</w:t>
      </w:r>
      <w:r w:rsidR="0014506C" w:rsidRPr="00344AF7">
        <w:t>ntimicrobial</w:t>
      </w:r>
      <w:r w:rsidR="0014506C">
        <w:t xml:space="preserve"> dispensing </w:t>
      </w:r>
      <w:r w:rsidR="0014506C" w:rsidRPr="00344AF7">
        <w:t xml:space="preserve">by </w:t>
      </w:r>
      <w:r w:rsidR="0014506C">
        <w:t>local area level</w:t>
      </w:r>
      <w:r w:rsidR="0014506C">
        <w:rPr>
          <w:rFonts w:cstheme="minorHAnsi"/>
        </w:rPr>
        <w:t xml:space="preserve"> </w:t>
      </w:r>
      <w:r w:rsidR="0014506C" w:rsidRPr="00344AF7">
        <w:t>are included in Appendix</w:t>
      </w:r>
      <w:r w:rsidR="0014506C">
        <w:t> 2.</w:t>
      </w:r>
    </w:p>
    <w:p w14:paraId="5CE5CC45" w14:textId="41194043" w:rsidR="00FF64AD" w:rsidRDefault="00FF64AD" w:rsidP="00FF64AD">
      <w:pPr>
        <w:pStyle w:val="FigureTableTitle"/>
        <w:spacing w:after="0"/>
        <w:rPr>
          <w:b w:val="0"/>
          <w:bCs/>
        </w:rPr>
      </w:pPr>
      <w:r w:rsidRPr="000B76CA">
        <w:rPr>
          <w:bCs/>
        </w:rPr>
        <w:t>Figure </w:t>
      </w:r>
      <w:r w:rsidR="00800F72">
        <w:rPr>
          <w:bCs/>
        </w:rPr>
        <w:t>9</w:t>
      </w:r>
      <w:r w:rsidRPr="000B76CA">
        <w:rPr>
          <w:bCs/>
        </w:rPr>
        <w:t>:</w:t>
      </w:r>
      <w:r w:rsidRPr="00A7261B">
        <w:rPr>
          <w:b w:val="0"/>
          <w:bCs/>
        </w:rPr>
        <w:t> Number</w:t>
      </w:r>
      <w:r w:rsidRPr="000B76CA">
        <w:rPr>
          <w:b w:val="0"/>
          <w:bCs/>
        </w:rPr>
        <w:t xml:space="preserve"> of PBS and RPBS antimicrobial prescriptions dispensed per 1</w:t>
      </w:r>
      <w:r w:rsidR="00F36720">
        <w:rPr>
          <w:b w:val="0"/>
          <w:bCs/>
        </w:rPr>
        <w:t>00</w:t>
      </w:r>
      <w:r w:rsidRPr="000B76CA">
        <w:rPr>
          <w:b w:val="0"/>
          <w:bCs/>
        </w:rPr>
        <w:t>,000 people</w:t>
      </w:r>
      <w:r>
        <w:rPr>
          <w:b w:val="0"/>
          <w:bCs/>
        </w:rPr>
        <w:t xml:space="preserve"> in </w:t>
      </w:r>
      <w:r w:rsidRPr="002D191C">
        <w:rPr>
          <w:b w:val="0"/>
          <w:bCs/>
        </w:rPr>
        <w:t xml:space="preserve">winter (June–August), age-standardised rate by </w:t>
      </w:r>
      <w:r w:rsidR="004B2094" w:rsidRPr="002D191C">
        <w:rPr>
          <w:b w:val="0"/>
          <w:bCs/>
        </w:rPr>
        <w:t xml:space="preserve">prescriber’s </w:t>
      </w:r>
      <w:r w:rsidRPr="002D191C">
        <w:rPr>
          <w:b w:val="0"/>
          <w:bCs/>
        </w:rPr>
        <w:t>SA3, 2023</w:t>
      </w:r>
    </w:p>
    <w:p w14:paraId="76DA68C7" w14:textId="58EC6542" w:rsidR="00FF64AD" w:rsidRDefault="006E56EC" w:rsidP="00F154F7">
      <w:pPr>
        <w:spacing w:before="0" w:after="0"/>
        <w:jc w:val="center"/>
      </w:pPr>
      <w:r w:rsidRPr="006E56EC">
        <w:rPr>
          <w:noProof/>
        </w:rPr>
        <w:drawing>
          <wp:inline distT="0" distB="0" distL="0" distR="0" wp14:anchorId="55D9A76F" wp14:editId="22D050B3">
            <wp:extent cx="6039070" cy="4680000"/>
            <wp:effectExtent l="0" t="0" r="0" b="6350"/>
            <wp:docPr id="15" name="Picture 15" descr="Figure 9: Number of PBS and RPBS antimicrobial prescriptions dispensed per 100,000 people in winter (June–August), age-standardised rate by prescriber’s SA3,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9: Number of PBS and RPBS antimicrobial prescriptions dispensed per 100,000 people in winter (June–August), age-standardised rate by prescriber’s SA3, 2023"/>
                    <pic:cNvPicPr>
                      <a:picLocks noChangeAspect="1" noChangeArrowheads="1"/>
                    </pic:cNvPicPr>
                  </pic:nvPicPr>
                  <pic:blipFill rotWithShape="1">
                    <a:blip r:embed="rId31">
                      <a:extLst>
                        <a:ext uri="{28A0092B-C50C-407E-A947-70E740481C1C}">
                          <a14:useLocalDpi xmlns:a14="http://schemas.microsoft.com/office/drawing/2010/main" val="0"/>
                        </a:ext>
                      </a:extLst>
                    </a:blip>
                    <a:srcRect l="3597" t="2939" b="3695"/>
                    <a:stretch/>
                  </pic:blipFill>
                  <pic:spPr bwMode="auto">
                    <a:xfrm>
                      <a:off x="0" y="0"/>
                      <a:ext cx="603907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29DEEAD5" w14:textId="77777777" w:rsidR="00FD7D4E" w:rsidRDefault="00FF64AD" w:rsidP="00C765AE">
      <w:pPr>
        <w:pStyle w:val="FigureTablefootnote"/>
      </w:pPr>
      <w:r w:rsidRPr="00F50C85">
        <w:t>PBS = Pharmaceutical Benefits Scheme; RPBS = Repatriation Pharmaceutical Benefits Scheme; SA3 = Statistical Area Level 3</w:t>
      </w:r>
      <w:r w:rsidRPr="00F50C85">
        <w:br/>
      </w:r>
      <w:r w:rsidR="00C765AE" w:rsidRPr="00F50C85">
        <w:t>Note</w:t>
      </w:r>
      <w:r w:rsidR="00FD7D4E">
        <w:t>s</w:t>
      </w:r>
      <w:r w:rsidR="00C765AE">
        <w:t xml:space="preserve">: </w:t>
      </w:r>
    </w:p>
    <w:p w14:paraId="4F5BDC40" w14:textId="5EBBDD2F" w:rsidR="00DC3A8A" w:rsidRPr="00DC3A8A" w:rsidRDefault="00DC3A8A" w:rsidP="00E9572F">
      <w:pPr>
        <w:pStyle w:val="FigureTablefootnote"/>
        <w:numPr>
          <w:ilvl w:val="0"/>
          <w:numId w:val="16"/>
        </w:numPr>
        <w:tabs>
          <w:tab w:val="clear" w:pos="142"/>
          <w:tab w:val="left" w:pos="0"/>
        </w:tabs>
        <w:ind w:left="284" w:hanging="284"/>
        <w:rPr>
          <w:rFonts w:cs="Arial"/>
        </w:rPr>
      </w:pPr>
      <w:r>
        <w:t>Age-standardised rates were based on the age structure of the Australian national population in 2013 for consistency with previous reports.</w:t>
      </w:r>
    </w:p>
    <w:p w14:paraId="39CD3ADE" w14:textId="3A9B749D" w:rsidR="00C765AE" w:rsidRDefault="00C765AE" w:rsidP="00E9572F">
      <w:pPr>
        <w:pStyle w:val="FigureTablefootnote"/>
        <w:numPr>
          <w:ilvl w:val="0"/>
          <w:numId w:val="16"/>
        </w:numPr>
        <w:tabs>
          <w:tab w:val="clear" w:pos="142"/>
          <w:tab w:val="left" w:pos="0"/>
        </w:tabs>
        <w:ind w:left="284" w:hanging="284"/>
        <w:rPr>
          <w:rFonts w:cs="Arial"/>
        </w:rPr>
      </w:pPr>
      <w:r w:rsidRPr="00F50C85">
        <w:rPr>
          <w:rFonts w:cs="Arial"/>
        </w:rPr>
        <w:t xml:space="preserve">Rate may </w:t>
      </w:r>
      <w:r w:rsidR="008A0C2D">
        <w:rPr>
          <w:rFonts w:cs="Arial"/>
        </w:rPr>
        <w:t xml:space="preserve">have </w:t>
      </w:r>
      <w:r w:rsidRPr="00F50C85">
        <w:rPr>
          <w:rFonts w:cs="Arial"/>
        </w:rPr>
        <w:t>be</w:t>
      </w:r>
      <w:r w:rsidR="008A0C2D">
        <w:rPr>
          <w:rFonts w:cs="Arial"/>
        </w:rPr>
        <w:t>en</w:t>
      </w:r>
      <w:r w:rsidRPr="00F50C85">
        <w:rPr>
          <w:rFonts w:cs="Arial"/>
        </w:rPr>
        <w:t xml:space="preserve"> influenced by the availability of other sources of supply of antimicrobials, such as Aboriginal and Torres Strait Islander health services</w:t>
      </w:r>
      <w:r>
        <w:rPr>
          <w:rFonts w:cs="Arial"/>
        </w:rPr>
        <w:t>.</w:t>
      </w:r>
    </w:p>
    <w:p w14:paraId="40E63A49" w14:textId="7770D36C" w:rsidR="00FD7D4E" w:rsidRPr="00D43AD6" w:rsidRDefault="000B1EA4" w:rsidP="00E9572F">
      <w:pPr>
        <w:pStyle w:val="FigureTablefootnote"/>
        <w:numPr>
          <w:ilvl w:val="0"/>
          <w:numId w:val="16"/>
        </w:numPr>
        <w:tabs>
          <w:tab w:val="clear" w:pos="142"/>
          <w:tab w:val="left" w:pos="0"/>
        </w:tabs>
        <w:ind w:left="284" w:hanging="284"/>
      </w:pPr>
      <w:r>
        <w:rPr>
          <w:rFonts w:cs="Arial"/>
        </w:rPr>
        <w:t xml:space="preserve">See </w:t>
      </w:r>
      <w:r w:rsidR="00FD7D4E">
        <w:rPr>
          <w:rFonts w:cs="Arial"/>
        </w:rPr>
        <w:t>Appendix 2 for f</w:t>
      </w:r>
      <w:r w:rsidR="00FD7D4E" w:rsidRPr="005D266C">
        <w:rPr>
          <w:rFonts w:cs="Arial"/>
        </w:rPr>
        <w:t xml:space="preserve">urther analyses of PBS and RPBS antimicrobial dispensing by </w:t>
      </w:r>
      <w:r w:rsidR="00FD7D4E">
        <w:rPr>
          <w:rFonts w:cs="Arial"/>
        </w:rPr>
        <w:t>SA3.</w:t>
      </w:r>
    </w:p>
    <w:p w14:paraId="5222D9C5" w14:textId="2250897C" w:rsidR="00EF0147" w:rsidRDefault="00FF64AD" w:rsidP="00EF0147">
      <w:pPr>
        <w:pStyle w:val="FigureTablefootnote"/>
      </w:pPr>
      <w:r w:rsidRPr="00F50C85">
        <w:t xml:space="preserve">Source: </w:t>
      </w:r>
      <w:proofErr w:type="spellStart"/>
      <w:r w:rsidRPr="00F50C85">
        <w:t>Gadzhanova</w:t>
      </w:r>
      <w:proofErr w:type="spellEnd"/>
      <w:r w:rsidRPr="00F50C85">
        <w:t>, Roughead</w:t>
      </w:r>
      <w:r w:rsidRPr="00F50C85">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F50C85">
        <w:fldChar w:fldCharType="separate"/>
      </w:r>
      <w:r w:rsidR="00087F2D" w:rsidRPr="00087F2D">
        <w:rPr>
          <w:noProof/>
          <w:vertAlign w:val="superscript"/>
        </w:rPr>
        <w:t>19</w:t>
      </w:r>
      <w:r w:rsidRPr="00F50C85">
        <w:fldChar w:fldCharType="end"/>
      </w:r>
      <w:r w:rsidR="00EF0147">
        <w:br w:type="page"/>
      </w:r>
    </w:p>
    <w:p w14:paraId="3F7A093C" w14:textId="05573B3C" w:rsidR="00FF64AD" w:rsidRDefault="00FF64AD" w:rsidP="00FF64AD">
      <w:pPr>
        <w:pStyle w:val="FigureTableTitle"/>
        <w:spacing w:after="0"/>
        <w:rPr>
          <w:b w:val="0"/>
          <w:bCs/>
        </w:rPr>
      </w:pPr>
      <w:r w:rsidRPr="000B76CA">
        <w:rPr>
          <w:bCs/>
        </w:rPr>
        <w:lastRenderedPageBreak/>
        <w:t>Figure </w:t>
      </w:r>
      <w:r>
        <w:rPr>
          <w:bCs/>
        </w:rPr>
        <w:t>1</w:t>
      </w:r>
      <w:r w:rsidR="00800F72">
        <w:rPr>
          <w:bCs/>
        </w:rPr>
        <w:t>0</w:t>
      </w:r>
      <w:r w:rsidRPr="000B76CA">
        <w:rPr>
          <w:bCs/>
        </w:rPr>
        <w:t>:</w:t>
      </w:r>
      <w:r w:rsidRPr="00A7261B">
        <w:rPr>
          <w:b w:val="0"/>
          <w:bCs/>
        </w:rPr>
        <w:t> Number</w:t>
      </w:r>
      <w:r w:rsidRPr="000B76CA">
        <w:rPr>
          <w:b w:val="0"/>
          <w:bCs/>
        </w:rPr>
        <w:t xml:space="preserve"> of PBS and RPBS antimicrobial prescriptions dispensed per 1</w:t>
      </w:r>
      <w:r w:rsidR="00F36720">
        <w:rPr>
          <w:b w:val="0"/>
          <w:bCs/>
        </w:rPr>
        <w:t>00</w:t>
      </w:r>
      <w:r w:rsidRPr="000B76CA">
        <w:rPr>
          <w:b w:val="0"/>
          <w:bCs/>
        </w:rPr>
        <w:t>,000 people</w:t>
      </w:r>
      <w:r>
        <w:rPr>
          <w:b w:val="0"/>
          <w:bCs/>
        </w:rPr>
        <w:t xml:space="preserve"> in </w:t>
      </w:r>
      <w:r w:rsidRPr="002D191C">
        <w:rPr>
          <w:b w:val="0"/>
          <w:bCs/>
        </w:rPr>
        <w:t xml:space="preserve">winter (June–August), age-standardised rate by </w:t>
      </w:r>
      <w:r w:rsidR="004B2094" w:rsidRPr="002D191C">
        <w:rPr>
          <w:b w:val="0"/>
          <w:bCs/>
        </w:rPr>
        <w:t xml:space="preserve">prescriber’s </w:t>
      </w:r>
      <w:r w:rsidRPr="002D191C">
        <w:rPr>
          <w:b w:val="0"/>
          <w:bCs/>
        </w:rPr>
        <w:t>PHN, 2023</w:t>
      </w:r>
    </w:p>
    <w:p w14:paraId="47C1275A" w14:textId="52F875E2" w:rsidR="00FF64AD" w:rsidRPr="003D2069" w:rsidRDefault="00494BC4" w:rsidP="00F154F7">
      <w:pPr>
        <w:pStyle w:val="NormalWeb"/>
        <w:spacing w:before="0" w:beforeAutospacing="0" w:after="0" w:afterAutospacing="0"/>
        <w:rPr>
          <w:rFonts w:ascii="Arial" w:hAnsi="Arial" w:cs="Arial"/>
          <w:sz w:val="22"/>
          <w:szCs w:val="22"/>
        </w:rPr>
      </w:pPr>
      <w:r w:rsidRPr="003D2069">
        <w:rPr>
          <w:rFonts w:ascii="Arial" w:hAnsi="Arial" w:cs="Arial"/>
          <w:noProof/>
          <w:sz w:val="22"/>
          <w:szCs w:val="22"/>
        </w:rPr>
        <w:drawing>
          <wp:inline distT="0" distB="0" distL="0" distR="0" wp14:anchorId="020E4895" wp14:editId="7FE407BA">
            <wp:extent cx="6106387" cy="4680000"/>
            <wp:effectExtent l="0" t="0" r="8890" b="6350"/>
            <wp:docPr id="9" name="Picture 9" descr="Figure 10: Number of PBS and RPBS antimicrobial prescriptions dispensed per 100,000 people in winter (June–August), age-standardised rate by prescriber’s PH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0: Number of PBS and RPBS antimicrobial prescriptions dispensed per 100,000 people in winter (June–August), age-standardised rate by prescriber’s PHN, 2023"/>
                    <pic:cNvPicPr>
                      <a:picLocks noChangeAspect="1" noChangeArrowheads="1"/>
                    </pic:cNvPicPr>
                  </pic:nvPicPr>
                  <pic:blipFill rotWithShape="1">
                    <a:blip r:embed="rId32">
                      <a:extLst>
                        <a:ext uri="{28A0092B-C50C-407E-A947-70E740481C1C}">
                          <a14:useLocalDpi xmlns:a14="http://schemas.microsoft.com/office/drawing/2010/main" val="0"/>
                        </a:ext>
                      </a:extLst>
                    </a:blip>
                    <a:srcRect t="11621" b="11738"/>
                    <a:stretch/>
                  </pic:blipFill>
                  <pic:spPr bwMode="auto">
                    <a:xfrm>
                      <a:off x="0" y="0"/>
                      <a:ext cx="6106387"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4C964630" w14:textId="77777777" w:rsidR="00D1508D" w:rsidRDefault="00FF64AD" w:rsidP="00C765AE">
      <w:pPr>
        <w:pStyle w:val="FigureTablefootnote"/>
      </w:pPr>
      <w:r w:rsidRPr="00F50C85">
        <w:t xml:space="preserve">PBS = Pharmaceutical Benefits Scheme; </w:t>
      </w:r>
      <w:r>
        <w:t>PHN</w:t>
      </w:r>
      <w:r w:rsidRPr="00F50C85">
        <w:t> = </w:t>
      </w:r>
      <w:r>
        <w:t xml:space="preserve">Primary Health Network; </w:t>
      </w:r>
      <w:r w:rsidRPr="00F50C85">
        <w:t>RPBS = Repatriation Pharmaceutical Benefits Scheme</w:t>
      </w:r>
      <w:r w:rsidRPr="00F50C85">
        <w:br/>
      </w:r>
      <w:r w:rsidR="00C765AE" w:rsidRPr="00F50C85">
        <w:t>Note</w:t>
      </w:r>
      <w:r w:rsidR="00D1508D">
        <w:t>s</w:t>
      </w:r>
      <w:r w:rsidR="00C765AE">
        <w:t xml:space="preserve">: </w:t>
      </w:r>
    </w:p>
    <w:p w14:paraId="045B519F" w14:textId="04F6E8B5" w:rsidR="00DC3A8A" w:rsidRPr="00DC3A8A" w:rsidRDefault="00DC3A8A" w:rsidP="00C478DC">
      <w:pPr>
        <w:pStyle w:val="FigureTablefootnote"/>
        <w:numPr>
          <w:ilvl w:val="0"/>
          <w:numId w:val="17"/>
        </w:numPr>
        <w:tabs>
          <w:tab w:val="clear" w:pos="142"/>
          <w:tab w:val="left" w:pos="0"/>
        </w:tabs>
        <w:ind w:left="284" w:hanging="284"/>
        <w:rPr>
          <w:rFonts w:cs="Arial"/>
        </w:rPr>
      </w:pPr>
      <w:r>
        <w:t>Age-standardised rates were based on the age structure of the Australian national population in 2013 for consistency with previous reports.</w:t>
      </w:r>
    </w:p>
    <w:p w14:paraId="4D5E6F53" w14:textId="1361D9D7" w:rsidR="00C478DC" w:rsidRDefault="00C765AE" w:rsidP="00C478DC">
      <w:pPr>
        <w:pStyle w:val="FigureTablefootnote"/>
        <w:numPr>
          <w:ilvl w:val="0"/>
          <w:numId w:val="17"/>
        </w:numPr>
        <w:tabs>
          <w:tab w:val="clear" w:pos="142"/>
          <w:tab w:val="left" w:pos="0"/>
        </w:tabs>
        <w:ind w:left="284" w:hanging="284"/>
        <w:rPr>
          <w:rFonts w:cs="Arial"/>
        </w:rPr>
      </w:pPr>
      <w:r w:rsidRPr="00F50C85">
        <w:rPr>
          <w:rFonts w:cs="Arial"/>
        </w:rPr>
        <w:t xml:space="preserve">Rate may </w:t>
      </w:r>
      <w:r w:rsidR="00FC118D">
        <w:rPr>
          <w:rFonts w:cs="Arial"/>
        </w:rPr>
        <w:t xml:space="preserve">have </w:t>
      </w:r>
      <w:r w:rsidRPr="00F50C85">
        <w:rPr>
          <w:rFonts w:cs="Arial"/>
        </w:rPr>
        <w:t>be</w:t>
      </w:r>
      <w:r w:rsidR="00FC118D">
        <w:rPr>
          <w:rFonts w:cs="Arial"/>
        </w:rPr>
        <w:t>en</w:t>
      </w:r>
      <w:r w:rsidRPr="00F50C85">
        <w:rPr>
          <w:rFonts w:cs="Arial"/>
        </w:rPr>
        <w:t xml:space="preserve"> influenced by the availability of other sources of supply of antimicrobials, such as Aboriginal and Torres Strait Islander health services</w:t>
      </w:r>
      <w:r>
        <w:rPr>
          <w:rFonts w:cs="Arial"/>
        </w:rPr>
        <w:t>.</w:t>
      </w:r>
    </w:p>
    <w:p w14:paraId="4F500375" w14:textId="45AE4C4B" w:rsidR="00C478DC" w:rsidRPr="00C478DC" w:rsidRDefault="00C478DC" w:rsidP="00C478DC">
      <w:pPr>
        <w:pStyle w:val="FigureTablefootnote"/>
        <w:numPr>
          <w:ilvl w:val="0"/>
          <w:numId w:val="17"/>
        </w:numPr>
        <w:tabs>
          <w:tab w:val="clear" w:pos="142"/>
          <w:tab w:val="left" w:pos="0"/>
        </w:tabs>
        <w:ind w:left="284" w:hanging="284"/>
        <w:rPr>
          <w:rFonts w:cs="Arial"/>
        </w:rPr>
      </w:pPr>
      <w:r w:rsidRPr="00C478DC">
        <w:rPr>
          <w:rFonts w:cs="Arial"/>
        </w:rPr>
        <w:t>There is one PHN region in Tasmania, the Northern Territory and the Australian Capital Territory, respectively</w:t>
      </w:r>
      <w:r>
        <w:rPr>
          <w:rFonts w:cs="Arial"/>
        </w:rPr>
        <w:t>, two PHN regions in South Australia</w:t>
      </w:r>
      <w:r w:rsidR="0014506C">
        <w:rPr>
          <w:rFonts w:cs="Arial"/>
        </w:rPr>
        <w:t>,</w:t>
      </w:r>
      <w:r w:rsidR="005672CB">
        <w:rPr>
          <w:rFonts w:cs="Arial"/>
        </w:rPr>
        <w:t xml:space="preserve"> and three PHNs regions in Western Australia.</w:t>
      </w:r>
    </w:p>
    <w:p w14:paraId="55436ABD" w14:textId="506455D4" w:rsidR="00D1508D" w:rsidRPr="00D43AD6" w:rsidRDefault="003E6B70" w:rsidP="00E9572F">
      <w:pPr>
        <w:pStyle w:val="FigureTablefootnote"/>
        <w:numPr>
          <w:ilvl w:val="0"/>
          <w:numId w:val="17"/>
        </w:numPr>
        <w:tabs>
          <w:tab w:val="clear" w:pos="142"/>
          <w:tab w:val="left" w:pos="0"/>
        </w:tabs>
        <w:ind w:left="284" w:hanging="284"/>
      </w:pPr>
      <w:r>
        <w:rPr>
          <w:rFonts w:cs="Arial"/>
        </w:rPr>
        <w:t>See</w:t>
      </w:r>
      <w:r w:rsidR="00D1508D">
        <w:rPr>
          <w:rFonts w:cs="Arial"/>
        </w:rPr>
        <w:t xml:space="preserve"> Appendix 2 for f</w:t>
      </w:r>
      <w:r w:rsidR="00D1508D" w:rsidRPr="005D266C">
        <w:rPr>
          <w:rFonts w:cs="Arial"/>
        </w:rPr>
        <w:t xml:space="preserve">urther analyses of PBS and RPBS antimicrobial dispensing by </w:t>
      </w:r>
      <w:r w:rsidR="00D1508D">
        <w:rPr>
          <w:rFonts w:cs="Arial"/>
        </w:rPr>
        <w:t>PHN.</w:t>
      </w:r>
    </w:p>
    <w:p w14:paraId="358D3658" w14:textId="7C770EEB" w:rsidR="00EA0F84" w:rsidRDefault="00FF64AD" w:rsidP="00EA0F84">
      <w:pPr>
        <w:pStyle w:val="FigureTablefootnote"/>
      </w:pPr>
      <w:r w:rsidRPr="00F50C85">
        <w:t xml:space="preserve">Source: </w:t>
      </w:r>
      <w:proofErr w:type="spellStart"/>
      <w:r w:rsidRPr="00F50C85">
        <w:t>Gadzhanova</w:t>
      </w:r>
      <w:proofErr w:type="spellEnd"/>
      <w:r w:rsidRPr="00F50C85">
        <w:t>, Roughead</w:t>
      </w:r>
      <w:r w:rsidRPr="00F50C85">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F50C85">
        <w:fldChar w:fldCharType="separate"/>
      </w:r>
      <w:r w:rsidR="00087F2D" w:rsidRPr="00087F2D">
        <w:rPr>
          <w:noProof/>
          <w:vertAlign w:val="superscript"/>
        </w:rPr>
        <w:t>19</w:t>
      </w:r>
      <w:r w:rsidRPr="00F50C85">
        <w:fldChar w:fldCharType="end"/>
      </w:r>
      <w:r w:rsidR="00EA0F84">
        <w:br w:type="page"/>
      </w:r>
    </w:p>
    <w:p w14:paraId="63E38147" w14:textId="34B79113" w:rsidR="004277F2" w:rsidRPr="009D0B19" w:rsidRDefault="00656D17" w:rsidP="009D0B19">
      <w:pPr>
        <w:pStyle w:val="Heading3"/>
        <w:spacing w:after="0"/>
        <w:rPr>
          <w:color w:val="005370"/>
        </w:rPr>
      </w:pPr>
      <w:bookmarkStart w:id="41" w:name="_Toc173763622"/>
      <w:r w:rsidRPr="00DB1EE0">
        <w:rPr>
          <w:color w:val="005370"/>
        </w:rPr>
        <w:lastRenderedPageBreak/>
        <w:t>Aged care</w:t>
      </w:r>
      <w:r w:rsidR="00BF6CEF">
        <w:rPr>
          <w:color w:val="005370"/>
        </w:rPr>
        <w:t xml:space="preserve"> </w:t>
      </w:r>
      <w:r w:rsidR="00F45FBA">
        <w:rPr>
          <w:color w:val="005370"/>
        </w:rPr>
        <w:t>and older Australians</w:t>
      </w:r>
      <w:bookmarkEnd w:id="41"/>
    </w:p>
    <w:p w14:paraId="07BCA73F" w14:textId="223FE16B" w:rsidR="00D27FE5" w:rsidRPr="00296EF3" w:rsidRDefault="00F41E23" w:rsidP="00D27FE5">
      <w:pPr>
        <w:pStyle w:val="Heading4"/>
        <w:rPr>
          <w:color w:val="005370"/>
        </w:rPr>
      </w:pPr>
      <w:r w:rsidRPr="00296EF3">
        <w:rPr>
          <w:color w:val="005370"/>
        </w:rPr>
        <w:t>A</w:t>
      </w:r>
      <w:r w:rsidR="00D27FE5" w:rsidRPr="00296EF3">
        <w:rPr>
          <w:color w:val="005370"/>
        </w:rPr>
        <w:t>ged care homes</w:t>
      </w:r>
    </w:p>
    <w:p w14:paraId="0F559F5D" w14:textId="04B3EC2F" w:rsidR="00061484" w:rsidRDefault="00232B1A" w:rsidP="00232B1A">
      <w:r w:rsidRPr="000B76CA">
        <w:t>In 202</w:t>
      </w:r>
      <w:r>
        <w:t>3</w:t>
      </w:r>
      <w:r w:rsidRPr="000B76CA">
        <w:t>, there were</w:t>
      </w:r>
      <w:r w:rsidRPr="00C3626B">
        <w:t xml:space="preserve"> </w:t>
      </w:r>
      <w:r>
        <w:t>576,579 </w:t>
      </w:r>
      <w:r w:rsidRPr="000B76CA">
        <w:t xml:space="preserve">antimicrobial prescriptions supplied under the PBS and RPBS </w:t>
      </w:r>
      <w:r>
        <w:t xml:space="preserve">to residents of </w:t>
      </w:r>
      <w:r w:rsidR="006C22A1">
        <w:t xml:space="preserve">aged care </w:t>
      </w:r>
      <w:r>
        <w:t>homes</w:t>
      </w:r>
      <w:r w:rsidR="005672CB">
        <w:t>.</w:t>
      </w:r>
      <w:r w:rsidR="00E5096A">
        <w:t xml:space="preserve"> </w:t>
      </w:r>
      <w:r w:rsidR="004A2567">
        <w:t>T</w:t>
      </w:r>
      <w:r w:rsidR="00E5096A">
        <w:t>hese prescriptions account</w:t>
      </w:r>
      <w:r w:rsidR="005672CB">
        <w:t>ed</w:t>
      </w:r>
      <w:r w:rsidR="00E5096A">
        <w:t xml:space="preserve"> for 2.6% of all antimicrobials supplied in Australia in 2023. There was an </w:t>
      </w:r>
      <w:r w:rsidRPr="00C638F3">
        <w:t>1</w:t>
      </w:r>
      <w:r w:rsidR="007356CE">
        <w:t>1</w:t>
      </w:r>
      <w:r w:rsidRPr="00C638F3">
        <w:t>.</w:t>
      </w:r>
      <w:r w:rsidR="007356CE">
        <w:t>1</w:t>
      </w:r>
      <w:r w:rsidRPr="00C638F3">
        <w:t>%</w:t>
      </w:r>
      <w:r w:rsidRPr="000B76CA">
        <w:t xml:space="preserve"> </w:t>
      </w:r>
      <w:r>
        <w:t>increas</w:t>
      </w:r>
      <w:r w:rsidRPr="00902DED">
        <w:t>e</w:t>
      </w:r>
      <w:r>
        <w:t xml:space="preserve"> </w:t>
      </w:r>
      <w:r w:rsidR="005F12D2">
        <w:t>in the number supplied from 2022 to 2023</w:t>
      </w:r>
      <w:r w:rsidR="0072511E">
        <w:t xml:space="preserve"> </w:t>
      </w:r>
      <w:r w:rsidR="0072511E" w:rsidRPr="00CA0615">
        <w:t>(Table </w:t>
      </w:r>
      <w:r w:rsidR="0072511E">
        <w:t>5</w:t>
      </w:r>
      <w:r w:rsidR="0072511E" w:rsidRPr="00CA0615">
        <w:t>)</w:t>
      </w:r>
      <w:r w:rsidR="009A63A8">
        <w:t>.</w:t>
      </w:r>
    </w:p>
    <w:p w14:paraId="11697E23" w14:textId="3286E43D" w:rsidR="00061484" w:rsidRDefault="009D4668" w:rsidP="00232B1A">
      <w:r>
        <w:t>O</w:t>
      </w:r>
      <w:r w:rsidR="00061484" w:rsidRPr="000B76CA">
        <w:t>f Australian</w:t>
      </w:r>
      <w:r w:rsidR="00061484">
        <w:t>s</w:t>
      </w:r>
      <w:r w:rsidR="00061484" w:rsidRPr="000B76CA">
        <w:t xml:space="preserve"> </w:t>
      </w:r>
      <w:r w:rsidR="00BD1F1E">
        <w:t xml:space="preserve">who </w:t>
      </w:r>
      <w:r w:rsidR="00061484">
        <w:t>resid</w:t>
      </w:r>
      <w:r w:rsidR="00BD1F1E">
        <w:t>ed</w:t>
      </w:r>
      <w:r w:rsidR="00061484">
        <w:t xml:space="preserve"> in aged care homes</w:t>
      </w:r>
      <w:r>
        <w:t xml:space="preserve">, 72.6% </w:t>
      </w:r>
      <w:r w:rsidRPr="00C638F3">
        <w:t>(</w:t>
      </w:r>
      <w:r w:rsidRPr="00C638F3">
        <w:rPr>
          <w:i/>
          <w:iCs/>
        </w:rPr>
        <w:t>n</w:t>
      </w:r>
      <w:r w:rsidRPr="00C638F3">
        <w:t> = </w:t>
      </w:r>
      <w:r>
        <w:t>141,588</w:t>
      </w:r>
      <w:r w:rsidRPr="00C638F3">
        <w:t>)</w:t>
      </w:r>
      <w:r w:rsidR="00061484">
        <w:t xml:space="preserve"> </w:t>
      </w:r>
      <w:r w:rsidR="0017034F">
        <w:t>received</w:t>
      </w:r>
      <w:r w:rsidR="0017034F" w:rsidRPr="000B76CA">
        <w:t xml:space="preserve"> </w:t>
      </w:r>
      <w:r w:rsidR="00061484" w:rsidRPr="000B76CA">
        <w:t>at least one antimicrobial supplied under the PBS and RPB</w:t>
      </w:r>
      <w:r w:rsidR="00061484">
        <w:t>S in 2023.</w:t>
      </w:r>
    </w:p>
    <w:p w14:paraId="537AE96E" w14:textId="7AC89066" w:rsidR="00E60A18" w:rsidRDefault="00E60A18" w:rsidP="00E60A18">
      <w:r w:rsidRPr="006D7D28">
        <w:t xml:space="preserve">The overall prescribing rate for antimicrobials </w:t>
      </w:r>
      <w:r>
        <w:t xml:space="preserve">supplied to </w:t>
      </w:r>
      <w:r w:rsidRPr="006D7D28">
        <w:t xml:space="preserve">Australians </w:t>
      </w:r>
      <w:r>
        <w:t xml:space="preserve">in aged care homes under the PBS and RPBS was 295 prescriptions per 100 </w:t>
      </w:r>
      <w:r w:rsidR="00C00B7F">
        <w:t>people</w:t>
      </w:r>
      <w:r>
        <w:t xml:space="preserve"> in 2023</w:t>
      </w:r>
      <w:r w:rsidR="00F66E42">
        <w:t xml:space="preserve">, that is </w:t>
      </w:r>
      <w:r w:rsidR="003A4BEB">
        <w:t>approximately three antimicrobial prescriptions per aged care home resident</w:t>
      </w:r>
      <w:r>
        <w:t>. This was an 8.1% increase from 273 prescriptions per 100 </w:t>
      </w:r>
      <w:r w:rsidR="00C00B7F">
        <w:t>people</w:t>
      </w:r>
      <w:r>
        <w:t xml:space="preserve"> in 2022. The rate in 2021 was 283 prescriptions per 100 </w:t>
      </w:r>
      <w:r w:rsidR="00C00B7F">
        <w:t>people</w:t>
      </w:r>
      <w:r>
        <w:t>.</w:t>
      </w:r>
    </w:p>
    <w:p w14:paraId="1343B8BD" w14:textId="56DE9BA6" w:rsidR="009242C5" w:rsidRDefault="009242C5" w:rsidP="009242C5">
      <w:r>
        <w:t>The vast majority of antimicrobials supplied to residents of aged care homes were J01</w:t>
      </w:r>
      <w:r w:rsidR="00B057D1">
        <w:t> </w:t>
      </w:r>
      <w:r>
        <w:t>antibacterials for systemic use</w:t>
      </w:r>
      <w:r w:rsidRPr="009242C5">
        <w:t xml:space="preserve">. </w:t>
      </w:r>
      <w:r>
        <w:t xml:space="preserve">In 2023, </w:t>
      </w:r>
      <w:r w:rsidRPr="000B76CA">
        <w:t xml:space="preserve">there </w:t>
      </w:r>
      <w:r w:rsidRPr="009242C5">
        <w:t xml:space="preserve">were </w:t>
      </w:r>
      <w:r w:rsidRPr="009242C5">
        <w:rPr>
          <w:rFonts w:ascii="Arial" w:hAnsi="Arial" w:cs="Arial"/>
        </w:rPr>
        <w:t>536,483</w:t>
      </w:r>
      <w:r w:rsidRPr="009242C5">
        <w:t> prescriptions for J01</w:t>
      </w:r>
      <w:r w:rsidR="006A0D5F">
        <w:t> </w:t>
      </w:r>
      <w:r w:rsidRPr="009242C5">
        <w:t>antibacterials supplied under the PBS and RPBS to residents of aged care hom</w:t>
      </w:r>
      <w:r w:rsidRPr="00D67E6C">
        <w:t xml:space="preserve">es. There was an </w:t>
      </w:r>
      <w:r w:rsidR="00D67E6C" w:rsidRPr="00D67E6C">
        <w:t>11</w:t>
      </w:r>
      <w:r w:rsidRPr="00D67E6C">
        <w:t>% increase compared to 2022 (Table 5)</w:t>
      </w:r>
      <w:r w:rsidR="006D767D" w:rsidRPr="00D67E6C">
        <w:t>.</w:t>
      </w:r>
    </w:p>
    <w:p w14:paraId="0C983BB0" w14:textId="65B4B34B" w:rsidR="009242C5" w:rsidRDefault="009D4668" w:rsidP="00232B1A">
      <w:r>
        <w:t>O</w:t>
      </w:r>
      <w:r w:rsidR="005D6D12" w:rsidRPr="000B76CA">
        <w:t>f Australian</w:t>
      </w:r>
      <w:r w:rsidR="005D6D12">
        <w:t>s</w:t>
      </w:r>
      <w:r w:rsidR="005D6D12" w:rsidRPr="000B76CA">
        <w:t xml:space="preserve"> </w:t>
      </w:r>
      <w:r w:rsidR="005D6D12">
        <w:t>resid</w:t>
      </w:r>
      <w:r w:rsidR="00BD1F1E">
        <w:t>ed</w:t>
      </w:r>
      <w:r w:rsidR="005D6D12">
        <w:t xml:space="preserve"> in aged care homes</w:t>
      </w:r>
      <w:r>
        <w:t xml:space="preserve">, 69.7% </w:t>
      </w:r>
      <w:r w:rsidRPr="00C638F3">
        <w:t>(</w:t>
      </w:r>
      <w:r w:rsidRPr="00C638F3">
        <w:rPr>
          <w:i/>
          <w:iCs/>
        </w:rPr>
        <w:t>n</w:t>
      </w:r>
      <w:r w:rsidRPr="00C638F3">
        <w:t> = </w:t>
      </w:r>
      <w:r>
        <w:rPr>
          <w:rFonts w:cstheme="minorHAnsi"/>
        </w:rPr>
        <w:t>135,904</w:t>
      </w:r>
      <w:r w:rsidRPr="00C638F3">
        <w:t>)</w:t>
      </w:r>
      <w:r w:rsidR="005D6D12">
        <w:t xml:space="preserve"> </w:t>
      </w:r>
      <w:r w:rsidR="00A146CB">
        <w:t>received</w:t>
      </w:r>
      <w:r w:rsidR="00A146CB" w:rsidRPr="000B76CA">
        <w:t xml:space="preserve"> </w:t>
      </w:r>
      <w:r w:rsidR="005D6D12" w:rsidRPr="000B76CA">
        <w:t xml:space="preserve">at least one </w:t>
      </w:r>
      <w:r w:rsidR="005D6D12">
        <w:t>J01</w:t>
      </w:r>
      <w:r w:rsidR="00B057D1">
        <w:t> </w:t>
      </w:r>
      <w:r w:rsidR="005D6D12">
        <w:t xml:space="preserve">antibacterial for systemic use </w:t>
      </w:r>
      <w:r w:rsidR="005D6D12" w:rsidRPr="000B76CA">
        <w:t>supplied under the PBS and RPB</w:t>
      </w:r>
      <w:r w:rsidR="005D6D12">
        <w:t>S in 2023.</w:t>
      </w:r>
    </w:p>
    <w:p w14:paraId="0B63005E" w14:textId="04789BA1" w:rsidR="00294509" w:rsidRDefault="00294509" w:rsidP="00117D7E">
      <w:pPr>
        <w:spacing w:before="240"/>
      </w:pPr>
      <w:r w:rsidRPr="00906DEB">
        <w:rPr>
          <w:b/>
          <w:bCs/>
        </w:rPr>
        <w:t>Table 5:</w:t>
      </w:r>
      <w:r>
        <w:t xml:space="preserve"> Number of PBS</w:t>
      </w:r>
      <w:r w:rsidR="00E375CC">
        <w:t xml:space="preserve"> and </w:t>
      </w:r>
      <w:r>
        <w:t>RPBS</w:t>
      </w:r>
      <w:r w:rsidR="00E375CC">
        <w:t xml:space="preserve"> antimicrobial</w:t>
      </w:r>
      <w:r>
        <w:t xml:space="preserve"> prescriptions </w:t>
      </w:r>
      <w:r w:rsidR="00617364" w:rsidRPr="000B76CA">
        <w:rPr>
          <w:bCs/>
        </w:rPr>
        <w:t>dispensed</w:t>
      </w:r>
      <w:r w:rsidR="00617364">
        <w:rPr>
          <w:bCs/>
        </w:rPr>
        <w:t>, aged care homes</w:t>
      </w:r>
      <w:r>
        <w:t>, 2021</w:t>
      </w:r>
      <w:r w:rsidR="00E375CC" w:rsidRPr="00E375CC">
        <w:t>–</w:t>
      </w:r>
      <w:r>
        <w:t>2023</w:t>
      </w:r>
    </w:p>
    <w:tbl>
      <w:tblPr>
        <w:tblStyle w:val="PlainTable2"/>
        <w:tblW w:w="7513" w:type="dxa"/>
        <w:tblLayout w:type="fixed"/>
        <w:tblLook w:val="04A0" w:firstRow="1" w:lastRow="0" w:firstColumn="1" w:lastColumn="0" w:noHBand="0" w:noVBand="1"/>
        <w:tblCaption w:val="Table 5: Number of PBS and RPBS antimicrobial prescriptions dispensed, aged care homes, 2021–2023"/>
      </w:tblPr>
      <w:tblGrid>
        <w:gridCol w:w="851"/>
        <w:gridCol w:w="2268"/>
        <w:gridCol w:w="2410"/>
        <w:gridCol w:w="1984"/>
      </w:tblGrid>
      <w:tr w:rsidR="003437BA" w:rsidRPr="000B76CA" w14:paraId="668D9B95" w14:textId="77777777" w:rsidTr="003437B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shd w:val="clear" w:color="auto" w:fill="ECB69E"/>
            <w:vAlign w:val="center"/>
          </w:tcPr>
          <w:p w14:paraId="7ECAA5B1" w14:textId="4A78BDED" w:rsidR="003437BA" w:rsidRPr="000B76CA" w:rsidRDefault="003437BA" w:rsidP="00721E5D">
            <w:pPr>
              <w:spacing w:before="0" w:after="40"/>
              <w:rPr>
                <w:rFonts w:ascii="Arial" w:hAnsi="Arial" w:cs="Arial"/>
                <w:sz w:val="20"/>
                <w:szCs w:val="20"/>
              </w:rPr>
            </w:pPr>
            <w:r w:rsidRPr="000B76CA">
              <w:rPr>
                <w:rFonts w:ascii="Arial" w:hAnsi="Arial" w:cs="Arial"/>
                <w:sz w:val="20"/>
                <w:szCs w:val="20"/>
              </w:rPr>
              <w:t>Year</w:t>
            </w:r>
          </w:p>
        </w:tc>
        <w:tc>
          <w:tcPr>
            <w:tcW w:w="2268" w:type="dxa"/>
            <w:shd w:val="clear" w:color="auto" w:fill="ECB69E"/>
            <w:vAlign w:val="center"/>
          </w:tcPr>
          <w:p w14:paraId="3F436991" w14:textId="6C7B0EF3" w:rsidR="003437BA" w:rsidRPr="000B76CA" w:rsidRDefault="003437BA" w:rsidP="00721E5D">
            <w:pPr>
              <w:spacing w:before="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All antimicrobials (</w:t>
            </w:r>
            <w:r w:rsidRPr="000B76CA">
              <w:rPr>
                <w:rFonts w:ascii="Arial" w:hAnsi="Arial" w:cs="Arial"/>
                <w:i/>
                <w:sz w:val="20"/>
                <w:szCs w:val="20"/>
              </w:rPr>
              <w:t>n</w:t>
            </w:r>
            <w:r w:rsidRPr="000B76CA">
              <w:rPr>
                <w:rFonts w:ascii="Arial" w:hAnsi="Arial" w:cs="Arial"/>
                <w:sz w:val="20"/>
                <w:szCs w:val="20"/>
              </w:rPr>
              <w:t xml:space="preserve">) </w:t>
            </w:r>
          </w:p>
        </w:tc>
        <w:tc>
          <w:tcPr>
            <w:tcW w:w="2410" w:type="dxa"/>
            <w:shd w:val="clear" w:color="auto" w:fill="ECB69E"/>
            <w:vAlign w:val="center"/>
          </w:tcPr>
          <w:p w14:paraId="1835B9AB" w14:textId="21445688" w:rsidR="003437BA" w:rsidRPr="000B76CA" w:rsidRDefault="003437BA" w:rsidP="00721E5D">
            <w:pPr>
              <w:spacing w:before="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J01 antibacterials (</w:t>
            </w:r>
            <w:r w:rsidRPr="000B76CA">
              <w:rPr>
                <w:rFonts w:ascii="Arial" w:hAnsi="Arial" w:cs="Arial"/>
                <w:i/>
                <w:sz w:val="20"/>
                <w:szCs w:val="20"/>
              </w:rPr>
              <w:t>n</w:t>
            </w:r>
            <w:r w:rsidRPr="000B76CA">
              <w:rPr>
                <w:rFonts w:ascii="Arial" w:hAnsi="Arial" w:cs="Arial"/>
                <w:sz w:val="20"/>
                <w:szCs w:val="20"/>
              </w:rPr>
              <w:t xml:space="preserve">) </w:t>
            </w:r>
          </w:p>
        </w:tc>
        <w:tc>
          <w:tcPr>
            <w:tcW w:w="1984" w:type="dxa"/>
            <w:shd w:val="clear" w:color="auto" w:fill="ECB69E"/>
            <w:vAlign w:val="center"/>
          </w:tcPr>
          <w:p w14:paraId="60208E5D" w14:textId="77777777" w:rsidR="003437BA" w:rsidRPr="000B76CA" w:rsidRDefault="003437BA" w:rsidP="00721E5D">
            <w:pPr>
              <w:spacing w:before="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B76CA">
              <w:rPr>
                <w:rFonts w:ascii="Arial" w:hAnsi="Arial" w:cs="Arial"/>
                <w:sz w:val="20"/>
                <w:szCs w:val="20"/>
              </w:rPr>
              <w:t>Non-J01 antimicrobials (</w:t>
            </w:r>
            <w:r w:rsidRPr="000B76CA">
              <w:rPr>
                <w:rFonts w:ascii="Arial" w:hAnsi="Arial" w:cs="Arial"/>
                <w:i/>
                <w:sz w:val="20"/>
                <w:szCs w:val="20"/>
              </w:rPr>
              <w:t>n</w:t>
            </w:r>
            <w:r w:rsidRPr="000B76CA">
              <w:rPr>
                <w:rFonts w:ascii="Arial" w:hAnsi="Arial" w:cs="Arial"/>
                <w:sz w:val="20"/>
                <w:szCs w:val="20"/>
              </w:rPr>
              <w:t xml:space="preserve">) </w:t>
            </w:r>
          </w:p>
        </w:tc>
      </w:tr>
      <w:tr w:rsidR="003437BA" w:rsidRPr="000B76CA" w14:paraId="34A548BB" w14:textId="77777777" w:rsidTr="003437B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tcPr>
          <w:p w14:paraId="7B70B73D" w14:textId="519F118B" w:rsidR="003437BA" w:rsidRPr="000B76CA" w:rsidRDefault="003437BA" w:rsidP="00721E5D">
            <w:pPr>
              <w:spacing w:before="0" w:after="40"/>
              <w:rPr>
                <w:rFonts w:ascii="Arial" w:hAnsi="Arial" w:cs="Arial"/>
                <w:sz w:val="20"/>
                <w:szCs w:val="20"/>
              </w:rPr>
            </w:pPr>
            <w:r w:rsidRPr="000B76CA">
              <w:rPr>
                <w:rFonts w:ascii="Arial" w:hAnsi="Arial" w:cs="Arial"/>
                <w:sz w:val="20"/>
                <w:szCs w:val="20"/>
              </w:rPr>
              <w:t>20</w:t>
            </w:r>
            <w:r>
              <w:rPr>
                <w:rFonts w:ascii="Arial" w:hAnsi="Arial" w:cs="Arial"/>
                <w:sz w:val="20"/>
                <w:szCs w:val="20"/>
              </w:rPr>
              <w:t>21</w:t>
            </w:r>
          </w:p>
        </w:tc>
        <w:tc>
          <w:tcPr>
            <w:tcW w:w="2268" w:type="dxa"/>
          </w:tcPr>
          <w:p w14:paraId="2E32A595" w14:textId="2DC8BF51"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523,891</w:t>
            </w:r>
          </w:p>
        </w:tc>
        <w:tc>
          <w:tcPr>
            <w:tcW w:w="2410" w:type="dxa"/>
          </w:tcPr>
          <w:p w14:paraId="680719DF" w14:textId="4EFB5DAA"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485,847</w:t>
            </w:r>
          </w:p>
        </w:tc>
        <w:tc>
          <w:tcPr>
            <w:tcW w:w="1984" w:type="dxa"/>
          </w:tcPr>
          <w:p w14:paraId="73786A8F" w14:textId="0AD17855"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38,044</w:t>
            </w:r>
          </w:p>
        </w:tc>
      </w:tr>
      <w:tr w:rsidR="003437BA" w:rsidRPr="000B76CA" w14:paraId="37BC6681" w14:textId="77777777" w:rsidTr="003437BA">
        <w:trPr>
          <w:trHeight w:val="329"/>
        </w:trPr>
        <w:tc>
          <w:tcPr>
            <w:cnfStyle w:val="001000000000" w:firstRow="0" w:lastRow="0" w:firstColumn="1" w:lastColumn="0" w:oddVBand="0" w:evenVBand="0" w:oddHBand="0" w:evenHBand="0" w:firstRowFirstColumn="0" w:firstRowLastColumn="0" w:lastRowFirstColumn="0" w:lastRowLastColumn="0"/>
            <w:tcW w:w="851" w:type="dxa"/>
          </w:tcPr>
          <w:p w14:paraId="43E40A05" w14:textId="22ACBF5C" w:rsidR="003437BA" w:rsidRPr="000B76CA" w:rsidRDefault="003437BA" w:rsidP="00721E5D">
            <w:pPr>
              <w:spacing w:before="0" w:after="40"/>
              <w:rPr>
                <w:rFonts w:ascii="Arial" w:hAnsi="Arial" w:cs="Arial"/>
                <w:sz w:val="20"/>
                <w:szCs w:val="20"/>
              </w:rPr>
            </w:pPr>
            <w:r w:rsidRPr="000B76CA">
              <w:rPr>
                <w:rFonts w:ascii="Arial" w:hAnsi="Arial" w:cs="Arial"/>
                <w:sz w:val="20"/>
                <w:szCs w:val="20"/>
              </w:rPr>
              <w:t>20</w:t>
            </w:r>
            <w:r>
              <w:rPr>
                <w:rFonts w:ascii="Arial" w:hAnsi="Arial" w:cs="Arial"/>
                <w:sz w:val="20"/>
                <w:szCs w:val="20"/>
              </w:rPr>
              <w:t>22</w:t>
            </w:r>
          </w:p>
        </w:tc>
        <w:tc>
          <w:tcPr>
            <w:tcW w:w="2268" w:type="dxa"/>
          </w:tcPr>
          <w:p w14:paraId="1E6144B9" w14:textId="25AD4E4C" w:rsidR="003437BA" w:rsidRPr="000B76CA" w:rsidRDefault="003437BA" w:rsidP="00721E5D">
            <w:pPr>
              <w:spacing w:before="0" w:after="40"/>
              <w:ind w:left="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518,917</w:t>
            </w:r>
          </w:p>
        </w:tc>
        <w:tc>
          <w:tcPr>
            <w:tcW w:w="2410" w:type="dxa"/>
          </w:tcPr>
          <w:p w14:paraId="14963E0F" w14:textId="43F347D9" w:rsidR="003437BA" w:rsidRPr="000B76CA" w:rsidRDefault="003437BA" w:rsidP="00721E5D">
            <w:pPr>
              <w:spacing w:before="0" w:after="40"/>
              <w:ind w:left="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483,275</w:t>
            </w:r>
          </w:p>
        </w:tc>
        <w:tc>
          <w:tcPr>
            <w:tcW w:w="1984" w:type="dxa"/>
          </w:tcPr>
          <w:p w14:paraId="62D7788C" w14:textId="22ED8608" w:rsidR="003437BA" w:rsidRPr="000B76CA" w:rsidRDefault="003437BA" w:rsidP="00721E5D">
            <w:pPr>
              <w:spacing w:before="0" w:after="40"/>
              <w:ind w:left="283"/>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35,642</w:t>
            </w:r>
          </w:p>
        </w:tc>
      </w:tr>
      <w:tr w:rsidR="003437BA" w:rsidRPr="000B76CA" w14:paraId="292A4C7D" w14:textId="77777777" w:rsidTr="003437B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51" w:type="dxa"/>
          </w:tcPr>
          <w:p w14:paraId="51B52F37" w14:textId="7832C33B" w:rsidR="003437BA" w:rsidRPr="000B76CA" w:rsidRDefault="003437BA" w:rsidP="00721E5D">
            <w:pPr>
              <w:spacing w:before="0" w:after="40"/>
              <w:rPr>
                <w:rFonts w:ascii="Arial" w:hAnsi="Arial" w:cs="Arial"/>
                <w:sz w:val="20"/>
                <w:szCs w:val="20"/>
              </w:rPr>
            </w:pPr>
            <w:r w:rsidRPr="000B76CA">
              <w:rPr>
                <w:rFonts w:ascii="Arial" w:hAnsi="Arial" w:cs="Arial"/>
                <w:sz w:val="20"/>
                <w:szCs w:val="20"/>
              </w:rPr>
              <w:t>20</w:t>
            </w:r>
            <w:r>
              <w:rPr>
                <w:rFonts w:ascii="Arial" w:hAnsi="Arial" w:cs="Arial"/>
                <w:sz w:val="20"/>
                <w:szCs w:val="20"/>
              </w:rPr>
              <w:t>23</w:t>
            </w:r>
          </w:p>
        </w:tc>
        <w:tc>
          <w:tcPr>
            <w:tcW w:w="2268" w:type="dxa"/>
          </w:tcPr>
          <w:p w14:paraId="2EE12E58" w14:textId="07FE4750"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576,579</w:t>
            </w:r>
          </w:p>
        </w:tc>
        <w:tc>
          <w:tcPr>
            <w:tcW w:w="2410" w:type="dxa"/>
          </w:tcPr>
          <w:p w14:paraId="0FBBA5E3" w14:textId="159DE214"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536,483</w:t>
            </w:r>
          </w:p>
        </w:tc>
        <w:tc>
          <w:tcPr>
            <w:tcW w:w="1984" w:type="dxa"/>
          </w:tcPr>
          <w:p w14:paraId="2CD7A69F" w14:textId="16C82E78" w:rsidR="003437BA" w:rsidRPr="000B76CA" w:rsidRDefault="003437BA" w:rsidP="00721E5D">
            <w:pPr>
              <w:spacing w:before="0" w:after="40"/>
              <w:ind w:left="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40,096</w:t>
            </w:r>
          </w:p>
        </w:tc>
      </w:tr>
    </w:tbl>
    <w:p w14:paraId="25F8C6F4" w14:textId="205E5889" w:rsidR="00F00A6D" w:rsidRDefault="0057191D" w:rsidP="00991916">
      <w:pPr>
        <w:pStyle w:val="FigureTablefootnote"/>
        <w:spacing w:before="60"/>
      </w:pPr>
      <w:r w:rsidRPr="000B76CA">
        <w:t>J01 = antibacterials for systemic use; PBS = Pharmaceutical Benefits Scheme; RPBS = Repatriation Pharmaceutical Benefits Scheme</w:t>
      </w:r>
      <w:r w:rsidRPr="000B76CA">
        <w:br/>
      </w:r>
      <w:r w:rsidR="00F00A6D">
        <w:t xml:space="preserve">Note: </w:t>
      </w:r>
      <w:r w:rsidR="00F5595F">
        <w:t xml:space="preserve">The aged care indicator </w:t>
      </w:r>
      <w:r w:rsidR="00751D77">
        <w:t xml:space="preserve">for a patient’s residence in an aged care home </w:t>
      </w:r>
      <w:r w:rsidR="00991916">
        <w:t xml:space="preserve">was introduced in July 2017 and </w:t>
      </w:r>
      <w:r w:rsidR="00751D77">
        <w:t>became mandatory from July 2020.</w:t>
      </w:r>
      <w:r w:rsidR="00991916">
        <w:t xml:space="preserve"> </w:t>
      </w:r>
      <w:r w:rsidR="00F00A6D" w:rsidRPr="00F00A6D">
        <w:t>Therefore, analyses for data from 1 January 2021 to 31 December 2023 were included in this report to ensure complete and reliable data</w:t>
      </w:r>
      <w:r w:rsidR="00585526">
        <w:t xml:space="preserve"> analysis</w:t>
      </w:r>
      <w:r w:rsidR="009C5238">
        <w:t>.</w:t>
      </w:r>
    </w:p>
    <w:p w14:paraId="1751EE1F" w14:textId="1EDAA05C" w:rsidR="0057191D" w:rsidRDefault="0057191D" w:rsidP="003437BA">
      <w:pPr>
        <w:pStyle w:val="FigureTablefootnote"/>
      </w:pPr>
      <w:r w:rsidRPr="000B76CA">
        <w:t xml:space="preserve">Source: </w:t>
      </w:r>
      <w:proofErr w:type="spellStart"/>
      <w:r w:rsidRPr="000B76CA">
        <w:t>Gadzhanova</w:t>
      </w:r>
      <w:proofErr w:type="spellEnd"/>
      <w:r w:rsidRPr="000B76CA">
        <w:t>, Roughead</w:t>
      </w:r>
      <w:r w:rsidR="00C171BC">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00C171BC">
        <w:fldChar w:fldCharType="separate"/>
      </w:r>
      <w:r w:rsidR="00577C74" w:rsidRPr="00577C74">
        <w:rPr>
          <w:noProof/>
          <w:vertAlign w:val="superscript"/>
        </w:rPr>
        <w:t>40</w:t>
      </w:r>
      <w:r w:rsidR="00C171BC">
        <w:fldChar w:fldCharType="end"/>
      </w:r>
    </w:p>
    <w:p w14:paraId="6B5C96E7" w14:textId="77777777" w:rsidR="000F3E49" w:rsidRDefault="000F3E49" w:rsidP="0057191D">
      <w:pPr>
        <w:pStyle w:val="FigureTablefootnote"/>
      </w:pPr>
    </w:p>
    <w:p w14:paraId="03C6612C" w14:textId="6F264092" w:rsidR="00AD1863" w:rsidRDefault="00AD1863" w:rsidP="00AD1863">
      <w:r>
        <w:t>The J01</w:t>
      </w:r>
      <w:r w:rsidR="009E729B">
        <w:t> </w:t>
      </w:r>
      <w:r>
        <w:t xml:space="preserve">antibacterials </w:t>
      </w:r>
      <w:r w:rsidR="001C3608">
        <w:t xml:space="preserve">were the most commonly </w:t>
      </w:r>
      <w:r>
        <w:t xml:space="preserve">dispensed </w:t>
      </w:r>
      <w:r w:rsidR="001C3608" w:rsidRPr="00AF7077">
        <w:rPr>
          <w:rFonts w:cstheme="minorHAnsi"/>
        </w:rPr>
        <w:t xml:space="preserve">antimicrobial class </w:t>
      </w:r>
      <w:r>
        <w:t>to aged care residents</w:t>
      </w:r>
      <w:r w:rsidR="00C46A2A">
        <w:t xml:space="preserve"> </w:t>
      </w:r>
      <w:r w:rsidR="001269F0">
        <w:t xml:space="preserve">and </w:t>
      </w:r>
      <w:r>
        <w:t>represented 2.</w:t>
      </w:r>
      <w:r w:rsidR="00A047AA">
        <w:t>5</w:t>
      </w:r>
      <w:r>
        <w:t>% of all J01</w:t>
      </w:r>
      <w:r w:rsidR="009E729B">
        <w:t> </w:t>
      </w:r>
      <w:r>
        <w:t xml:space="preserve">antibacterials supplied </w:t>
      </w:r>
      <w:r w:rsidR="00716DC6">
        <w:t xml:space="preserve">in Australia </w:t>
      </w:r>
      <w:r>
        <w:t>under the PBS and RPBS in 2023.</w:t>
      </w:r>
      <w:r w:rsidR="001016F8">
        <w:t xml:space="preserve"> Figure 1</w:t>
      </w:r>
      <w:r w:rsidR="00905443">
        <w:t>1</w:t>
      </w:r>
      <w:r w:rsidR="001016F8">
        <w:t xml:space="preserve"> shows use of J01 antibacterials in aged care homes by month. </w:t>
      </w:r>
    </w:p>
    <w:p w14:paraId="417A16B8" w14:textId="609AD6FE" w:rsidR="00AD1863" w:rsidRDefault="00AD1863" w:rsidP="001627E0">
      <w:pPr>
        <w:rPr>
          <w:b/>
          <w:bCs/>
        </w:rPr>
      </w:pPr>
      <w:r>
        <w:t>The next most common</w:t>
      </w:r>
      <w:r w:rsidR="004A7328">
        <w:t>ly supplied</w:t>
      </w:r>
      <w:r>
        <w:t xml:space="preserve"> </w:t>
      </w:r>
      <w:r w:rsidR="00F040D9">
        <w:t xml:space="preserve">antimicrobials </w:t>
      </w:r>
      <w:r w:rsidR="00606099">
        <w:t xml:space="preserve">under the PBS and RPBS </w:t>
      </w:r>
      <w:r w:rsidR="00F040D9">
        <w:t>in aged care homes were ATC codes S01</w:t>
      </w:r>
      <w:r w:rsidR="00B057D1">
        <w:t> </w:t>
      </w:r>
      <w:r w:rsidR="00F040D9">
        <w:t>and</w:t>
      </w:r>
      <w:r w:rsidR="00D27FE5">
        <w:t> </w:t>
      </w:r>
      <w:r w:rsidR="00F040D9">
        <w:t xml:space="preserve">S02, which </w:t>
      </w:r>
      <w:r w:rsidR="00663D5D">
        <w:t>were</w:t>
      </w:r>
      <w:r w:rsidR="00F040D9">
        <w:t xml:space="preserve"> topical antimicrobials for eyes and ears, respectively</w:t>
      </w:r>
      <w:r w:rsidR="006D767D">
        <w:t xml:space="preserve"> (Figure 1</w:t>
      </w:r>
      <w:r w:rsidR="00905443">
        <w:t>2</w:t>
      </w:r>
      <w:r w:rsidR="006D767D">
        <w:t>)</w:t>
      </w:r>
      <w:r w:rsidR="00F040D9">
        <w:t>.</w:t>
      </w:r>
      <w:r w:rsidR="001628E4">
        <w:t xml:space="preserve"> </w:t>
      </w:r>
      <w:r w:rsidR="00686B5C">
        <w:t xml:space="preserve">As the </w:t>
      </w:r>
      <w:r w:rsidR="001628E4">
        <w:t xml:space="preserve">PBS and RPBS do not capture data on indication, it is </w:t>
      </w:r>
      <w:r w:rsidR="00686B5C">
        <w:t>difficult to comment on this finding</w:t>
      </w:r>
      <w:r w:rsidR="001627E0">
        <w:t>.</w:t>
      </w:r>
      <w:r>
        <w:rPr>
          <w:b/>
          <w:bCs/>
        </w:rPr>
        <w:br w:type="page"/>
      </w:r>
    </w:p>
    <w:p w14:paraId="1758965C" w14:textId="4F3549F0" w:rsidR="00EA0F84" w:rsidRDefault="00EA0F84" w:rsidP="002020C6">
      <w:pPr>
        <w:spacing w:after="0"/>
      </w:pPr>
      <w:r w:rsidRPr="001647E7">
        <w:rPr>
          <w:b/>
          <w:bCs/>
        </w:rPr>
        <w:lastRenderedPageBreak/>
        <w:t>Figure 1</w:t>
      </w:r>
      <w:r w:rsidR="00905443" w:rsidRPr="001647E7">
        <w:rPr>
          <w:b/>
          <w:bCs/>
        </w:rPr>
        <w:t>1</w:t>
      </w:r>
      <w:r w:rsidRPr="001647E7">
        <w:rPr>
          <w:b/>
          <w:bCs/>
        </w:rPr>
        <w:t>:</w:t>
      </w:r>
      <w:r w:rsidRPr="001647E7">
        <w:t xml:space="preserve"> Number of PBS and RPBS prescriptions </w:t>
      </w:r>
      <w:r w:rsidR="00AD1863" w:rsidRPr="001647E7">
        <w:t>for J01 antibacterials for systemic use</w:t>
      </w:r>
      <w:r w:rsidR="009B3743" w:rsidRPr="001647E7">
        <w:t xml:space="preserve"> dispensed</w:t>
      </w:r>
      <w:r w:rsidR="00617364" w:rsidRPr="001647E7">
        <w:t>, aged care homes</w:t>
      </w:r>
      <w:r w:rsidRPr="001647E7">
        <w:t>, 2021–</w:t>
      </w:r>
      <w:proofErr w:type="gramStart"/>
      <w:r w:rsidRPr="001647E7">
        <w:t>2023</w:t>
      </w:r>
      <w:proofErr w:type="gramEnd"/>
    </w:p>
    <w:p w14:paraId="7D4D6D1D" w14:textId="10415285" w:rsidR="002C1184" w:rsidRDefault="002C1184" w:rsidP="00A634CD">
      <w:pPr>
        <w:spacing w:before="0" w:after="0"/>
      </w:pPr>
      <w:r>
        <w:rPr>
          <w:noProof/>
        </w:rPr>
        <w:drawing>
          <wp:inline distT="0" distB="0" distL="0" distR="0" wp14:anchorId="5F76AC1A" wp14:editId="2A845C8F">
            <wp:extent cx="6120765" cy="3023870"/>
            <wp:effectExtent l="0" t="0" r="0" b="0"/>
            <wp:docPr id="33" name="Picture 33" descr="Figure 11: Number of PBS and RPBS prescriptions for J01 antibacterials for systemic use dispensed, aged care homes,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1: Number of PBS and RPBS prescriptions for J01 antibacterials for systemic use dispensed, aged care homes, 2021–2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023870"/>
                    </a:xfrm>
                    <a:prstGeom prst="rect">
                      <a:avLst/>
                    </a:prstGeom>
                    <a:noFill/>
                  </pic:spPr>
                </pic:pic>
              </a:graphicData>
            </a:graphic>
          </wp:inline>
        </w:drawing>
      </w:r>
    </w:p>
    <w:p w14:paraId="41AC2815" w14:textId="3D663FD3" w:rsidR="00AD1863" w:rsidRDefault="00EA0F84" w:rsidP="001C01C8">
      <w:pPr>
        <w:pStyle w:val="FigureTablefootnote"/>
      </w:pPr>
      <w:bookmarkStart w:id="42" w:name="_Hlk169088303"/>
      <w:r w:rsidRPr="000B76CA">
        <w:t xml:space="preserve"> </w:t>
      </w:r>
      <w:bookmarkEnd w:id="42"/>
      <w:r w:rsidRPr="000B76CA">
        <w:t>PBS = Pharmaceutical Benefits Scheme; RPBS = Repatriation Pharmaceutical Benefits Scheme</w:t>
      </w:r>
    </w:p>
    <w:p w14:paraId="211EB4F2" w14:textId="552641CE" w:rsidR="00054FD2" w:rsidRDefault="00EA0F84" w:rsidP="001C01C8">
      <w:pPr>
        <w:pStyle w:val="FigureTablefootnote"/>
      </w:pPr>
      <w:r w:rsidRPr="000B76CA">
        <w:t xml:space="preserve">Source: </w:t>
      </w:r>
      <w:proofErr w:type="spellStart"/>
      <w:r w:rsidRPr="000B76CA">
        <w:t>Gadzhanova</w:t>
      </w:r>
      <w:proofErr w:type="spellEnd"/>
      <w:r w:rsidRPr="000B76CA">
        <w:t>, Roughead</w:t>
      </w:r>
      <w:r>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fldChar w:fldCharType="separate"/>
      </w:r>
      <w:r w:rsidR="00577C74" w:rsidRPr="00577C74">
        <w:rPr>
          <w:noProof/>
          <w:vertAlign w:val="superscript"/>
        </w:rPr>
        <w:t>40</w:t>
      </w:r>
      <w:r>
        <w:fldChar w:fldCharType="end"/>
      </w:r>
    </w:p>
    <w:p w14:paraId="6773BF22" w14:textId="4A624A30" w:rsidR="00AD1863" w:rsidRDefault="00AD1863" w:rsidP="00054FD2">
      <w:pPr>
        <w:spacing w:before="140" w:after="0"/>
      </w:pPr>
      <w:r w:rsidRPr="00906DEB">
        <w:rPr>
          <w:b/>
          <w:bCs/>
        </w:rPr>
        <w:t>Figure 1</w:t>
      </w:r>
      <w:r w:rsidR="00905443">
        <w:rPr>
          <w:b/>
          <w:bCs/>
        </w:rPr>
        <w:t>2</w:t>
      </w:r>
      <w:r w:rsidRPr="00906DEB">
        <w:rPr>
          <w:b/>
          <w:bCs/>
        </w:rPr>
        <w:t>:</w:t>
      </w:r>
      <w:r>
        <w:t xml:space="preserve"> Number of PBS and RPBS antimicrobial prescriptions </w:t>
      </w:r>
      <w:r w:rsidR="009B3743">
        <w:t>dispensed,</w:t>
      </w:r>
      <w:r>
        <w:t xml:space="preserve"> aged care homes, 2021</w:t>
      </w:r>
      <w:r w:rsidRPr="00E375CC">
        <w:t>–</w:t>
      </w:r>
      <w:proofErr w:type="gramStart"/>
      <w:r>
        <w:t>2023</w:t>
      </w:r>
      <w:proofErr w:type="gramEnd"/>
    </w:p>
    <w:p w14:paraId="25820983" w14:textId="2E9D2447" w:rsidR="002020C6" w:rsidRDefault="001647E7" w:rsidP="00A634CD">
      <w:pPr>
        <w:spacing w:before="0" w:after="0"/>
      </w:pPr>
      <w:r>
        <w:rPr>
          <w:noProof/>
        </w:rPr>
        <w:drawing>
          <wp:inline distT="0" distB="0" distL="0" distR="0" wp14:anchorId="06195810" wp14:editId="49C8BE79">
            <wp:extent cx="6120765" cy="3926205"/>
            <wp:effectExtent l="0" t="0" r="0" b="0"/>
            <wp:docPr id="3" name="Picture 3" descr="Figure 12: Number of PBS and RPBS antimicrobial prescriptions dispensed, aged care homes,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2: Number of PBS and RPBS antimicrobial prescriptions dispensed, aged care homes, 2021–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926205"/>
                    </a:xfrm>
                    <a:prstGeom prst="rect">
                      <a:avLst/>
                    </a:prstGeom>
                    <a:noFill/>
                  </pic:spPr>
                </pic:pic>
              </a:graphicData>
            </a:graphic>
          </wp:inline>
        </w:drawing>
      </w:r>
    </w:p>
    <w:p w14:paraId="5E785E1B" w14:textId="3135C388" w:rsidR="00AD1863" w:rsidRDefault="007375FB" w:rsidP="002020C6">
      <w:pPr>
        <w:pStyle w:val="FigureTablefootnote"/>
      </w:pPr>
      <w:r w:rsidRPr="007375FB">
        <w:t>A01</w:t>
      </w:r>
      <w:r>
        <w:t> = </w:t>
      </w:r>
      <w:proofErr w:type="spellStart"/>
      <w:r w:rsidRPr="007375FB">
        <w:t>stomatological</w:t>
      </w:r>
      <w:proofErr w:type="spellEnd"/>
      <w:r w:rsidRPr="007375FB">
        <w:t xml:space="preserve"> preparations; A02</w:t>
      </w:r>
      <w:r>
        <w:t> = </w:t>
      </w:r>
      <w:r w:rsidRPr="007375FB">
        <w:t xml:space="preserve">drugs for acid related disorders; A07 </w:t>
      </w:r>
      <w:r>
        <w:t>= </w:t>
      </w:r>
      <w:r w:rsidRPr="007375FB">
        <w:t>antidiarrheals, intestinal anti-inflammatory/anti-infective agents; D0</w:t>
      </w:r>
      <w:r>
        <w:t>1 = </w:t>
      </w:r>
      <w:r w:rsidRPr="007375FB">
        <w:t xml:space="preserve">antifungals for dermatological use; D06 </w:t>
      </w:r>
      <w:r>
        <w:t>= </w:t>
      </w:r>
      <w:r w:rsidRPr="007375FB">
        <w:t xml:space="preserve">antibiotics and chemotherapeutics for dermatological use; D11 </w:t>
      </w:r>
      <w:r>
        <w:t>= </w:t>
      </w:r>
      <w:r w:rsidRPr="007375FB">
        <w:t>other dermatological preparations; J02</w:t>
      </w:r>
      <w:r>
        <w:t xml:space="preserve"> = </w:t>
      </w:r>
      <w:r w:rsidRPr="007375FB">
        <w:t xml:space="preserve">antimycotics for systemic use; J04 </w:t>
      </w:r>
      <w:r>
        <w:t>=</w:t>
      </w:r>
      <w:r w:rsidRPr="007375FB">
        <w:t xml:space="preserve"> </w:t>
      </w:r>
      <w:proofErr w:type="spellStart"/>
      <w:r w:rsidRPr="007375FB">
        <w:t>antimycobacterials</w:t>
      </w:r>
      <w:proofErr w:type="spellEnd"/>
      <w:r w:rsidRPr="007375FB">
        <w:t xml:space="preserve">; </w:t>
      </w:r>
      <w:r w:rsidR="006A0370" w:rsidRPr="000B76CA">
        <w:t>PBS = Pharmaceutical Benefits Scheme; RPBS = Repatriation Pharmaceutical Benefits Scheme</w:t>
      </w:r>
      <w:r w:rsidR="006A0370">
        <w:t xml:space="preserve">; </w:t>
      </w:r>
      <w:r w:rsidRPr="007375FB">
        <w:t>S01</w:t>
      </w:r>
      <w:r>
        <w:t> = </w:t>
      </w:r>
      <w:proofErr w:type="spellStart"/>
      <w:r w:rsidRPr="007375FB">
        <w:t>ophthalmologicals</w:t>
      </w:r>
      <w:proofErr w:type="spellEnd"/>
      <w:r w:rsidRPr="007375FB">
        <w:t xml:space="preserve">; S02 </w:t>
      </w:r>
      <w:r>
        <w:t>=</w:t>
      </w:r>
      <w:r w:rsidRPr="007375FB">
        <w:t xml:space="preserve"> </w:t>
      </w:r>
      <w:proofErr w:type="spellStart"/>
      <w:r w:rsidRPr="007375FB">
        <w:t>otologicals</w:t>
      </w:r>
      <w:proofErr w:type="spellEnd"/>
      <w:r w:rsidRPr="007375FB">
        <w:t xml:space="preserve">; S03 </w:t>
      </w:r>
      <w:r>
        <w:t>=</w:t>
      </w:r>
      <w:r w:rsidRPr="007375FB">
        <w:t xml:space="preserve"> ophthalmological and </w:t>
      </w:r>
      <w:proofErr w:type="spellStart"/>
      <w:r w:rsidRPr="007375FB">
        <w:t>otological</w:t>
      </w:r>
      <w:proofErr w:type="spellEnd"/>
      <w:r w:rsidRPr="007375FB">
        <w:t xml:space="preserve"> preparations</w:t>
      </w:r>
    </w:p>
    <w:p w14:paraId="2A4958DA" w14:textId="6130E05D" w:rsidR="00875C5B" w:rsidRDefault="00875C5B" w:rsidP="002020C6">
      <w:pPr>
        <w:pStyle w:val="FigureTablefootnote"/>
      </w:pPr>
      <w:r>
        <w:t xml:space="preserve">Note: Many antimicrobials </w:t>
      </w:r>
      <w:r w:rsidR="005F26CB">
        <w:t xml:space="preserve">for skin conditions </w:t>
      </w:r>
      <w:r>
        <w:t>are available over-the-counter without a prescription so are not captured by the PBS and RPBS.</w:t>
      </w:r>
    </w:p>
    <w:p w14:paraId="0CAE5810" w14:textId="1089A9F9" w:rsidR="001C01C8" w:rsidRDefault="00AD1863" w:rsidP="002020C6">
      <w:pPr>
        <w:pStyle w:val="FigureTablefootnote"/>
      </w:pPr>
      <w:r w:rsidRPr="000B76CA">
        <w:t xml:space="preserve">Source: </w:t>
      </w:r>
      <w:proofErr w:type="spellStart"/>
      <w:r w:rsidRPr="000B76CA">
        <w:t>Gadzhanova</w:t>
      </w:r>
      <w:proofErr w:type="spellEnd"/>
      <w:r w:rsidRPr="000B76CA">
        <w:t>, Roughead</w:t>
      </w:r>
      <w:r>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fldChar w:fldCharType="separate"/>
      </w:r>
      <w:r w:rsidR="00577C74" w:rsidRPr="00577C74">
        <w:rPr>
          <w:noProof/>
          <w:vertAlign w:val="superscript"/>
        </w:rPr>
        <w:t>40</w:t>
      </w:r>
      <w:r>
        <w:fldChar w:fldCharType="end"/>
      </w:r>
      <w:r w:rsidR="001C01C8">
        <w:br w:type="page"/>
      </w:r>
    </w:p>
    <w:p w14:paraId="4A1CC91B" w14:textId="145B9AC1" w:rsidR="00B764BF" w:rsidRDefault="00F756CE" w:rsidP="00C3626B">
      <w:bookmarkStart w:id="43" w:name="_Toc121826732"/>
      <w:r w:rsidRPr="009D0B19">
        <w:lastRenderedPageBreak/>
        <w:t>The 10</w:t>
      </w:r>
      <w:r w:rsidR="002739C5" w:rsidRPr="009D0B19">
        <w:t> </w:t>
      </w:r>
      <w:r w:rsidRPr="009D0B19">
        <w:t xml:space="preserve">most commonly dispensed antimicrobials accounted for </w:t>
      </w:r>
      <w:r w:rsidR="00012B78">
        <w:t>more</w:t>
      </w:r>
      <w:r w:rsidR="00DC1F72">
        <w:t xml:space="preserve"> than </w:t>
      </w:r>
      <w:r w:rsidR="0077409E">
        <w:t>8</w:t>
      </w:r>
      <w:r w:rsidR="00DC1F72">
        <w:t>4</w:t>
      </w:r>
      <w:r w:rsidRPr="009D0B19">
        <w:t xml:space="preserve">% of all antimicrobials </w:t>
      </w:r>
      <w:r w:rsidR="0080493D" w:rsidRPr="009D0B19">
        <w:t>dispensed</w:t>
      </w:r>
      <w:r w:rsidRPr="009D0B19">
        <w:t xml:space="preserve"> </w:t>
      </w:r>
      <w:r w:rsidR="0077409E">
        <w:t xml:space="preserve">to </w:t>
      </w:r>
      <w:r w:rsidR="0077409E" w:rsidRPr="009D0B19">
        <w:t>aged care home</w:t>
      </w:r>
      <w:r w:rsidR="0077409E">
        <w:t xml:space="preserve"> residents</w:t>
      </w:r>
      <w:r w:rsidR="0077409E" w:rsidRPr="009D0B19">
        <w:t xml:space="preserve"> </w:t>
      </w:r>
      <w:r w:rsidR="00DC1F72">
        <w:t>in 2021 to 2023</w:t>
      </w:r>
      <w:r w:rsidRPr="009D0B19">
        <w:t xml:space="preserve">. </w:t>
      </w:r>
      <w:r w:rsidR="0080493D" w:rsidRPr="009D0B19">
        <w:t>As in previous years</w:t>
      </w:r>
      <w:r w:rsidR="00DC1F72">
        <w:t xml:space="preserve"> for overall antimicrobial use in Australia under the PBS and </w:t>
      </w:r>
      <w:r w:rsidR="00DC1F72" w:rsidRPr="002E053E">
        <w:t>RPBS</w:t>
      </w:r>
      <w:r w:rsidR="002E053E" w:rsidRPr="002E053E">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 </w:instrText>
      </w:r>
      <w:r w:rsidR="00C43D56">
        <w:rPr>
          <w:rFonts w:asciiTheme="majorHAnsi" w:hAnsiTheme="majorHAnsi" w:cstheme="majorHAnsi"/>
        </w:rPr>
        <w:fldChar w:fldCharType="begin">
          <w:fldData xml:space="preserve">PEVuZE5vdGU+PENpdGU+PEF1dGhvcj5BdXN0cmFsaWFuIENvbW1pc3Npb24gb24gU2FmZXR5IGFu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PC9jb250cmlidXRvcnM+PHRpdGxlcz48dGl0bGU+QVVSQSAyMDE3OiBzZWNvbmQgQXVzdHJhbGlh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</w:fldData>
        </w:fldChar>
      </w:r>
      <w:r w:rsidR="00C43D56">
        <w:rPr>
          <w:rFonts w:asciiTheme="majorHAnsi" w:hAnsiTheme="majorHAnsi" w:cstheme="majorHAnsi"/>
        </w:rPr>
        <w:instrText xml:space="preserve"> ADDIN EN.CITE.DATA </w:instrText>
      </w:r>
      <w:r w:rsidR="00C43D56">
        <w:rPr>
          <w:rFonts w:asciiTheme="majorHAnsi" w:hAnsiTheme="majorHAnsi" w:cstheme="majorHAnsi"/>
        </w:rPr>
      </w:r>
      <w:r w:rsidR="00C43D56">
        <w:rPr>
          <w:rFonts w:asciiTheme="majorHAnsi" w:hAnsiTheme="majorHAnsi" w:cstheme="majorHAnsi"/>
        </w:rPr>
        <w:fldChar w:fldCharType="end"/>
      </w:r>
      <w:r w:rsidR="002E053E" w:rsidRPr="002E053E">
        <w:rPr>
          <w:rFonts w:asciiTheme="majorHAnsi" w:hAnsiTheme="majorHAnsi" w:cstheme="majorHAnsi"/>
        </w:rPr>
      </w:r>
      <w:r w:rsidR="002E053E" w:rsidRPr="002E053E">
        <w:rPr>
          <w:rFonts w:asciiTheme="majorHAnsi" w:hAnsiTheme="majorHAnsi" w:cstheme="majorHAnsi"/>
        </w:rPr>
        <w:fldChar w:fldCharType="separate"/>
      </w:r>
      <w:r w:rsidR="00C43D56" w:rsidRPr="00C43D56">
        <w:rPr>
          <w:rFonts w:asciiTheme="majorHAnsi" w:hAnsiTheme="majorHAnsi" w:cstheme="majorHAnsi"/>
          <w:noProof/>
          <w:vertAlign w:val="superscript"/>
        </w:rPr>
        <w:t>12,14-18</w:t>
      </w:r>
      <w:r w:rsidR="002E053E" w:rsidRPr="002E053E">
        <w:rPr>
          <w:rFonts w:asciiTheme="majorHAnsi" w:hAnsiTheme="majorHAnsi" w:cstheme="majorHAnsi"/>
        </w:rPr>
        <w:fldChar w:fldCharType="end"/>
      </w:r>
      <w:r w:rsidR="0080493D" w:rsidRPr="002E053E">
        <w:t>, cefalexin</w:t>
      </w:r>
      <w:r w:rsidR="00DC1F72" w:rsidRPr="002E053E">
        <w:t xml:space="preserve"> </w:t>
      </w:r>
      <w:r w:rsidR="0080493D" w:rsidRPr="009D0B19">
        <w:t xml:space="preserve">was most </w:t>
      </w:r>
      <w:r w:rsidR="002E053E">
        <w:t xml:space="preserve">frequently </w:t>
      </w:r>
      <w:r w:rsidR="003B1FC8">
        <w:t xml:space="preserve">supplied </w:t>
      </w:r>
      <w:r w:rsidR="0080493D" w:rsidRPr="009D0B19">
        <w:t>(Figure</w:t>
      </w:r>
      <w:r w:rsidR="003F567E" w:rsidRPr="009D0B19">
        <w:t> </w:t>
      </w:r>
      <w:r w:rsidR="0080493D" w:rsidRPr="009D0B19">
        <w:t>1</w:t>
      </w:r>
      <w:r w:rsidR="00905443">
        <w:t>3</w:t>
      </w:r>
      <w:r w:rsidR="0080493D" w:rsidRPr="009D0B19">
        <w:t>).</w:t>
      </w:r>
    </w:p>
    <w:p w14:paraId="4FF71D9D" w14:textId="79BC07C4" w:rsidR="00F30B77" w:rsidRDefault="00F30B77" w:rsidP="00F30B77">
      <w:r>
        <w:t xml:space="preserve">The next most commonly </w:t>
      </w:r>
      <w:r w:rsidR="003B1FC8">
        <w:t xml:space="preserve">dispensed </w:t>
      </w:r>
      <w:r>
        <w:t>antimicrobials were azithromycin, clarithromycin and metronidazole (data not shown).</w:t>
      </w:r>
    </w:p>
    <w:p w14:paraId="32E692FC" w14:textId="0B8DC348" w:rsidR="003853A0" w:rsidRDefault="003853A0" w:rsidP="002E053E">
      <w:pPr>
        <w:spacing w:before="240" w:after="0"/>
      </w:pPr>
      <w:r w:rsidRPr="009D0B19">
        <w:rPr>
          <w:b/>
          <w:bCs/>
        </w:rPr>
        <w:t>Figure</w:t>
      </w:r>
      <w:r w:rsidR="00906DEB" w:rsidRPr="009D0B19">
        <w:rPr>
          <w:b/>
          <w:bCs/>
        </w:rPr>
        <w:t xml:space="preserve"> </w:t>
      </w:r>
      <w:r w:rsidRPr="009D0B19">
        <w:rPr>
          <w:b/>
          <w:bCs/>
        </w:rPr>
        <w:t>1</w:t>
      </w:r>
      <w:r w:rsidR="00905443">
        <w:rPr>
          <w:b/>
          <w:bCs/>
        </w:rPr>
        <w:t>3</w:t>
      </w:r>
      <w:r w:rsidRPr="009D0B19">
        <w:rPr>
          <w:b/>
          <w:bCs/>
        </w:rPr>
        <w:t>:</w:t>
      </w:r>
      <w:r w:rsidRPr="009D0B19">
        <w:t xml:space="preserve"> The 10 </w:t>
      </w:r>
      <w:proofErr w:type="gramStart"/>
      <w:r w:rsidRPr="009D0B19">
        <w:t>most commonly</w:t>
      </w:r>
      <w:r w:rsidR="0080493D" w:rsidRPr="009D0B19">
        <w:t xml:space="preserve"> dispensed</w:t>
      </w:r>
      <w:proofErr w:type="gramEnd"/>
      <w:r w:rsidR="0080493D" w:rsidRPr="009D0B19">
        <w:t xml:space="preserve"> PBS and RPBS</w:t>
      </w:r>
      <w:r w:rsidRPr="009D0B19">
        <w:t xml:space="preserve"> antimicrobial prescriptions</w:t>
      </w:r>
      <w:r w:rsidR="00D15465">
        <w:t xml:space="preserve">, </w:t>
      </w:r>
      <w:r w:rsidR="0080493D" w:rsidRPr="009D0B19">
        <w:t>aged care homes</w:t>
      </w:r>
      <w:r w:rsidRPr="009D0B19">
        <w:t>, 20</w:t>
      </w:r>
      <w:r w:rsidR="00961013">
        <w:t>21–20</w:t>
      </w:r>
      <w:r w:rsidRPr="009D0B19">
        <w:t>23</w:t>
      </w:r>
    </w:p>
    <w:p w14:paraId="6A8BB08D" w14:textId="4C81EF58" w:rsidR="001016F8" w:rsidRPr="009D0B19" w:rsidRDefault="00321D20" w:rsidP="00321D20">
      <w:pPr>
        <w:spacing w:before="0" w:after="0"/>
      </w:pPr>
      <w:r>
        <w:rPr>
          <w:noProof/>
        </w:rPr>
        <w:drawing>
          <wp:inline distT="0" distB="0" distL="0" distR="0" wp14:anchorId="176117C8" wp14:editId="0551354F">
            <wp:extent cx="6120765" cy="3963035"/>
            <wp:effectExtent l="0" t="0" r="0" b="0"/>
            <wp:docPr id="4" name="Picture 4" descr="Figure 13: The 10 most commonly dispensed PBS and RPBS antimicrobial prescriptions, aged care homes,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3: The 10 most commonly dispensed PBS and RPBS antimicrobial prescriptions, aged care homes, 2021–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963035"/>
                    </a:xfrm>
                    <a:prstGeom prst="rect">
                      <a:avLst/>
                    </a:prstGeom>
                    <a:noFill/>
                  </pic:spPr>
                </pic:pic>
              </a:graphicData>
            </a:graphic>
          </wp:inline>
        </w:drawing>
      </w:r>
    </w:p>
    <w:p w14:paraId="0E26FD60" w14:textId="78283E5E" w:rsidR="00DC1F72" w:rsidRDefault="003F567E" w:rsidP="00DD36D3">
      <w:pPr>
        <w:pStyle w:val="FigureTablefootnote"/>
      </w:pPr>
      <w:r w:rsidRPr="009D0B19">
        <w:t>PBS = Pharmaceutical Benefits Scheme; RPBS = Repatriation Pharmaceutical Benefits Scheme</w:t>
      </w:r>
      <w:r w:rsidRPr="009D0B19">
        <w:br/>
      </w:r>
      <w:r w:rsidR="00DC1F72">
        <w:t>Note: Data labels for 2023 are shown.</w:t>
      </w:r>
    </w:p>
    <w:p w14:paraId="091E5FD5" w14:textId="4AACDA95" w:rsidR="007156B3" w:rsidRDefault="003F567E" w:rsidP="007156B3">
      <w:pPr>
        <w:pStyle w:val="FigureTablefootnote"/>
      </w:pPr>
      <w:r w:rsidRPr="009D0B19">
        <w:t xml:space="preserve">Source: </w:t>
      </w:r>
      <w:proofErr w:type="spellStart"/>
      <w:r w:rsidRPr="009D0B19">
        <w:t>Gadzhanova</w:t>
      </w:r>
      <w:proofErr w:type="spellEnd"/>
      <w:r w:rsidRPr="009D0B19">
        <w:t>, Roughead</w:t>
      </w:r>
      <w:r w:rsidRPr="009D0B19">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fldChar w:fldCharType="separate"/>
      </w:r>
      <w:r w:rsidR="00577C74" w:rsidRPr="00577C74">
        <w:rPr>
          <w:noProof/>
          <w:vertAlign w:val="superscript"/>
        </w:rPr>
        <w:t>40</w:t>
      </w:r>
      <w:r w:rsidRPr="009D0B19">
        <w:fldChar w:fldCharType="end"/>
      </w:r>
    </w:p>
    <w:p w14:paraId="61A34161" w14:textId="77777777" w:rsidR="006221CE" w:rsidRDefault="006221CE" w:rsidP="007156B3">
      <w:pPr>
        <w:pStyle w:val="FigureTablefootnote"/>
      </w:pPr>
    </w:p>
    <w:p w14:paraId="747133CD" w14:textId="3E97B7FF" w:rsidR="00870129" w:rsidRPr="00296EF3" w:rsidRDefault="00F41E23" w:rsidP="00BD07EC">
      <w:pPr>
        <w:pStyle w:val="Heading4"/>
        <w:rPr>
          <w:color w:val="005370"/>
        </w:rPr>
      </w:pPr>
      <w:r w:rsidRPr="00296EF3">
        <w:rPr>
          <w:color w:val="005370"/>
        </w:rPr>
        <w:t xml:space="preserve">Older </w:t>
      </w:r>
      <w:r w:rsidR="00BD07EC" w:rsidRPr="00296EF3">
        <w:rPr>
          <w:color w:val="005370"/>
        </w:rPr>
        <w:t>Australians</w:t>
      </w:r>
    </w:p>
    <w:p w14:paraId="5A7B7787" w14:textId="38E6CD0C" w:rsidR="0056239D" w:rsidRDefault="00F41E23" w:rsidP="00870129">
      <w:r w:rsidRPr="00EA7AAC">
        <w:t xml:space="preserve">When comparing antimicrobial use in </w:t>
      </w:r>
      <w:r w:rsidR="007A1B84" w:rsidRPr="00EA7AAC">
        <w:t xml:space="preserve">older </w:t>
      </w:r>
      <w:r w:rsidRPr="00EA7AAC">
        <w:t>A</w:t>
      </w:r>
      <w:r w:rsidR="00012B78" w:rsidRPr="00EA7AAC">
        <w:t xml:space="preserve">ustralians aged 65 years and over, </w:t>
      </w:r>
      <w:r w:rsidRPr="00EA7AAC">
        <w:t>patterns vary depending on residence.</w:t>
      </w:r>
      <w:r w:rsidR="008E6232" w:rsidRPr="00EA7AAC">
        <w:t xml:space="preserve"> It is </w:t>
      </w:r>
      <w:r w:rsidR="006B06B5" w:rsidRPr="00EA7AAC">
        <w:t xml:space="preserve">also </w:t>
      </w:r>
      <w:r w:rsidR="008E6232" w:rsidRPr="00EA7AAC">
        <w:t>important to note the diversity of this age group</w:t>
      </w:r>
      <w:r w:rsidR="00165FAF">
        <w:t xml:space="preserve"> and</w:t>
      </w:r>
      <w:r w:rsidR="008E6232" w:rsidRPr="00EA7AAC">
        <w:t xml:space="preserve"> </w:t>
      </w:r>
      <w:r w:rsidR="00CE0C80">
        <w:t xml:space="preserve">the </w:t>
      </w:r>
      <w:r w:rsidR="00C92CDD">
        <w:t xml:space="preserve">difference in population </w:t>
      </w:r>
      <w:r w:rsidR="00DA2A20">
        <w:t xml:space="preserve">size </w:t>
      </w:r>
      <w:r w:rsidR="00C92CDD">
        <w:t>across settings</w:t>
      </w:r>
      <w:r w:rsidR="00165FAF">
        <w:t>.</w:t>
      </w:r>
      <w:r w:rsidR="00C92CDD">
        <w:t xml:space="preserve"> </w:t>
      </w:r>
      <w:r w:rsidR="00165FAF">
        <w:t>T</w:t>
      </w:r>
      <w:r w:rsidR="00265609">
        <w:t>he</w:t>
      </w:r>
      <w:r w:rsidR="00264B80">
        <w:t xml:space="preserve"> </w:t>
      </w:r>
      <w:r w:rsidR="00B46136">
        <w:t xml:space="preserve">healthcare </w:t>
      </w:r>
      <w:r w:rsidR="00265609">
        <w:t xml:space="preserve">needs </w:t>
      </w:r>
      <w:r w:rsidR="006D201A">
        <w:t xml:space="preserve">of Australians </w:t>
      </w:r>
      <w:r w:rsidR="00B46136">
        <w:t xml:space="preserve">across settings </w:t>
      </w:r>
      <w:r w:rsidR="000D3493">
        <w:t>are</w:t>
      </w:r>
      <w:r w:rsidR="00B46136">
        <w:t xml:space="preserve"> also likely to vary. </w:t>
      </w:r>
      <w:r w:rsidR="0056239D" w:rsidRPr="00EA7AAC">
        <w:t xml:space="preserve">See Appendix 1 for considerations for interpreting data with respect to </w:t>
      </w:r>
      <w:r w:rsidR="00C70753">
        <w:t xml:space="preserve">age and </w:t>
      </w:r>
      <w:r w:rsidR="0056239D" w:rsidRPr="00EA7AAC">
        <w:t>age</w:t>
      </w:r>
      <w:r w:rsidR="00EA7AAC" w:rsidRPr="003437BA">
        <w:t>d care</w:t>
      </w:r>
      <w:r w:rsidR="0056239D" w:rsidRPr="00EA7AAC">
        <w:t>.</w:t>
      </w:r>
    </w:p>
    <w:p w14:paraId="648421E1" w14:textId="5E934CA1" w:rsidR="00A36C1F" w:rsidRDefault="00A36C1F" w:rsidP="00A36C1F">
      <w:r>
        <w:t>Of all J01</w:t>
      </w:r>
      <w:r w:rsidR="004323A1">
        <w:t> </w:t>
      </w:r>
      <w:r>
        <w:t xml:space="preserve">antibacterials dispensed under the PBS and RPBS in 2023, 2.5% were supplied to older Australians in aged care homes, while </w:t>
      </w:r>
      <w:r w:rsidR="00C21114">
        <w:t>28.7% were supplied to older Australians in the community.</w:t>
      </w:r>
    </w:p>
    <w:p w14:paraId="4FD49FF6" w14:textId="09551FBA" w:rsidR="00753AD9" w:rsidRDefault="00A27973" w:rsidP="00753AD9">
      <w:r w:rsidRPr="00A27973">
        <w:t>In 2023, 6</w:t>
      </w:r>
      <w:r w:rsidR="002B35A5">
        <w:t>8.6</w:t>
      </w:r>
      <w:r w:rsidRPr="00A27973">
        <w:t xml:space="preserve">% of older Australians in aged care homes were dispensed </w:t>
      </w:r>
      <w:r>
        <w:t>a J01</w:t>
      </w:r>
      <w:r w:rsidR="004323A1">
        <w:t> </w:t>
      </w:r>
      <w:r>
        <w:t>antibacterial</w:t>
      </w:r>
      <w:r w:rsidRPr="00A27973">
        <w:t>, compared to 4</w:t>
      </w:r>
      <w:r w:rsidR="002B35A5">
        <w:t>5.</w:t>
      </w:r>
      <w:r w:rsidRPr="00A27973">
        <w:t>6% in the community.</w:t>
      </w:r>
    </w:p>
    <w:p w14:paraId="1725E4F3" w14:textId="758CC561" w:rsidR="00A27973" w:rsidRDefault="00753AD9" w:rsidP="00A27973">
      <w:r w:rsidRPr="006A0C0D">
        <w:t xml:space="preserve">The </w:t>
      </w:r>
      <w:r>
        <w:t>average number</w:t>
      </w:r>
      <w:r w:rsidRPr="006A0C0D">
        <w:t xml:space="preserve"> of J01 antibacterial</w:t>
      </w:r>
      <w:r>
        <w:t xml:space="preserve"> prescriptions supplied per person in 2023 was </w:t>
      </w:r>
      <w:r w:rsidR="007D64C2">
        <w:t xml:space="preserve">much higher </w:t>
      </w:r>
      <w:r>
        <w:t xml:space="preserve">for older Australians </w:t>
      </w:r>
      <w:r w:rsidR="008D2B74">
        <w:t xml:space="preserve">who resided </w:t>
      </w:r>
      <w:r>
        <w:t>in aged care homes (2.76) than the community (1.34).</w:t>
      </w:r>
    </w:p>
    <w:p w14:paraId="2FC0FDBD" w14:textId="2E112ADA" w:rsidR="00870129" w:rsidRDefault="007A1B84" w:rsidP="007A1B84">
      <w:r>
        <w:lastRenderedPageBreak/>
        <w:t xml:space="preserve">Cefalexin </w:t>
      </w:r>
      <w:r w:rsidR="004E784F">
        <w:t>remain</w:t>
      </w:r>
      <w:r w:rsidR="00150A60">
        <w:t>ed</w:t>
      </w:r>
      <w:r w:rsidR="004E784F">
        <w:t xml:space="preserve"> </w:t>
      </w:r>
      <w:r>
        <w:t xml:space="preserve">the most frequently </w:t>
      </w:r>
      <w:r w:rsidR="000D73B1">
        <w:t xml:space="preserve">dispensed </w:t>
      </w:r>
      <w:r>
        <w:t xml:space="preserve">antimicrobial </w:t>
      </w:r>
      <w:r w:rsidR="00283A6B">
        <w:t>for older Australians across settings</w:t>
      </w:r>
      <w:r>
        <w:t xml:space="preserve">. </w:t>
      </w:r>
      <w:r w:rsidR="00ED0963">
        <w:t>Proportionally, i</w:t>
      </w:r>
      <w:r>
        <w:t xml:space="preserve">t </w:t>
      </w:r>
      <w:r w:rsidR="00001993">
        <w:t>was</w:t>
      </w:r>
      <w:r>
        <w:t xml:space="preserve"> more </w:t>
      </w:r>
      <w:r w:rsidR="0006400F">
        <w:t xml:space="preserve">often </w:t>
      </w:r>
      <w:r w:rsidR="000D73B1">
        <w:t xml:space="preserve">supplied </w:t>
      </w:r>
      <w:r w:rsidR="00AB4E10">
        <w:t xml:space="preserve">to </w:t>
      </w:r>
      <w:r w:rsidR="001A65AD">
        <w:t xml:space="preserve">those </w:t>
      </w:r>
      <w:r>
        <w:t xml:space="preserve">in </w:t>
      </w:r>
      <w:r w:rsidR="00F41E23">
        <w:t xml:space="preserve">aged care homes than </w:t>
      </w:r>
      <w:r w:rsidR="008C0D64">
        <w:t xml:space="preserve">to </w:t>
      </w:r>
      <w:r>
        <w:t>those who reside</w:t>
      </w:r>
      <w:r w:rsidR="008C0D64">
        <w:t>d</w:t>
      </w:r>
      <w:r>
        <w:t xml:space="preserve"> in the community </w:t>
      </w:r>
      <w:r w:rsidR="00F41E23">
        <w:t>(Table 6).</w:t>
      </w:r>
    </w:p>
    <w:p w14:paraId="29C01310" w14:textId="4ECE5031" w:rsidR="000E52AE" w:rsidRDefault="000E52AE" w:rsidP="007B6C04">
      <w:pPr>
        <w:spacing w:before="240"/>
        <w:rPr>
          <w:rFonts w:cstheme="minorHAnsi"/>
        </w:rPr>
      </w:pPr>
      <w:r w:rsidRPr="009D0B19">
        <w:rPr>
          <w:b/>
          <w:bCs/>
        </w:rPr>
        <w:t xml:space="preserve">Table 6: </w:t>
      </w:r>
      <w:r w:rsidR="00C44D4B" w:rsidRPr="008245C4">
        <w:rPr>
          <w:bCs/>
        </w:rPr>
        <w:t>Number and percent</w:t>
      </w:r>
      <w:r w:rsidR="000127BF">
        <w:rPr>
          <w:bCs/>
        </w:rPr>
        <w:t>age</w:t>
      </w:r>
      <w:r w:rsidR="00C44D4B" w:rsidRPr="008245C4">
        <w:rPr>
          <w:bCs/>
        </w:rPr>
        <w:t xml:space="preserve"> of PBS and RPBS antimicrobial prescriptions dispensed </w:t>
      </w:r>
      <w:r w:rsidR="00C44D4B">
        <w:rPr>
          <w:bCs/>
        </w:rPr>
        <w:t>to people aged 65 years and over</w:t>
      </w:r>
      <w:r w:rsidR="00C44D4B" w:rsidRPr="008245C4">
        <w:rPr>
          <w:bCs/>
        </w:rPr>
        <w:t xml:space="preserve">, </w:t>
      </w:r>
      <w:r w:rsidR="00C44D4B">
        <w:rPr>
          <w:bCs/>
        </w:rPr>
        <w:t>by setting,</w:t>
      </w:r>
      <w:r w:rsidR="00E62712">
        <w:rPr>
          <w:bCs/>
        </w:rPr>
        <w:t xml:space="preserve"> </w:t>
      </w:r>
      <w:r w:rsidR="00C44D4B" w:rsidRPr="008245C4">
        <w:rPr>
          <w:bCs/>
        </w:rPr>
        <w:t>2023</w:t>
      </w:r>
    </w:p>
    <w:tbl>
      <w:tblPr>
        <w:tblStyle w:val="PlainTable2"/>
        <w:tblW w:w="8512" w:type="dxa"/>
        <w:tblLook w:val="04A0" w:firstRow="1" w:lastRow="0" w:firstColumn="1" w:lastColumn="0" w:noHBand="0" w:noVBand="1"/>
        <w:tblCaption w:val="Table 6: Number and percentage of PBS and RPBS antimicrobial prescriptions dispensed to people aged 65 years and over, by setting, 2023"/>
      </w:tblPr>
      <w:tblGrid>
        <w:gridCol w:w="3296"/>
        <w:gridCol w:w="1304"/>
        <w:gridCol w:w="1304"/>
        <w:gridCol w:w="1304"/>
        <w:gridCol w:w="1304"/>
      </w:tblGrid>
      <w:tr w:rsidR="00006C17" w:rsidRPr="007E69DF" w14:paraId="6F11E7B8" w14:textId="77777777" w:rsidTr="00BB0640">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vMerge w:val="restart"/>
            <w:shd w:val="clear" w:color="auto" w:fill="EFC3AF"/>
            <w:vAlign w:val="bottom"/>
          </w:tcPr>
          <w:p w14:paraId="6D214B1E" w14:textId="76D61789" w:rsidR="00371A0E" w:rsidRPr="007E69DF" w:rsidRDefault="00C44D4B" w:rsidP="003D30E4">
            <w:pPr>
              <w:spacing w:before="0"/>
              <w:rPr>
                <w:rFonts w:ascii="Arial" w:hAnsi="Arial" w:cs="Arial"/>
                <w:sz w:val="20"/>
                <w:szCs w:val="20"/>
              </w:rPr>
            </w:pPr>
            <w:r w:rsidRPr="007E69DF">
              <w:rPr>
                <w:rFonts w:ascii="Arial" w:hAnsi="Arial" w:cs="Arial"/>
                <w:sz w:val="20"/>
                <w:szCs w:val="20"/>
              </w:rPr>
              <w:t>Antimicrobial</w:t>
            </w:r>
            <w:r w:rsidR="00FC4661" w:rsidRPr="007E69DF">
              <w:rPr>
                <w:rFonts w:ascii="Arial" w:hAnsi="Arial" w:cs="Arial"/>
                <w:sz w:val="20"/>
                <w:szCs w:val="20"/>
              </w:rPr>
              <w:t>*</w:t>
            </w:r>
          </w:p>
        </w:tc>
        <w:tc>
          <w:tcPr>
            <w:tcW w:w="2608" w:type="dxa"/>
            <w:gridSpan w:val="2"/>
            <w:tcBorders>
              <w:top w:val="single" w:sz="4" w:space="0" w:color="7F7F7F" w:themeColor="text1" w:themeTint="80"/>
              <w:right w:val="single" w:sz="4" w:space="0" w:color="808080" w:themeColor="background1" w:themeShade="80"/>
            </w:tcBorders>
            <w:shd w:val="clear" w:color="auto" w:fill="EFC3AF"/>
            <w:vAlign w:val="center"/>
          </w:tcPr>
          <w:p w14:paraId="314BBF13" w14:textId="63A5AEC1" w:rsidR="00371A0E" w:rsidRPr="007E69DF" w:rsidRDefault="00371A0E"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69DF">
              <w:rPr>
                <w:rFonts w:ascii="Arial" w:hAnsi="Arial" w:cs="Arial"/>
                <w:sz w:val="20"/>
                <w:szCs w:val="20"/>
              </w:rPr>
              <w:t>Aged care home</w:t>
            </w:r>
          </w:p>
        </w:tc>
        <w:tc>
          <w:tcPr>
            <w:tcW w:w="2608" w:type="dxa"/>
            <w:gridSpan w:val="2"/>
            <w:tcBorders>
              <w:top w:val="single" w:sz="4" w:space="0" w:color="7F7F7F" w:themeColor="text1" w:themeTint="80"/>
              <w:left w:val="single" w:sz="4" w:space="0" w:color="808080" w:themeColor="background1" w:themeShade="80"/>
              <w:right w:val="nil"/>
            </w:tcBorders>
            <w:shd w:val="clear" w:color="auto" w:fill="EFC3AF"/>
            <w:vAlign w:val="center"/>
          </w:tcPr>
          <w:p w14:paraId="41EE1B70" w14:textId="30A5E9C5" w:rsidR="00371A0E" w:rsidRPr="007E69DF" w:rsidRDefault="00371A0E"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69DF">
              <w:rPr>
                <w:rFonts w:ascii="Arial" w:hAnsi="Arial" w:cs="Arial"/>
                <w:sz w:val="20"/>
                <w:szCs w:val="20"/>
              </w:rPr>
              <w:t>Community</w:t>
            </w:r>
          </w:p>
        </w:tc>
      </w:tr>
      <w:tr w:rsidR="007E69DF" w:rsidRPr="007E69DF" w14:paraId="512B2671"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vMerge/>
            <w:shd w:val="clear" w:color="auto" w:fill="EFC3AF"/>
            <w:vAlign w:val="center"/>
          </w:tcPr>
          <w:p w14:paraId="1CF370DC" w14:textId="77777777" w:rsidR="00371A0E" w:rsidRPr="007E69DF" w:rsidRDefault="00371A0E" w:rsidP="003D30E4">
            <w:pPr>
              <w:spacing w:before="0" w:after="0"/>
              <w:rPr>
                <w:rFonts w:ascii="Arial" w:hAnsi="Arial" w:cs="Arial"/>
                <w:sz w:val="20"/>
                <w:szCs w:val="20"/>
              </w:rPr>
            </w:pPr>
          </w:p>
        </w:tc>
        <w:tc>
          <w:tcPr>
            <w:tcW w:w="1304" w:type="dxa"/>
            <w:shd w:val="clear" w:color="auto" w:fill="EFC3AF"/>
            <w:vAlign w:val="center"/>
          </w:tcPr>
          <w:p w14:paraId="423D7ADE" w14:textId="77777777" w:rsidR="00371A0E" w:rsidRPr="007E69DF" w:rsidRDefault="00371A0E"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r w:rsidRPr="007E69DF">
              <w:rPr>
                <w:rFonts w:ascii="Arial" w:hAnsi="Arial" w:cs="Arial"/>
                <w:i/>
                <w:iCs/>
                <w:sz w:val="20"/>
                <w:szCs w:val="20"/>
              </w:rPr>
              <w:t>n</w:t>
            </w:r>
            <w:r w:rsidRPr="007E69DF">
              <w:rPr>
                <w:rFonts w:ascii="Arial" w:hAnsi="Arial" w:cs="Arial"/>
                <w:sz w:val="20"/>
                <w:szCs w:val="20"/>
              </w:rPr>
              <w:t>)</w:t>
            </w:r>
          </w:p>
        </w:tc>
        <w:tc>
          <w:tcPr>
            <w:tcW w:w="1304" w:type="dxa"/>
            <w:tcBorders>
              <w:right w:val="single" w:sz="4" w:space="0" w:color="808080" w:themeColor="background1" w:themeShade="80"/>
            </w:tcBorders>
            <w:shd w:val="clear" w:color="auto" w:fill="EFC3AF"/>
            <w:vAlign w:val="center"/>
          </w:tcPr>
          <w:p w14:paraId="4B9F7369" w14:textId="77777777" w:rsidR="00371A0E" w:rsidRPr="007E69DF" w:rsidRDefault="00371A0E" w:rsidP="000B17DD">
            <w:pPr>
              <w:spacing w:before="0" w:after="0"/>
              <w:ind w:right="-156"/>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p>
        </w:tc>
        <w:tc>
          <w:tcPr>
            <w:tcW w:w="1304" w:type="dxa"/>
            <w:tcBorders>
              <w:left w:val="single" w:sz="4" w:space="0" w:color="808080" w:themeColor="background1" w:themeShade="80"/>
            </w:tcBorders>
            <w:shd w:val="clear" w:color="auto" w:fill="EFC3AF"/>
            <w:vAlign w:val="center"/>
          </w:tcPr>
          <w:p w14:paraId="3F1B580A" w14:textId="77777777" w:rsidR="00371A0E" w:rsidRPr="007E69DF" w:rsidRDefault="00371A0E"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r w:rsidRPr="007E69DF">
              <w:rPr>
                <w:rFonts w:ascii="Arial" w:hAnsi="Arial" w:cs="Arial"/>
                <w:i/>
                <w:iCs/>
                <w:sz w:val="20"/>
                <w:szCs w:val="20"/>
              </w:rPr>
              <w:t>n</w:t>
            </w:r>
            <w:r w:rsidRPr="007E69DF">
              <w:rPr>
                <w:rFonts w:ascii="Arial" w:hAnsi="Arial" w:cs="Arial"/>
                <w:sz w:val="20"/>
                <w:szCs w:val="20"/>
              </w:rPr>
              <w:t>)</w:t>
            </w:r>
          </w:p>
        </w:tc>
        <w:tc>
          <w:tcPr>
            <w:tcW w:w="1304" w:type="dxa"/>
            <w:tcBorders>
              <w:right w:val="nil"/>
            </w:tcBorders>
            <w:shd w:val="clear" w:color="auto" w:fill="EFC3AF"/>
            <w:vAlign w:val="center"/>
          </w:tcPr>
          <w:p w14:paraId="170D49C2" w14:textId="77777777" w:rsidR="00371A0E" w:rsidRPr="007E69DF" w:rsidRDefault="00371A0E" w:rsidP="000B17DD">
            <w:pPr>
              <w:spacing w:before="0" w:after="0"/>
              <w:ind w:right="-10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p>
        </w:tc>
      </w:tr>
      <w:tr w:rsidR="007E69DF" w:rsidRPr="007E69DF" w14:paraId="449BFC9C" w14:textId="77777777" w:rsidTr="00BB0640">
        <w:trPr>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7F6E9D8E" w14:textId="79B6D6A4" w:rsidR="00371A0E" w:rsidRPr="007E69DF" w:rsidRDefault="00371A0E" w:rsidP="00371A0E">
            <w:pPr>
              <w:spacing w:before="0" w:after="0"/>
              <w:rPr>
                <w:rFonts w:ascii="Arial" w:hAnsi="Arial" w:cs="Arial"/>
                <w:sz w:val="20"/>
                <w:szCs w:val="20"/>
              </w:rPr>
            </w:pPr>
            <w:r w:rsidRPr="007E69DF">
              <w:rPr>
                <w:rFonts w:ascii="Arial" w:hAnsi="Arial" w:cs="Arial"/>
                <w:sz w:val="20"/>
                <w:szCs w:val="20"/>
              </w:rPr>
              <w:t>Cefalexin</w:t>
            </w:r>
          </w:p>
        </w:tc>
        <w:tc>
          <w:tcPr>
            <w:tcW w:w="1304" w:type="dxa"/>
            <w:shd w:val="clear" w:color="auto" w:fill="auto"/>
          </w:tcPr>
          <w:p w14:paraId="519F4EFD" w14:textId="2AF5A46C" w:rsidR="00371A0E" w:rsidRPr="007E69DF" w:rsidRDefault="00F30B77" w:rsidP="00775487">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189,372</w:t>
            </w:r>
          </w:p>
        </w:tc>
        <w:tc>
          <w:tcPr>
            <w:tcW w:w="1304"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67A62A3B" w14:textId="0E8DC1AC" w:rsidR="00371A0E" w:rsidRPr="007E69DF" w:rsidRDefault="00775487" w:rsidP="00316368">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36.1%</w:t>
            </w:r>
          </w:p>
        </w:tc>
        <w:tc>
          <w:tcPr>
            <w:tcW w:w="1304" w:type="dxa"/>
            <w:tcBorders>
              <w:left w:val="single" w:sz="4" w:space="0" w:color="808080" w:themeColor="background1" w:themeShade="80"/>
            </w:tcBorders>
            <w:shd w:val="clear" w:color="auto" w:fill="auto"/>
          </w:tcPr>
          <w:p w14:paraId="6CAF0FF8" w14:textId="31EEDFBA" w:rsidR="00371A0E" w:rsidRPr="007E69DF" w:rsidRDefault="00775487" w:rsidP="00775487">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1,633,604</w:t>
            </w:r>
          </w:p>
        </w:tc>
        <w:tc>
          <w:tcPr>
            <w:tcW w:w="1304" w:type="dxa"/>
            <w:tcBorders>
              <w:top w:val="single" w:sz="4" w:space="0" w:color="7F7F7F" w:themeColor="text1" w:themeTint="80"/>
              <w:bottom w:val="single" w:sz="4" w:space="0" w:color="7F7F7F" w:themeColor="text1" w:themeTint="80"/>
              <w:right w:val="nil"/>
            </w:tcBorders>
            <w:shd w:val="clear" w:color="auto" w:fill="auto"/>
          </w:tcPr>
          <w:p w14:paraId="13048493" w14:textId="60753EEB" w:rsidR="00371A0E" w:rsidRPr="007E69DF" w:rsidRDefault="00371A0E" w:rsidP="00316368">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26.6%</w:t>
            </w:r>
          </w:p>
        </w:tc>
      </w:tr>
      <w:tr w:rsidR="007E69DF" w:rsidRPr="007E69DF" w14:paraId="5C682504"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2F36B49B" w14:textId="6D7CC0AD" w:rsidR="00371A0E" w:rsidRPr="007E69DF" w:rsidRDefault="00371A0E" w:rsidP="00371A0E">
            <w:pPr>
              <w:spacing w:before="0" w:after="0"/>
              <w:rPr>
                <w:rFonts w:ascii="Arial" w:hAnsi="Arial" w:cs="Arial"/>
                <w:sz w:val="20"/>
                <w:szCs w:val="20"/>
              </w:rPr>
            </w:pPr>
            <w:r w:rsidRPr="007E69DF">
              <w:rPr>
                <w:rFonts w:ascii="Arial" w:hAnsi="Arial" w:cs="Arial"/>
                <w:sz w:val="20"/>
                <w:szCs w:val="20"/>
              </w:rPr>
              <w:t>Amoxicillin–clavulanic acid</w:t>
            </w:r>
          </w:p>
        </w:tc>
        <w:tc>
          <w:tcPr>
            <w:tcW w:w="1304" w:type="dxa"/>
            <w:shd w:val="clear" w:color="auto" w:fill="auto"/>
          </w:tcPr>
          <w:p w14:paraId="60BB602B" w14:textId="2AB00BED" w:rsidR="00371A0E" w:rsidRPr="007E69DF" w:rsidRDefault="00F30B77" w:rsidP="00775487">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59,983</w:t>
            </w:r>
          </w:p>
        </w:tc>
        <w:tc>
          <w:tcPr>
            <w:tcW w:w="1304" w:type="dxa"/>
            <w:tcBorders>
              <w:right w:val="single" w:sz="4" w:space="0" w:color="808080" w:themeColor="background1" w:themeShade="80"/>
            </w:tcBorders>
            <w:shd w:val="clear" w:color="auto" w:fill="auto"/>
          </w:tcPr>
          <w:p w14:paraId="0F6544DD" w14:textId="2F071F5F" w:rsidR="00371A0E" w:rsidRPr="007E69DF" w:rsidRDefault="00775487" w:rsidP="00316368">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11.4%</w:t>
            </w:r>
          </w:p>
        </w:tc>
        <w:tc>
          <w:tcPr>
            <w:tcW w:w="1304" w:type="dxa"/>
            <w:tcBorders>
              <w:left w:val="single" w:sz="4" w:space="0" w:color="808080" w:themeColor="background1" w:themeShade="80"/>
            </w:tcBorders>
            <w:shd w:val="clear" w:color="auto" w:fill="auto"/>
          </w:tcPr>
          <w:p w14:paraId="3B0F93B3" w14:textId="08FAFA4E" w:rsidR="00371A0E" w:rsidRPr="007E69DF" w:rsidRDefault="00775487" w:rsidP="00775487">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884,745</w:t>
            </w:r>
          </w:p>
        </w:tc>
        <w:tc>
          <w:tcPr>
            <w:tcW w:w="1304" w:type="dxa"/>
            <w:tcBorders>
              <w:right w:val="nil"/>
            </w:tcBorders>
            <w:shd w:val="clear" w:color="auto" w:fill="auto"/>
          </w:tcPr>
          <w:p w14:paraId="5FA20375" w14:textId="219806DE" w:rsidR="00371A0E" w:rsidRPr="007E69DF" w:rsidRDefault="00371A0E" w:rsidP="00316368">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14.4%</w:t>
            </w:r>
          </w:p>
        </w:tc>
      </w:tr>
      <w:tr w:rsidR="007E69DF" w:rsidRPr="007E69DF" w14:paraId="00E55D42" w14:textId="77777777" w:rsidTr="00BB0640">
        <w:trPr>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2260F72D" w14:textId="55B0FB6E" w:rsidR="00371A0E" w:rsidRPr="007E69DF" w:rsidRDefault="00371A0E" w:rsidP="00371A0E">
            <w:pPr>
              <w:spacing w:before="0" w:after="0"/>
              <w:rPr>
                <w:rFonts w:ascii="Arial" w:hAnsi="Arial" w:cs="Arial"/>
                <w:sz w:val="20"/>
                <w:szCs w:val="20"/>
              </w:rPr>
            </w:pPr>
            <w:r w:rsidRPr="007E69DF">
              <w:rPr>
                <w:rFonts w:ascii="Arial" w:hAnsi="Arial" w:cs="Arial"/>
                <w:sz w:val="20"/>
                <w:szCs w:val="20"/>
              </w:rPr>
              <w:t>Doxycycline</w:t>
            </w:r>
          </w:p>
        </w:tc>
        <w:tc>
          <w:tcPr>
            <w:tcW w:w="1304" w:type="dxa"/>
            <w:shd w:val="clear" w:color="auto" w:fill="auto"/>
          </w:tcPr>
          <w:p w14:paraId="7CF74253" w14:textId="10BA119A" w:rsidR="00371A0E" w:rsidRPr="007E69DF" w:rsidRDefault="00F30B77" w:rsidP="00775487">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45,503</w:t>
            </w:r>
          </w:p>
        </w:tc>
        <w:tc>
          <w:tcPr>
            <w:tcW w:w="1304"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34B86735" w14:textId="0DBDA00C" w:rsidR="00371A0E" w:rsidRPr="007E69DF" w:rsidRDefault="00775487" w:rsidP="00316368">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8.7%</w:t>
            </w:r>
          </w:p>
        </w:tc>
        <w:tc>
          <w:tcPr>
            <w:tcW w:w="1304" w:type="dxa"/>
            <w:tcBorders>
              <w:left w:val="single" w:sz="4" w:space="0" w:color="808080" w:themeColor="background1" w:themeShade="80"/>
            </w:tcBorders>
            <w:shd w:val="clear" w:color="auto" w:fill="auto"/>
          </w:tcPr>
          <w:p w14:paraId="215C3C3D" w14:textId="22B88E53" w:rsidR="00371A0E" w:rsidRPr="007E69DF" w:rsidRDefault="00775487" w:rsidP="00775487">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772,617</w:t>
            </w:r>
          </w:p>
        </w:tc>
        <w:tc>
          <w:tcPr>
            <w:tcW w:w="1304" w:type="dxa"/>
            <w:tcBorders>
              <w:top w:val="single" w:sz="4" w:space="0" w:color="7F7F7F" w:themeColor="text1" w:themeTint="80"/>
              <w:bottom w:val="single" w:sz="4" w:space="0" w:color="7F7F7F" w:themeColor="text1" w:themeTint="80"/>
              <w:right w:val="nil"/>
            </w:tcBorders>
            <w:shd w:val="clear" w:color="auto" w:fill="auto"/>
          </w:tcPr>
          <w:p w14:paraId="6A7FBDC9" w14:textId="6331BA3E" w:rsidR="00371A0E" w:rsidRPr="007E69DF" w:rsidRDefault="00371A0E" w:rsidP="00316368">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12.6%</w:t>
            </w:r>
          </w:p>
        </w:tc>
      </w:tr>
      <w:tr w:rsidR="007E69DF" w:rsidRPr="007E69DF" w14:paraId="2B7060E2"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7A376911" w14:textId="04AD0A0C" w:rsidR="00371A0E" w:rsidRPr="007E69DF" w:rsidRDefault="00371A0E" w:rsidP="00371A0E">
            <w:pPr>
              <w:spacing w:before="0" w:after="0"/>
              <w:rPr>
                <w:rFonts w:ascii="Arial" w:hAnsi="Arial" w:cs="Arial"/>
                <w:sz w:val="20"/>
                <w:szCs w:val="20"/>
              </w:rPr>
            </w:pPr>
            <w:r w:rsidRPr="007E69DF">
              <w:rPr>
                <w:rFonts w:ascii="Arial" w:hAnsi="Arial" w:cs="Arial"/>
                <w:sz w:val="20"/>
                <w:szCs w:val="20"/>
              </w:rPr>
              <w:t>Amoxicillin</w:t>
            </w:r>
          </w:p>
        </w:tc>
        <w:tc>
          <w:tcPr>
            <w:tcW w:w="1304" w:type="dxa"/>
            <w:shd w:val="clear" w:color="auto" w:fill="auto"/>
          </w:tcPr>
          <w:p w14:paraId="3AC6A4F1" w14:textId="1A9ACB03" w:rsidR="00371A0E" w:rsidRPr="007E69DF" w:rsidRDefault="00F30B77" w:rsidP="00775487">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44,130</w:t>
            </w:r>
          </w:p>
        </w:tc>
        <w:tc>
          <w:tcPr>
            <w:tcW w:w="1304" w:type="dxa"/>
            <w:tcBorders>
              <w:right w:val="single" w:sz="4" w:space="0" w:color="808080" w:themeColor="background1" w:themeShade="80"/>
            </w:tcBorders>
            <w:shd w:val="clear" w:color="auto" w:fill="auto"/>
          </w:tcPr>
          <w:p w14:paraId="71B288FD" w14:textId="3C05B7D8" w:rsidR="00371A0E" w:rsidRPr="007E69DF" w:rsidRDefault="00775487" w:rsidP="00316368">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8.4%</w:t>
            </w:r>
          </w:p>
        </w:tc>
        <w:tc>
          <w:tcPr>
            <w:tcW w:w="1304" w:type="dxa"/>
            <w:tcBorders>
              <w:left w:val="single" w:sz="4" w:space="0" w:color="808080" w:themeColor="background1" w:themeShade="80"/>
            </w:tcBorders>
            <w:shd w:val="clear" w:color="auto" w:fill="auto"/>
          </w:tcPr>
          <w:p w14:paraId="693E5123" w14:textId="53206610" w:rsidR="00371A0E" w:rsidRPr="007E69DF" w:rsidRDefault="00775487" w:rsidP="00775487">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919,021</w:t>
            </w:r>
          </w:p>
        </w:tc>
        <w:tc>
          <w:tcPr>
            <w:tcW w:w="1304" w:type="dxa"/>
            <w:tcBorders>
              <w:right w:val="nil"/>
            </w:tcBorders>
            <w:shd w:val="clear" w:color="auto" w:fill="auto"/>
          </w:tcPr>
          <w:p w14:paraId="16BB960A" w14:textId="59D3C8A0" w:rsidR="00371A0E" w:rsidRPr="007E69DF" w:rsidRDefault="00371A0E" w:rsidP="00316368">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15%</w:t>
            </w:r>
          </w:p>
        </w:tc>
      </w:tr>
      <w:tr w:rsidR="007E69DF" w:rsidRPr="007E69DF" w14:paraId="52B98991" w14:textId="77777777" w:rsidTr="00BB0640">
        <w:trPr>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11419519" w14:textId="77CC3FF1" w:rsidR="00371A0E" w:rsidRPr="007E69DF" w:rsidRDefault="00371A0E" w:rsidP="00371A0E">
            <w:pPr>
              <w:spacing w:before="0" w:after="0"/>
              <w:rPr>
                <w:rFonts w:ascii="Arial" w:hAnsi="Arial" w:cs="Arial"/>
                <w:sz w:val="20"/>
                <w:szCs w:val="20"/>
              </w:rPr>
            </w:pPr>
            <w:r w:rsidRPr="007E69DF">
              <w:rPr>
                <w:rFonts w:ascii="Arial" w:hAnsi="Arial" w:cs="Arial"/>
                <w:sz w:val="20"/>
                <w:szCs w:val="20"/>
              </w:rPr>
              <w:t>Trimethoprim</w:t>
            </w:r>
          </w:p>
        </w:tc>
        <w:tc>
          <w:tcPr>
            <w:tcW w:w="1304" w:type="dxa"/>
            <w:shd w:val="clear" w:color="auto" w:fill="auto"/>
          </w:tcPr>
          <w:p w14:paraId="1C018F24" w14:textId="55563D2D" w:rsidR="00371A0E" w:rsidRPr="007E69DF" w:rsidRDefault="0004435C" w:rsidP="00775487">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42,997</w:t>
            </w:r>
          </w:p>
        </w:tc>
        <w:tc>
          <w:tcPr>
            <w:tcW w:w="1304"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02DD0E41" w14:textId="4D57B0A7" w:rsidR="00371A0E" w:rsidRPr="007E69DF" w:rsidRDefault="00775487" w:rsidP="00316368">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8.2%</w:t>
            </w:r>
          </w:p>
        </w:tc>
        <w:tc>
          <w:tcPr>
            <w:tcW w:w="1304" w:type="dxa"/>
            <w:tcBorders>
              <w:left w:val="single" w:sz="4" w:space="0" w:color="808080" w:themeColor="background1" w:themeShade="80"/>
            </w:tcBorders>
            <w:shd w:val="clear" w:color="auto" w:fill="auto"/>
          </w:tcPr>
          <w:p w14:paraId="75789399" w14:textId="43461EC5" w:rsidR="00371A0E" w:rsidRPr="007E69DF" w:rsidRDefault="00775487" w:rsidP="00775487">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336,541</w:t>
            </w:r>
          </w:p>
        </w:tc>
        <w:tc>
          <w:tcPr>
            <w:tcW w:w="1304" w:type="dxa"/>
            <w:tcBorders>
              <w:top w:val="single" w:sz="4" w:space="0" w:color="7F7F7F" w:themeColor="text1" w:themeTint="80"/>
              <w:bottom w:val="single" w:sz="4" w:space="0" w:color="7F7F7F" w:themeColor="text1" w:themeTint="80"/>
              <w:right w:val="nil"/>
            </w:tcBorders>
            <w:shd w:val="clear" w:color="auto" w:fill="auto"/>
          </w:tcPr>
          <w:p w14:paraId="2DC3596F" w14:textId="316CB882" w:rsidR="00371A0E" w:rsidRPr="007E69DF" w:rsidRDefault="00371A0E" w:rsidP="00316368">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5.5%</w:t>
            </w:r>
          </w:p>
        </w:tc>
      </w:tr>
      <w:tr w:rsidR="007E69DF" w:rsidRPr="007E69DF" w14:paraId="7ACE682B"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32DF65CE" w14:textId="68EBC52B" w:rsidR="00371A0E" w:rsidRPr="007E69DF" w:rsidRDefault="00371A0E" w:rsidP="00371A0E">
            <w:pPr>
              <w:spacing w:before="0" w:after="0"/>
              <w:rPr>
                <w:rFonts w:ascii="Arial" w:hAnsi="Arial" w:cs="Arial"/>
                <w:color w:val="000000"/>
                <w:sz w:val="20"/>
                <w:szCs w:val="20"/>
              </w:rPr>
            </w:pPr>
            <w:r w:rsidRPr="007E69DF">
              <w:rPr>
                <w:rFonts w:ascii="Arial" w:hAnsi="Arial" w:cs="Arial"/>
                <w:sz w:val="20"/>
                <w:szCs w:val="20"/>
              </w:rPr>
              <w:t xml:space="preserve">Methenamine </w:t>
            </w:r>
            <w:proofErr w:type="spellStart"/>
            <w:r w:rsidR="00EF0B3A">
              <w:rPr>
                <w:rFonts w:ascii="Arial" w:hAnsi="Arial" w:cs="Arial"/>
                <w:sz w:val="20"/>
                <w:szCs w:val="20"/>
              </w:rPr>
              <w:t>h</w:t>
            </w:r>
            <w:r w:rsidRPr="007E69DF">
              <w:rPr>
                <w:rFonts w:ascii="Arial" w:hAnsi="Arial" w:cs="Arial"/>
                <w:sz w:val="20"/>
                <w:szCs w:val="20"/>
              </w:rPr>
              <w:t>ippurate</w:t>
            </w:r>
            <w:proofErr w:type="spellEnd"/>
          </w:p>
        </w:tc>
        <w:tc>
          <w:tcPr>
            <w:tcW w:w="1304" w:type="dxa"/>
            <w:shd w:val="clear" w:color="auto" w:fill="auto"/>
          </w:tcPr>
          <w:p w14:paraId="3F51596A" w14:textId="4BE3D19C" w:rsidR="00371A0E" w:rsidRPr="007E69DF" w:rsidRDefault="0004435C" w:rsidP="00775487">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33,172</w:t>
            </w:r>
          </w:p>
        </w:tc>
        <w:tc>
          <w:tcPr>
            <w:tcW w:w="1304" w:type="dxa"/>
            <w:tcBorders>
              <w:right w:val="single" w:sz="4" w:space="0" w:color="808080" w:themeColor="background1" w:themeShade="80"/>
            </w:tcBorders>
            <w:shd w:val="clear" w:color="auto" w:fill="auto"/>
          </w:tcPr>
          <w:p w14:paraId="2EE01F96" w14:textId="04844183" w:rsidR="00371A0E" w:rsidRPr="007E69DF" w:rsidRDefault="00775487" w:rsidP="00316368">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6.3%</w:t>
            </w:r>
          </w:p>
        </w:tc>
        <w:tc>
          <w:tcPr>
            <w:tcW w:w="1304" w:type="dxa"/>
            <w:tcBorders>
              <w:left w:val="single" w:sz="4" w:space="0" w:color="808080" w:themeColor="background1" w:themeShade="80"/>
            </w:tcBorders>
            <w:shd w:val="clear" w:color="auto" w:fill="auto"/>
          </w:tcPr>
          <w:p w14:paraId="67287C6E" w14:textId="5A93701B" w:rsidR="00371A0E" w:rsidRPr="007E69DF" w:rsidRDefault="00775487" w:rsidP="00775487">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224,351</w:t>
            </w:r>
          </w:p>
        </w:tc>
        <w:tc>
          <w:tcPr>
            <w:tcW w:w="1304" w:type="dxa"/>
            <w:tcBorders>
              <w:right w:val="nil"/>
            </w:tcBorders>
            <w:shd w:val="clear" w:color="auto" w:fill="auto"/>
          </w:tcPr>
          <w:p w14:paraId="173A77FB" w14:textId="199B03C9" w:rsidR="00371A0E" w:rsidRPr="007E69DF" w:rsidRDefault="00371A0E" w:rsidP="00316368">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3.7%</w:t>
            </w:r>
          </w:p>
        </w:tc>
      </w:tr>
      <w:tr w:rsidR="007E69DF" w:rsidRPr="007E69DF" w14:paraId="64C47314" w14:textId="77777777" w:rsidTr="00BB0640">
        <w:trPr>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5B7F32DB" w14:textId="702D578B" w:rsidR="00371A0E" w:rsidRPr="007E69DF" w:rsidRDefault="00371A0E" w:rsidP="00371A0E">
            <w:pPr>
              <w:spacing w:before="0" w:after="0"/>
              <w:rPr>
                <w:rFonts w:ascii="Arial" w:hAnsi="Arial" w:cs="Arial"/>
                <w:color w:val="000000"/>
                <w:sz w:val="20"/>
                <w:szCs w:val="20"/>
              </w:rPr>
            </w:pPr>
            <w:r w:rsidRPr="007E69DF">
              <w:rPr>
                <w:rFonts w:ascii="Arial" w:hAnsi="Arial" w:cs="Arial"/>
                <w:sz w:val="20"/>
                <w:szCs w:val="20"/>
              </w:rPr>
              <w:t>Flucloxacillin</w:t>
            </w:r>
          </w:p>
        </w:tc>
        <w:tc>
          <w:tcPr>
            <w:tcW w:w="1304" w:type="dxa"/>
            <w:shd w:val="clear" w:color="auto" w:fill="auto"/>
          </w:tcPr>
          <w:p w14:paraId="39CED181" w14:textId="112E7B7D" w:rsidR="00371A0E" w:rsidRPr="007E69DF" w:rsidRDefault="0004435C" w:rsidP="00775487">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21,043</w:t>
            </w:r>
          </w:p>
        </w:tc>
        <w:tc>
          <w:tcPr>
            <w:tcW w:w="1304"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4E480273" w14:textId="7DD48CC0" w:rsidR="00371A0E" w:rsidRPr="007E69DF" w:rsidRDefault="00775487" w:rsidP="00316368">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4%</w:t>
            </w:r>
          </w:p>
        </w:tc>
        <w:tc>
          <w:tcPr>
            <w:tcW w:w="1304" w:type="dxa"/>
            <w:tcBorders>
              <w:left w:val="single" w:sz="4" w:space="0" w:color="808080" w:themeColor="background1" w:themeShade="80"/>
            </w:tcBorders>
            <w:shd w:val="clear" w:color="auto" w:fill="auto"/>
          </w:tcPr>
          <w:p w14:paraId="3B92E5A5" w14:textId="426A2A5C" w:rsidR="00371A0E" w:rsidRPr="007E69DF" w:rsidRDefault="00775487" w:rsidP="00775487">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209,971</w:t>
            </w:r>
          </w:p>
        </w:tc>
        <w:tc>
          <w:tcPr>
            <w:tcW w:w="1304" w:type="dxa"/>
            <w:tcBorders>
              <w:top w:val="single" w:sz="4" w:space="0" w:color="7F7F7F" w:themeColor="text1" w:themeTint="80"/>
              <w:bottom w:val="single" w:sz="4" w:space="0" w:color="7F7F7F" w:themeColor="text1" w:themeTint="80"/>
              <w:right w:val="nil"/>
            </w:tcBorders>
            <w:shd w:val="clear" w:color="auto" w:fill="auto"/>
          </w:tcPr>
          <w:p w14:paraId="0D80CC0D" w14:textId="01A8A30C" w:rsidR="00371A0E" w:rsidRPr="007E69DF" w:rsidRDefault="00371A0E" w:rsidP="00316368">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3.4%</w:t>
            </w:r>
          </w:p>
        </w:tc>
      </w:tr>
      <w:tr w:rsidR="007E69DF" w:rsidRPr="007E69DF" w14:paraId="70899128"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5F7FAB0B" w14:textId="6F7951E5" w:rsidR="00371A0E" w:rsidRPr="007E69DF" w:rsidRDefault="00371A0E" w:rsidP="00371A0E">
            <w:pPr>
              <w:spacing w:before="0" w:after="0"/>
              <w:rPr>
                <w:rFonts w:ascii="Arial" w:hAnsi="Arial" w:cs="Arial"/>
                <w:sz w:val="20"/>
                <w:szCs w:val="20"/>
              </w:rPr>
            </w:pPr>
            <w:r w:rsidRPr="007E69DF">
              <w:rPr>
                <w:rFonts w:ascii="Arial" w:hAnsi="Arial" w:cs="Arial"/>
                <w:sz w:val="20"/>
                <w:szCs w:val="20"/>
              </w:rPr>
              <w:t xml:space="preserve">Clindamycin </w:t>
            </w:r>
          </w:p>
        </w:tc>
        <w:tc>
          <w:tcPr>
            <w:tcW w:w="1304" w:type="dxa"/>
            <w:shd w:val="clear" w:color="auto" w:fill="auto"/>
          </w:tcPr>
          <w:p w14:paraId="3FD1AA99" w14:textId="2B07C37F" w:rsidR="00371A0E" w:rsidRPr="007E69DF" w:rsidRDefault="0004435C" w:rsidP="00775487">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16,491</w:t>
            </w:r>
          </w:p>
        </w:tc>
        <w:tc>
          <w:tcPr>
            <w:tcW w:w="1304" w:type="dxa"/>
            <w:tcBorders>
              <w:right w:val="single" w:sz="4" w:space="0" w:color="808080" w:themeColor="background1" w:themeShade="80"/>
            </w:tcBorders>
            <w:shd w:val="clear" w:color="auto" w:fill="auto"/>
          </w:tcPr>
          <w:p w14:paraId="698A951C" w14:textId="423FE48E" w:rsidR="00371A0E" w:rsidRPr="007E69DF" w:rsidRDefault="00775487" w:rsidP="00316368">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3.1%</w:t>
            </w:r>
          </w:p>
        </w:tc>
        <w:tc>
          <w:tcPr>
            <w:tcW w:w="1304" w:type="dxa"/>
            <w:tcBorders>
              <w:left w:val="single" w:sz="4" w:space="0" w:color="808080" w:themeColor="background1" w:themeShade="80"/>
            </w:tcBorders>
            <w:shd w:val="clear" w:color="auto" w:fill="auto"/>
          </w:tcPr>
          <w:p w14:paraId="048731BC" w14:textId="53B35ED8" w:rsidR="00371A0E" w:rsidRPr="007E69DF" w:rsidRDefault="00775487" w:rsidP="00775487">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108,811</w:t>
            </w:r>
          </w:p>
        </w:tc>
        <w:tc>
          <w:tcPr>
            <w:tcW w:w="1304" w:type="dxa"/>
            <w:tcBorders>
              <w:right w:val="nil"/>
            </w:tcBorders>
            <w:shd w:val="clear" w:color="auto" w:fill="auto"/>
          </w:tcPr>
          <w:p w14:paraId="518BB59D" w14:textId="6D3B6592" w:rsidR="00371A0E" w:rsidRPr="007E69DF" w:rsidRDefault="00371A0E" w:rsidP="00316368">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1.8%</w:t>
            </w:r>
          </w:p>
        </w:tc>
      </w:tr>
      <w:tr w:rsidR="007E69DF" w:rsidRPr="007E69DF" w14:paraId="6E82D18C" w14:textId="77777777" w:rsidTr="00BB0640">
        <w:trPr>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6892AA15" w14:textId="23AB04F0" w:rsidR="00371A0E" w:rsidRPr="007E69DF" w:rsidRDefault="00371A0E" w:rsidP="00C44D4B">
            <w:pPr>
              <w:spacing w:before="0" w:after="40"/>
              <w:rPr>
                <w:rFonts w:ascii="Arial" w:hAnsi="Arial" w:cs="Arial"/>
                <w:b w:val="0"/>
                <w:bCs w:val="0"/>
                <w:sz w:val="20"/>
                <w:szCs w:val="20"/>
              </w:rPr>
            </w:pPr>
            <w:r w:rsidRPr="007E69DF">
              <w:rPr>
                <w:rFonts w:ascii="Arial" w:hAnsi="Arial" w:cs="Arial"/>
                <w:sz w:val="20"/>
                <w:szCs w:val="20"/>
              </w:rPr>
              <w:t>Trimethoprim–sulfamethoxazole</w:t>
            </w:r>
          </w:p>
        </w:tc>
        <w:tc>
          <w:tcPr>
            <w:tcW w:w="1304" w:type="dxa"/>
            <w:shd w:val="clear" w:color="auto" w:fill="auto"/>
          </w:tcPr>
          <w:p w14:paraId="5D93DFE3" w14:textId="5A772D9B" w:rsidR="00371A0E" w:rsidRPr="007E69DF" w:rsidRDefault="0004435C" w:rsidP="00775487">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14,696</w:t>
            </w:r>
          </w:p>
        </w:tc>
        <w:tc>
          <w:tcPr>
            <w:tcW w:w="1304"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0D00F5C3" w14:textId="6F0A5106" w:rsidR="00371A0E" w:rsidRPr="007E69DF" w:rsidRDefault="00775487" w:rsidP="00316368">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2.8%</w:t>
            </w:r>
          </w:p>
        </w:tc>
        <w:tc>
          <w:tcPr>
            <w:tcW w:w="1304" w:type="dxa"/>
            <w:tcBorders>
              <w:left w:val="single" w:sz="4" w:space="0" w:color="808080" w:themeColor="background1" w:themeShade="80"/>
            </w:tcBorders>
            <w:shd w:val="clear" w:color="auto" w:fill="auto"/>
          </w:tcPr>
          <w:p w14:paraId="78E0FBB3" w14:textId="3DB08D77" w:rsidR="00371A0E" w:rsidRPr="007E69DF" w:rsidRDefault="00775487" w:rsidP="00775487">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147,196</w:t>
            </w:r>
          </w:p>
        </w:tc>
        <w:tc>
          <w:tcPr>
            <w:tcW w:w="1304" w:type="dxa"/>
            <w:tcBorders>
              <w:top w:val="single" w:sz="4" w:space="0" w:color="7F7F7F" w:themeColor="text1" w:themeTint="80"/>
              <w:bottom w:val="single" w:sz="4" w:space="0" w:color="7F7F7F" w:themeColor="text1" w:themeTint="80"/>
              <w:right w:val="nil"/>
            </w:tcBorders>
            <w:shd w:val="clear" w:color="auto" w:fill="auto"/>
          </w:tcPr>
          <w:p w14:paraId="6A24F544" w14:textId="4AA2B798" w:rsidR="00371A0E" w:rsidRPr="007E69DF" w:rsidRDefault="00371A0E" w:rsidP="00316368">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2.4%</w:t>
            </w:r>
          </w:p>
        </w:tc>
      </w:tr>
      <w:tr w:rsidR="007E69DF" w:rsidRPr="007E69DF" w14:paraId="045F6ECA" w14:textId="77777777" w:rsidTr="00BB064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tcPr>
          <w:p w14:paraId="2BADDB1A" w14:textId="2BA6E480" w:rsidR="00371A0E" w:rsidRPr="007E69DF" w:rsidRDefault="00371A0E" w:rsidP="00371A0E">
            <w:pPr>
              <w:spacing w:before="0" w:after="0"/>
              <w:rPr>
                <w:rFonts w:ascii="Arial" w:hAnsi="Arial" w:cs="Arial"/>
                <w:sz w:val="20"/>
                <w:szCs w:val="20"/>
              </w:rPr>
            </w:pPr>
            <w:r w:rsidRPr="007E69DF">
              <w:rPr>
                <w:rFonts w:ascii="Arial" w:hAnsi="Arial" w:cs="Arial"/>
                <w:sz w:val="20"/>
                <w:szCs w:val="20"/>
              </w:rPr>
              <w:t>Nitrofurantoin</w:t>
            </w:r>
          </w:p>
        </w:tc>
        <w:tc>
          <w:tcPr>
            <w:tcW w:w="1304" w:type="dxa"/>
            <w:shd w:val="clear" w:color="auto" w:fill="auto"/>
          </w:tcPr>
          <w:p w14:paraId="47BB3602" w14:textId="56F99FA5" w:rsidR="00371A0E" w:rsidRPr="007E69DF" w:rsidRDefault="0004435C" w:rsidP="00775487">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14,581</w:t>
            </w:r>
          </w:p>
        </w:tc>
        <w:tc>
          <w:tcPr>
            <w:tcW w:w="1304" w:type="dxa"/>
            <w:tcBorders>
              <w:right w:val="single" w:sz="4" w:space="0" w:color="808080" w:themeColor="background1" w:themeShade="80"/>
            </w:tcBorders>
            <w:shd w:val="clear" w:color="auto" w:fill="auto"/>
          </w:tcPr>
          <w:p w14:paraId="7413C217" w14:textId="352A8154" w:rsidR="00371A0E" w:rsidRPr="007E69DF" w:rsidRDefault="00775487" w:rsidP="00316368">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2.8%</w:t>
            </w:r>
          </w:p>
        </w:tc>
        <w:tc>
          <w:tcPr>
            <w:tcW w:w="1304" w:type="dxa"/>
            <w:tcBorders>
              <w:left w:val="single" w:sz="4" w:space="0" w:color="808080" w:themeColor="background1" w:themeShade="80"/>
            </w:tcBorders>
            <w:shd w:val="clear" w:color="auto" w:fill="auto"/>
          </w:tcPr>
          <w:p w14:paraId="3509E49E" w14:textId="6C1C32A7" w:rsidR="00371A0E" w:rsidRPr="007E69DF" w:rsidRDefault="00775487" w:rsidP="00775487">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84,755</w:t>
            </w:r>
          </w:p>
        </w:tc>
        <w:tc>
          <w:tcPr>
            <w:tcW w:w="1304" w:type="dxa"/>
            <w:tcBorders>
              <w:right w:val="nil"/>
            </w:tcBorders>
            <w:shd w:val="clear" w:color="auto" w:fill="auto"/>
          </w:tcPr>
          <w:p w14:paraId="57944967" w14:textId="2EDE8C0B" w:rsidR="00371A0E" w:rsidRPr="007E69DF" w:rsidRDefault="00371A0E" w:rsidP="00316368">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1.4%</w:t>
            </w:r>
          </w:p>
        </w:tc>
      </w:tr>
    </w:tbl>
    <w:p w14:paraId="6646A844" w14:textId="77777777" w:rsidR="00A03D2C" w:rsidRDefault="009F7242" w:rsidP="00C44D4B">
      <w:pPr>
        <w:pStyle w:val="FigureTablefootnote"/>
        <w:spacing w:before="60"/>
      </w:pPr>
      <w:r w:rsidRPr="009D0B19">
        <w:t>PBS = Pharmaceutical Benefits Scheme; RPBS = Repatriation Pharmaceutical Benefits Scheme</w:t>
      </w:r>
    </w:p>
    <w:p w14:paraId="4E62703B" w14:textId="37F7FBA2" w:rsidR="00A03D2C" w:rsidRDefault="00C44D4B" w:rsidP="00A03D2C">
      <w:pPr>
        <w:pStyle w:val="FigureTablefootnote"/>
        <w:rPr>
          <w:rStyle w:val="FigureTablefootnoteChar"/>
        </w:rPr>
      </w:pPr>
      <w:r w:rsidRPr="00DD659E">
        <w:rPr>
          <w:rStyle w:val="FigureTablefootnoteChar"/>
        </w:rPr>
        <w:t>*</w:t>
      </w:r>
      <w:r w:rsidRPr="00DD659E">
        <w:rPr>
          <w:rStyle w:val="FigureTablefootnoteChar"/>
        </w:rPr>
        <w:tab/>
        <w:t>Most commonly dispensed antimicrobials</w:t>
      </w:r>
      <w:r>
        <w:rPr>
          <w:rStyle w:val="FigureTablefootnoteChar"/>
        </w:rPr>
        <w:t xml:space="preserve"> in aged care homes in 2023 (see Figure 1</w:t>
      </w:r>
      <w:r w:rsidR="00905443">
        <w:rPr>
          <w:rStyle w:val="FigureTablefootnoteChar"/>
        </w:rPr>
        <w:t>3</w:t>
      </w:r>
      <w:r>
        <w:rPr>
          <w:rStyle w:val="FigureTablefootnoteChar"/>
        </w:rPr>
        <w:t>)</w:t>
      </w:r>
    </w:p>
    <w:p w14:paraId="7147FB71" w14:textId="7C446480" w:rsidR="00FA0954" w:rsidRDefault="00A03D2C" w:rsidP="00A03D2C">
      <w:pPr>
        <w:pStyle w:val="FigureTablefootnote"/>
        <w:rPr>
          <w:rStyle w:val="FigureTablefootnoteChar"/>
        </w:rPr>
      </w:pPr>
      <w:r>
        <w:rPr>
          <w:rStyle w:val="FigureTablefootnoteChar"/>
        </w:rPr>
        <w:t xml:space="preserve">Note: </w:t>
      </w:r>
      <w:r w:rsidR="00FA0954">
        <w:rPr>
          <w:rStyle w:val="FigureTablefootnoteChar"/>
        </w:rPr>
        <w:t xml:space="preserve">Percentage of </w:t>
      </w:r>
      <w:r w:rsidR="00510272">
        <w:rPr>
          <w:rStyle w:val="FigureTablefootnoteChar"/>
        </w:rPr>
        <w:t>J01 antibacterials for systemic use dispensed in 2023.</w:t>
      </w:r>
    </w:p>
    <w:p w14:paraId="413DA264" w14:textId="4E5A76F2" w:rsidR="00221C20" w:rsidRDefault="009F7242" w:rsidP="00221C20">
      <w:pPr>
        <w:pStyle w:val="FigureTablefootnote"/>
      </w:pPr>
      <w:r w:rsidRPr="009D0B19">
        <w:t xml:space="preserve">Source: </w:t>
      </w:r>
      <w:proofErr w:type="spellStart"/>
      <w:r w:rsidRPr="009D0B19">
        <w:t>Gadzhanova</w:t>
      </w:r>
      <w:proofErr w:type="spellEnd"/>
      <w:r w:rsidRPr="009D0B19">
        <w:t>, Roughead</w:t>
      </w:r>
      <w:r w:rsidRPr="009D0B19">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fldChar w:fldCharType="separate"/>
      </w:r>
      <w:r w:rsidR="00577C74" w:rsidRPr="00577C74">
        <w:rPr>
          <w:noProof/>
          <w:vertAlign w:val="superscript"/>
        </w:rPr>
        <w:t>40</w:t>
      </w:r>
      <w:r w:rsidRPr="009D0B19">
        <w:fldChar w:fldCharType="end"/>
      </w:r>
    </w:p>
    <w:p w14:paraId="58C9BFCA" w14:textId="77777777" w:rsidR="00BB0640" w:rsidRDefault="00BB0640" w:rsidP="00221C20">
      <w:pPr>
        <w:pStyle w:val="FigureTablefootnote"/>
      </w:pPr>
    </w:p>
    <w:p w14:paraId="69BCC504" w14:textId="0E8140D5" w:rsidR="00BB0640" w:rsidRDefault="00D02873" w:rsidP="00BB0640">
      <w:r>
        <w:t>T</w:t>
      </w:r>
      <w:r w:rsidR="003F0F69">
        <w:t xml:space="preserve">he rate </w:t>
      </w:r>
      <w:r w:rsidR="00ED6DAB">
        <w:t xml:space="preserve">of </w:t>
      </w:r>
      <w:r w:rsidR="00331724">
        <w:t xml:space="preserve">dispensing </w:t>
      </w:r>
      <w:r>
        <w:t xml:space="preserve">antimicrobials for </w:t>
      </w:r>
      <w:r w:rsidR="009B2BC5">
        <w:t>UTIs</w:t>
      </w:r>
      <w:r>
        <w:t xml:space="preserve"> </w:t>
      </w:r>
      <w:r w:rsidR="00602FA5">
        <w:t xml:space="preserve">for older Australians </w:t>
      </w:r>
      <w:r>
        <w:t xml:space="preserve">in aged care homes </w:t>
      </w:r>
      <w:r w:rsidR="00C24A39">
        <w:t>wa</w:t>
      </w:r>
      <w:r>
        <w:t xml:space="preserve">s also high – </w:t>
      </w:r>
      <w:r w:rsidR="00EE61A6">
        <w:t xml:space="preserve">more than </w:t>
      </w:r>
      <w:r w:rsidR="008E1301">
        <w:t xml:space="preserve">three times higher than for </w:t>
      </w:r>
      <w:r w:rsidR="00602FA5">
        <w:t>those</w:t>
      </w:r>
      <w:r w:rsidR="008E1301">
        <w:t xml:space="preserve"> </w:t>
      </w:r>
      <w:r w:rsidRPr="00D02873">
        <w:t xml:space="preserve">in </w:t>
      </w:r>
      <w:r w:rsidR="008E1301">
        <w:t xml:space="preserve">the </w:t>
      </w:r>
      <w:r w:rsidRPr="00D02873">
        <w:t>communit</w:t>
      </w:r>
      <w:r w:rsidR="008E1301">
        <w:t>y</w:t>
      </w:r>
      <w:r w:rsidR="00AF20BD">
        <w:t xml:space="preserve">. </w:t>
      </w:r>
      <w:r w:rsidR="0062723E">
        <w:t xml:space="preserve">Supply </w:t>
      </w:r>
      <w:r w:rsidR="00450BE6">
        <w:t xml:space="preserve">of </w:t>
      </w:r>
      <w:r w:rsidR="00AF20BD">
        <w:t xml:space="preserve">intravenous antimicrobials and </w:t>
      </w:r>
      <w:r w:rsidR="00450BE6">
        <w:t xml:space="preserve">of antimicrobials </w:t>
      </w:r>
      <w:r w:rsidR="00AF20BD">
        <w:t xml:space="preserve">for skin conditions is comparably very low and </w:t>
      </w:r>
      <w:r w:rsidR="007D4086">
        <w:t xml:space="preserve">similar across the community and aged care settings </w:t>
      </w:r>
      <w:r w:rsidR="008E1301">
        <w:t>(Figure 1</w:t>
      </w:r>
      <w:r w:rsidR="00905443">
        <w:t>4</w:t>
      </w:r>
      <w:r w:rsidR="008E1301">
        <w:t>).</w:t>
      </w:r>
      <w:r w:rsidR="00BB0640">
        <w:br w:type="page"/>
      </w:r>
    </w:p>
    <w:p w14:paraId="00B615D7" w14:textId="79380B35" w:rsidR="00034491" w:rsidRDefault="00034491" w:rsidP="00034491">
      <w:pPr>
        <w:spacing w:before="240"/>
      </w:pPr>
      <w:r>
        <w:rPr>
          <w:b/>
          <w:bCs/>
        </w:rPr>
        <w:lastRenderedPageBreak/>
        <w:t>Figure 1</w:t>
      </w:r>
      <w:r w:rsidR="00F45FBA">
        <w:rPr>
          <w:b/>
          <w:bCs/>
        </w:rPr>
        <w:t>4</w:t>
      </w:r>
      <w:r>
        <w:rPr>
          <w:b/>
          <w:bCs/>
        </w:rPr>
        <w:t xml:space="preserve">: </w:t>
      </w:r>
      <w:r>
        <w:t xml:space="preserve">PBS and RPBS antimicrobial prescriptions dispensed for people aged 65 years and over, by setting and classification*, </w:t>
      </w:r>
      <w:proofErr w:type="gramStart"/>
      <w:r>
        <w:t>2023</w:t>
      </w:r>
      <w:proofErr w:type="gramEnd"/>
    </w:p>
    <w:p w14:paraId="7EFB60E0" w14:textId="3C4B811E" w:rsidR="00323482" w:rsidRPr="00321D20" w:rsidRDefault="00321D20" w:rsidP="00321D20">
      <w:pPr>
        <w:spacing w:before="0" w:after="0"/>
      </w:pPr>
      <w:r>
        <w:rPr>
          <w:noProof/>
        </w:rPr>
        <w:drawing>
          <wp:inline distT="0" distB="0" distL="0" distR="0" wp14:anchorId="6CA71993" wp14:editId="2DCE7116">
            <wp:extent cx="6120765" cy="3200400"/>
            <wp:effectExtent l="0" t="0" r="0" b="0"/>
            <wp:docPr id="5" name="Picture 5" descr="Figure 14: PBS and RPBS antimicrobial prescriptions dispensed for people aged 65 years and over, by setting and classificat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4: PBS and RPBS antimicrobial prescriptions dispensed for people aged 65 years and over, by setting and classification*, 2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3200400"/>
                    </a:xfrm>
                    <a:prstGeom prst="rect">
                      <a:avLst/>
                    </a:prstGeom>
                    <a:noFill/>
                  </pic:spPr>
                </pic:pic>
              </a:graphicData>
            </a:graphic>
          </wp:inline>
        </w:drawing>
      </w:r>
    </w:p>
    <w:p w14:paraId="4E43B0FD" w14:textId="77777777" w:rsidR="00034491" w:rsidRDefault="00034491" w:rsidP="00034491">
      <w:pPr>
        <w:spacing w:before="60" w:after="0"/>
        <w:rPr>
          <w:sz w:val="16"/>
          <w:szCs w:val="16"/>
        </w:rPr>
      </w:pPr>
      <w:r>
        <w:rPr>
          <w:sz w:val="16"/>
          <w:szCs w:val="16"/>
        </w:rPr>
        <w:t xml:space="preserve">J01 = </w:t>
      </w:r>
      <w:r w:rsidRPr="00E66487">
        <w:rPr>
          <w:sz w:val="16"/>
          <w:szCs w:val="16"/>
        </w:rPr>
        <w:t xml:space="preserve">antibacterials for </w:t>
      </w:r>
      <w:r w:rsidRPr="009D0B19">
        <w:rPr>
          <w:sz w:val="16"/>
          <w:szCs w:val="16"/>
        </w:rPr>
        <w:t>systemic</w:t>
      </w:r>
      <w:r>
        <w:rPr>
          <w:sz w:val="16"/>
          <w:szCs w:val="16"/>
        </w:rPr>
        <w:t xml:space="preserve"> use</w:t>
      </w:r>
      <w:r w:rsidRPr="009D0B19">
        <w:rPr>
          <w:sz w:val="16"/>
          <w:szCs w:val="16"/>
        </w:rPr>
        <w:t>; UTI = Urinary tract infection; IV = Intravenous</w:t>
      </w:r>
    </w:p>
    <w:p w14:paraId="15E9C01E" w14:textId="1D6803D0" w:rsidR="00034491" w:rsidRDefault="00034491" w:rsidP="00034491">
      <w:pPr>
        <w:pStyle w:val="FigureTablefootnote"/>
      </w:pPr>
      <w:r w:rsidRPr="00DD659E">
        <w:rPr>
          <w:rStyle w:val="FigureTablefootnoteChar"/>
        </w:rPr>
        <w:t>*</w:t>
      </w:r>
      <w:r w:rsidRPr="00DD659E">
        <w:rPr>
          <w:rStyle w:val="FigureTablefootnoteChar"/>
        </w:rPr>
        <w:tab/>
      </w:r>
      <w:r>
        <w:rPr>
          <w:rStyle w:val="FigureTablefootnoteChar"/>
        </w:rPr>
        <w:t xml:space="preserve">Per </w:t>
      </w:r>
      <w:r>
        <w:t xml:space="preserve">World Health Organization </w:t>
      </w:r>
      <w:r w:rsidRPr="00E906CB">
        <w:t>Anatomical Therapeutic Chemical Classification</w:t>
      </w:r>
      <w:r>
        <w:t xml:space="preserve"> and PBS and RPBS listing</w:t>
      </w:r>
      <w:r w:rsidR="00582482">
        <w:t>s</w:t>
      </w:r>
    </w:p>
    <w:p w14:paraId="49BEB9B7" w14:textId="77777777" w:rsidR="00002D50" w:rsidRDefault="008820B6" w:rsidP="008820B6">
      <w:pPr>
        <w:pStyle w:val="FigureTablefootnote"/>
      </w:pPr>
      <w:r>
        <w:t>Note</w:t>
      </w:r>
      <w:r w:rsidR="00002D50">
        <w:t>s</w:t>
      </w:r>
      <w:r>
        <w:t>:</w:t>
      </w:r>
    </w:p>
    <w:p w14:paraId="47F6A4FA" w14:textId="3FBA34B8" w:rsidR="008820B6" w:rsidRDefault="00F661CC" w:rsidP="00585469">
      <w:pPr>
        <w:pStyle w:val="FigureTablefootnote"/>
        <w:numPr>
          <w:ilvl w:val="0"/>
          <w:numId w:val="22"/>
        </w:numPr>
        <w:tabs>
          <w:tab w:val="clear" w:pos="142"/>
          <w:tab w:val="left" w:pos="1560"/>
        </w:tabs>
        <w:ind w:left="284" w:hanging="284"/>
      </w:pPr>
      <w:r>
        <w:t>PBS and RPBS</w:t>
      </w:r>
      <w:r w:rsidRPr="00F46944">
        <w:t xml:space="preserve"> </w:t>
      </w:r>
      <w:r w:rsidR="008820B6" w:rsidRPr="00F46944">
        <w:t>data do not indicate the diagnosis or condition of the patient or the indication for prescription</w:t>
      </w:r>
      <w:r w:rsidR="008820B6">
        <w:t>.</w:t>
      </w:r>
      <w:r w:rsidR="009A471F">
        <w:t xml:space="preserve"> Antimicrobials for UTI include methenamine </w:t>
      </w:r>
      <w:proofErr w:type="spellStart"/>
      <w:r w:rsidR="009A471F">
        <w:t>hippurate</w:t>
      </w:r>
      <w:proofErr w:type="spellEnd"/>
      <w:r w:rsidR="009A471F">
        <w:t>, nitrofurantoin, norfloxacin and trimethoprim.</w:t>
      </w:r>
      <w:r w:rsidR="00DF12E1">
        <w:t xml:space="preserve"> Other antimicrobials, including J01 antibacterials for systemic use</w:t>
      </w:r>
      <w:r w:rsidR="00DF12E1">
        <w:rPr>
          <w:lang w:val="en-US"/>
        </w:rPr>
        <w:t xml:space="preserve">, </w:t>
      </w:r>
      <w:r w:rsidR="00DF12E1" w:rsidRPr="005C3E3F">
        <w:rPr>
          <w:lang w:val="en-US"/>
        </w:rPr>
        <w:t xml:space="preserve">may </w:t>
      </w:r>
      <w:r w:rsidR="00DF12E1">
        <w:rPr>
          <w:lang w:val="en-US"/>
        </w:rPr>
        <w:t xml:space="preserve">also </w:t>
      </w:r>
      <w:r w:rsidR="00DF12E1" w:rsidRPr="005C3E3F">
        <w:rPr>
          <w:lang w:val="en-US"/>
        </w:rPr>
        <w:t xml:space="preserve">be used for </w:t>
      </w:r>
      <w:r w:rsidR="00DF12E1">
        <w:rPr>
          <w:lang w:val="en-US"/>
        </w:rPr>
        <w:t>urinary tract infections but this cannot be determined from the dataset.</w:t>
      </w:r>
    </w:p>
    <w:p w14:paraId="37E2C72E" w14:textId="70899ADA" w:rsidR="00002D50" w:rsidRPr="009D0B19" w:rsidRDefault="00585469" w:rsidP="00585469">
      <w:pPr>
        <w:pStyle w:val="FigureTablefootnote"/>
        <w:numPr>
          <w:ilvl w:val="0"/>
          <w:numId w:val="22"/>
        </w:numPr>
        <w:tabs>
          <w:tab w:val="clear" w:pos="142"/>
          <w:tab w:val="left" w:pos="1560"/>
        </w:tabs>
        <w:ind w:left="284" w:hanging="284"/>
      </w:pPr>
      <w:r>
        <w:t xml:space="preserve">Many antimicrobials </w:t>
      </w:r>
      <w:r w:rsidR="005F26CB">
        <w:t xml:space="preserve">for skin conditions </w:t>
      </w:r>
      <w:r>
        <w:t>are available over-the-counter without a prescription so are not captured by the PBS and RPBS.</w:t>
      </w:r>
    </w:p>
    <w:p w14:paraId="67A18C36" w14:textId="74A7BE54" w:rsidR="00034491" w:rsidRDefault="00034491" w:rsidP="00D75B19">
      <w:pPr>
        <w:spacing w:before="0" w:after="0"/>
        <w:rPr>
          <w:sz w:val="16"/>
          <w:szCs w:val="16"/>
        </w:rPr>
      </w:pPr>
      <w:r w:rsidRPr="009D0B19">
        <w:rPr>
          <w:sz w:val="16"/>
          <w:szCs w:val="16"/>
        </w:rPr>
        <w:t xml:space="preserve">Source: </w:t>
      </w:r>
      <w:proofErr w:type="spellStart"/>
      <w:r w:rsidRPr="009D0B19">
        <w:rPr>
          <w:sz w:val="16"/>
          <w:szCs w:val="16"/>
        </w:rPr>
        <w:t>Gadzhanova</w:t>
      </w:r>
      <w:proofErr w:type="spellEnd"/>
      <w:r w:rsidRPr="009D0B19">
        <w:rPr>
          <w:sz w:val="16"/>
          <w:szCs w:val="16"/>
        </w:rPr>
        <w:t>, Roughead</w:t>
      </w:r>
      <w:r w:rsidRPr="009D0B19">
        <w:rPr>
          <w:sz w:val="16"/>
          <w:szCs w:val="16"/>
        </w:rPr>
        <w:fldChar w:fldCharType="begin"/>
      </w:r>
      <w:r w:rsidR="00C43D56">
        <w:rPr>
          <w:sz w:val="16"/>
          <w:szCs w:val="16"/>
        </w:rPr>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rPr>
          <w:sz w:val="16"/>
          <w:szCs w:val="16"/>
        </w:rPr>
        <w:fldChar w:fldCharType="separate"/>
      </w:r>
      <w:r w:rsidR="00577C74" w:rsidRPr="00577C74">
        <w:rPr>
          <w:noProof/>
          <w:sz w:val="16"/>
          <w:szCs w:val="16"/>
          <w:vertAlign w:val="superscript"/>
        </w:rPr>
        <w:t>40</w:t>
      </w:r>
      <w:r w:rsidRPr="009D0B19">
        <w:rPr>
          <w:sz w:val="16"/>
          <w:szCs w:val="16"/>
        </w:rPr>
        <w:fldChar w:fldCharType="end"/>
      </w:r>
    </w:p>
    <w:p w14:paraId="005EE661" w14:textId="77777777" w:rsidR="00BF6591" w:rsidRDefault="00BF6591" w:rsidP="00D75B19">
      <w:pPr>
        <w:spacing w:before="0" w:after="0"/>
        <w:rPr>
          <w:sz w:val="16"/>
          <w:szCs w:val="16"/>
        </w:rPr>
      </w:pPr>
    </w:p>
    <w:p w14:paraId="32E52379" w14:textId="6A0682DF" w:rsidR="00765E0C" w:rsidRDefault="00A37762" w:rsidP="009739B0">
      <w:pPr>
        <w:pStyle w:val="Heading5"/>
      </w:pPr>
      <w:r>
        <w:t>Antimicrobials for urinary tract infections</w:t>
      </w:r>
      <w:r w:rsidR="00ED6DAB">
        <w:t xml:space="preserve"> in aged care </w:t>
      </w:r>
      <w:r w:rsidR="00677130">
        <w:t xml:space="preserve">homes </w:t>
      </w:r>
      <w:r w:rsidR="00ED6DAB">
        <w:t xml:space="preserve">and </w:t>
      </w:r>
      <w:r w:rsidR="00A57E0B">
        <w:t>the community</w:t>
      </w:r>
    </w:p>
    <w:p w14:paraId="1735A71E" w14:textId="26368184" w:rsidR="00B8193B" w:rsidRPr="00B057D1" w:rsidRDefault="00C21114" w:rsidP="00B8193B">
      <w:r>
        <w:t xml:space="preserve">Of all antimicrobials for </w:t>
      </w:r>
      <w:r w:rsidR="009B2BC5">
        <w:t>UTIs</w:t>
      </w:r>
      <w:r w:rsidR="00493737">
        <w:t xml:space="preserve"> supplied under the PBS and RPBS in 2023</w:t>
      </w:r>
      <w:r>
        <w:t xml:space="preserve">, </w:t>
      </w:r>
      <w:r w:rsidR="00FF61D6">
        <w:t>7</w:t>
      </w:r>
      <w:r>
        <w:t xml:space="preserve">% were </w:t>
      </w:r>
      <w:r w:rsidR="00493737">
        <w:t xml:space="preserve">for </w:t>
      </w:r>
      <w:r>
        <w:t>older Australians in aged care homes</w:t>
      </w:r>
      <w:r w:rsidR="00681438">
        <w:t xml:space="preserve">, </w:t>
      </w:r>
      <w:r w:rsidR="0028336A">
        <w:t xml:space="preserve">while </w:t>
      </w:r>
      <w:r w:rsidR="00FF61D6">
        <w:t>50.9</w:t>
      </w:r>
      <w:r>
        <w:t xml:space="preserve">% </w:t>
      </w:r>
      <w:r w:rsidR="0028336A">
        <w:t xml:space="preserve">were supplied to </w:t>
      </w:r>
      <w:r>
        <w:t xml:space="preserve">older Australians in the </w:t>
      </w:r>
      <w:r w:rsidRPr="00B057D1">
        <w:t>community.</w:t>
      </w:r>
    </w:p>
    <w:p w14:paraId="5E022A45" w14:textId="4948CD30" w:rsidR="00E932CE" w:rsidRDefault="00493737" w:rsidP="00B8193B">
      <w:r>
        <w:t xml:space="preserve">Just over one-third </w:t>
      </w:r>
      <w:r w:rsidR="00994086">
        <w:t xml:space="preserve">(34.1%) </w:t>
      </w:r>
      <w:r>
        <w:t xml:space="preserve">of prescriptions for </w:t>
      </w:r>
      <w:r w:rsidR="00994086">
        <w:t xml:space="preserve">UTIs across both settings were for methenamine </w:t>
      </w:r>
      <w:proofErr w:type="spellStart"/>
      <w:r w:rsidR="00D87955">
        <w:t>h</w:t>
      </w:r>
      <w:r w:rsidR="00994086">
        <w:t>ippurate</w:t>
      </w:r>
      <w:proofErr w:type="spellEnd"/>
      <w:r w:rsidR="00994086">
        <w:t xml:space="preserve">, which is </w:t>
      </w:r>
      <w:r w:rsidR="0027726F">
        <w:t>indicated for prophylaxis</w:t>
      </w:r>
      <w:r w:rsidR="006C522B">
        <w:t xml:space="preserve"> (Table 7).</w:t>
      </w:r>
    </w:p>
    <w:p w14:paraId="33B18714" w14:textId="69025B96" w:rsidR="00F661CC" w:rsidRDefault="00E932CE" w:rsidP="00F661CC">
      <w:pPr>
        <w:rPr>
          <w:lang w:val="en-US"/>
        </w:rPr>
      </w:pPr>
      <w:r>
        <w:t xml:space="preserve">It is important to note </w:t>
      </w:r>
      <w:r w:rsidR="009961BA">
        <w:t xml:space="preserve">that </w:t>
      </w:r>
      <w:r w:rsidR="002866A3">
        <w:t xml:space="preserve">indication </w:t>
      </w:r>
      <w:r w:rsidR="009961BA">
        <w:t xml:space="preserve">for prescribing </w:t>
      </w:r>
      <w:r w:rsidR="002866A3">
        <w:t xml:space="preserve">cannot be </w:t>
      </w:r>
      <w:r w:rsidR="002866A3" w:rsidRPr="005C3E3F">
        <w:rPr>
          <w:lang w:val="en-US"/>
        </w:rPr>
        <w:t>determined from the PBS</w:t>
      </w:r>
      <w:r w:rsidR="002866A3">
        <w:rPr>
          <w:lang w:val="en-US"/>
        </w:rPr>
        <w:t xml:space="preserve"> and </w:t>
      </w:r>
      <w:r w:rsidR="002866A3" w:rsidRPr="005C3E3F">
        <w:rPr>
          <w:lang w:val="en-US"/>
        </w:rPr>
        <w:t>RPBS dataset</w:t>
      </w:r>
      <w:r w:rsidR="002866A3">
        <w:rPr>
          <w:lang w:val="en-US"/>
        </w:rPr>
        <w:t>.</w:t>
      </w:r>
      <w:r w:rsidR="00BC21F1">
        <w:rPr>
          <w:lang w:val="en-US"/>
        </w:rPr>
        <w:t xml:space="preserve"> Other antimicrobials may be used for UTIs </w:t>
      </w:r>
      <w:r w:rsidR="007938DE">
        <w:rPr>
          <w:lang w:val="en-US"/>
        </w:rPr>
        <w:t xml:space="preserve">including </w:t>
      </w:r>
      <w:r w:rsidR="00BC21F1">
        <w:rPr>
          <w:lang w:val="en-US"/>
        </w:rPr>
        <w:t>cefalexin and amoxicillin</w:t>
      </w:r>
      <w:r w:rsidR="00761181">
        <w:rPr>
          <w:lang w:val="en-US"/>
        </w:rPr>
        <w:t>–clavulanic acid, which are J01 antibacterials</w:t>
      </w:r>
      <w:r w:rsidR="00761181" w:rsidRPr="00B057D1">
        <w:rPr>
          <w:lang w:val="en-US"/>
        </w:rPr>
        <w:t>.</w:t>
      </w:r>
      <w:r w:rsidR="00F661CC">
        <w:rPr>
          <w:lang w:val="en-US"/>
        </w:rPr>
        <w:br w:type="page"/>
      </w:r>
    </w:p>
    <w:p w14:paraId="6D1D3C66" w14:textId="343BC1B8" w:rsidR="00296EF3" w:rsidRDefault="00296EF3" w:rsidP="00296EF3">
      <w:pPr>
        <w:spacing w:before="240"/>
        <w:rPr>
          <w:rFonts w:cstheme="minorHAnsi"/>
        </w:rPr>
      </w:pPr>
      <w:r w:rsidRPr="006C522B">
        <w:rPr>
          <w:b/>
          <w:bCs/>
        </w:rPr>
        <w:lastRenderedPageBreak/>
        <w:t xml:space="preserve">Table </w:t>
      </w:r>
      <w:r w:rsidR="00AA1F9E" w:rsidRPr="006C522B">
        <w:rPr>
          <w:b/>
          <w:bCs/>
        </w:rPr>
        <w:t>7</w:t>
      </w:r>
      <w:r w:rsidRPr="006C522B">
        <w:rPr>
          <w:b/>
          <w:bCs/>
        </w:rPr>
        <w:t xml:space="preserve">: </w:t>
      </w:r>
      <w:r w:rsidRPr="006C522B">
        <w:rPr>
          <w:bCs/>
        </w:rPr>
        <w:t>N</w:t>
      </w:r>
      <w:r w:rsidRPr="008245C4">
        <w:rPr>
          <w:bCs/>
        </w:rPr>
        <w:t>umber and percent</w:t>
      </w:r>
      <w:r w:rsidR="000127BF">
        <w:rPr>
          <w:bCs/>
        </w:rPr>
        <w:t>age</w:t>
      </w:r>
      <w:r w:rsidRPr="008245C4">
        <w:rPr>
          <w:bCs/>
        </w:rPr>
        <w:t xml:space="preserve"> of PBS and RPBS antimicrobial prescriptions </w:t>
      </w:r>
      <w:r w:rsidR="00580448">
        <w:rPr>
          <w:bCs/>
        </w:rPr>
        <w:t>for urinary tract infections</w:t>
      </w:r>
      <w:r w:rsidR="00580448" w:rsidRPr="008245C4">
        <w:rPr>
          <w:bCs/>
        </w:rPr>
        <w:t xml:space="preserve"> </w:t>
      </w:r>
      <w:r w:rsidRPr="008245C4">
        <w:rPr>
          <w:bCs/>
        </w:rPr>
        <w:t xml:space="preserve">dispensed </w:t>
      </w:r>
      <w:r>
        <w:rPr>
          <w:bCs/>
        </w:rPr>
        <w:t xml:space="preserve">to people aged 65 years and over, by setting, </w:t>
      </w:r>
      <w:proofErr w:type="gramStart"/>
      <w:r w:rsidRPr="008245C4">
        <w:rPr>
          <w:bCs/>
        </w:rPr>
        <w:t>2023</w:t>
      </w:r>
      <w:proofErr w:type="gramEnd"/>
    </w:p>
    <w:tbl>
      <w:tblPr>
        <w:tblStyle w:val="PlainTable2"/>
        <w:tblW w:w="7596" w:type="dxa"/>
        <w:tblLook w:val="04A0" w:firstRow="1" w:lastRow="0" w:firstColumn="1" w:lastColumn="0" w:noHBand="0" w:noVBand="1"/>
        <w:tblCaption w:val="Table 7: Number and percentage of PBS and RPBS antimicrobial prescriptions for urinary tract infections dispensed to people aged 65 years and over, by setting, 2023"/>
      </w:tblPr>
      <w:tblGrid>
        <w:gridCol w:w="2608"/>
        <w:gridCol w:w="1247"/>
        <w:gridCol w:w="1247"/>
        <w:gridCol w:w="1247"/>
        <w:gridCol w:w="1247"/>
      </w:tblGrid>
      <w:tr w:rsidR="00111DB3" w:rsidRPr="007E69DF" w14:paraId="613AEBD5" w14:textId="77777777" w:rsidTr="00BB064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08" w:type="dxa"/>
            <w:vMerge w:val="restart"/>
            <w:shd w:val="clear" w:color="auto" w:fill="EFC3AF"/>
            <w:vAlign w:val="bottom"/>
          </w:tcPr>
          <w:p w14:paraId="15A2F63D" w14:textId="77777777" w:rsidR="00296EF3" w:rsidRPr="007E69DF" w:rsidRDefault="00296EF3" w:rsidP="003D30E4">
            <w:pPr>
              <w:spacing w:before="0"/>
              <w:rPr>
                <w:rFonts w:ascii="Arial" w:hAnsi="Arial" w:cs="Arial"/>
                <w:sz w:val="20"/>
                <w:szCs w:val="20"/>
              </w:rPr>
            </w:pPr>
            <w:r w:rsidRPr="007E69DF">
              <w:rPr>
                <w:rFonts w:ascii="Arial" w:hAnsi="Arial" w:cs="Arial"/>
                <w:sz w:val="20"/>
                <w:szCs w:val="20"/>
              </w:rPr>
              <w:t>Antimicrobial*</w:t>
            </w:r>
          </w:p>
        </w:tc>
        <w:tc>
          <w:tcPr>
            <w:tcW w:w="2494" w:type="dxa"/>
            <w:gridSpan w:val="2"/>
            <w:tcBorders>
              <w:top w:val="single" w:sz="4" w:space="0" w:color="7F7F7F" w:themeColor="text1" w:themeTint="80"/>
              <w:right w:val="single" w:sz="4" w:space="0" w:color="808080" w:themeColor="background1" w:themeShade="80"/>
            </w:tcBorders>
            <w:shd w:val="clear" w:color="auto" w:fill="EFC3AF"/>
            <w:vAlign w:val="center"/>
          </w:tcPr>
          <w:p w14:paraId="27CD4C44" w14:textId="73838A5B"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69DF">
              <w:rPr>
                <w:rFonts w:ascii="Arial" w:hAnsi="Arial" w:cs="Arial"/>
                <w:sz w:val="20"/>
                <w:szCs w:val="20"/>
              </w:rPr>
              <w:t>Aged care home</w:t>
            </w:r>
          </w:p>
        </w:tc>
        <w:tc>
          <w:tcPr>
            <w:tcW w:w="2494" w:type="dxa"/>
            <w:gridSpan w:val="2"/>
            <w:tcBorders>
              <w:top w:val="single" w:sz="4" w:space="0" w:color="7F7F7F" w:themeColor="text1" w:themeTint="80"/>
              <w:left w:val="single" w:sz="4" w:space="0" w:color="808080" w:themeColor="background1" w:themeShade="80"/>
              <w:right w:val="nil"/>
            </w:tcBorders>
            <w:shd w:val="clear" w:color="auto" w:fill="EFC3AF"/>
            <w:vAlign w:val="center"/>
          </w:tcPr>
          <w:p w14:paraId="09F398D5" w14:textId="77777777"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69DF">
              <w:rPr>
                <w:rFonts w:ascii="Arial" w:hAnsi="Arial" w:cs="Arial"/>
                <w:sz w:val="20"/>
                <w:szCs w:val="20"/>
              </w:rPr>
              <w:t>Community</w:t>
            </w:r>
          </w:p>
        </w:tc>
      </w:tr>
      <w:tr w:rsidR="00111DB3" w:rsidRPr="007E69DF" w14:paraId="3B9D1EE2"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08" w:type="dxa"/>
            <w:vMerge/>
            <w:shd w:val="clear" w:color="auto" w:fill="EFC3AF"/>
            <w:vAlign w:val="center"/>
          </w:tcPr>
          <w:p w14:paraId="2C763D05" w14:textId="77777777" w:rsidR="00296EF3" w:rsidRPr="007E69DF" w:rsidRDefault="00296EF3" w:rsidP="003D30E4">
            <w:pPr>
              <w:spacing w:before="0" w:after="0"/>
              <w:rPr>
                <w:rFonts w:ascii="Arial" w:hAnsi="Arial" w:cs="Arial"/>
                <w:sz w:val="20"/>
                <w:szCs w:val="20"/>
              </w:rPr>
            </w:pPr>
          </w:p>
        </w:tc>
        <w:tc>
          <w:tcPr>
            <w:tcW w:w="1247" w:type="dxa"/>
            <w:shd w:val="clear" w:color="auto" w:fill="EFC3AF"/>
            <w:vAlign w:val="center"/>
          </w:tcPr>
          <w:p w14:paraId="4F0FBF35"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r w:rsidRPr="007E69DF">
              <w:rPr>
                <w:rFonts w:ascii="Arial" w:hAnsi="Arial" w:cs="Arial"/>
                <w:i/>
                <w:iCs/>
                <w:sz w:val="20"/>
                <w:szCs w:val="20"/>
              </w:rPr>
              <w:t>n</w:t>
            </w:r>
            <w:r w:rsidRPr="007E69DF">
              <w:rPr>
                <w:rFonts w:ascii="Arial" w:hAnsi="Arial" w:cs="Arial"/>
                <w:sz w:val="20"/>
                <w:szCs w:val="20"/>
              </w:rPr>
              <w:t>)</w:t>
            </w:r>
          </w:p>
        </w:tc>
        <w:tc>
          <w:tcPr>
            <w:tcW w:w="1247" w:type="dxa"/>
            <w:tcBorders>
              <w:right w:val="single" w:sz="4" w:space="0" w:color="808080" w:themeColor="background1" w:themeShade="80"/>
            </w:tcBorders>
            <w:shd w:val="clear" w:color="auto" w:fill="EFC3AF"/>
            <w:vAlign w:val="center"/>
          </w:tcPr>
          <w:p w14:paraId="2A273EA7" w14:textId="77777777" w:rsidR="00296EF3" w:rsidRPr="007E69DF" w:rsidRDefault="00296EF3" w:rsidP="000B17DD">
            <w:pPr>
              <w:spacing w:before="0" w:after="0"/>
              <w:ind w:right="-107"/>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p>
        </w:tc>
        <w:tc>
          <w:tcPr>
            <w:tcW w:w="1247" w:type="dxa"/>
            <w:tcBorders>
              <w:left w:val="single" w:sz="4" w:space="0" w:color="808080" w:themeColor="background1" w:themeShade="80"/>
            </w:tcBorders>
            <w:shd w:val="clear" w:color="auto" w:fill="EFC3AF"/>
            <w:vAlign w:val="center"/>
          </w:tcPr>
          <w:p w14:paraId="3E9B63CF"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r w:rsidRPr="007E69DF">
              <w:rPr>
                <w:rFonts w:ascii="Arial" w:hAnsi="Arial" w:cs="Arial"/>
                <w:i/>
                <w:iCs/>
                <w:sz w:val="20"/>
                <w:szCs w:val="20"/>
              </w:rPr>
              <w:t>n</w:t>
            </w:r>
            <w:r w:rsidRPr="007E69DF">
              <w:rPr>
                <w:rFonts w:ascii="Arial" w:hAnsi="Arial" w:cs="Arial"/>
                <w:sz w:val="20"/>
                <w:szCs w:val="20"/>
              </w:rPr>
              <w:t>)</w:t>
            </w:r>
          </w:p>
        </w:tc>
        <w:tc>
          <w:tcPr>
            <w:tcW w:w="1247" w:type="dxa"/>
            <w:tcBorders>
              <w:right w:val="nil"/>
            </w:tcBorders>
            <w:shd w:val="clear" w:color="auto" w:fill="EFC3AF"/>
            <w:vAlign w:val="center"/>
          </w:tcPr>
          <w:p w14:paraId="6A50DF8D" w14:textId="77777777" w:rsidR="00296EF3" w:rsidRPr="007E69DF" w:rsidRDefault="00296EF3" w:rsidP="000B17DD">
            <w:pPr>
              <w:spacing w:before="0" w:after="0"/>
              <w:ind w:right="-167"/>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69DF">
              <w:rPr>
                <w:rFonts w:ascii="Arial" w:hAnsi="Arial" w:cs="Arial"/>
                <w:sz w:val="20"/>
                <w:szCs w:val="20"/>
              </w:rPr>
              <w:t>(%)</w:t>
            </w:r>
          </w:p>
        </w:tc>
      </w:tr>
      <w:tr w:rsidR="00111DB3" w:rsidRPr="007E69DF" w14:paraId="60687B54"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608" w:type="dxa"/>
            <w:shd w:val="clear" w:color="auto" w:fill="auto"/>
          </w:tcPr>
          <w:p w14:paraId="15B684D8" w14:textId="09C71E97" w:rsidR="00296EF3" w:rsidRPr="007E69DF" w:rsidRDefault="00296EF3" w:rsidP="00296EF3">
            <w:pPr>
              <w:spacing w:before="0" w:after="0"/>
              <w:rPr>
                <w:rFonts w:ascii="Arial" w:hAnsi="Arial" w:cs="Arial"/>
                <w:sz w:val="20"/>
                <w:szCs w:val="20"/>
              </w:rPr>
            </w:pPr>
            <w:r w:rsidRPr="007E69DF">
              <w:rPr>
                <w:sz w:val="20"/>
                <w:szCs w:val="20"/>
              </w:rPr>
              <w:t>Trimethoprim</w:t>
            </w:r>
          </w:p>
        </w:tc>
        <w:tc>
          <w:tcPr>
            <w:tcW w:w="1247" w:type="dxa"/>
            <w:shd w:val="clear" w:color="auto" w:fill="auto"/>
          </w:tcPr>
          <w:p w14:paraId="1613038D" w14:textId="5B6CF9E1" w:rsidR="00296EF3" w:rsidRPr="007E69DF" w:rsidRDefault="0045042A" w:rsidP="00296E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42,997</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727BEAB9" w14:textId="2B683A34" w:rsidR="00296EF3" w:rsidRPr="007E69DF" w:rsidRDefault="0045042A" w:rsidP="00296E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46.8</w:t>
            </w:r>
            <w:r w:rsidR="00296EF3" w:rsidRPr="007E69DF">
              <w:rPr>
                <w:rFonts w:ascii="Arial" w:hAnsi="Arial" w:cs="Arial"/>
                <w:color w:val="000000"/>
                <w:sz w:val="20"/>
                <w:szCs w:val="20"/>
              </w:rPr>
              <w:t>%</w:t>
            </w:r>
          </w:p>
        </w:tc>
        <w:tc>
          <w:tcPr>
            <w:tcW w:w="1247" w:type="dxa"/>
            <w:tcBorders>
              <w:left w:val="single" w:sz="4" w:space="0" w:color="808080" w:themeColor="background1" w:themeShade="80"/>
            </w:tcBorders>
            <w:shd w:val="clear" w:color="auto" w:fill="auto"/>
          </w:tcPr>
          <w:p w14:paraId="16E8A562" w14:textId="73C38455" w:rsidR="00296EF3" w:rsidRPr="007E69DF" w:rsidRDefault="0045042A" w:rsidP="00296E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336,541</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761D62E9" w14:textId="390C974E" w:rsidR="00296EF3" w:rsidRPr="007E69DF" w:rsidRDefault="0045042A" w:rsidP="00296E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50.7</w:t>
            </w:r>
            <w:r w:rsidR="00296EF3" w:rsidRPr="007E69DF">
              <w:rPr>
                <w:rFonts w:ascii="Arial" w:hAnsi="Arial" w:cs="Arial"/>
                <w:color w:val="000000"/>
                <w:sz w:val="20"/>
                <w:szCs w:val="20"/>
              </w:rPr>
              <w:t>%</w:t>
            </w:r>
          </w:p>
        </w:tc>
      </w:tr>
      <w:tr w:rsidR="00111DB3" w:rsidRPr="007E69DF" w14:paraId="6369FDE5"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08" w:type="dxa"/>
            <w:shd w:val="clear" w:color="auto" w:fill="auto"/>
          </w:tcPr>
          <w:p w14:paraId="23503AEE" w14:textId="42AAD0D1" w:rsidR="00296EF3" w:rsidRPr="007E69DF" w:rsidRDefault="00296EF3" w:rsidP="00296EF3">
            <w:pPr>
              <w:spacing w:before="0" w:after="0"/>
              <w:rPr>
                <w:rFonts w:ascii="Arial" w:hAnsi="Arial" w:cs="Arial"/>
                <w:sz w:val="20"/>
                <w:szCs w:val="20"/>
              </w:rPr>
            </w:pPr>
            <w:r w:rsidRPr="007E69DF">
              <w:rPr>
                <w:sz w:val="20"/>
                <w:szCs w:val="20"/>
              </w:rPr>
              <w:t>Methenamine</w:t>
            </w:r>
            <w:r w:rsidRPr="007E69DF">
              <w:rPr>
                <w:rFonts w:ascii="Arial" w:hAnsi="Arial" w:cs="Arial"/>
                <w:sz w:val="20"/>
                <w:szCs w:val="20"/>
              </w:rPr>
              <w:t xml:space="preserve"> </w:t>
            </w:r>
            <w:r w:rsidR="00D87955">
              <w:rPr>
                <w:rFonts w:ascii="Arial" w:hAnsi="Arial" w:cs="Arial"/>
                <w:sz w:val="20"/>
                <w:szCs w:val="20"/>
              </w:rPr>
              <w:t>h</w:t>
            </w:r>
            <w:r w:rsidRPr="007E69DF">
              <w:rPr>
                <w:rFonts w:ascii="Arial" w:hAnsi="Arial" w:cs="Arial"/>
                <w:sz w:val="20"/>
                <w:szCs w:val="20"/>
              </w:rPr>
              <w:t>ippurate</w:t>
            </w:r>
          </w:p>
        </w:tc>
        <w:tc>
          <w:tcPr>
            <w:tcW w:w="1247" w:type="dxa"/>
            <w:shd w:val="clear" w:color="auto" w:fill="auto"/>
          </w:tcPr>
          <w:p w14:paraId="57F18823" w14:textId="794BEBDA" w:rsidR="00296EF3" w:rsidRPr="007E69DF" w:rsidRDefault="0045042A" w:rsidP="00296E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33,172</w:t>
            </w:r>
          </w:p>
        </w:tc>
        <w:tc>
          <w:tcPr>
            <w:tcW w:w="1247" w:type="dxa"/>
            <w:tcBorders>
              <w:right w:val="single" w:sz="4" w:space="0" w:color="808080" w:themeColor="background1" w:themeShade="80"/>
            </w:tcBorders>
            <w:shd w:val="clear" w:color="auto" w:fill="auto"/>
          </w:tcPr>
          <w:p w14:paraId="68009216" w14:textId="56FEC948" w:rsidR="00296EF3" w:rsidRPr="007E69DF" w:rsidRDefault="0045042A" w:rsidP="00296E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36.1</w:t>
            </w:r>
            <w:r w:rsidR="00296EF3" w:rsidRPr="007E69DF">
              <w:rPr>
                <w:rFonts w:cstheme="minorHAnsi"/>
                <w:color w:val="000000"/>
                <w:sz w:val="20"/>
                <w:szCs w:val="20"/>
              </w:rPr>
              <w:t>%</w:t>
            </w:r>
          </w:p>
        </w:tc>
        <w:tc>
          <w:tcPr>
            <w:tcW w:w="1247" w:type="dxa"/>
            <w:tcBorders>
              <w:left w:val="single" w:sz="4" w:space="0" w:color="808080" w:themeColor="background1" w:themeShade="80"/>
            </w:tcBorders>
            <w:shd w:val="clear" w:color="auto" w:fill="auto"/>
          </w:tcPr>
          <w:p w14:paraId="78F13AFE" w14:textId="6470A359" w:rsidR="00296EF3" w:rsidRPr="007E69DF" w:rsidRDefault="0045042A" w:rsidP="00296E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224,351</w:t>
            </w:r>
          </w:p>
        </w:tc>
        <w:tc>
          <w:tcPr>
            <w:tcW w:w="1247" w:type="dxa"/>
            <w:tcBorders>
              <w:right w:val="nil"/>
            </w:tcBorders>
            <w:shd w:val="clear" w:color="auto" w:fill="auto"/>
          </w:tcPr>
          <w:p w14:paraId="59711CC8" w14:textId="1E2EB791" w:rsidR="00296EF3" w:rsidRPr="007E69DF" w:rsidRDefault="0045042A" w:rsidP="00296E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33.8</w:t>
            </w:r>
            <w:r w:rsidR="00296EF3" w:rsidRPr="007E69DF">
              <w:rPr>
                <w:rFonts w:ascii="Arial" w:hAnsi="Arial" w:cs="Arial"/>
                <w:color w:val="000000"/>
                <w:sz w:val="20"/>
                <w:szCs w:val="20"/>
              </w:rPr>
              <w:t>%</w:t>
            </w:r>
          </w:p>
        </w:tc>
      </w:tr>
      <w:tr w:rsidR="00111DB3" w:rsidRPr="007E69DF" w14:paraId="1695619E"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608" w:type="dxa"/>
            <w:shd w:val="clear" w:color="auto" w:fill="auto"/>
          </w:tcPr>
          <w:p w14:paraId="743E20D7" w14:textId="605A00C0" w:rsidR="00296EF3" w:rsidRPr="007E69DF" w:rsidRDefault="00296EF3" w:rsidP="00296EF3">
            <w:pPr>
              <w:spacing w:before="0" w:after="0"/>
              <w:rPr>
                <w:rFonts w:ascii="Arial" w:hAnsi="Arial" w:cs="Arial"/>
                <w:sz w:val="20"/>
                <w:szCs w:val="20"/>
              </w:rPr>
            </w:pPr>
            <w:r w:rsidRPr="007E69DF">
              <w:rPr>
                <w:sz w:val="20"/>
                <w:szCs w:val="20"/>
              </w:rPr>
              <w:t>Nitrofurantoin</w:t>
            </w:r>
          </w:p>
        </w:tc>
        <w:tc>
          <w:tcPr>
            <w:tcW w:w="1247" w:type="dxa"/>
            <w:shd w:val="clear" w:color="auto" w:fill="auto"/>
          </w:tcPr>
          <w:p w14:paraId="0E7ED277" w14:textId="4272E6F1" w:rsidR="00296EF3" w:rsidRPr="007E69DF" w:rsidRDefault="0045042A" w:rsidP="00296E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14,581</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325CEA89" w14:textId="5F74555B" w:rsidR="00296EF3" w:rsidRPr="007E69DF" w:rsidRDefault="0045042A" w:rsidP="00296E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15.9</w:t>
            </w:r>
            <w:r w:rsidR="00296EF3" w:rsidRPr="007E69DF">
              <w:rPr>
                <w:rFonts w:cstheme="minorHAnsi"/>
                <w:color w:val="000000"/>
                <w:sz w:val="20"/>
                <w:szCs w:val="20"/>
              </w:rPr>
              <w:t>%</w:t>
            </w:r>
          </w:p>
        </w:tc>
        <w:tc>
          <w:tcPr>
            <w:tcW w:w="1247" w:type="dxa"/>
            <w:tcBorders>
              <w:left w:val="single" w:sz="4" w:space="0" w:color="808080" w:themeColor="background1" w:themeShade="80"/>
            </w:tcBorders>
            <w:shd w:val="clear" w:color="auto" w:fill="auto"/>
          </w:tcPr>
          <w:p w14:paraId="319E524D" w14:textId="4DA508AE" w:rsidR="00296EF3" w:rsidRPr="007E69DF" w:rsidRDefault="0045042A" w:rsidP="00296E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84,755</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21C82738" w14:textId="42D3C221" w:rsidR="00296EF3" w:rsidRPr="007E69DF" w:rsidRDefault="0045042A" w:rsidP="00296E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12.8</w:t>
            </w:r>
            <w:r w:rsidR="00296EF3" w:rsidRPr="007E69DF">
              <w:rPr>
                <w:rFonts w:ascii="Arial" w:hAnsi="Arial" w:cs="Arial"/>
                <w:color w:val="000000"/>
                <w:sz w:val="20"/>
                <w:szCs w:val="20"/>
              </w:rPr>
              <w:t>%</w:t>
            </w:r>
          </w:p>
        </w:tc>
      </w:tr>
      <w:tr w:rsidR="00111DB3" w:rsidRPr="007E69DF" w14:paraId="501BAE3C"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08" w:type="dxa"/>
            <w:shd w:val="clear" w:color="auto" w:fill="auto"/>
          </w:tcPr>
          <w:p w14:paraId="7BCEAECE" w14:textId="44433EF4" w:rsidR="00296EF3" w:rsidRPr="007E69DF" w:rsidRDefault="00296EF3" w:rsidP="00296EF3">
            <w:pPr>
              <w:spacing w:before="0" w:after="0"/>
              <w:rPr>
                <w:rFonts w:ascii="Arial" w:hAnsi="Arial" w:cs="Arial"/>
                <w:sz w:val="20"/>
                <w:szCs w:val="20"/>
              </w:rPr>
            </w:pPr>
            <w:r w:rsidRPr="007E69DF">
              <w:rPr>
                <w:sz w:val="20"/>
                <w:szCs w:val="20"/>
              </w:rPr>
              <w:t>Norfloxacin</w:t>
            </w:r>
          </w:p>
        </w:tc>
        <w:tc>
          <w:tcPr>
            <w:tcW w:w="1247" w:type="dxa"/>
            <w:shd w:val="clear" w:color="auto" w:fill="auto"/>
          </w:tcPr>
          <w:p w14:paraId="43150ED2" w14:textId="31014E1E" w:rsidR="00296EF3" w:rsidRPr="007E69DF" w:rsidRDefault="0045042A" w:rsidP="00296E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1,183</w:t>
            </w:r>
          </w:p>
        </w:tc>
        <w:tc>
          <w:tcPr>
            <w:tcW w:w="1247" w:type="dxa"/>
            <w:tcBorders>
              <w:right w:val="single" w:sz="4" w:space="0" w:color="808080" w:themeColor="background1" w:themeShade="80"/>
            </w:tcBorders>
            <w:shd w:val="clear" w:color="auto" w:fill="auto"/>
          </w:tcPr>
          <w:p w14:paraId="19E65D0B" w14:textId="478AFB5A" w:rsidR="00296EF3" w:rsidRPr="007E69DF" w:rsidRDefault="0045042A" w:rsidP="00296E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1.3</w:t>
            </w:r>
            <w:r w:rsidR="00296EF3" w:rsidRPr="007E69DF">
              <w:rPr>
                <w:rFonts w:cstheme="minorHAnsi"/>
                <w:color w:val="000000"/>
                <w:sz w:val="20"/>
                <w:szCs w:val="20"/>
              </w:rPr>
              <w:t>%</w:t>
            </w:r>
          </w:p>
        </w:tc>
        <w:tc>
          <w:tcPr>
            <w:tcW w:w="1247" w:type="dxa"/>
            <w:tcBorders>
              <w:left w:val="single" w:sz="4" w:space="0" w:color="808080" w:themeColor="background1" w:themeShade="80"/>
            </w:tcBorders>
            <w:shd w:val="clear" w:color="auto" w:fill="auto"/>
          </w:tcPr>
          <w:p w14:paraId="358C1ECD" w14:textId="711A295E" w:rsidR="00296EF3" w:rsidRPr="007E69DF" w:rsidRDefault="0045042A" w:rsidP="00296E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cstheme="minorHAnsi"/>
                <w:color w:val="000000"/>
                <w:sz w:val="20"/>
                <w:szCs w:val="20"/>
              </w:rPr>
              <w:t>17,944</w:t>
            </w:r>
          </w:p>
        </w:tc>
        <w:tc>
          <w:tcPr>
            <w:tcW w:w="1247" w:type="dxa"/>
            <w:tcBorders>
              <w:right w:val="nil"/>
            </w:tcBorders>
            <w:shd w:val="clear" w:color="auto" w:fill="auto"/>
          </w:tcPr>
          <w:p w14:paraId="5B8673F7" w14:textId="652B3867" w:rsidR="00296EF3" w:rsidRPr="007E69DF" w:rsidRDefault="0045042A" w:rsidP="00296E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E69DF">
              <w:rPr>
                <w:rFonts w:ascii="Arial" w:hAnsi="Arial" w:cs="Arial"/>
                <w:color w:val="000000"/>
                <w:sz w:val="20"/>
                <w:szCs w:val="20"/>
              </w:rPr>
              <w:t>2.7</w:t>
            </w:r>
            <w:r w:rsidR="00296EF3" w:rsidRPr="007E69DF">
              <w:rPr>
                <w:rFonts w:ascii="Arial" w:hAnsi="Arial" w:cs="Arial"/>
                <w:color w:val="000000"/>
                <w:sz w:val="20"/>
                <w:szCs w:val="20"/>
              </w:rPr>
              <w:t>%</w:t>
            </w:r>
          </w:p>
        </w:tc>
      </w:tr>
    </w:tbl>
    <w:p w14:paraId="755FBFD1" w14:textId="77777777" w:rsidR="00296EF3" w:rsidRDefault="00296EF3" w:rsidP="00296EF3">
      <w:pPr>
        <w:pStyle w:val="FigureTablefootnote"/>
        <w:spacing w:before="60"/>
      </w:pPr>
      <w:r w:rsidRPr="009D0B19">
        <w:t>PBS = Pharmaceutical Benefits Scheme; RPBS = Repatriation Pharmaceutical Benefits Scheme</w:t>
      </w:r>
    </w:p>
    <w:p w14:paraId="366D7236" w14:textId="323EB641" w:rsidR="007221C7" w:rsidRPr="00A025CD" w:rsidRDefault="00296EF3" w:rsidP="00296EF3">
      <w:pPr>
        <w:pStyle w:val="FigureTablefootnote"/>
        <w:rPr>
          <w:rStyle w:val="FigureTablefootnoteChar"/>
        </w:rPr>
      </w:pPr>
      <w:r w:rsidRPr="00DD659E">
        <w:rPr>
          <w:rStyle w:val="FigureTablefootnoteChar"/>
        </w:rPr>
        <w:t>*</w:t>
      </w:r>
      <w:r w:rsidRPr="00DD659E">
        <w:rPr>
          <w:rStyle w:val="FigureTablefootnoteChar"/>
        </w:rPr>
        <w:tab/>
      </w:r>
      <w:r>
        <w:rPr>
          <w:rStyle w:val="FigureTablefootnoteChar"/>
        </w:rPr>
        <w:t>Antimicrobials used for urinary tract infections</w:t>
      </w:r>
      <w:r w:rsidR="00E97B64">
        <w:rPr>
          <w:rStyle w:val="FigureTablefootnoteChar"/>
        </w:rPr>
        <w:t xml:space="preserve"> per </w:t>
      </w:r>
      <w:r w:rsidR="007221C7">
        <w:t xml:space="preserve">World Health Organization </w:t>
      </w:r>
      <w:r w:rsidR="007221C7" w:rsidRPr="00E906CB">
        <w:t>Anatomical Therapeutic Chemical Classification</w:t>
      </w:r>
      <w:r w:rsidR="007221C7">
        <w:t xml:space="preserve"> and PBS and RPBS listing</w:t>
      </w:r>
    </w:p>
    <w:p w14:paraId="12C64D9A" w14:textId="77777777" w:rsidR="008820B6" w:rsidRDefault="00296EF3" w:rsidP="00296EF3">
      <w:pPr>
        <w:pStyle w:val="FigureTablefootnote"/>
        <w:rPr>
          <w:rStyle w:val="FigureTablefootnoteChar"/>
        </w:rPr>
      </w:pPr>
      <w:r>
        <w:rPr>
          <w:rStyle w:val="FigureTablefootnoteChar"/>
        </w:rPr>
        <w:t>Note</w:t>
      </w:r>
      <w:r w:rsidR="008820B6">
        <w:rPr>
          <w:rStyle w:val="FigureTablefootnoteChar"/>
        </w:rPr>
        <w:t>s</w:t>
      </w:r>
      <w:r>
        <w:rPr>
          <w:rStyle w:val="FigureTablefootnoteChar"/>
        </w:rPr>
        <w:t>:</w:t>
      </w:r>
    </w:p>
    <w:p w14:paraId="17DD76BA" w14:textId="77777777" w:rsidR="00D146DD" w:rsidRDefault="00296EF3" w:rsidP="00D146DD">
      <w:pPr>
        <w:pStyle w:val="FigureTablefootnote"/>
        <w:numPr>
          <w:ilvl w:val="0"/>
          <w:numId w:val="19"/>
        </w:numPr>
        <w:tabs>
          <w:tab w:val="clear" w:pos="142"/>
          <w:tab w:val="left" w:pos="284"/>
        </w:tabs>
        <w:ind w:left="284" w:hanging="284"/>
        <w:rPr>
          <w:rStyle w:val="FigureTablefootnoteChar"/>
        </w:rPr>
      </w:pPr>
      <w:r>
        <w:rPr>
          <w:rStyle w:val="FigureTablefootnoteChar"/>
        </w:rPr>
        <w:t>Percentage of antimicrobials listed.</w:t>
      </w:r>
    </w:p>
    <w:p w14:paraId="00EF0F94" w14:textId="2569AC6D" w:rsidR="00D146DD" w:rsidRPr="009D0B19" w:rsidRDefault="00F71DCF" w:rsidP="00D146DD">
      <w:pPr>
        <w:pStyle w:val="FigureTablefootnote"/>
        <w:numPr>
          <w:ilvl w:val="0"/>
          <w:numId w:val="19"/>
        </w:numPr>
        <w:tabs>
          <w:tab w:val="clear" w:pos="142"/>
          <w:tab w:val="left" w:pos="284"/>
        </w:tabs>
        <w:ind w:left="284" w:hanging="284"/>
      </w:pPr>
      <w:r>
        <w:t>PBS and RPBS</w:t>
      </w:r>
      <w:r w:rsidR="00D146DD" w:rsidRPr="00F46944">
        <w:t xml:space="preserve"> data do not indicate the diagnosis or condition of the patient or the indication for prescription</w:t>
      </w:r>
      <w:r w:rsidR="004A3251">
        <w:t>.</w:t>
      </w:r>
      <w:r w:rsidR="005C3E3F">
        <w:t xml:space="preserve"> Other antimicrobials, including J01 antibacterials for systemic use</w:t>
      </w:r>
      <w:r w:rsidR="00BC21F1">
        <w:rPr>
          <w:lang w:val="en-US"/>
        </w:rPr>
        <w:t xml:space="preserve">, </w:t>
      </w:r>
      <w:r w:rsidR="005C3E3F" w:rsidRPr="005C3E3F">
        <w:rPr>
          <w:lang w:val="en-US"/>
        </w:rPr>
        <w:t xml:space="preserve">may be used for </w:t>
      </w:r>
      <w:r w:rsidR="0040629F">
        <w:rPr>
          <w:lang w:val="en-US"/>
        </w:rPr>
        <w:t>urinary tract infections</w:t>
      </w:r>
      <w:r w:rsidR="002866A3">
        <w:rPr>
          <w:lang w:val="en-US"/>
        </w:rPr>
        <w:t>.</w:t>
      </w:r>
    </w:p>
    <w:p w14:paraId="492C22E2" w14:textId="1B135CCB" w:rsidR="0063450C" w:rsidRDefault="00296EF3" w:rsidP="00875AAA">
      <w:pPr>
        <w:pStyle w:val="FigureTablefootnote"/>
      </w:pPr>
      <w:r w:rsidRPr="009D0B19">
        <w:t>Source: Gadzhanova, Roughead</w:t>
      </w:r>
      <w:r w:rsidRPr="009D0B19">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fldChar w:fldCharType="separate"/>
      </w:r>
      <w:r w:rsidR="00577C74" w:rsidRPr="00577C74">
        <w:rPr>
          <w:noProof/>
          <w:vertAlign w:val="superscript"/>
        </w:rPr>
        <w:t>40</w:t>
      </w:r>
      <w:r w:rsidRPr="009D0B19">
        <w:fldChar w:fldCharType="end"/>
      </w:r>
    </w:p>
    <w:p w14:paraId="55BB2860" w14:textId="185FAF16" w:rsidR="00A37762" w:rsidRDefault="00A37762" w:rsidP="009739B0">
      <w:pPr>
        <w:pStyle w:val="Heading5"/>
      </w:pPr>
      <w:r w:rsidRPr="00A755C5">
        <w:t xml:space="preserve">Antimicrobials for </w:t>
      </w:r>
      <w:r w:rsidR="007F0538" w:rsidRPr="00A755C5">
        <w:t>skin conditions</w:t>
      </w:r>
      <w:r w:rsidR="00ED6DAB" w:rsidRPr="00A755C5">
        <w:t xml:space="preserve"> in aged care </w:t>
      </w:r>
      <w:r w:rsidR="00677130" w:rsidRPr="00A755C5">
        <w:t xml:space="preserve">homes </w:t>
      </w:r>
      <w:r w:rsidR="00ED6DAB" w:rsidRPr="00A755C5">
        <w:t xml:space="preserve">and </w:t>
      </w:r>
      <w:r w:rsidR="00A57E0B">
        <w:t>the community</w:t>
      </w:r>
    </w:p>
    <w:p w14:paraId="7783FB62" w14:textId="665323B1" w:rsidR="00C21114" w:rsidRDefault="00C21114" w:rsidP="00C21114">
      <w:r>
        <w:t>Of all antimicrobials for skin conditions</w:t>
      </w:r>
      <w:r w:rsidR="00493737">
        <w:t xml:space="preserve"> supplied under the PBS and RPBS in 2023</w:t>
      </w:r>
      <w:r>
        <w:t xml:space="preserve">, 3.6% were </w:t>
      </w:r>
      <w:r w:rsidR="00493737">
        <w:t>for</w:t>
      </w:r>
      <w:r>
        <w:t xml:space="preserve"> older Australians in aged care homes</w:t>
      </w:r>
      <w:r w:rsidR="00453464">
        <w:t xml:space="preserve">, </w:t>
      </w:r>
      <w:r w:rsidR="0028336A">
        <w:t>while</w:t>
      </w:r>
      <w:r w:rsidR="00453464">
        <w:t xml:space="preserve"> </w:t>
      </w:r>
      <w:r>
        <w:t xml:space="preserve">34.8% </w:t>
      </w:r>
      <w:r w:rsidR="0028336A">
        <w:t xml:space="preserve">were </w:t>
      </w:r>
      <w:r w:rsidR="007F1B49">
        <w:t xml:space="preserve">supplied to </w:t>
      </w:r>
      <w:r>
        <w:t>older Australians in the community.</w:t>
      </w:r>
    </w:p>
    <w:p w14:paraId="0E9284B9" w14:textId="77777777" w:rsidR="00BB0640" w:rsidRPr="0031460D" w:rsidRDefault="00BB0640" w:rsidP="00BB0640">
      <w:r w:rsidRPr="0031460D">
        <w:t xml:space="preserve">For residents of aged care homes who received a topical antifungal, 66.8% received one prescription in 2023, while 20.3% received two prescriptions. This suggests that a majority of aged care home residents used topical antifungals </w:t>
      </w:r>
      <w:r>
        <w:t xml:space="preserve">available under the PBS and RPBS </w:t>
      </w:r>
      <w:r w:rsidRPr="0031460D">
        <w:t>for a limited duration. However, more than 3% received six or more supplies in the year.</w:t>
      </w:r>
    </w:p>
    <w:p w14:paraId="3BA6DE8F" w14:textId="61AB39C1" w:rsidR="009B60AC" w:rsidRDefault="000049C5" w:rsidP="009B60AC">
      <w:r>
        <w:t>It is important to note th</w:t>
      </w:r>
      <w:r w:rsidR="006874C6">
        <w:t>at</w:t>
      </w:r>
      <w:r>
        <w:t xml:space="preserve"> many</w:t>
      </w:r>
      <w:r w:rsidR="00D011BD">
        <w:t xml:space="preserve"> </w:t>
      </w:r>
      <w:r>
        <w:t>antimicrobials</w:t>
      </w:r>
      <w:r w:rsidR="00876D78">
        <w:t xml:space="preserve"> for skin conditions</w:t>
      </w:r>
      <w:r>
        <w:t xml:space="preserve">, </w:t>
      </w:r>
      <w:r w:rsidR="003432D4">
        <w:t xml:space="preserve">such as topical antifungals, are available over-the-counter without a prescription. These antimicrobials are not captured by the PBS and RPBS and are likely to influence the comparatively low numbers of prescriptions </w:t>
      </w:r>
      <w:r w:rsidR="00E465E0">
        <w:t xml:space="preserve">shown </w:t>
      </w:r>
      <w:r w:rsidR="003432D4">
        <w:t>in Table</w:t>
      </w:r>
      <w:r w:rsidR="00DC2269">
        <w:t> </w:t>
      </w:r>
      <w:r w:rsidR="00AA1F9E">
        <w:t>8</w:t>
      </w:r>
      <w:r w:rsidR="003432D4">
        <w:t xml:space="preserve">. This is despite skin conditions being the most </w:t>
      </w:r>
      <w:r w:rsidR="00E465E0">
        <w:t xml:space="preserve">common </w:t>
      </w:r>
      <w:r w:rsidR="003432D4">
        <w:t>indication for antimicrobial prescriptions in aged care homes.</w:t>
      </w:r>
      <w:r w:rsidR="00AB53DE">
        <w:fldChar w:fldCharType="begin"/>
      </w:r>
      <w:r w:rsidR="00577C74">
        <w:instrText xml:space="preserve"> ADDIN EN.CITE &lt;EndNote&gt;&lt;Cite&gt;&lt;Author&gt;Royal Melbourne Hospital and the National Centre for Antimicrobial Stewardship&lt;/Author&gt;&lt;Year&gt;2024&lt;/Year&gt;&lt;RecNum&gt;542&lt;/RecNum&gt;&lt;DisplayText&gt;&lt;style face="superscript"&gt;41&lt;/style&gt;&lt;/DisplayText&gt;&lt;record&gt;&lt;rec-number&gt;542&lt;/rec-number&gt;&lt;foreign-keys&gt;&lt;key app="EN" db-id="0a9sasvr7dwawyeva9qpw09xaap9erv5ad5e" timestamp="1718837701"&gt;542&lt;/key&gt;&lt;/foreign-keys&gt;&lt;ref-type name="Government Document"&gt;46&lt;/ref-type&gt;&lt;contributors&gt;&lt;authors&gt;&lt;author&gt;Royal Melbourne Hospital and the National Centre for Antimicrobial Stewardship,&lt;/author&gt;&lt;/authors&gt;&lt;/contributors&gt;&lt;titles&gt;&lt;title&gt;Infections and antimicrobial prescribing in Australian residential aged care facilities. Results of the 2022 Aged Care National Antimicrobial Prescribing Survey&lt;/title&gt;&lt;/titles&gt;&lt;dates&gt;&lt;year&gt;2024&lt;/year&gt;&lt;/dates&gt;&lt;pub-location&gt;Canberra&lt;/pub-location&gt;&lt;publisher&gt;Department of Health and Aged Care&lt;/publisher&gt;&lt;urls&gt;&lt;related-urls&gt;&lt;url&gt;https://www.amr.gov.au/sites/default/files/2024-05/infection-and-antimicrobial-prescribing-in-australian-residential-aged-care-facilities-results-of-the-2022-aged-care-naps.pdf&lt;/url&gt;&lt;/related-urls&gt;&lt;/urls&gt;&lt;/record&gt;&lt;/Cite&gt;&lt;/EndNote&gt;</w:instrText>
      </w:r>
      <w:r w:rsidR="00AB53DE">
        <w:fldChar w:fldCharType="separate"/>
      </w:r>
      <w:r w:rsidR="00577C74" w:rsidRPr="00577C74">
        <w:rPr>
          <w:noProof/>
          <w:vertAlign w:val="superscript"/>
        </w:rPr>
        <w:t>41</w:t>
      </w:r>
      <w:r w:rsidR="00AB53DE">
        <w:fldChar w:fldCharType="end"/>
      </w:r>
      <w:r w:rsidR="009B60AC">
        <w:br w:type="page"/>
      </w:r>
    </w:p>
    <w:p w14:paraId="2F8CE695" w14:textId="672857BA" w:rsidR="00296EF3" w:rsidRDefault="00296EF3" w:rsidP="00E96EEA">
      <w:pPr>
        <w:spacing w:before="240"/>
        <w:rPr>
          <w:rFonts w:cstheme="minorHAnsi"/>
        </w:rPr>
      </w:pPr>
      <w:r w:rsidRPr="009D0B19">
        <w:rPr>
          <w:b/>
          <w:bCs/>
        </w:rPr>
        <w:lastRenderedPageBreak/>
        <w:t xml:space="preserve">Table </w:t>
      </w:r>
      <w:r w:rsidR="00AA1F9E">
        <w:rPr>
          <w:b/>
          <w:bCs/>
        </w:rPr>
        <w:t>8</w:t>
      </w:r>
      <w:r w:rsidRPr="009D0B19">
        <w:rPr>
          <w:b/>
          <w:bCs/>
        </w:rPr>
        <w:t xml:space="preserve">: </w:t>
      </w:r>
      <w:r w:rsidRPr="008245C4">
        <w:rPr>
          <w:bCs/>
        </w:rPr>
        <w:t>Number and percent of PBS and RPBS antimicrobial prescriptions dispensed</w:t>
      </w:r>
      <w:r w:rsidR="00580448">
        <w:rPr>
          <w:bCs/>
        </w:rPr>
        <w:t xml:space="preserve"> for</w:t>
      </w:r>
      <w:r w:rsidR="00580448" w:rsidRPr="00580448">
        <w:rPr>
          <w:bCs/>
        </w:rPr>
        <w:t xml:space="preserve"> </w:t>
      </w:r>
      <w:r w:rsidR="00580448">
        <w:rPr>
          <w:bCs/>
        </w:rPr>
        <w:t>skin conditions*</w:t>
      </w:r>
      <w:r w:rsidRPr="008245C4">
        <w:rPr>
          <w:bCs/>
        </w:rPr>
        <w:t xml:space="preserve"> </w:t>
      </w:r>
      <w:r>
        <w:rPr>
          <w:bCs/>
        </w:rPr>
        <w:t xml:space="preserve">to people aged 65 years and over, by setting, </w:t>
      </w:r>
      <w:proofErr w:type="gramStart"/>
      <w:r w:rsidRPr="008245C4">
        <w:rPr>
          <w:bCs/>
        </w:rPr>
        <w:t>2023</w:t>
      </w:r>
      <w:proofErr w:type="gramEnd"/>
    </w:p>
    <w:tbl>
      <w:tblPr>
        <w:tblStyle w:val="PlainTable2"/>
        <w:tblW w:w="7539" w:type="dxa"/>
        <w:tblLook w:val="04A0" w:firstRow="1" w:lastRow="0" w:firstColumn="1" w:lastColumn="0" w:noHBand="0" w:noVBand="1"/>
        <w:tblCaption w:val="Table 8: Number and percent of PBS and RPBS antimicrobial prescriptions dispensed for skin conditions* to people aged 65 years and over, by setting, 2023"/>
      </w:tblPr>
      <w:tblGrid>
        <w:gridCol w:w="2551"/>
        <w:gridCol w:w="1247"/>
        <w:gridCol w:w="1247"/>
        <w:gridCol w:w="1247"/>
        <w:gridCol w:w="1247"/>
      </w:tblGrid>
      <w:tr w:rsidR="00296EF3" w:rsidRPr="007E69DF" w14:paraId="4E1842F2" w14:textId="77777777" w:rsidTr="00BB064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vMerge w:val="restart"/>
            <w:shd w:val="clear" w:color="auto" w:fill="EFC3AF"/>
            <w:vAlign w:val="bottom"/>
          </w:tcPr>
          <w:p w14:paraId="4B76AE7B" w14:textId="77777777" w:rsidR="00296EF3" w:rsidRPr="007E69DF" w:rsidRDefault="00296EF3" w:rsidP="003D30E4">
            <w:pPr>
              <w:spacing w:before="0"/>
              <w:rPr>
                <w:rFonts w:asciiTheme="majorHAnsi" w:hAnsiTheme="majorHAnsi" w:cstheme="majorHAnsi"/>
                <w:sz w:val="20"/>
                <w:szCs w:val="20"/>
              </w:rPr>
            </w:pPr>
            <w:r w:rsidRPr="007E69DF">
              <w:rPr>
                <w:rFonts w:asciiTheme="majorHAnsi" w:hAnsiTheme="majorHAnsi" w:cstheme="majorHAnsi"/>
                <w:sz w:val="20"/>
                <w:szCs w:val="20"/>
              </w:rPr>
              <w:t>Antimicrobial*</w:t>
            </w:r>
          </w:p>
        </w:tc>
        <w:tc>
          <w:tcPr>
            <w:tcW w:w="2494" w:type="dxa"/>
            <w:gridSpan w:val="2"/>
            <w:tcBorders>
              <w:top w:val="single" w:sz="4" w:space="0" w:color="7F7F7F" w:themeColor="text1" w:themeTint="80"/>
              <w:right w:val="single" w:sz="4" w:space="0" w:color="808080" w:themeColor="background1" w:themeShade="80"/>
            </w:tcBorders>
            <w:shd w:val="clear" w:color="auto" w:fill="EFC3AF"/>
            <w:vAlign w:val="center"/>
          </w:tcPr>
          <w:p w14:paraId="2310820C" w14:textId="11BA7681"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Aged care home</w:t>
            </w:r>
          </w:p>
        </w:tc>
        <w:tc>
          <w:tcPr>
            <w:tcW w:w="2494" w:type="dxa"/>
            <w:gridSpan w:val="2"/>
            <w:tcBorders>
              <w:top w:val="single" w:sz="4" w:space="0" w:color="7F7F7F" w:themeColor="text1" w:themeTint="80"/>
              <w:left w:val="single" w:sz="4" w:space="0" w:color="808080" w:themeColor="background1" w:themeShade="80"/>
              <w:right w:val="nil"/>
            </w:tcBorders>
            <w:shd w:val="clear" w:color="auto" w:fill="EFC3AF"/>
            <w:vAlign w:val="center"/>
          </w:tcPr>
          <w:p w14:paraId="4B59C646" w14:textId="77777777"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Community</w:t>
            </w:r>
          </w:p>
        </w:tc>
      </w:tr>
      <w:tr w:rsidR="00296EF3" w:rsidRPr="007E69DF" w14:paraId="15CF9733"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EFC3AF"/>
            <w:vAlign w:val="center"/>
          </w:tcPr>
          <w:p w14:paraId="13CD1DC0" w14:textId="77777777" w:rsidR="00296EF3" w:rsidRPr="007E69DF" w:rsidRDefault="00296EF3" w:rsidP="003D30E4">
            <w:pPr>
              <w:spacing w:before="0" w:after="0"/>
              <w:rPr>
                <w:rFonts w:asciiTheme="majorHAnsi" w:hAnsiTheme="majorHAnsi" w:cstheme="majorHAnsi"/>
                <w:sz w:val="20"/>
                <w:szCs w:val="20"/>
              </w:rPr>
            </w:pPr>
          </w:p>
        </w:tc>
        <w:tc>
          <w:tcPr>
            <w:tcW w:w="1247" w:type="dxa"/>
            <w:shd w:val="clear" w:color="auto" w:fill="EFC3AF"/>
            <w:vAlign w:val="center"/>
          </w:tcPr>
          <w:p w14:paraId="3EFB0E70"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w:t>
            </w:r>
            <w:r w:rsidRPr="007E69DF">
              <w:rPr>
                <w:rFonts w:asciiTheme="majorHAnsi" w:hAnsiTheme="majorHAnsi" w:cstheme="majorHAnsi"/>
                <w:i/>
                <w:iCs/>
                <w:sz w:val="20"/>
                <w:szCs w:val="20"/>
              </w:rPr>
              <w:t>n</w:t>
            </w:r>
            <w:r w:rsidRPr="007E69DF">
              <w:rPr>
                <w:rFonts w:asciiTheme="majorHAnsi" w:hAnsiTheme="majorHAnsi" w:cstheme="majorHAnsi"/>
                <w:sz w:val="20"/>
                <w:szCs w:val="20"/>
              </w:rPr>
              <w:t>)</w:t>
            </w:r>
          </w:p>
        </w:tc>
        <w:tc>
          <w:tcPr>
            <w:tcW w:w="1247" w:type="dxa"/>
            <w:tcBorders>
              <w:right w:val="single" w:sz="4" w:space="0" w:color="808080" w:themeColor="background1" w:themeShade="80"/>
            </w:tcBorders>
            <w:shd w:val="clear" w:color="auto" w:fill="EFC3AF"/>
            <w:vAlign w:val="center"/>
          </w:tcPr>
          <w:p w14:paraId="4065C7AA" w14:textId="77777777" w:rsidR="00296EF3" w:rsidRPr="007E69DF" w:rsidRDefault="00296EF3" w:rsidP="000B17DD">
            <w:pPr>
              <w:spacing w:before="0" w:after="0"/>
              <w:ind w:right="-16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w:t>
            </w:r>
          </w:p>
        </w:tc>
        <w:tc>
          <w:tcPr>
            <w:tcW w:w="1247" w:type="dxa"/>
            <w:tcBorders>
              <w:left w:val="single" w:sz="4" w:space="0" w:color="808080" w:themeColor="background1" w:themeShade="80"/>
            </w:tcBorders>
            <w:shd w:val="clear" w:color="auto" w:fill="EFC3AF"/>
            <w:vAlign w:val="center"/>
          </w:tcPr>
          <w:p w14:paraId="1BA98A98"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w:t>
            </w:r>
            <w:r w:rsidRPr="007E69DF">
              <w:rPr>
                <w:rFonts w:asciiTheme="majorHAnsi" w:hAnsiTheme="majorHAnsi" w:cstheme="majorHAnsi"/>
                <w:i/>
                <w:iCs/>
                <w:sz w:val="20"/>
                <w:szCs w:val="20"/>
              </w:rPr>
              <w:t>n</w:t>
            </w:r>
            <w:r w:rsidRPr="007E69DF">
              <w:rPr>
                <w:rFonts w:asciiTheme="majorHAnsi" w:hAnsiTheme="majorHAnsi" w:cstheme="majorHAnsi"/>
                <w:sz w:val="20"/>
                <w:szCs w:val="20"/>
              </w:rPr>
              <w:t>)</w:t>
            </w:r>
          </w:p>
        </w:tc>
        <w:tc>
          <w:tcPr>
            <w:tcW w:w="1247" w:type="dxa"/>
            <w:tcBorders>
              <w:right w:val="nil"/>
            </w:tcBorders>
            <w:shd w:val="clear" w:color="auto" w:fill="EFC3AF"/>
            <w:vAlign w:val="center"/>
          </w:tcPr>
          <w:p w14:paraId="5236A7C8" w14:textId="77777777" w:rsidR="00296EF3" w:rsidRPr="007E69DF" w:rsidRDefault="00296EF3" w:rsidP="000B17DD">
            <w:pPr>
              <w:spacing w:before="0" w:after="0"/>
              <w:ind w:right="-23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E69DF">
              <w:rPr>
                <w:rFonts w:asciiTheme="majorHAnsi" w:hAnsiTheme="majorHAnsi" w:cstheme="majorHAnsi"/>
                <w:sz w:val="20"/>
                <w:szCs w:val="20"/>
              </w:rPr>
              <w:t>(%)</w:t>
            </w:r>
          </w:p>
        </w:tc>
      </w:tr>
      <w:tr w:rsidR="004E4DF3" w:rsidRPr="007E69DF" w14:paraId="364866ED"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7E83673" w14:textId="233DC418"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Silver sulfadiazine</w:t>
            </w:r>
          </w:p>
        </w:tc>
        <w:tc>
          <w:tcPr>
            <w:tcW w:w="1247" w:type="dxa"/>
            <w:shd w:val="clear" w:color="auto" w:fill="auto"/>
          </w:tcPr>
          <w:p w14:paraId="027DB917" w14:textId="66AC5E59" w:rsidR="004E4DF3" w:rsidRPr="007E69DF" w:rsidRDefault="004E4DF3" w:rsidP="004E4D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2,730</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2C325CA2" w14:textId="4D0D2305" w:rsidR="004E4DF3" w:rsidRPr="007E69DF" w:rsidRDefault="004E4DF3" w:rsidP="004E4D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41%</w:t>
            </w:r>
          </w:p>
        </w:tc>
        <w:tc>
          <w:tcPr>
            <w:tcW w:w="1247" w:type="dxa"/>
            <w:tcBorders>
              <w:left w:val="single" w:sz="4" w:space="0" w:color="808080" w:themeColor="background1" w:themeShade="80"/>
            </w:tcBorders>
            <w:shd w:val="clear" w:color="auto" w:fill="auto"/>
          </w:tcPr>
          <w:p w14:paraId="23186BF4" w14:textId="2010B8B6" w:rsidR="004E4DF3" w:rsidRPr="007E69DF" w:rsidRDefault="004E4DF3" w:rsidP="004E4D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16,464</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7AF2237D" w14:textId="1B862511" w:rsidR="004E4DF3" w:rsidRPr="007E69DF" w:rsidRDefault="004E4DF3" w:rsidP="004E4D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25.4%</w:t>
            </w:r>
          </w:p>
        </w:tc>
      </w:tr>
      <w:tr w:rsidR="004E4DF3" w:rsidRPr="007E69DF" w14:paraId="4557F477"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2A156F6" w14:textId="0CAC1085"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Miconazole</w:t>
            </w:r>
          </w:p>
        </w:tc>
        <w:tc>
          <w:tcPr>
            <w:tcW w:w="1247" w:type="dxa"/>
            <w:shd w:val="clear" w:color="auto" w:fill="auto"/>
          </w:tcPr>
          <w:p w14:paraId="5291CC12" w14:textId="400271B8" w:rsidR="004E4DF3" w:rsidRPr="007E69DF" w:rsidRDefault="004E4DF3" w:rsidP="004E4D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801</w:t>
            </w:r>
          </w:p>
        </w:tc>
        <w:tc>
          <w:tcPr>
            <w:tcW w:w="1247" w:type="dxa"/>
            <w:tcBorders>
              <w:right w:val="single" w:sz="4" w:space="0" w:color="808080" w:themeColor="background1" w:themeShade="80"/>
            </w:tcBorders>
            <w:shd w:val="clear" w:color="auto" w:fill="auto"/>
          </w:tcPr>
          <w:p w14:paraId="3E4EAAED" w14:textId="43334BDC" w:rsidR="004E4DF3" w:rsidRPr="007E69DF" w:rsidRDefault="004E4DF3" w:rsidP="004E4D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12%</w:t>
            </w:r>
          </w:p>
        </w:tc>
        <w:tc>
          <w:tcPr>
            <w:tcW w:w="1247" w:type="dxa"/>
            <w:tcBorders>
              <w:left w:val="single" w:sz="4" w:space="0" w:color="808080" w:themeColor="background1" w:themeShade="80"/>
            </w:tcBorders>
            <w:shd w:val="clear" w:color="auto" w:fill="auto"/>
          </w:tcPr>
          <w:p w14:paraId="6B001E83" w14:textId="4C52B4ED" w:rsidR="004E4DF3" w:rsidRPr="007E69DF" w:rsidRDefault="004E4DF3" w:rsidP="004E4D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13,961</w:t>
            </w:r>
          </w:p>
        </w:tc>
        <w:tc>
          <w:tcPr>
            <w:tcW w:w="1247" w:type="dxa"/>
            <w:tcBorders>
              <w:right w:val="nil"/>
            </w:tcBorders>
            <w:shd w:val="clear" w:color="auto" w:fill="auto"/>
          </w:tcPr>
          <w:p w14:paraId="7E9F6E50" w14:textId="048F4605" w:rsidR="004E4DF3" w:rsidRPr="007E69DF" w:rsidRDefault="004E4DF3" w:rsidP="004E4D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21.5%</w:t>
            </w:r>
          </w:p>
        </w:tc>
      </w:tr>
      <w:tr w:rsidR="004E4DF3" w:rsidRPr="007E69DF" w14:paraId="01F2C405"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40F926A" w14:textId="689AEDD0" w:rsidR="004E4DF3" w:rsidRPr="007E69DF" w:rsidRDefault="004E4DF3" w:rsidP="004E4DF3">
            <w:pPr>
              <w:spacing w:before="0" w:after="0"/>
              <w:rPr>
                <w:rFonts w:asciiTheme="majorHAnsi" w:hAnsiTheme="majorHAnsi" w:cstheme="majorHAnsi"/>
                <w:color w:val="000000"/>
                <w:sz w:val="20"/>
                <w:szCs w:val="20"/>
              </w:rPr>
            </w:pPr>
            <w:r w:rsidRPr="007E69DF">
              <w:rPr>
                <w:rFonts w:asciiTheme="majorHAnsi" w:hAnsiTheme="majorHAnsi" w:cstheme="majorHAnsi"/>
                <w:color w:val="000000"/>
                <w:sz w:val="20"/>
                <w:szCs w:val="20"/>
              </w:rPr>
              <w:t>Griseofulvin</w:t>
            </w:r>
          </w:p>
        </w:tc>
        <w:tc>
          <w:tcPr>
            <w:tcW w:w="1247" w:type="dxa"/>
            <w:shd w:val="clear" w:color="auto" w:fill="auto"/>
          </w:tcPr>
          <w:p w14:paraId="7470D10F" w14:textId="1AA22CB7" w:rsidR="004E4DF3" w:rsidRPr="007E69DF" w:rsidRDefault="004E4DF3" w:rsidP="004E4D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739</w:t>
            </w:r>
          </w:p>
        </w:tc>
        <w:tc>
          <w:tcPr>
            <w:tcW w:w="1247" w:type="dxa"/>
            <w:tcBorders>
              <w:right w:val="single" w:sz="4" w:space="0" w:color="808080" w:themeColor="background1" w:themeShade="80"/>
            </w:tcBorders>
            <w:shd w:val="clear" w:color="auto" w:fill="auto"/>
          </w:tcPr>
          <w:p w14:paraId="27112383" w14:textId="5A9A2E63" w:rsidR="004E4DF3" w:rsidRPr="007E69DF" w:rsidRDefault="004E4DF3" w:rsidP="004E4D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11.1%</w:t>
            </w:r>
          </w:p>
        </w:tc>
        <w:tc>
          <w:tcPr>
            <w:tcW w:w="1247" w:type="dxa"/>
            <w:tcBorders>
              <w:left w:val="single" w:sz="4" w:space="0" w:color="808080" w:themeColor="background1" w:themeShade="80"/>
            </w:tcBorders>
            <w:shd w:val="clear" w:color="auto" w:fill="auto"/>
          </w:tcPr>
          <w:p w14:paraId="578C2431" w14:textId="56023150" w:rsidR="004E4DF3" w:rsidRPr="007E69DF" w:rsidRDefault="004E4DF3" w:rsidP="004E4D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2,314</w:t>
            </w:r>
          </w:p>
        </w:tc>
        <w:tc>
          <w:tcPr>
            <w:tcW w:w="1247" w:type="dxa"/>
            <w:tcBorders>
              <w:right w:val="nil"/>
            </w:tcBorders>
            <w:shd w:val="clear" w:color="auto" w:fill="auto"/>
          </w:tcPr>
          <w:p w14:paraId="36555035" w14:textId="2CF2FB93" w:rsidR="004E4DF3" w:rsidRPr="007E69DF" w:rsidRDefault="004E4DF3" w:rsidP="004E4D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3.6%</w:t>
            </w:r>
          </w:p>
        </w:tc>
      </w:tr>
      <w:tr w:rsidR="004E4DF3" w:rsidRPr="007E69DF" w14:paraId="5B114320"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6394FD1C" w14:textId="5C014E92"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Mupirocin</w:t>
            </w:r>
          </w:p>
        </w:tc>
        <w:tc>
          <w:tcPr>
            <w:tcW w:w="1247" w:type="dxa"/>
            <w:shd w:val="clear" w:color="auto" w:fill="auto"/>
          </w:tcPr>
          <w:p w14:paraId="65BF033F" w14:textId="4F251953" w:rsidR="004E4DF3" w:rsidRPr="007E69DF" w:rsidRDefault="004E4DF3" w:rsidP="004E4D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657</w:t>
            </w:r>
          </w:p>
        </w:tc>
        <w:tc>
          <w:tcPr>
            <w:tcW w:w="1247" w:type="dxa"/>
            <w:tcBorders>
              <w:right w:val="single" w:sz="4" w:space="0" w:color="808080" w:themeColor="background1" w:themeShade="80"/>
            </w:tcBorders>
            <w:shd w:val="clear" w:color="auto" w:fill="auto"/>
          </w:tcPr>
          <w:p w14:paraId="6BEC6D30" w14:textId="0A52BEAE" w:rsidR="004E4DF3" w:rsidRPr="007E69DF" w:rsidRDefault="004E4DF3" w:rsidP="004E4D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9.9%</w:t>
            </w:r>
          </w:p>
        </w:tc>
        <w:tc>
          <w:tcPr>
            <w:tcW w:w="1247" w:type="dxa"/>
            <w:tcBorders>
              <w:left w:val="single" w:sz="4" w:space="0" w:color="808080" w:themeColor="background1" w:themeShade="80"/>
            </w:tcBorders>
            <w:shd w:val="clear" w:color="auto" w:fill="auto"/>
          </w:tcPr>
          <w:p w14:paraId="6825BA74" w14:textId="70C2EFFC" w:rsidR="004E4DF3" w:rsidRPr="007E69DF" w:rsidRDefault="004E4DF3" w:rsidP="004E4D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5,284</w:t>
            </w:r>
          </w:p>
        </w:tc>
        <w:tc>
          <w:tcPr>
            <w:tcW w:w="1247" w:type="dxa"/>
            <w:tcBorders>
              <w:right w:val="nil"/>
            </w:tcBorders>
            <w:shd w:val="clear" w:color="auto" w:fill="auto"/>
          </w:tcPr>
          <w:p w14:paraId="0A6EE343" w14:textId="0518DD40" w:rsidR="004E4DF3" w:rsidRPr="007E69DF" w:rsidRDefault="004E4DF3" w:rsidP="004E4D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8.1%</w:t>
            </w:r>
          </w:p>
        </w:tc>
      </w:tr>
      <w:tr w:rsidR="004E4DF3" w:rsidRPr="007E69DF" w14:paraId="5C7B5E3B"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40490EE6" w14:textId="0A7EC037"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Terbinafine (topical)</w:t>
            </w:r>
          </w:p>
        </w:tc>
        <w:tc>
          <w:tcPr>
            <w:tcW w:w="1247" w:type="dxa"/>
            <w:shd w:val="clear" w:color="auto" w:fill="auto"/>
          </w:tcPr>
          <w:p w14:paraId="4DCD5316" w14:textId="5D647060" w:rsidR="004E4DF3" w:rsidRPr="007E69DF" w:rsidRDefault="004E4DF3" w:rsidP="004E4D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607</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58F96269" w14:textId="167DFD64" w:rsidR="004E4DF3" w:rsidRPr="007E69DF" w:rsidRDefault="004E4DF3" w:rsidP="004E4D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9.1%</w:t>
            </w:r>
          </w:p>
        </w:tc>
        <w:tc>
          <w:tcPr>
            <w:tcW w:w="1247" w:type="dxa"/>
            <w:tcBorders>
              <w:left w:val="single" w:sz="4" w:space="0" w:color="808080" w:themeColor="background1" w:themeShade="80"/>
            </w:tcBorders>
            <w:shd w:val="clear" w:color="auto" w:fill="auto"/>
          </w:tcPr>
          <w:p w14:paraId="724133CD" w14:textId="0A84F6DC" w:rsidR="004E4DF3" w:rsidRPr="007E69DF" w:rsidRDefault="004E4DF3" w:rsidP="004E4D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3,948</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4A6D419F" w14:textId="666BE221" w:rsidR="004E4DF3" w:rsidRPr="007E69DF" w:rsidRDefault="004E4DF3" w:rsidP="004E4D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6.1%</w:t>
            </w:r>
          </w:p>
        </w:tc>
      </w:tr>
      <w:tr w:rsidR="004E4DF3" w:rsidRPr="007E69DF" w14:paraId="2E45ED89"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03DAE5BD" w14:textId="07209597" w:rsidR="004E4DF3" w:rsidRPr="007E69DF" w:rsidRDefault="004E4DF3" w:rsidP="004E4DF3">
            <w:pPr>
              <w:spacing w:before="0" w:after="0"/>
              <w:rPr>
                <w:rFonts w:asciiTheme="majorHAnsi" w:hAnsiTheme="majorHAnsi" w:cstheme="majorHAnsi"/>
                <w:color w:val="000000"/>
                <w:sz w:val="20"/>
                <w:szCs w:val="20"/>
              </w:rPr>
            </w:pPr>
            <w:r w:rsidRPr="007E69DF">
              <w:rPr>
                <w:rFonts w:asciiTheme="majorHAnsi" w:hAnsiTheme="majorHAnsi" w:cstheme="majorHAnsi"/>
                <w:color w:val="000000"/>
                <w:sz w:val="20"/>
                <w:szCs w:val="20"/>
              </w:rPr>
              <w:t>Ketoconazole</w:t>
            </w:r>
          </w:p>
        </w:tc>
        <w:tc>
          <w:tcPr>
            <w:tcW w:w="1247" w:type="dxa"/>
            <w:shd w:val="clear" w:color="auto" w:fill="auto"/>
          </w:tcPr>
          <w:p w14:paraId="7FAC3123" w14:textId="3F53BEE9" w:rsidR="004E4DF3" w:rsidRPr="007E69DF" w:rsidRDefault="004E4DF3" w:rsidP="004E4D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390</w:t>
            </w:r>
          </w:p>
        </w:tc>
        <w:tc>
          <w:tcPr>
            <w:tcW w:w="1247" w:type="dxa"/>
            <w:tcBorders>
              <w:right w:val="single" w:sz="4" w:space="0" w:color="808080" w:themeColor="background1" w:themeShade="80"/>
            </w:tcBorders>
            <w:shd w:val="clear" w:color="auto" w:fill="auto"/>
          </w:tcPr>
          <w:p w14:paraId="0BE615BC" w14:textId="20549161" w:rsidR="004E4DF3" w:rsidRPr="007E69DF" w:rsidRDefault="004E4DF3" w:rsidP="004E4D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5.9%</w:t>
            </w:r>
          </w:p>
        </w:tc>
        <w:tc>
          <w:tcPr>
            <w:tcW w:w="1247" w:type="dxa"/>
            <w:tcBorders>
              <w:left w:val="single" w:sz="4" w:space="0" w:color="808080" w:themeColor="background1" w:themeShade="80"/>
            </w:tcBorders>
            <w:shd w:val="clear" w:color="auto" w:fill="auto"/>
          </w:tcPr>
          <w:p w14:paraId="14DC9741" w14:textId="0E401F22" w:rsidR="004E4DF3" w:rsidRPr="007E69DF" w:rsidRDefault="004E4DF3" w:rsidP="004E4D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2,413</w:t>
            </w:r>
          </w:p>
        </w:tc>
        <w:tc>
          <w:tcPr>
            <w:tcW w:w="1247" w:type="dxa"/>
            <w:tcBorders>
              <w:right w:val="nil"/>
            </w:tcBorders>
            <w:shd w:val="clear" w:color="auto" w:fill="auto"/>
          </w:tcPr>
          <w:p w14:paraId="6DA356CD" w14:textId="451FB2FF" w:rsidR="004E4DF3" w:rsidRPr="007E69DF" w:rsidRDefault="004E4DF3" w:rsidP="004E4D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3.7%</w:t>
            </w:r>
          </w:p>
        </w:tc>
      </w:tr>
      <w:tr w:rsidR="004E4DF3" w:rsidRPr="007E69DF" w14:paraId="2D785F34"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4BB66C5F" w14:textId="3BA0B9B3" w:rsidR="004E4DF3" w:rsidRPr="007E69DF" w:rsidRDefault="004E4DF3" w:rsidP="004E4DF3">
            <w:pPr>
              <w:spacing w:before="0" w:after="0"/>
              <w:rPr>
                <w:rFonts w:asciiTheme="majorHAnsi" w:hAnsiTheme="majorHAnsi" w:cstheme="majorHAnsi"/>
                <w:color w:val="000000"/>
                <w:sz w:val="20"/>
                <w:szCs w:val="20"/>
              </w:rPr>
            </w:pPr>
            <w:r w:rsidRPr="007E69DF">
              <w:rPr>
                <w:rFonts w:asciiTheme="majorHAnsi" w:hAnsiTheme="majorHAnsi" w:cstheme="majorHAnsi"/>
                <w:color w:val="000000"/>
                <w:sz w:val="20"/>
                <w:szCs w:val="20"/>
              </w:rPr>
              <w:t>Terbinafine (systemic)</w:t>
            </w:r>
          </w:p>
        </w:tc>
        <w:tc>
          <w:tcPr>
            <w:tcW w:w="1247" w:type="dxa"/>
            <w:shd w:val="clear" w:color="auto" w:fill="auto"/>
          </w:tcPr>
          <w:p w14:paraId="30685CEB" w14:textId="16E63F57" w:rsidR="004E4DF3" w:rsidRPr="007E69DF" w:rsidRDefault="004E4DF3" w:rsidP="004E4D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349</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2EC16622" w14:textId="285392BC" w:rsidR="004E4DF3" w:rsidRPr="007E69DF" w:rsidRDefault="004E4DF3" w:rsidP="004E4D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5.2%</w:t>
            </w:r>
          </w:p>
        </w:tc>
        <w:tc>
          <w:tcPr>
            <w:tcW w:w="1247" w:type="dxa"/>
            <w:tcBorders>
              <w:left w:val="single" w:sz="4" w:space="0" w:color="808080" w:themeColor="background1" w:themeShade="80"/>
            </w:tcBorders>
            <w:shd w:val="clear" w:color="auto" w:fill="auto"/>
          </w:tcPr>
          <w:p w14:paraId="4C77FA1F" w14:textId="6E36CB4A" w:rsidR="004E4DF3" w:rsidRPr="007E69DF" w:rsidRDefault="004E4DF3" w:rsidP="004E4D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15,774</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31C353F3" w14:textId="5E64A22F" w:rsidR="004E4DF3" w:rsidRPr="007E69DF" w:rsidRDefault="004E4DF3" w:rsidP="004E4D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24.3%</w:t>
            </w:r>
          </w:p>
        </w:tc>
      </w:tr>
      <w:tr w:rsidR="004E4DF3" w:rsidRPr="007E69DF" w14:paraId="05326FCA"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7DE92421" w14:textId="0853202A"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Dapsone</w:t>
            </w:r>
          </w:p>
        </w:tc>
        <w:tc>
          <w:tcPr>
            <w:tcW w:w="1247" w:type="dxa"/>
            <w:shd w:val="clear" w:color="auto" w:fill="auto"/>
          </w:tcPr>
          <w:p w14:paraId="741C08CF" w14:textId="7F9D08DB" w:rsidR="004E4DF3" w:rsidRPr="007E69DF" w:rsidRDefault="004E4DF3" w:rsidP="004E4D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222</w:t>
            </w:r>
          </w:p>
        </w:tc>
        <w:tc>
          <w:tcPr>
            <w:tcW w:w="1247" w:type="dxa"/>
            <w:tcBorders>
              <w:right w:val="single" w:sz="4" w:space="0" w:color="808080" w:themeColor="background1" w:themeShade="80"/>
            </w:tcBorders>
            <w:shd w:val="clear" w:color="auto" w:fill="auto"/>
          </w:tcPr>
          <w:p w14:paraId="728AF318" w14:textId="5850B6E3" w:rsidR="004E4DF3" w:rsidRPr="007E69DF" w:rsidRDefault="004E4DF3" w:rsidP="004E4D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3.3%</w:t>
            </w:r>
          </w:p>
        </w:tc>
        <w:tc>
          <w:tcPr>
            <w:tcW w:w="1247" w:type="dxa"/>
            <w:tcBorders>
              <w:left w:val="single" w:sz="4" w:space="0" w:color="808080" w:themeColor="background1" w:themeShade="80"/>
            </w:tcBorders>
            <w:shd w:val="clear" w:color="auto" w:fill="auto"/>
          </w:tcPr>
          <w:p w14:paraId="579CD056" w14:textId="7C9CCA62" w:rsidR="004E4DF3" w:rsidRPr="007E69DF" w:rsidRDefault="004E4DF3" w:rsidP="004E4D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3,618</w:t>
            </w:r>
          </w:p>
        </w:tc>
        <w:tc>
          <w:tcPr>
            <w:tcW w:w="1247" w:type="dxa"/>
            <w:tcBorders>
              <w:right w:val="nil"/>
            </w:tcBorders>
            <w:shd w:val="clear" w:color="auto" w:fill="auto"/>
          </w:tcPr>
          <w:p w14:paraId="35F14D62" w14:textId="27FDD93D" w:rsidR="004E4DF3" w:rsidRPr="007E69DF" w:rsidRDefault="004E4DF3" w:rsidP="004E4D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5.6%</w:t>
            </w:r>
          </w:p>
        </w:tc>
      </w:tr>
      <w:tr w:rsidR="004E4DF3" w:rsidRPr="007E69DF" w14:paraId="3F8CF895"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7AF73AEC" w14:textId="7805A699" w:rsidR="004E4DF3" w:rsidRPr="007E69DF" w:rsidRDefault="004E4DF3" w:rsidP="004E4DF3">
            <w:pPr>
              <w:spacing w:before="0" w:after="40"/>
              <w:rPr>
                <w:rFonts w:asciiTheme="majorHAnsi" w:hAnsiTheme="majorHAnsi" w:cstheme="majorHAnsi"/>
                <w:b w:val="0"/>
                <w:bCs w:val="0"/>
                <w:sz w:val="20"/>
                <w:szCs w:val="20"/>
              </w:rPr>
            </w:pPr>
            <w:r w:rsidRPr="007E69DF">
              <w:rPr>
                <w:rFonts w:asciiTheme="majorHAnsi" w:hAnsiTheme="majorHAnsi" w:cstheme="majorHAnsi"/>
                <w:color w:val="000000"/>
                <w:sz w:val="20"/>
                <w:szCs w:val="20"/>
              </w:rPr>
              <w:t>Clotrimazole</w:t>
            </w:r>
          </w:p>
        </w:tc>
        <w:tc>
          <w:tcPr>
            <w:tcW w:w="1247" w:type="dxa"/>
            <w:shd w:val="clear" w:color="auto" w:fill="auto"/>
          </w:tcPr>
          <w:p w14:paraId="799C65D1" w14:textId="5FA6AF6B" w:rsidR="004E4DF3" w:rsidRPr="007E69DF" w:rsidRDefault="004E4DF3" w:rsidP="004E4DF3">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99</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7FFB0D51" w14:textId="06C9C4A9" w:rsidR="004E4DF3" w:rsidRPr="007E69DF" w:rsidRDefault="004E4DF3" w:rsidP="004E4DF3">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1.5%</w:t>
            </w:r>
          </w:p>
        </w:tc>
        <w:tc>
          <w:tcPr>
            <w:tcW w:w="1247" w:type="dxa"/>
            <w:tcBorders>
              <w:left w:val="single" w:sz="4" w:space="0" w:color="808080" w:themeColor="background1" w:themeShade="80"/>
            </w:tcBorders>
            <w:shd w:val="clear" w:color="auto" w:fill="auto"/>
          </w:tcPr>
          <w:p w14:paraId="5D3AC925" w14:textId="02DDB7FF" w:rsidR="004E4DF3" w:rsidRPr="007E69DF" w:rsidRDefault="004E4DF3" w:rsidP="004E4DF3">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752</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33437FDC" w14:textId="6319BAC1" w:rsidR="004E4DF3" w:rsidRPr="007E69DF" w:rsidRDefault="004E4DF3" w:rsidP="004E4DF3">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1.2%</w:t>
            </w:r>
          </w:p>
        </w:tc>
      </w:tr>
      <w:tr w:rsidR="004E4DF3" w:rsidRPr="007E69DF" w14:paraId="79E6A72A"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E2947EB" w14:textId="0BD53665" w:rsidR="004E4DF3" w:rsidRPr="007E69DF" w:rsidRDefault="004E4DF3" w:rsidP="004E4DF3">
            <w:pPr>
              <w:spacing w:before="0" w:after="0"/>
              <w:rPr>
                <w:rFonts w:asciiTheme="majorHAnsi" w:hAnsiTheme="majorHAnsi" w:cstheme="majorHAnsi"/>
                <w:sz w:val="20"/>
                <w:szCs w:val="20"/>
              </w:rPr>
            </w:pPr>
            <w:r w:rsidRPr="007E69DF">
              <w:rPr>
                <w:rFonts w:asciiTheme="majorHAnsi" w:hAnsiTheme="majorHAnsi" w:cstheme="majorHAnsi"/>
                <w:color w:val="000000"/>
                <w:sz w:val="20"/>
                <w:szCs w:val="20"/>
              </w:rPr>
              <w:t>Amorolfine</w:t>
            </w:r>
          </w:p>
        </w:tc>
        <w:tc>
          <w:tcPr>
            <w:tcW w:w="1247" w:type="dxa"/>
            <w:shd w:val="clear" w:color="auto" w:fill="auto"/>
          </w:tcPr>
          <w:p w14:paraId="30B8C968" w14:textId="796CAB77" w:rsidR="004E4DF3" w:rsidRPr="007E69DF" w:rsidRDefault="004E4DF3" w:rsidP="004E4DF3">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63</w:t>
            </w:r>
          </w:p>
        </w:tc>
        <w:tc>
          <w:tcPr>
            <w:tcW w:w="1247" w:type="dxa"/>
            <w:tcBorders>
              <w:right w:val="single" w:sz="4" w:space="0" w:color="808080" w:themeColor="background1" w:themeShade="80"/>
            </w:tcBorders>
            <w:shd w:val="clear" w:color="auto" w:fill="auto"/>
          </w:tcPr>
          <w:p w14:paraId="3C1355C0" w14:textId="1815BF09" w:rsidR="004E4DF3" w:rsidRPr="007E69DF" w:rsidRDefault="004E4DF3" w:rsidP="004E4DF3">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0.9%</w:t>
            </w:r>
          </w:p>
        </w:tc>
        <w:tc>
          <w:tcPr>
            <w:tcW w:w="1247" w:type="dxa"/>
            <w:tcBorders>
              <w:left w:val="single" w:sz="4" w:space="0" w:color="808080" w:themeColor="background1" w:themeShade="80"/>
            </w:tcBorders>
            <w:shd w:val="clear" w:color="auto" w:fill="auto"/>
          </w:tcPr>
          <w:p w14:paraId="4CCD7EB7" w14:textId="4E6F4C6F" w:rsidR="004E4DF3" w:rsidRPr="007E69DF" w:rsidRDefault="004E4DF3" w:rsidP="004E4DF3">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365</w:t>
            </w:r>
          </w:p>
        </w:tc>
        <w:tc>
          <w:tcPr>
            <w:tcW w:w="1247" w:type="dxa"/>
            <w:tcBorders>
              <w:right w:val="nil"/>
            </w:tcBorders>
            <w:shd w:val="clear" w:color="auto" w:fill="auto"/>
          </w:tcPr>
          <w:p w14:paraId="028315C4" w14:textId="3BA52582" w:rsidR="004E4DF3" w:rsidRPr="007E69DF" w:rsidRDefault="004E4DF3" w:rsidP="004E4DF3">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E69DF">
              <w:rPr>
                <w:rFonts w:asciiTheme="majorHAnsi" w:hAnsiTheme="majorHAnsi" w:cstheme="majorHAnsi"/>
                <w:color w:val="000000"/>
                <w:sz w:val="20"/>
                <w:szCs w:val="20"/>
              </w:rPr>
              <w:t>0.6%</w:t>
            </w:r>
          </w:p>
        </w:tc>
      </w:tr>
    </w:tbl>
    <w:p w14:paraId="20A7E17C" w14:textId="77777777" w:rsidR="00296EF3" w:rsidRDefault="00296EF3" w:rsidP="00296EF3">
      <w:pPr>
        <w:pStyle w:val="FigureTablefootnote"/>
        <w:spacing w:before="60"/>
      </w:pPr>
      <w:r w:rsidRPr="009D0B19">
        <w:t>PBS = Pharmaceutical Benefits Scheme; RPBS = Repatriation Pharmaceutical Benefits Scheme</w:t>
      </w:r>
    </w:p>
    <w:p w14:paraId="161B58C0" w14:textId="2436AD93" w:rsidR="00E97B64" w:rsidRDefault="00E97B64" w:rsidP="00E97B64">
      <w:pPr>
        <w:pStyle w:val="FigureTablefootnote"/>
        <w:rPr>
          <w:rStyle w:val="FigureTablefootnoteChar"/>
        </w:rPr>
      </w:pPr>
      <w:r w:rsidRPr="00DD659E">
        <w:rPr>
          <w:rStyle w:val="FigureTablefootnoteChar"/>
        </w:rPr>
        <w:t>*</w:t>
      </w:r>
      <w:r w:rsidRPr="00DD659E">
        <w:rPr>
          <w:rStyle w:val="FigureTablefootnoteChar"/>
        </w:rPr>
        <w:tab/>
      </w:r>
      <w:r>
        <w:rPr>
          <w:rStyle w:val="FigureTablefootnoteChar"/>
        </w:rPr>
        <w:t xml:space="preserve">Antimicrobials used for skin conditions per </w:t>
      </w:r>
      <w:r w:rsidR="007221C7">
        <w:t xml:space="preserve">World Health Organization </w:t>
      </w:r>
      <w:r w:rsidR="007221C7" w:rsidRPr="00E906CB">
        <w:t>Anatomical Therapeutic Chemical Classification</w:t>
      </w:r>
      <w:r w:rsidR="007221C7">
        <w:t xml:space="preserve"> and PBS and RPBS listing</w:t>
      </w:r>
    </w:p>
    <w:p w14:paraId="6B8A45A0" w14:textId="77777777" w:rsidR="009C5F94" w:rsidRDefault="00296EF3" w:rsidP="00296EF3">
      <w:pPr>
        <w:pStyle w:val="FigureTablefootnote"/>
        <w:rPr>
          <w:rStyle w:val="FigureTablefootnoteChar"/>
        </w:rPr>
      </w:pPr>
      <w:r>
        <w:rPr>
          <w:rStyle w:val="FigureTablefootnoteChar"/>
        </w:rPr>
        <w:t>Note</w:t>
      </w:r>
      <w:r w:rsidR="009C5F94">
        <w:rPr>
          <w:rStyle w:val="FigureTablefootnoteChar"/>
        </w:rPr>
        <w:t>s</w:t>
      </w:r>
      <w:r>
        <w:rPr>
          <w:rStyle w:val="FigureTablefootnoteChar"/>
        </w:rPr>
        <w:t>:</w:t>
      </w:r>
    </w:p>
    <w:p w14:paraId="3A0FAA20" w14:textId="77777777" w:rsidR="009C5F94" w:rsidRDefault="00296EF3" w:rsidP="009C5F94">
      <w:pPr>
        <w:pStyle w:val="FigureTablefootnote"/>
        <w:numPr>
          <w:ilvl w:val="0"/>
          <w:numId w:val="20"/>
        </w:numPr>
        <w:tabs>
          <w:tab w:val="clear" w:pos="142"/>
          <w:tab w:val="left" w:pos="284"/>
        </w:tabs>
        <w:ind w:left="284" w:hanging="284"/>
        <w:rPr>
          <w:rStyle w:val="FigureTablefootnoteChar"/>
        </w:rPr>
      </w:pPr>
      <w:r>
        <w:rPr>
          <w:rStyle w:val="FigureTablefootnoteChar"/>
        </w:rPr>
        <w:t>Percentage antimicrobials listed.</w:t>
      </w:r>
    </w:p>
    <w:p w14:paraId="3D440ECF" w14:textId="1C903466" w:rsidR="009C5F94" w:rsidRDefault="009C5F94" w:rsidP="009C5F94">
      <w:pPr>
        <w:pStyle w:val="FigureTablefootnote"/>
        <w:numPr>
          <w:ilvl w:val="0"/>
          <w:numId w:val="20"/>
        </w:numPr>
        <w:tabs>
          <w:tab w:val="clear" w:pos="142"/>
          <w:tab w:val="left" w:pos="284"/>
        </w:tabs>
        <w:ind w:left="284" w:hanging="284"/>
      </w:pPr>
      <w:r>
        <w:t>PBS and RPBS</w:t>
      </w:r>
      <w:r w:rsidRPr="00F46944">
        <w:t xml:space="preserve"> data do not indicate the diagnosis or condition of the patient or the indication for prescription</w:t>
      </w:r>
      <w:r>
        <w:t>.</w:t>
      </w:r>
    </w:p>
    <w:p w14:paraId="65FD0EDF" w14:textId="3960F6F9" w:rsidR="00002D50" w:rsidRDefault="00585469" w:rsidP="009C5F94">
      <w:pPr>
        <w:pStyle w:val="FigureTablefootnote"/>
        <w:numPr>
          <w:ilvl w:val="0"/>
          <w:numId w:val="20"/>
        </w:numPr>
        <w:tabs>
          <w:tab w:val="clear" w:pos="142"/>
          <w:tab w:val="left" w:pos="284"/>
        </w:tabs>
        <w:ind w:left="284" w:hanging="284"/>
        <w:rPr>
          <w:rStyle w:val="FigureTablefootnoteChar"/>
        </w:rPr>
      </w:pPr>
      <w:r>
        <w:t xml:space="preserve">Many antimicrobials </w:t>
      </w:r>
      <w:r w:rsidR="00466F8A">
        <w:t xml:space="preserve">for skin conditions </w:t>
      </w:r>
      <w:r>
        <w:t>are available over-the-counter without a prescription so are not captured by the PBS and RPBS.</w:t>
      </w:r>
    </w:p>
    <w:p w14:paraId="003C7F91" w14:textId="5FC33BBB" w:rsidR="00296EF3" w:rsidRDefault="00296EF3" w:rsidP="00296EF3">
      <w:pPr>
        <w:pStyle w:val="FigureTablefootnote"/>
      </w:pPr>
      <w:r w:rsidRPr="009D0B19">
        <w:t>Source: Gadzhanova, Roughead</w:t>
      </w:r>
      <w:r w:rsidRPr="009D0B19">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fldChar w:fldCharType="separate"/>
      </w:r>
      <w:r w:rsidR="00577C74" w:rsidRPr="00577C74">
        <w:rPr>
          <w:noProof/>
          <w:vertAlign w:val="superscript"/>
        </w:rPr>
        <w:t>40</w:t>
      </w:r>
      <w:r w:rsidRPr="009D0B19">
        <w:fldChar w:fldCharType="end"/>
      </w:r>
    </w:p>
    <w:p w14:paraId="1E3164CB" w14:textId="65026711" w:rsidR="007F0538" w:rsidRDefault="007F0538" w:rsidP="009739B0">
      <w:pPr>
        <w:pStyle w:val="Heading5"/>
      </w:pPr>
      <w:r>
        <w:t>Intravenous antimicrobials</w:t>
      </w:r>
      <w:r w:rsidR="00A56E95">
        <w:t xml:space="preserve"> in aged care</w:t>
      </w:r>
      <w:r w:rsidR="00677130">
        <w:t xml:space="preserve"> homes</w:t>
      </w:r>
      <w:r w:rsidR="00A56E95">
        <w:t xml:space="preserve"> and </w:t>
      </w:r>
      <w:r w:rsidR="00A57E0B">
        <w:t>the community</w:t>
      </w:r>
    </w:p>
    <w:p w14:paraId="68AB3937" w14:textId="15C122C3" w:rsidR="00AD1D8F" w:rsidRDefault="00AD1D8F" w:rsidP="00AD1D8F">
      <w:r>
        <w:t>Of all intravenous antimicrobials</w:t>
      </w:r>
      <w:r w:rsidR="00493737">
        <w:t xml:space="preserve"> supplied under the PBS and RPBS in 2023</w:t>
      </w:r>
      <w:r>
        <w:t xml:space="preserve">, 2.7% were </w:t>
      </w:r>
      <w:r w:rsidR="00493737">
        <w:t>for</w:t>
      </w:r>
      <w:r>
        <w:t xml:space="preserve"> older Australians in aged care homes, while 52.6% were supplied to older Australians in the community. </w:t>
      </w:r>
    </w:p>
    <w:p w14:paraId="67F4880D" w14:textId="1D321843" w:rsidR="007F0538" w:rsidRDefault="004520D5" w:rsidP="007F0538">
      <w:r w:rsidRPr="00BB31DE">
        <w:rPr>
          <w:rFonts w:cstheme="minorHAnsi"/>
          <w:color w:val="000000" w:themeColor="text1"/>
        </w:rPr>
        <w:t>Ceftriaxone</w:t>
      </w:r>
      <w:r w:rsidR="00980EC4" w:rsidRPr="00BB31DE">
        <w:rPr>
          <w:rFonts w:cstheme="minorHAnsi"/>
          <w:color w:val="000000" w:themeColor="text1"/>
        </w:rPr>
        <w:t xml:space="preserve"> </w:t>
      </w:r>
      <w:r w:rsidR="00980EC4">
        <w:rPr>
          <w:rFonts w:cstheme="minorHAnsi"/>
          <w:color w:val="000000" w:themeColor="text1"/>
        </w:rPr>
        <w:t>accounted for a</w:t>
      </w:r>
      <w:r w:rsidR="00980EC4">
        <w:t xml:space="preserve"> little over two-thirds of all intravenous antimicrobials supplied to residents of aged care homes (Table 9).</w:t>
      </w:r>
      <w:r w:rsidR="00D75B19">
        <w:t xml:space="preserve"> </w:t>
      </w:r>
      <w:r w:rsidR="004513F1">
        <w:t xml:space="preserve">Despite this, overall numbers </w:t>
      </w:r>
      <w:r w:rsidR="000C6C2A">
        <w:t>we</w:t>
      </w:r>
      <w:r w:rsidR="004513F1">
        <w:t xml:space="preserve">re low </w:t>
      </w:r>
      <w:r w:rsidR="009961BA">
        <w:t>as</w:t>
      </w:r>
      <w:r w:rsidR="004513F1">
        <w:t xml:space="preserve"> </w:t>
      </w:r>
      <w:r w:rsidR="00D75B19">
        <w:t>most intravenous antimicrobial use occur</w:t>
      </w:r>
      <w:r w:rsidR="008377B9">
        <w:t>s</w:t>
      </w:r>
      <w:r w:rsidR="00D75B19">
        <w:t xml:space="preserve"> in acute </w:t>
      </w:r>
      <w:r>
        <w:t xml:space="preserve">inpatient </w:t>
      </w:r>
      <w:r w:rsidR="00D75B19">
        <w:t>settings.</w:t>
      </w:r>
    </w:p>
    <w:p w14:paraId="5FEFBEF4" w14:textId="7C13AF69" w:rsidR="00296EF3" w:rsidRDefault="00296EF3" w:rsidP="00296EF3">
      <w:pPr>
        <w:spacing w:before="240"/>
        <w:rPr>
          <w:rFonts w:cstheme="minorHAnsi"/>
        </w:rPr>
      </w:pPr>
      <w:r w:rsidRPr="00980EC4">
        <w:rPr>
          <w:b/>
          <w:bCs/>
        </w:rPr>
        <w:t xml:space="preserve">Table </w:t>
      </w:r>
      <w:r w:rsidR="00AA1F9E" w:rsidRPr="00980EC4">
        <w:rPr>
          <w:b/>
          <w:bCs/>
        </w:rPr>
        <w:t>9</w:t>
      </w:r>
      <w:r w:rsidRPr="00980EC4">
        <w:rPr>
          <w:b/>
          <w:bCs/>
        </w:rPr>
        <w:t xml:space="preserve">: </w:t>
      </w:r>
      <w:r w:rsidRPr="00980EC4">
        <w:rPr>
          <w:bCs/>
        </w:rPr>
        <w:t>Number</w:t>
      </w:r>
      <w:r w:rsidRPr="008245C4">
        <w:rPr>
          <w:bCs/>
        </w:rPr>
        <w:t xml:space="preserve"> and percent</w:t>
      </w:r>
      <w:r w:rsidR="000127BF">
        <w:rPr>
          <w:bCs/>
        </w:rPr>
        <w:t>age</w:t>
      </w:r>
      <w:r w:rsidRPr="008245C4">
        <w:rPr>
          <w:bCs/>
        </w:rPr>
        <w:t xml:space="preserve"> of PBS and RPBS </w:t>
      </w:r>
      <w:r>
        <w:rPr>
          <w:bCs/>
        </w:rPr>
        <w:t xml:space="preserve">intravenous </w:t>
      </w:r>
      <w:r w:rsidRPr="008245C4">
        <w:rPr>
          <w:bCs/>
        </w:rPr>
        <w:t xml:space="preserve">antimicrobial prescriptions dispensed </w:t>
      </w:r>
      <w:r>
        <w:rPr>
          <w:bCs/>
        </w:rPr>
        <w:t>to people aged 65 years and over</w:t>
      </w:r>
      <w:r w:rsidRPr="008245C4">
        <w:rPr>
          <w:bCs/>
        </w:rPr>
        <w:t xml:space="preserve">, </w:t>
      </w:r>
      <w:r>
        <w:rPr>
          <w:bCs/>
        </w:rPr>
        <w:t xml:space="preserve">by setting, </w:t>
      </w:r>
      <w:r w:rsidRPr="008245C4">
        <w:rPr>
          <w:bCs/>
        </w:rPr>
        <w:t>2023</w:t>
      </w:r>
    </w:p>
    <w:tbl>
      <w:tblPr>
        <w:tblStyle w:val="PlainTable2"/>
        <w:tblW w:w="7539" w:type="dxa"/>
        <w:tblLook w:val="04A0" w:firstRow="1" w:lastRow="0" w:firstColumn="1" w:lastColumn="0" w:noHBand="0" w:noVBand="1"/>
        <w:tblCaption w:val="Table 9: Number and percentage of PBS and RPBS intravenous antimicrobial prescriptions dispensed to people aged 65 years and over, by setting, 2023"/>
      </w:tblPr>
      <w:tblGrid>
        <w:gridCol w:w="2551"/>
        <w:gridCol w:w="1247"/>
        <w:gridCol w:w="1247"/>
        <w:gridCol w:w="1247"/>
        <w:gridCol w:w="1247"/>
      </w:tblGrid>
      <w:tr w:rsidR="00296EF3" w:rsidRPr="007E69DF" w14:paraId="049E8C92" w14:textId="77777777" w:rsidTr="00BB064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vMerge w:val="restart"/>
            <w:shd w:val="clear" w:color="auto" w:fill="EFC3AF"/>
            <w:vAlign w:val="bottom"/>
          </w:tcPr>
          <w:p w14:paraId="0B7D8A8F" w14:textId="105230B0" w:rsidR="00296EF3" w:rsidRPr="007E69DF" w:rsidRDefault="00296EF3" w:rsidP="003D30E4">
            <w:pPr>
              <w:spacing w:before="0"/>
              <w:rPr>
                <w:rFonts w:cstheme="minorHAnsi"/>
                <w:sz w:val="20"/>
                <w:szCs w:val="20"/>
              </w:rPr>
            </w:pPr>
            <w:r w:rsidRPr="007E69DF">
              <w:rPr>
                <w:rFonts w:cstheme="minorHAnsi"/>
                <w:sz w:val="20"/>
                <w:szCs w:val="20"/>
              </w:rPr>
              <w:t>Antimicrobial</w:t>
            </w:r>
          </w:p>
        </w:tc>
        <w:tc>
          <w:tcPr>
            <w:tcW w:w="2494" w:type="dxa"/>
            <w:gridSpan w:val="2"/>
            <w:tcBorders>
              <w:top w:val="single" w:sz="4" w:space="0" w:color="7F7F7F" w:themeColor="text1" w:themeTint="80"/>
              <w:right w:val="single" w:sz="4" w:space="0" w:color="808080" w:themeColor="background1" w:themeShade="80"/>
            </w:tcBorders>
            <w:shd w:val="clear" w:color="auto" w:fill="EFC3AF"/>
            <w:vAlign w:val="center"/>
          </w:tcPr>
          <w:p w14:paraId="6A394359" w14:textId="2C96BC48"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E69DF">
              <w:rPr>
                <w:rFonts w:cstheme="minorHAnsi"/>
                <w:sz w:val="20"/>
                <w:szCs w:val="20"/>
              </w:rPr>
              <w:t>Aged care home</w:t>
            </w:r>
          </w:p>
        </w:tc>
        <w:tc>
          <w:tcPr>
            <w:tcW w:w="2494" w:type="dxa"/>
            <w:gridSpan w:val="2"/>
            <w:tcBorders>
              <w:top w:val="single" w:sz="4" w:space="0" w:color="7F7F7F" w:themeColor="text1" w:themeTint="80"/>
              <w:left w:val="single" w:sz="4" w:space="0" w:color="808080" w:themeColor="background1" w:themeShade="80"/>
              <w:right w:val="nil"/>
            </w:tcBorders>
            <w:shd w:val="clear" w:color="auto" w:fill="EFC3AF"/>
            <w:vAlign w:val="center"/>
          </w:tcPr>
          <w:p w14:paraId="31D99E66" w14:textId="77777777" w:rsidR="00296EF3" w:rsidRPr="007E69DF" w:rsidRDefault="00296EF3" w:rsidP="003D30E4">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E69DF">
              <w:rPr>
                <w:rFonts w:cstheme="minorHAnsi"/>
                <w:sz w:val="20"/>
                <w:szCs w:val="20"/>
              </w:rPr>
              <w:t>Community</w:t>
            </w:r>
          </w:p>
        </w:tc>
      </w:tr>
      <w:tr w:rsidR="00296EF3" w:rsidRPr="007E69DF" w14:paraId="187A3E41"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EFC3AF"/>
            <w:vAlign w:val="center"/>
          </w:tcPr>
          <w:p w14:paraId="51836487" w14:textId="77777777" w:rsidR="00296EF3" w:rsidRPr="007E69DF" w:rsidRDefault="00296EF3" w:rsidP="003D30E4">
            <w:pPr>
              <w:spacing w:before="0" w:after="0"/>
              <w:rPr>
                <w:rFonts w:cstheme="minorHAnsi"/>
                <w:sz w:val="20"/>
                <w:szCs w:val="20"/>
              </w:rPr>
            </w:pPr>
          </w:p>
        </w:tc>
        <w:tc>
          <w:tcPr>
            <w:tcW w:w="1247" w:type="dxa"/>
            <w:shd w:val="clear" w:color="auto" w:fill="EFC3AF"/>
            <w:vAlign w:val="center"/>
          </w:tcPr>
          <w:p w14:paraId="38B45E51"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69DF">
              <w:rPr>
                <w:rFonts w:cstheme="minorHAnsi"/>
                <w:sz w:val="20"/>
                <w:szCs w:val="20"/>
              </w:rPr>
              <w:t>(</w:t>
            </w:r>
            <w:r w:rsidRPr="007E69DF">
              <w:rPr>
                <w:rFonts w:cstheme="minorHAnsi"/>
                <w:i/>
                <w:iCs/>
                <w:sz w:val="20"/>
                <w:szCs w:val="20"/>
              </w:rPr>
              <w:t>n</w:t>
            </w:r>
            <w:r w:rsidRPr="007E69DF">
              <w:rPr>
                <w:rFonts w:cstheme="minorHAnsi"/>
                <w:sz w:val="20"/>
                <w:szCs w:val="20"/>
              </w:rPr>
              <w:t>)</w:t>
            </w:r>
          </w:p>
        </w:tc>
        <w:tc>
          <w:tcPr>
            <w:tcW w:w="1247" w:type="dxa"/>
            <w:tcBorders>
              <w:right w:val="single" w:sz="4" w:space="0" w:color="808080" w:themeColor="background1" w:themeShade="80"/>
            </w:tcBorders>
            <w:shd w:val="clear" w:color="auto" w:fill="EFC3AF"/>
            <w:vAlign w:val="center"/>
          </w:tcPr>
          <w:p w14:paraId="7A932A01" w14:textId="77777777" w:rsidR="00296EF3" w:rsidRPr="007E69DF" w:rsidRDefault="00296EF3" w:rsidP="000B17DD">
            <w:pPr>
              <w:spacing w:before="0" w:after="0"/>
              <w:ind w:right="-16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69DF">
              <w:rPr>
                <w:rFonts w:cstheme="minorHAnsi"/>
                <w:sz w:val="20"/>
                <w:szCs w:val="20"/>
              </w:rPr>
              <w:t>(%)</w:t>
            </w:r>
          </w:p>
        </w:tc>
        <w:tc>
          <w:tcPr>
            <w:tcW w:w="1247" w:type="dxa"/>
            <w:tcBorders>
              <w:left w:val="single" w:sz="4" w:space="0" w:color="808080" w:themeColor="background1" w:themeShade="80"/>
            </w:tcBorders>
            <w:shd w:val="clear" w:color="auto" w:fill="EFC3AF"/>
            <w:vAlign w:val="center"/>
          </w:tcPr>
          <w:p w14:paraId="7ABF6DBB" w14:textId="77777777" w:rsidR="00296EF3" w:rsidRPr="007E69DF" w:rsidRDefault="00296EF3" w:rsidP="003D30E4">
            <w:pPr>
              <w:spacing w:before="0" w:after="0"/>
              <w:ind w:right="-283"/>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69DF">
              <w:rPr>
                <w:rFonts w:cstheme="minorHAnsi"/>
                <w:sz w:val="20"/>
                <w:szCs w:val="20"/>
              </w:rPr>
              <w:t>(</w:t>
            </w:r>
            <w:r w:rsidRPr="007E69DF">
              <w:rPr>
                <w:rFonts w:cstheme="minorHAnsi"/>
                <w:i/>
                <w:iCs/>
                <w:sz w:val="20"/>
                <w:szCs w:val="20"/>
              </w:rPr>
              <w:t>n</w:t>
            </w:r>
            <w:r w:rsidRPr="007E69DF">
              <w:rPr>
                <w:rFonts w:cstheme="minorHAnsi"/>
                <w:sz w:val="20"/>
                <w:szCs w:val="20"/>
              </w:rPr>
              <w:t>)</w:t>
            </w:r>
          </w:p>
        </w:tc>
        <w:tc>
          <w:tcPr>
            <w:tcW w:w="1247" w:type="dxa"/>
            <w:tcBorders>
              <w:right w:val="nil"/>
            </w:tcBorders>
            <w:shd w:val="clear" w:color="auto" w:fill="EFC3AF"/>
            <w:vAlign w:val="center"/>
          </w:tcPr>
          <w:p w14:paraId="1CE1AB6D" w14:textId="77777777" w:rsidR="00296EF3" w:rsidRPr="007E69DF" w:rsidRDefault="00296EF3" w:rsidP="000B17DD">
            <w:pPr>
              <w:spacing w:before="0" w:after="0"/>
              <w:ind w:right="-23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E69DF">
              <w:rPr>
                <w:rFonts w:cstheme="minorHAnsi"/>
                <w:sz w:val="20"/>
                <w:szCs w:val="20"/>
              </w:rPr>
              <w:t>(%)</w:t>
            </w:r>
          </w:p>
        </w:tc>
      </w:tr>
      <w:tr w:rsidR="00E34104" w:rsidRPr="007E69DF" w14:paraId="16306FB2"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4B30C4C" w14:textId="31D14DE4" w:rsidR="00E34104" w:rsidRPr="007E69DF" w:rsidRDefault="00D3054A" w:rsidP="00E34104">
            <w:pPr>
              <w:spacing w:before="0" w:after="0"/>
              <w:rPr>
                <w:rFonts w:cstheme="minorHAnsi"/>
                <w:sz w:val="20"/>
                <w:szCs w:val="20"/>
              </w:rPr>
            </w:pPr>
            <w:r w:rsidRPr="007E69DF">
              <w:rPr>
                <w:rFonts w:cstheme="minorHAnsi"/>
                <w:color w:val="000000"/>
                <w:sz w:val="20"/>
                <w:szCs w:val="20"/>
              </w:rPr>
              <w:t>Ceftriaxone</w:t>
            </w:r>
          </w:p>
        </w:tc>
        <w:tc>
          <w:tcPr>
            <w:tcW w:w="1247" w:type="dxa"/>
            <w:shd w:val="clear" w:color="auto" w:fill="auto"/>
          </w:tcPr>
          <w:p w14:paraId="03EB7A6F" w14:textId="249F8743" w:rsidR="00E34104" w:rsidRPr="007E69DF" w:rsidRDefault="00E34104" w:rsidP="00E34104">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2,436</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7BC497FD" w14:textId="57D1886B" w:rsidR="00E34104" w:rsidRPr="007E69DF" w:rsidRDefault="00E34104" w:rsidP="00E34104">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72.7%</w:t>
            </w:r>
          </w:p>
        </w:tc>
        <w:tc>
          <w:tcPr>
            <w:tcW w:w="1247" w:type="dxa"/>
            <w:tcBorders>
              <w:left w:val="single" w:sz="4" w:space="0" w:color="808080" w:themeColor="background1" w:themeShade="80"/>
            </w:tcBorders>
            <w:shd w:val="clear" w:color="auto" w:fill="auto"/>
          </w:tcPr>
          <w:p w14:paraId="4007B06F" w14:textId="480219BD" w:rsidR="00E34104" w:rsidRPr="007E69DF" w:rsidRDefault="00E34104" w:rsidP="00E34104">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21,528</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02085EFB" w14:textId="7F0EE35F" w:rsidR="00E34104" w:rsidRPr="007E69DF" w:rsidRDefault="00B34615" w:rsidP="00E34104">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w:t>
            </w:r>
            <w:r w:rsidR="00E34104" w:rsidRPr="007E69DF">
              <w:rPr>
                <w:rFonts w:cstheme="minorHAnsi"/>
                <w:color w:val="000000"/>
                <w:sz w:val="20"/>
                <w:szCs w:val="20"/>
              </w:rPr>
              <w:t>4.</w:t>
            </w:r>
            <w:r>
              <w:rPr>
                <w:rFonts w:cstheme="minorHAnsi"/>
                <w:color w:val="000000"/>
                <w:sz w:val="20"/>
                <w:szCs w:val="20"/>
              </w:rPr>
              <w:t>6</w:t>
            </w:r>
            <w:r w:rsidR="00E34104" w:rsidRPr="007E69DF">
              <w:rPr>
                <w:rFonts w:cstheme="minorHAnsi"/>
                <w:color w:val="000000"/>
                <w:sz w:val="20"/>
                <w:szCs w:val="20"/>
              </w:rPr>
              <w:t>%</w:t>
            </w:r>
          </w:p>
        </w:tc>
      </w:tr>
      <w:tr w:rsidR="00E34104" w:rsidRPr="007E69DF" w14:paraId="451D66AB"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B39AF18" w14:textId="6463AD85" w:rsidR="00E34104" w:rsidRPr="007E69DF" w:rsidRDefault="00E34104" w:rsidP="00E34104">
            <w:pPr>
              <w:spacing w:before="0" w:after="0"/>
              <w:rPr>
                <w:rFonts w:cstheme="minorHAnsi"/>
                <w:sz w:val="20"/>
                <w:szCs w:val="20"/>
              </w:rPr>
            </w:pPr>
            <w:r w:rsidRPr="007E69DF">
              <w:rPr>
                <w:rFonts w:cstheme="minorHAnsi"/>
                <w:color w:val="000000"/>
                <w:sz w:val="20"/>
                <w:szCs w:val="20"/>
              </w:rPr>
              <w:t>Gentamicin</w:t>
            </w:r>
          </w:p>
        </w:tc>
        <w:tc>
          <w:tcPr>
            <w:tcW w:w="1247" w:type="dxa"/>
            <w:shd w:val="clear" w:color="auto" w:fill="auto"/>
          </w:tcPr>
          <w:p w14:paraId="4EFF1BBC" w14:textId="51BC4992" w:rsidR="00E34104" w:rsidRPr="007E69DF" w:rsidRDefault="00E34104" w:rsidP="00E34104">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382</w:t>
            </w:r>
          </w:p>
        </w:tc>
        <w:tc>
          <w:tcPr>
            <w:tcW w:w="1247" w:type="dxa"/>
            <w:tcBorders>
              <w:right w:val="single" w:sz="4" w:space="0" w:color="808080" w:themeColor="background1" w:themeShade="80"/>
            </w:tcBorders>
            <w:shd w:val="clear" w:color="auto" w:fill="auto"/>
          </w:tcPr>
          <w:p w14:paraId="2BD7EA58" w14:textId="37FFBE7D" w:rsidR="00E34104" w:rsidRPr="007E69DF" w:rsidRDefault="00E34104" w:rsidP="00E34104">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11.4%</w:t>
            </w:r>
          </w:p>
        </w:tc>
        <w:tc>
          <w:tcPr>
            <w:tcW w:w="1247" w:type="dxa"/>
            <w:tcBorders>
              <w:left w:val="single" w:sz="4" w:space="0" w:color="808080" w:themeColor="background1" w:themeShade="80"/>
            </w:tcBorders>
            <w:shd w:val="clear" w:color="auto" w:fill="auto"/>
          </w:tcPr>
          <w:p w14:paraId="1545ECCA" w14:textId="3F02135A" w:rsidR="00E34104" w:rsidRPr="007E69DF" w:rsidRDefault="00E34104" w:rsidP="00E34104">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3,302</w:t>
            </w:r>
          </w:p>
        </w:tc>
        <w:tc>
          <w:tcPr>
            <w:tcW w:w="1247" w:type="dxa"/>
            <w:tcBorders>
              <w:right w:val="nil"/>
            </w:tcBorders>
            <w:shd w:val="clear" w:color="auto" w:fill="auto"/>
          </w:tcPr>
          <w:p w14:paraId="3699CB6A" w14:textId="7935BB21" w:rsidR="00E34104" w:rsidRPr="007E69DF" w:rsidRDefault="00B34615" w:rsidP="00E34104">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5.3</w:t>
            </w:r>
            <w:r w:rsidR="00E34104" w:rsidRPr="007E69DF">
              <w:rPr>
                <w:rFonts w:cstheme="minorHAnsi"/>
                <w:color w:val="000000"/>
                <w:sz w:val="20"/>
                <w:szCs w:val="20"/>
              </w:rPr>
              <w:t>%</w:t>
            </w:r>
          </w:p>
        </w:tc>
      </w:tr>
      <w:tr w:rsidR="00E34104" w:rsidRPr="007E69DF" w14:paraId="2ECA47B2"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3F87AB3" w14:textId="538FA032" w:rsidR="00E34104" w:rsidRPr="007E69DF" w:rsidRDefault="00E34104" w:rsidP="00E34104">
            <w:pPr>
              <w:spacing w:before="0" w:after="0"/>
              <w:rPr>
                <w:rFonts w:cstheme="minorHAnsi"/>
                <w:sz w:val="20"/>
                <w:szCs w:val="20"/>
              </w:rPr>
            </w:pPr>
            <w:r w:rsidRPr="007E69DF">
              <w:rPr>
                <w:rFonts w:cstheme="minorHAnsi"/>
                <w:color w:val="000000"/>
                <w:sz w:val="20"/>
                <w:szCs w:val="20"/>
              </w:rPr>
              <w:t>Cefazolin</w:t>
            </w:r>
          </w:p>
        </w:tc>
        <w:tc>
          <w:tcPr>
            <w:tcW w:w="1247" w:type="dxa"/>
            <w:shd w:val="clear" w:color="auto" w:fill="auto"/>
          </w:tcPr>
          <w:p w14:paraId="3E87F0EE" w14:textId="785DA747" w:rsidR="00E34104" w:rsidRPr="007E69DF" w:rsidRDefault="00E34104" w:rsidP="00E34104">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193</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0032B461" w14:textId="24047E9B" w:rsidR="00E34104" w:rsidRPr="007E69DF" w:rsidRDefault="00E34104" w:rsidP="00E34104">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5.8%</w:t>
            </w:r>
          </w:p>
        </w:tc>
        <w:tc>
          <w:tcPr>
            <w:tcW w:w="1247" w:type="dxa"/>
            <w:tcBorders>
              <w:left w:val="single" w:sz="4" w:space="0" w:color="808080" w:themeColor="background1" w:themeShade="80"/>
            </w:tcBorders>
            <w:shd w:val="clear" w:color="auto" w:fill="auto"/>
          </w:tcPr>
          <w:p w14:paraId="343E9F84" w14:textId="0E5BEB62" w:rsidR="00E34104" w:rsidRPr="007E69DF" w:rsidRDefault="00E34104" w:rsidP="00E34104">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19,962</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617A6039" w14:textId="1D58D880" w:rsidR="00E34104" w:rsidRPr="007E69DF" w:rsidRDefault="00B34615" w:rsidP="00E34104">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32.1</w:t>
            </w:r>
            <w:r w:rsidR="00E34104" w:rsidRPr="007E69DF">
              <w:rPr>
                <w:rFonts w:cstheme="minorHAnsi"/>
                <w:color w:val="000000"/>
                <w:sz w:val="20"/>
                <w:szCs w:val="20"/>
              </w:rPr>
              <w:t>%</w:t>
            </w:r>
          </w:p>
        </w:tc>
      </w:tr>
      <w:tr w:rsidR="00E34104" w:rsidRPr="007E69DF" w14:paraId="73690067"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12D3B1A" w14:textId="7EE0A7F1" w:rsidR="00E34104" w:rsidRPr="007E69DF" w:rsidRDefault="00E34104" w:rsidP="00E34104">
            <w:pPr>
              <w:spacing w:before="0" w:after="0"/>
              <w:rPr>
                <w:rFonts w:cstheme="minorHAnsi"/>
                <w:sz w:val="20"/>
                <w:szCs w:val="20"/>
              </w:rPr>
            </w:pPr>
            <w:r w:rsidRPr="007E69DF">
              <w:rPr>
                <w:rFonts w:cstheme="minorHAnsi"/>
                <w:color w:val="000000"/>
                <w:sz w:val="20"/>
                <w:szCs w:val="20"/>
              </w:rPr>
              <w:t>Tobramycin</w:t>
            </w:r>
          </w:p>
        </w:tc>
        <w:tc>
          <w:tcPr>
            <w:tcW w:w="1247" w:type="dxa"/>
            <w:shd w:val="clear" w:color="auto" w:fill="auto"/>
          </w:tcPr>
          <w:p w14:paraId="5F411A34" w14:textId="72D779FC" w:rsidR="00E34104" w:rsidRPr="007E69DF" w:rsidRDefault="00E34104" w:rsidP="00E34104">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185</w:t>
            </w:r>
          </w:p>
        </w:tc>
        <w:tc>
          <w:tcPr>
            <w:tcW w:w="1247" w:type="dxa"/>
            <w:tcBorders>
              <w:right w:val="single" w:sz="4" w:space="0" w:color="808080" w:themeColor="background1" w:themeShade="80"/>
            </w:tcBorders>
            <w:shd w:val="clear" w:color="auto" w:fill="auto"/>
          </w:tcPr>
          <w:p w14:paraId="5F971AD9" w14:textId="702B0477" w:rsidR="00E34104" w:rsidRPr="007E69DF" w:rsidRDefault="00E34104" w:rsidP="00E34104">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5.5%</w:t>
            </w:r>
          </w:p>
        </w:tc>
        <w:tc>
          <w:tcPr>
            <w:tcW w:w="1247" w:type="dxa"/>
            <w:tcBorders>
              <w:left w:val="single" w:sz="4" w:space="0" w:color="808080" w:themeColor="background1" w:themeShade="80"/>
            </w:tcBorders>
            <w:shd w:val="clear" w:color="auto" w:fill="auto"/>
          </w:tcPr>
          <w:p w14:paraId="42EDEE7E" w14:textId="446DD6B7" w:rsidR="00E34104" w:rsidRPr="007E69DF" w:rsidRDefault="00E34104" w:rsidP="00E34104">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1,677</w:t>
            </w:r>
          </w:p>
        </w:tc>
        <w:tc>
          <w:tcPr>
            <w:tcW w:w="1247" w:type="dxa"/>
            <w:tcBorders>
              <w:right w:val="nil"/>
            </w:tcBorders>
            <w:shd w:val="clear" w:color="auto" w:fill="auto"/>
          </w:tcPr>
          <w:p w14:paraId="3CE334AF" w14:textId="7476758C" w:rsidR="00E34104" w:rsidRPr="007E69DF" w:rsidRDefault="003675B0" w:rsidP="00E34104">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2.7</w:t>
            </w:r>
            <w:r w:rsidR="00E34104" w:rsidRPr="007E69DF">
              <w:rPr>
                <w:rFonts w:cstheme="minorHAnsi"/>
                <w:color w:val="000000"/>
                <w:sz w:val="20"/>
                <w:szCs w:val="20"/>
              </w:rPr>
              <w:t>%</w:t>
            </w:r>
          </w:p>
        </w:tc>
      </w:tr>
      <w:tr w:rsidR="00E34104" w:rsidRPr="007E69DF" w14:paraId="7B2712DE"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E415FAA" w14:textId="31B312E8" w:rsidR="00E34104" w:rsidRPr="007E69DF" w:rsidRDefault="00006C17" w:rsidP="00E34104">
            <w:pPr>
              <w:spacing w:before="0" w:after="0"/>
              <w:rPr>
                <w:rFonts w:cstheme="minorHAnsi"/>
                <w:sz w:val="20"/>
                <w:szCs w:val="20"/>
              </w:rPr>
            </w:pPr>
            <w:r w:rsidRPr="007E69DF">
              <w:rPr>
                <w:rFonts w:cstheme="minorHAnsi"/>
                <w:color w:val="000000"/>
                <w:sz w:val="20"/>
                <w:szCs w:val="20"/>
              </w:rPr>
              <w:t>Benzylpenicillin</w:t>
            </w:r>
          </w:p>
        </w:tc>
        <w:tc>
          <w:tcPr>
            <w:tcW w:w="1247" w:type="dxa"/>
            <w:shd w:val="clear" w:color="auto" w:fill="auto"/>
          </w:tcPr>
          <w:p w14:paraId="4CFFB421" w14:textId="06EBF5CF" w:rsidR="00E34104" w:rsidRPr="007E69DF" w:rsidRDefault="00E34104" w:rsidP="00E34104">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70</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08AE38BF" w14:textId="6D2E0068" w:rsidR="00E34104" w:rsidRPr="007E69DF" w:rsidRDefault="00E34104" w:rsidP="00E34104">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2.1%</w:t>
            </w:r>
          </w:p>
        </w:tc>
        <w:tc>
          <w:tcPr>
            <w:tcW w:w="1247" w:type="dxa"/>
            <w:tcBorders>
              <w:left w:val="single" w:sz="4" w:space="0" w:color="808080" w:themeColor="background1" w:themeShade="80"/>
            </w:tcBorders>
            <w:shd w:val="clear" w:color="auto" w:fill="auto"/>
          </w:tcPr>
          <w:p w14:paraId="1EC3BA4D" w14:textId="6604C3F6" w:rsidR="00E34104" w:rsidRPr="007E69DF" w:rsidRDefault="00E34104" w:rsidP="00E34104">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4,369</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55CED751" w14:textId="5C51F357" w:rsidR="00E34104" w:rsidRPr="007E69DF" w:rsidRDefault="003675B0" w:rsidP="00E34104">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7</w:t>
            </w:r>
            <w:r w:rsidR="00E34104" w:rsidRPr="007E69DF">
              <w:rPr>
                <w:rFonts w:cstheme="minorHAnsi"/>
                <w:color w:val="000000"/>
                <w:sz w:val="20"/>
                <w:szCs w:val="20"/>
              </w:rPr>
              <w:t>%</w:t>
            </w:r>
          </w:p>
        </w:tc>
      </w:tr>
      <w:tr w:rsidR="00E34104" w:rsidRPr="007E69DF" w14:paraId="311B4A81" w14:textId="77777777" w:rsidTr="00BB06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50BC3B0" w14:textId="06A238D2" w:rsidR="00E34104" w:rsidRPr="007E69DF" w:rsidRDefault="00E34104" w:rsidP="00E34104">
            <w:pPr>
              <w:spacing w:before="0" w:after="0"/>
              <w:rPr>
                <w:rFonts w:cstheme="minorHAnsi"/>
                <w:color w:val="000000"/>
                <w:sz w:val="20"/>
                <w:szCs w:val="20"/>
              </w:rPr>
            </w:pPr>
            <w:r w:rsidRPr="007E69DF">
              <w:rPr>
                <w:rFonts w:cstheme="minorHAnsi"/>
                <w:color w:val="000000"/>
                <w:sz w:val="20"/>
                <w:szCs w:val="20"/>
              </w:rPr>
              <w:t>Flucloxacillin</w:t>
            </w:r>
          </w:p>
        </w:tc>
        <w:tc>
          <w:tcPr>
            <w:tcW w:w="1247" w:type="dxa"/>
            <w:shd w:val="clear" w:color="auto" w:fill="auto"/>
          </w:tcPr>
          <w:p w14:paraId="4F5F0649" w14:textId="6660094D" w:rsidR="00E34104" w:rsidRPr="007E69DF" w:rsidRDefault="00E34104" w:rsidP="00E34104">
            <w:pPr>
              <w:spacing w:before="0" w:after="0"/>
              <w:ind w:right="168"/>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47</w:t>
            </w:r>
          </w:p>
        </w:tc>
        <w:tc>
          <w:tcPr>
            <w:tcW w:w="1247" w:type="dxa"/>
            <w:tcBorders>
              <w:right w:val="single" w:sz="4" w:space="0" w:color="808080" w:themeColor="background1" w:themeShade="80"/>
            </w:tcBorders>
            <w:shd w:val="clear" w:color="auto" w:fill="auto"/>
          </w:tcPr>
          <w:p w14:paraId="0B810613" w14:textId="7DAF4E80" w:rsidR="00E34104" w:rsidRPr="007E69DF" w:rsidRDefault="00E34104" w:rsidP="00E34104">
            <w:pPr>
              <w:spacing w:before="0" w:after="0"/>
              <w:ind w:right="206"/>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1.4%</w:t>
            </w:r>
          </w:p>
        </w:tc>
        <w:tc>
          <w:tcPr>
            <w:tcW w:w="1247" w:type="dxa"/>
            <w:tcBorders>
              <w:left w:val="single" w:sz="4" w:space="0" w:color="808080" w:themeColor="background1" w:themeShade="80"/>
            </w:tcBorders>
            <w:shd w:val="clear" w:color="auto" w:fill="auto"/>
          </w:tcPr>
          <w:p w14:paraId="6FD2BB6D" w14:textId="56FB0111" w:rsidR="00E34104" w:rsidRPr="007E69DF" w:rsidRDefault="00E34104" w:rsidP="00E34104">
            <w:pPr>
              <w:spacing w:before="0" w:after="0"/>
              <w:ind w:right="175"/>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1,879</w:t>
            </w:r>
          </w:p>
        </w:tc>
        <w:tc>
          <w:tcPr>
            <w:tcW w:w="1247" w:type="dxa"/>
            <w:tcBorders>
              <w:right w:val="nil"/>
            </w:tcBorders>
            <w:shd w:val="clear" w:color="auto" w:fill="auto"/>
          </w:tcPr>
          <w:p w14:paraId="026D2B1B" w14:textId="187CC07B" w:rsidR="00E34104" w:rsidRPr="007E69DF" w:rsidRDefault="003675B0" w:rsidP="00E34104">
            <w:pPr>
              <w:spacing w:before="0" w:after="0"/>
              <w:ind w:right="231"/>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w:t>
            </w:r>
            <w:r w:rsidR="00E34104" w:rsidRPr="007E69DF">
              <w:rPr>
                <w:rFonts w:cstheme="minorHAnsi"/>
                <w:color w:val="000000"/>
                <w:sz w:val="20"/>
                <w:szCs w:val="20"/>
              </w:rPr>
              <w:t>%</w:t>
            </w:r>
          </w:p>
        </w:tc>
      </w:tr>
      <w:tr w:rsidR="00E34104" w:rsidRPr="007E69DF" w14:paraId="61896A9E" w14:textId="77777777" w:rsidTr="00BB0640">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7F060A55" w14:textId="4B339205" w:rsidR="00E34104" w:rsidRPr="007E69DF" w:rsidRDefault="00E34104" w:rsidP="00E34104">
            <w:pPr>
              <w:spacing w:before="0" w:after="0"/>
              <w:rPr>
                <w:rFonts w:cstheme="minorHAnsi"/>
                <w:color w:val="000000"/>
                <w:sz w:val="20"/>
                <w:szCs w:val="20"/>
              </w:rPr>
            </w:pPr>
            <w:r w:rsidRPr="007E69DF">
              <w:rPr>
                <w:rFonts w:cstheme="minorHAnsi"/>
                <w:color w:val="000000"/>
                <w:sz w:val="20"/>
                <w:szCs w:val="20"/>
              </w:rPr>
              <w:t>Vancomycin</w:t>
            </w:r>
          </w:p>
        </w:tc>
        <w:tc>
          <w:tcPr>
            <w:tcW w:w="1247" w:type="dxa"/>
            <w:shd w:val="clear" w:color="auto" w:fill="auto"/>
          </w:tcPr>
          <w:p w14:paraId="25C75D0F" w14:textId="13A8C400" w:rsidR="00E34104" w:rsidRPr="007E69DF" w:rsidRDefault="00E34104" w:rsidP="00E34104">
            <w:pPr>
              <w:spacing w:before="0" w:after="0"/>
              <w:ind w:right="168"/>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36</w:t>
            </w:r>
          </w:p>
        </w:tc>
        <w:tc>
          <w:tcPr>
            <w:tcW w:w="1247" w:type="dxa"/>
            <w:tcBorders>
              <w:top w:val="single" w:sz="4" w:space="0" w:color="7F7F7F" w:themeColor="text1" w:themeTint="80"/>
              <w:bottom w:val="single" w:sz="4" w:space="0" w:color="7F7F7F" w:themeColor="text1" w:themeTint="80"/>
              <w:right w:val="single" w:sz="4" w:space="0" w:color="808080" w:themeColor="background1" w:themeShade="80"/>
            </w:tcBorders>
            <w:shd w:val="clear" w:color="auto" w:fill="auto"/>
          </w:tcPr>
          <w:p w14:paraId="6C49DDCA" w14:textId="781EAB3E" w:rsidR="00E34104" w:rsidRPr="007E69DF" w:rsidRDefault="00E34104" w:rsidP="00E34104">
            <w:pPr>
              <w:spacing w:before="0" w:after="0"/>
              <w:ind w:right="206"/>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1.1%</w:t>
            </w:r>
          </w:p>
        </w:tc>
        <w:tc>
          <w:tcPr>
            <w:tcW w:w="1247" w:type="dxa"/>
            <w:tcBorders>
              <w:left w:val="single" w:sz="4" w:space="0" w:color="808080" w:themeColor="background1" w:themeShade="80"/>
            </w:tcBorders>
            <w:shd w:val="clear" w:color="auto" w:fill="auto"/>
          </w:tcPr>
          <w:p w14:paraId="68CE8A50" w14:textId="318F57EB" w:rsidR="00E34104" w:rsidRPr="007E69DF" w:rsidRDefault="00E34104" w:rsidP="00E34104">
            <w:pPr>
              <w:spacing w:before="0" w:after="0"/>
              <w:ind w:right="175"/>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E69DF">
              <w:rPr>
                <w:rFonts w:cstheme="minorHAnsi"/>
                <w:color w:val="000000"/>
                <w:sz w:val="20"/>
                <w:szCs w:val="20"/>
              </w:rPr>
              <w:t>9,554</w:t>
            </w:r>
          </w:p>
        </w:tc>
        <w:tc>
          <w:tcPr>
            <w:tcW w:w="1247" w:type="dxa"/>
            <w:tcBorders>
              <w:top w:val="single" w:sz="4" w:space="0" w:color="7F7F7F" w:themeColor="text1" w:themeTint="80"/>
              <w:bottom w:val="single" w:sz="4" w:space="0" w:color="7F7F7F" w:themeColor="text1" w:themeTint="80"/>
              <w:right w:val="nil"/>
            </w:tcBorders>
            <w:shd w:val="clear" w:color="auto" w:fill="auto"/>
          </w:tcPr>
          <w:p w14:paraId="569D09AF" w14:textId="632CA53D" w:rsidR="00E34104" w:rsidRPr="007E69DF" w:rsidRDefault="003675B0" w:rsidP="00E34104">
            <w:pPr>
              <w:spacing w:before="0" w:after="0"/>
              <w:ind w:right="231"/>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15.3</w:t>
            </w:r>
            <w:r w:rsidR="00E34104" w:rsidRPr="007E69DF">
              <w:rPr>
                <w:rFonts w:cstheme="minorHAnsi"/>
                <w:color w:val="000000"/>
                <w:sz w:val="20"/>
                <w:szCs w:val="20"/>
              </w:rPr>
              <w:t>%</w:t>
            </w:r>
          </w:p>
        </w:tc>
      </w:tr>
    </w:tbl>
    <w:p w14:paraId="3AB91E45" w14:textId="77777777" w:rsidR="00296EF3" w:rsidRDefault="00296EF3" w:rsidP="00296EF3">
      <w:pPr>
        <w:pStyle w:val="FigureTablefootnote"/>
        <w:spacing w:before="60"/>
      </w:pPr>
      <w:r w:rsidRPr="009D0B19">
        <w:t>PBS = Pharmaceutical Benefits Scheme; RPBS = Repatriation Pharmaceutical Benefits Scheme</w:t>
      </w:r>
    </w:p>
    <w:p w14:paraId="0BF5AE10" w14:textId="5382151D" w:rsidR="00296EF3" w:rsidRDefault="00296EF3" w:rsidP="00296EF3">
      <w:pPr>
        <w:pStyle w:val="FigureTablefootnote"/>
        <w:rPr>
          <w:rStyle w:val="FigureTablefootnoteChar"/>
        </w:rPr>
      </w:pPr>
      <w:r>
        <w:rPr>
          <w:rStyle w:val="FigureTablefootnoteChar"/>
        </w:rPr>
        <w:t>Note: Percentage of antimicrobials listed.</w:t>
      </w:r>
    </w:p>
    <w:p w14:paraId="60033D36" w14:textId="268BDD36" w:rsidR="009B60AC" w:rsidRDefault="00296EF3" w:rsidP="009B60AC">
      <w:pPr>
        <w:pStyle w:val="FigureTablefootnote"/>
      </w:pPr>
      <w:r w:rsidRPr="009D0B19">
        <w:t>Source: Gadzhanova, Roughead</w:t>
      </w:r>
      <w:r w:rsidRPr="009D0B19">
        <w:fldChar w:fldCharType="begin"/>
      </w:r>
      <w:r w:rsidR="00C43D56">
        <w:instrText xml:space="preserve"> ADDIN EN.CITE &lt;EndNote&gt;&lt;Cite&gt;&lt;Author&gt;Gadzhanova S&lt;/Author&gt;&lt;RecNum&gt;533&lt;/RecNum&gt;&lt;DisplayText&gt;&lt;style face="superscript"&gt;40&lt;/style&gt;&lt;/DisplayText&gt;&lt;record&gt;&lt;rec-number&gt;533&lt;/rec-number&gt;&lt;foreign-keys&gt;&lt;key app="EN" db-id="0a9sasvr7dwawyeva9qpw09xaap9erv5ad5e" timestamp="1718153570"&gt;533&lt;/key&gt;&lt;/foreign-keys&gt;&lt;ref-type name="Government Document"&gt;46&lt;/ref-type&gt;&lt;contributors&gt;&lt;authors&gt;&lt;author&gt;Gadzhanova S, &lt;/author&gt;&lt;author&gt;Roughead E,&lt;/author&gt;&lt;/authors&gt;&lt;/contributors&gt;&lt;titles&gt;&lt;title&gt;Analysis of 2021–2023 PBS and RPBS data for the National Report on Antimicrobial Use and Resistance with a special focus on aged care (unpublished)&lt;/title&gt;&lt;/titles&gt;&lt;dates&gt;&lt;/dates&gt;&lt;urls&gt;&lt;/urls&gt;&lt;/record&gt;&lt;/Cite&gt;&lt;/EndNote&gt;</w:instrText>
      </w:r>
      <w:r w:rsidRPr="009D0B19">
        <w:fldChar w:fldCharType="separate"/>
      </w:r>
      <w:r w:rsidR="00577C74" w:rsidRPr="00577C74">
        <w:rPr>
          <w:noProof/>
          <w:vertAlign w:val="superscript"/>
        </w:rPr>
        <w:t>40</w:t>
      </w:r>
      <w:r w:rsidRPr="009D0B19">
        <w:fldChar w:fldCharType="end"/>
      </w:r>
      <w:r w:rsidR="009B60AC">
        <w:br w:type="page"/>
      </w:r>
    </w:p>
    <w:p w14:paraId="1D046B1F" w14:textId="205EC4A6" w:rsidR="00B573F2" w:rsidRPr="00DB1EE0" w:rsidRDefault="00B573F2" w:rsidP="00B573F2">
      <w:pPr>
        <w:pStyle w:val="Heading3"/>
        <w:rPr>
          <w:color w:val="005370"/>
        </w:rPr>
      </w:pPr>
      <w:bookmarkStart w:id="44" w:name="_Toc121826736"/>
      <w:bookmarkStart w:id="45" w:name="_Toc173763623"/>
      <w:bookmarkEnd w:id="43"/>
      <w:r w:rsidRPr="00DB1EE0">
        <w:rPr>
          <w:color w:val="005370"/>
        </w:rPr>
        <w:lastRenderedPageBreak/>
        <w:t>International comparison</w:t>
      </w:r>
      <w:bookmarkEnd w:id="44"/>
      <w:bookmarkEnd w:id="45"/>
    </w:p>
    <w:p w14:paraId="6333247D" w14:textId="2B48EAB5" w:rsidR="00D90495" w:rsidRPr="00D004F9" w:rsidRDefault="00D90495" w:rsidP="00A12A3C">
      <w:pPr>
        <w:ind w:right="-143"/>
        <w:rPr>
          <w:rFonts w:cstheme="minorHAnsi"/>
        </w:rPr>
      </w:pPr>
      <w:bookmarkStart w:id="46" w:name="_Hlk104286456"/>
      <w:r w:rsidRPr="00D004F9">
        <w:rPr>
          <w:rFonts w:cstheme="minorHAnsi"/>
        </w:rPr>
        <w:t>Australia is estimated to have consistently high antimicrobial prescribing rates relative to most other countries in the Organisation for Economic Co-operation and Development (OECD).</w:t>
      </w:r>
      <w:r w:rsidRPr="00D004F9">
        <w:rPr>
          <w:rFonts w:cstheme="minorHAnsi"/>
        </w:rPr>
        <w:fldChar w:fldCharType="begin"/>
      </w:r>
      <w:r w:rsidR="00C43D56">
        <w:rPr>
          <w:rFonts w:cstheme="minorHAnsi"/>
        </w:rPr>
        <w:instrText xml:space="preserve"> ADDIN EN.CITE &lt;EndNote&gt;&lt;Cite&gt;&lt;Author&gt;Organisation for Economic Co-operation and Development&lt;/Author&gt;&lt;Year&gt;2023&lt;/Year&gt;&lt;RecNum&gt;97&lt;/RecNum&gt;&lt;DisplayText&gt;&lt;style face="superscript"&gt;42, 43&lt;/style&gt;&lt;/DisplayText&gt;&lt;record&gt;&lt;rec-number&gt;97&lt;/rec-number&gt;&lt;foreign-keys&gt;&lt;key app="EN" db-id="0a9sasvr7dwawyeva9qpw09xaap9erv5ad5e" timestamp="1707456315"&gt;97&lt;/key&gt;&lt;/foreign-keys&gt;&lt;ref-type name="Dataset"&gt;59&lt;/ref-type&gt;&lt;contributors&gt;&lt;authors&gt;&lt;author&gt;Organisation for Economic Co-operation and Development,&lt;/author&gt;&lt;/authors&gt;&lt;/contributors&gt;&lt;titles&gt;&lt;title&gt;OECD Health Statistics 2023&lt;/title&gt;&lt;/titles&gt;&lt;dates&gt;&lt;year&gt;2023&lt;/year&gt;&lt;/dates&gt;&lt;pub-location&gt;Paris&lt;/pub-location&gt;&lt;publisher&gt;OECD&lt;/publisher&gt;&lt;urls&gt;&lt;/urls&gt;&lt;/record&gt;&lt;/Cite&gt;&lt;Cite&gt;&lt;Author&gt;Organisation for Economic Co-operation and Development (OECD)&lt;/Author&gt;&lt;Year&gt;2022&lt;/Year&gt;&lt;RecNum&gt;98&lt;/RecNum&gt;&lt;record&gt;&lt;rec-number&gt;98&lt;/rec-number&gt;&lt;foreign-keys&gt;&lt;key app="EN" db-id="0a9sasvr7dwawyeva9qpw09xaap9erv5ad5e" timestamp="1707456316"&gt;98&lt;/key&gt;&lt;/foreign-keys&gt;&lt;ref-type name="Web Page"&gt;12&lt;/ref-type&gt;&lt;contributors&gt;&lt;authors&gt;&lt;author&gt;Organisation for Economic Co-operation and Development (OECD),&lt;/author&gt;&lt;/authors&gt;&lt;/contributors&gt;&lt;titles&gt;&lt;title&gt;Antimicrobial Resistance in the EU/EEA: A One Health Response&lt;/title&gt;&lt;/titles&gt;&lt;number&gt;Feb 2024&lt;/number&gt;&lt;dates&gt;&lt;year&gt;2022&lt;/year&gt;&lt;/dates&gt;&lt;pub-location&gt;Paris&lt;/pub-location&gt;&lt;publisher&gt;OECD&lt;/publisher&gt;&lt;urls&gt;&lt;related-urls&gt;&lt;url&gt;https://www.ecdc.europa.eu/en/publications-data/antimicrobial-resistance-eueea-one-health-response&lt;/url&gt;&lt;/related-urls&gt;&lt;/urls&gt;&lt;/record&gt;&lt;/Cite&gt;&lt;/EndNote&gt;</w:instrText>
      </w:r>
      <w:r w:rsidRPr="00D004F9">
        <w:rPr>
          <w:rFonts w:cstheme="minorHAnsi"/>
        </w:rPr>
        <w:fldChar w:fldCharType="separate"/>
      </w:r>
      <w:r w:rsidR="00C43D56" w:rsidRPr="00C43D56">
        <w:rPr>
          <w:rFonts w:cstheme="minorHAnsi"/>
          <w:noProof/>
          <w:vertAlign w:val="superscript"/>
        </w:rPr>
        <w:t>42,43</w:t>
      </w:r>
      <w:r w:rsidRPr="00D004F9">
        <w:rPr>
          <w:rFonts w:cstheme="minorHAnsi"/>
        </w:rPr>
        <w:fldChar w:fldCharType="end"/>
      </w:r>
      <w:r w:rsidR="00196F6C" w:rsidRPr="00D004F9">
        <w:rPr>
          <w:rFonts w:cstheme="minorHAnsi"/>
        </w:rPr>
        <w:t xml:space="preserve"> </w:t>
      </w:r>
      <w:r w:rsidR="00D004F9">
        <w:rPr>
          <w:rFonts w:cstheme="minorHAnsi"/>
        </w:rPr>
        <w:t>M</w:t>
      </w:r>
      <w:r w:rsidRPr="00D004F9">
        <w:rPr>
          <w:rFonts w:cstheme="minorHAnsi"/>
        </w:rPr>
        <w:t xml:space="preserve">any countries, including Australia, Canada, the United States, New Zealand and European countries reported </w:t>
      </w:r>
      <w:r w:rsidR="004C1EC6" w:rsidRPr="00D004F9">
        <w:rPr>
          <w:rFonts w:cstheme="minorHAnsi"/>
        </w:rPr>
        <w:t>substantial</w:t>
      </w:r>
      <w:r w:rsidR="007B5FD5" w:rsidRPr="00D004F9">
        <w:rPr>
          <w:rFonts w:cstheme="minorHAnsi"/>
        </w:rPr>
        <w:t xml:space="preserve"> reduction</w:t>
      </w:r>
      <w:r w:rsidR="004C1EC6" w:rsidRPr="00D004F9">
        <w:rPr>
          <w:rFonts w:cstheme="minorHAnsi"/>
        </w:rPr>
        <w:t>s</w:t>
      </w:r>
      <w:r w:rsidR="007B5FD5" w:rsidRPr="00D004F9">
        <w:rPr>
          <w:rFonts w:cstheme="minorHAnsi"/>
        </w:rPr>
        <w:t xml:space="preserve"> </w:t>
      </w:r>
      <w:r w:rsidR="009B3683" w:rsidRPr="00D004F9">
        <w:rPr>
          <w:rFonts w:cstheme="minorHAnsi"/>
        </w:rPr>
        <w:t>in</w:t>
      </w:r>
      <w:r w:rsidR="007B5FD5" w:rsidRPr="00D004F9">
        <w:rPr>
          <w:rFonts w:cstheme="minorHAnsi"/>
        </w:rPr>
        <w:t xml:space="preserve"> </w:t>
      </w:r>
      <w:r w:rsidRPr="00D004F9">
        <w:rPr>
          <w:rFonts w:cstheme="minorHAnsi"/>
        </w:rPr>
        <w:t>antimicrobial use during the COVID-19 pandemic.</w:t>
      </w:r>
      <w:r w:rsidRPr="00D004F9">
        <w:rPr>
          <w:rFonts w:cstheme="minorHAnsi"/>
        </w:rPr>
        <w:fldChar w:fldCharType="begin">
          <w:fldData xml:space="preserve">PEVuZE5vdGU+PENpdGU+PEF1dGhvcj5OUFMgTWVkaWNpbmVXaXNlPC9BdXRob3I+PFllYXI+MjAy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</w:fldData>
        </w:fldChar>
      </w:r>
      <w:r w:rsidR="00C43D56">
        <w:rPr>
          <w:rFonts w:cstheme="minorHAnsi"/>
        </w:rPr>
        <w:instrText xml:space="preserve"> ADDIN EN.CITE </w:instrText>
      </w:r>
      <w:r w:rsidR="00C43D56">
        <w:rPr>
          <w:rFonts w:cstheme="minorHAnsi"/>
        </w:rPr>
        <w:fldChar w:fldCharType="begin">
          <w:fldData xml:space="preserve">PEVuZE5vdGU+PENpdGU+PEF1dGhvcj5OUFMgTWVkaWNpbmVXaXNlPC9BdXRob3I+PFllYXI+MjAy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</w:fldData>
        </w:fldChar>
      </w:r>
      <w:r w:rsidR="00C43D56">
        <w:rPr>
          <w:rFonts w:cstheme="minorHAnsi"/>
        </w:rPr>
        <w:instrText xml:space="preserve"> ADDIN EN.CITE.DATA </w:instrText>
      </w:r>
      <w:r w:rsidR="00C43D56">
        <w:rPr>
          <w:rFonts w:cstheme="minorHAnsi"/>
        </w:rPr>
      </w:r>
      <w:r w:rsidR="00C43D56">
        <w:rPr>
          <w:rFonts w:cstheme="minorHAnsi"/>
        </w:rPr>
        <w:fldChar w:fldCharType="end"/>
      </w:r>
      <w:r w:rsidRPr="00D004F9">
        <w:rPr>
          <w:rFonts w:cstheme="minorHAnsi"/>
        </w:rPr>
      </w:r>
      <w:r w:rsidRPr="00D004F9">
        <w:rPr>
          <w:rFonts w:cstheme="minorHAnsi"/>
        </w:rPr>
        <w:fldChar w:fldCharType="separate"/>
      </w:r>
      <w:r w:rsidR="00C43D56" w:rsidRPr="00C43D56">
        <w:rPr>
          <w:rFonts w:cstheme="minorHAnsi"/>
          <w:noProof/>
          <w:vertAlign w:val="superscript"/>
        </w:rPr>
        <w:t>18,44-48</w:t>
      </w:r>
      <w:r w:rsidRPr="00D004F9">
        <w:rPr>
          <w:rFonts w:cstheme="minorHAnsi"/>
        </w:rPr>
        <w:fldChar w:fldCharType="end"/>
      </w:r>
    </w:p>
    <w:bookmarkEnd w:id="46"/>
    <w:p w14:paraId="10B6CF78" w14:textId="56135108" w:rsidR="007156B3" w:rsidRDefault="00366963" w:rsidP="007156B3">
      <w:pPr>
        <w:rPr>
          <w:rFonts w:cstheme="minorHAnsi"/>
        </w:rPr>
      </w:pPr>
      <w:r w:rsidRPr="00D004F9">
        <w:rPr>
          <w:rFonts w:cstheme="minorHAnsi"/>
        </w:rPr>
        <w:t>Australia</w:t>
      </w:r>
      <w:r w:rsidR="005711DB" w:rsidRPr="00D004F9">
        <w:rPr>
          <w:rFonts w:cstheme="minorHAnsi"/>
        </w:rPr>
        <w:t>’s</w:t>
      </w:r>
      <w:r w:rsidRPr="00D004F9">
        <w:rPr>
          <w:rFonts w:cstheme="minorHAnsi"/>
        </w:rPr>
        <w:t xml:space="preserve"> use of antimicrobials in the community </w:t>
      </w:r>
      <w:r w:rsidR="001904E1" w:rsidRPr="00D004F9">
        <w:rPr>
          <w:rFonts w:cstheme="minorHAnsi"/>
        </w:rPr>
        <w:t>increased from 15.9</w:t>
      </w:r>
      <w:r w:rsidR="00B84707" w:rsidRPr="00D004F9">
        <w:rPr>
          <w:rFonts w:cstheme="minorHAnsi"/>
        </w:rPr>
        <w:t> </w:t>
      </w:r>
      <w:r w:rsidR="001904E1" w:rsidRPr="00D004F9">
        <w:rPr>
          <w:rFonts w:cstheme="minorHAnsi"/>
        </w:rPr>
        <w:t>to 16.8</w:t>
      </w:r>
      <w:r w:rsidR="00E467BE" w:rsidRPr="00D004F9">
        <w:rPr>
          <w:rFonts w:cstheme="minorHAnsi"/>
        </w:rPr>
        <w:t> </w:t>
      </w:r>
      <w:r w:rsidR="001904E1" w:rsidRPr="00D004F9">
        <w:rPr>
          <w:rFonts w:cstheme="minorHAnsi"/>
        </w:rPr>
        <w:t>DDD</w:t>
      </w:r>
      <w:r w:rsidR="00C150B5" w:rsidRPr="00D004F9">
        <w:rPr>
          <w:rFonts w:cstheme="minorHAnsi"/>
        </w:rPr>
        <w:t xml:space="preserve"> </w:t>
      </w:r>
      <w:r w:rsidR="00DA65F2" w:rsidRPr="00D004F9">
        <w:rPr>
          <w:rFonts w:cstheme="minorHAnsi"/>
        </w:rPr>
        <w:t xml:space="preserve">per </w:t>
      </w:r>
      <w:r w:rsidR="001904E1" w:rsidRPr="00D004F9">
        <w:rPr>
          <w:rFonts w:cstheme="minorHAnsi"/>
        </w:rPr>
        <w:t>1,000 people</w:t>
      </w:r>
      <w:r w:rsidR="00DA65F2" w:rsidRPr="00D004F9">
        <w:rPr>
          <w:rFonts w:cstheme="minorHAnsi"/>
        </w:rPr>
        <w:t xml:space="preserve"> per </w:t>
      </w:r>
      <w:r w:rsidR="001904E1" w:rsidRPr="00D004F9">
        <w:rPr>
          <w:rFonts w:cstheme="minorHAnsi"/>
        </w:rPr>
        <w:t>day</w:t>
      </w:r>
      <w:r w:rsidR="004C1EC6" w:rsidRPr="00D004F9">
        <w:rPr>
          <w:rFonts w:cstheme="minorHAnsi"/>
        </w:rPr>
        <w:t xml:space="preserve"> </w:t>
      </w:r>
      <w:r w:rsidR="002D2720" w:rsidRPr="00D004F9">
        <w:rPr>
          <w:rFonts w:cstheme="minorHAnsi"/>
        </w:rPr>
        <w:t>from</w:t>
      </w:r>
      <w:r w:rsidR="004C1EC6" w:rsidRPr="00D004F9">
        <w:rPr>
          <w:rFonts w:cstheme="minorHAnsi"/>
        </w:rPr>
        <w:t xml:space="preserve"> 2021 to 2022</w:t>
      </w:r>
      <w:r w:rsidR="00E467BE" w:rsidRPr="00D004F9">
        <w:rPr>
          <w:rFonts w:cstheme="minorHAnsi"/>
        </w:rPr>
        <w:t>.</w:t>
      </w:r>
      <w:r w:rsidR="0039216A">
        <w:rPr>
          <w:rFonts w:cstheme="minorHAnsi"/>
          <w:noProof/>
          <w:vertAlign w:val="superscript"/>
        </w:rPr>
        <w:fldChar w:fldCharType="begin"/>
      </w:r>
      <w:r w:rsidR="00214844">
        <w:rPr>
          <w:rFonts w:cstheme="minorHAnsi"/>
          <w:noProof/>
          <w:vertAlign w:val="superscript"/>
        </w:rPr>
        <w:instrText xml:space="preserve"> ADDIN EN.CITE &lt;EndNote&gt;&lt;Cite ExcludeYear="1"&gt;&lt;Author&gt;Gadzhanova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0039216A">
        <w:rPr>
          <w:rFonts w:cstheme="minorHAnsi"/>
          <w:noProof/>
          <w:vertAlign w:val="superscript"/>
        </w:rPr>
        <w:fldChar w:fldCharType="separate"/>
      </w:r>
      <w:r w:rsidR="0039216A">
        <w:rPr>
          <w:rFonts w:cstheme="minorHAnsi"/>
          <w:noProof/>
          <w:vertAlign w:val="superscript"/>
        </w:rPr>
        <w:t>19</w:t>
      </w:r>
      <w:r w:rsidR="0039216A">
        <w:rPr>
          <w:rFonts w:cstheme="minorHAnsi"/>
          <w:noProof/>
          <w:vertAlign w:val="superscript"/>
        </w:rPr>
        <w:fldChar w:fldCharType="end"/>
      </w:r>
      <w:r w:rsidR="00E467BE" w:rsidRPr="00D004F9">
        <w:rPr>
          <w:rFonts w:cstheme="minorHAnsi"/>
        </w:rPr>
        <w:t xml:space="preserve"> </w:t>
      </w:r>
      <w:r w:rsidR="004C1EC6" w:rsidRPr="00D004F9">
        <w:rPr>
          <w:rFonts w:cstheme="minorHAnsi"/>
        </w:rPr>
        <w:t xml:space="preserve">This </w:t>
      </w:r>
      <w:r w:rsidR="009B3683" w:rsidRPr="00D004F9">
        <w:rPr>
          <w:rFonts w:cstheme="minorHAnsi"/>
        </w:rPr>
        <w:t xml:space="preserve">upward </w:t>
      </w:r>
      <w:r w:rsidR="004C1EC6" w:rsidRPr="00D004F9">
        <w:rPr>
          <w:rFonts w:cstheme="minorHAnsi"/>
        </w:rPr>
        <w:t>trend was also reported by European countries, England and Scotland.</w:t>
      </w:r>
      <w:r w:rsidR="000612E0" w:rsidRPr="00D004F9">
        <w:rPr>
          <w:rFonts w:cstheme="minorHAnsi"/>
        </w:rPr>
        <w:fldChar w:fldCharType="begin">
          <w:fldData xml:space="preserve">PEVuZE5vdGU+PENpdGU+PEF1dGhvcj5FdXJvcGVhbiBDZW50cmUgZm9yIERpc2Vhc2UgQ29udHJv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</w:fldData>
        </w:fldChar>
      </w:r>
      <w:r w:rsidR="00577C74">
        <w:rPr>
          <w:rFonts w:cstheme="minorHAnsi"/>
        </w:rPr>
        <w:instrText xml:space="preserve"> ADDIN EN.CITE </w:instrText>
      </w:r>
      <w:r w:rsidR="00577C74">
        <w:rPr>
          <w:rFonts w:cstheme="minorHAnsi"/>
        </w:rPr>
        <w:fldChar w:fldCharType="begin">
          <w:fldData xml:space="preserve">PEVuZE5vdGU+PENpdGU+PEF1dGhvcj5FdXJvcGVhbiBDZW50cmUgZm9yIERpc2Vhc2UgQ29udHJv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</w:fldData>
        </w:fldChar>
      </w:r>
      <w:r w:rsidR="00577C74">
        <w:rPr>
          <w:rFonts w:cstheme="minorHAnsi"/>
        </w:rPr>
        <w:instrText xml:space="preserve"> ADDIN EN.CITE.DATA </w:instrText>
      </w:r>
      <w:r w:rsidR="00577C74">
        <w:rPr>
          <w:rFonts w:cstheme="minorHAnsi"/>
        </w:rPr>
      </w:r>
      <w:r w:rsidR="00577C74">
        <w:rPr>
          <w:rFonts w:cstheme="minorHAnsi"/>
        </w:rPr>
        <w:fldChar w:fldCharType="end"/>
      </w:r>
      <w:r w:rsidR="000612E0" w:rsidRPr="00D004F9">
        <w:rPr>
          <w:rFonts w:cstheme="minorHAnsi"/>
        </w:rPr>
      </w:r>
      <w:r w:rsidR="000612E0" w:rsidRPr="00D004F9">
        <w:rPr>
          <w:rFonts w:cstheme="minorHAnsi"/>
        </w:rPr>
        <w:fldChar w:fldCharType="separate"/>
      </w:r>
      <w:r w:rsidR="00577C74" w:rsidRPr="00577C74">
        <w:rPr>
          <w:rFonts w:cstheme="minorHAnsi"/>
          <w:noProof/>
          <w:vertAlign w:val="superscript"/>
        </w:rPr>
        <w:t>49-51</w:t>
      </w:r>
      <w:r w:rsidR="000612E0" w:rsidRPr="00D004F9">
        <w:rPr>
          <w:rFonts w:cstheme="minorHAnsi"/>
        </w:rPr>
        <w:fldChar w:fldCharType="end"/>
      </w:r>
      <w:r w:rsidR="004C1EC6" w:rsidRPr="00D004F9">
        <w:rPr>
          <w:rFonts w:cstheme="minorHAnsi"/>
        </w:rPr>
        <w:t xml:space="preserve"> In comparison to these countries, </w:t>
      </w:r>
      <w:r w:rsidR="00C305B0" w:rsidRPr="00D004F9">
        <w:rPr>
          <w:rFonts w:cstheme="minorHAnsi"/>
        </w:rPr>
        <w:t xml:space="preserve">Australia ranked </w:t>
      </w:r>
      <w:r w:rsidR="00A255A8" w:rsidRPr="00D004F9">
        <w:rPr>
          <w:rFonts w:cstheme="minorHAnsi"/>
        </w:rPr>
        <w:t xml:space="preserve">in the middle for community antimicrobial use in 2022. </w:t>
      </w:r>
      <w:r w:rsidR="00995DBD" w:rsidRPr="00D004F9">
        <w:rPr>
          <w:rFonts w:cstheme="minorHAnsi"/>
        </w:rPr>
        <w:t xml:space="preserve">However, use </w:t>
      </w:r>
      <w:r w:rsidR="009B3683" w:rsidRPr="00D004F9">
        <w:rPr>
          <w:rFonts w:cstheme="minorHAnsi"/>
        </w:rPr>
        <w:t>wa</w:t>
      </w:r>
      <w:r w:rsidR="00995DBD" w:rsidRPr="00D004F9">
        <w:rPr>
          <w:rFonts w:cstheme="minorHAnsi"/>
        </w:rPr>
        <w:t xml:space="preserve">s more than double that reported </w:t>
      </w:r>
      <w:r w:rsidR="009B3683" w:rsidRPr="00D004F9">
        <w:rPr>
          <w:rFonts w:cstheme="minorHAnsi"/>
        </w:rPr>
        <w:t>for</w:t>
      </w:r>
      <w:r w:rsidR="00995DBD" w:rsidRPr="00D004F9">
        <w:rPr>
          <w:rFonts w:cstheme="minorHAnsi"/>
        </w:rPr>
        <w:t xml:space="preserve"> the Netherlands</w:t>
      </w:r>
      <w:r w:rsidR="00196F6C" w:rsidRPr="00D004F9">
        <w:rPr>
          <w:rFonts w:cstheme="minorHAnsi"/>
        </w:rPr>
        <w:t xml:space="preserve"> (Figure 15)</w:t>
      </w:r>
      <w:r w:rsidR="00995DBD" w:rsidRPr="00D004F9">
        <w:rPr>
          <w:rFonts w:cstheme="minorHAnsi"/>
        </w:rPr>
        <w:t>.</w:t>
      </w:r>
    </w:p>
    <w:p w14:paraId="1245290A" w14:textId="37AFC553" w:rsidR="006D0186" w:rsidRPr="00D004F9" w:rsidRDefault="006D0186" w:rsidP="007156B3">
      <w:pPr>
        <w:rPr>
          <w:rFonts w:cstheme="minorHAnsi"/>
        </w:rPr>
      </w:pPr>
      <w:r>
        <w:rPr>
          <w:rFonts w:cstheme="minorHAnsi"/>
        </w:rPr>
        <w:t>From 2022 to 2023, Australia’s use of antimicrobials remained consistent at 16.8 DDD per 1,000</w:t>
      </w:r>
      <w:r w:rsidR="00D922C1">
        <w:rPr>
          <w:rFonts w:cstheme="minorHAnsi"/>
        </w:rPr>
        <w:t> </w:t>
      </w:r>
      <w:r>
        <w:rPr>
          <w:rFonts w:cstheme="minorHAnsi"/>
        </w:rPr>
        <w:t>people per day.</w:t>
      </w:r>
      <w:r w:rsidR="0039216A">
        <w:rPr>
          <w:rFonts w:cstheme="minorHAnsi"/>
        </w:rPr>
        <w:fldChar w:fldCharType="begin"/>
      </w:r>
      <w:r w:rsidR="00214844">
        <w:rPr>
          <w:rFonts w:cstheme="minorHAnsi"/>
        </w:rPr>
        <w:instrText xml:space="preserve"> ADDIN EN.CITE &lt;EndNote&gt;&lt;Cite ExcludeYear="1"&gt;&lt;Author&gt;Gadzhanova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0039216A">
        <w:rPr>
          <w:rFonts w:cstheme="minorHAnsi"/>
        </w:rPr>
        <w:fldChar w:fldCharType="separate"/>
      </w:r>
      <w:r w:rsidR="0039216A" w:rsidRPr="0039216A">
        <w:rPr>
          <w:rFonts w:cstheme="minorHAnsi"/>
          <w:noProof/>
          <w:vertAlign w:val="superscript"/>
        </w:rPr>
        <w:t>19</w:t>
      </w:r>
      <w:r w:rsidR="0039216A">
        <w:rPr>
          <w:rFonts w:cstheme="minorHAnsi"/>
        </w:rPr>
        <w:fldChar w:fldCharType="end"/>
      </w:r>
      <w:r>
        <w:rPr>
          <w:rFonts w:cstheme="minorHAnsi"/>
        </w:rPr>
        <w:t xml:space="preserve"> </w:t>
      </w:r>
      <w:r w:rsidR="00C33872">
        <w:t>Complete international data for 2023 were not available for comparison</w:t>
      </w:r>
      <w:r w:rsidR="00130977">
        <w:t xml:space="preserve"> in this report</w:t>
      </w:r>
      <w:r w:rsidR="00C33872">
        <w:t>.</w:t>
      </w:r>
    </w:p>
    <w:p w14:paraId="5DD5D83E" w14:textId="61A9ADE6" w:rsidR="00B573F2" w:rsidRDefault="00B573F2" w:rsidP="009D0B19">
      <w:pPr>
        <w:pStyle w:val="FigureTableTitle"/>
        <w:spacing w:after="0"/>
        <w:rPr>
          <w:b w:val="0"/>
          <w:bCs/>
        </w:rPr>
      </w:pPr>
      <w:r w:rsidRPr="00AD5735">
        <w:t>Figure</w:t>
      </w:r>
      <w:r w:rsidR="002C5A54" w:rsidRPr="00AD5735">
        <w:t xml:space="preserve"> </w:t>
      </w:r>
      <w:r w:rsidR="000C5FF8" w:rsidRPr="00AD5735">
        <w:t>1</w:t>
      </w:r>
      <w:r w:rsidR="00F45FBA">
        <w:t>5</w:t>
      </w:r>
      <w:r w:rsidRPr="00AD5735">
        <w:t>:</w:t>
      </w:r>
      <w:r w:rsidRPr="00AD5735">
        <w:rPr>
          <w:b w:val="0"/>
          <w:bCs/>
        </w:rPr>
        <w:t xml:space="preserve"> Community antimicrobial use in Aus</w:t>
      </w:r>
      <w:r>
        <w:rPr>
          <w:b w:val="0"/>
          <w:bCs/>
        </w:rPr>
        <w:t xml:space="preserve">tralia, European countries, </w:t>
      </w:r>
      <w:proofErr w:type="gramStart"/>
      <w:r>
        <w:rPr>
          <w:b w:val="0"/>
          <w:bCs/>
        </w:rPr>
        <w:t>England</w:t>
      </w:r>
      <w:proofErr w:type="gramEnd"/>
      <w:r w:rsidR="009726DC">
        <w:rPr>
          <w:b w:val="0"/>
          <w:bCs/>
        </w:rPr>
        <w:t xml:space="preserve"> and</w:t>
      </w:r>
      <w:r>
        <w:rPr>
          <w:b w:val="0"/>
          <w:bCs/>
        </w:rPr>
        <w:t xml:space="preserve"> Scotland, 2022</w:t>
      </w:r>
    </w:p>
    <w:p w14:paraId="5F116778" w14:textId="6E30941E" w:rsidR="00B33061" w:rsidRPr="00544AAF" w:rsidRDefault="004421C3" w:rsidP="00625CC5">
      <w:pPr>
        <w:pStyle w:val="FigureTableTitle"/>
        <w:spacing w:before="0" w:after="0"/>
        <w:rPr>
          <w:b w:val="0"/>
          <w:bCs/>
        </w:rPr>
      </w:pPr>
      <w:r>
        <w:rPr>
          <w:b w:val="0"/>
          <w:bCs/>
          <w:noProof/>
        </w:rPr>
        <w:drawing>
          <wp:inline distT="0" distB="0" distL="0" distR="0" wp14:anchorId="02754B42" wp14:editId="4C0A9D85">
            <wp:extent cx="5986733" cy="4966895"/>
            <wp:effectExtent l="0" t="0" r="0" b="5715"/>
            <wp:docPr id="6" name="Picture 6" descr="Figure 15: Community antimicrobial use in Australia, European countries, England and Scotl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5: Community antimicrobial use in Australia, European countries, England and Scotland, 2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0522" cy="4970038"/>
                    </a:xfrm>
                    <a:prstGeom prst="rect">
                      <a:avLst/>
                    </a:prstGeom>
                    <a:noFill/>
                  </pic:spPr>
                </pic:pic>
              </a:graphicData>
            </a:graphic>
          </wp:inline>
        </w:drawing>
      </w:r>
    </w:p>
    <w:p w14:paraId="7243BD4A" w14:textId="3401AEE8" w:rsidR="00B573F2" w:rsidRDefault="00B573F2" w:rsidP="00B573F2">
      <w:pPr>
        <w:pStyle w:val="FigureTablefootnote"/>
      </w:pPr>
      <w:r>
        <w:t>DDD = defined daily dose</w:t>
      </w:r>
    </w:p>
    <w:p w14:paraId="0973FE5C" w14:textId="77777777" w:rsidR="00993DE6" w:rsidRDefault="00B573F2" w:rsidP="00B573F2">
      <w:pPr>
        <w:pStyle w:val="FigureTablefootnote"/>
      </w:pPr>
      <w:r w:rsidRPr="000B76CA">
        <w:t>Note</w:t>
      </w:r>
      <w:r w:rsidR="00993DE6">
        <w:t>s</w:t>
      </w:r>
      <w:r w:rsidRPr="000B76CA">
        <w:t>:</w:t>
      </w:r>
    </w:p>
    <w:p w14:paraId="2BC1AF4E" w14:textId="58D0E3E8" w:rsidR="00B573F2" w:rsidRDefault="00B573F2" w:rsidP="00993DE6">
      <w:pPr>
        <w:pStyle w:val="FigureTablefootnote"/>
        <w:numPr>
          <w:ilvl w:val="0"/>
          <w:numId w:val="21"/>
        </w:numPr>
        <w:tabs>
          <w:tab w:val="clear" w:pos="142"/>
          <w:tab w:val="left" w:pos="284"/>
        </w:tabs>
        <w:ind w:left="284" w:hanging="284"/>
      </w:pPr>
      <w:r w:rsidRPr="000B76CA">
        <w:t>The DDD value</w:t>
      </w:r>
      <w:r>
        <w:t>s</w:t>
      </w:r>
      <w:r w:rsidRPr="000B76CA">
        <w:t xml:space="preserve"> </w:t>
      </w:r>
      <w:r>
        <w:t xml:space="preserve">determined by the World Health Organization Collaborating Centre for Drug Statistics Methodology for 2024 have </w:t>
      </w:r>
      <w:r w:rsidRPr="000B76CA">
        <w:t xml:space="preserve">been applied in this report, causing slight </w:t>
      </w:r>
      <w:r w:rsidR="00726924">
        <w:t xml:space="preserve">variation with </w:t>
      </w:r>
      <w:r w:rsidRPr="000B76CA">
        <w:t>results presented in previous reports.</w:t>
      </w:r>
      <w:r w:rsidR="000612E0">
        <w:fldChar w:fldCharType="begin"/>
      </w:r>
      <w:r w:rsidR="006908DE">
        <w:instrText xml:space="preserve"> ADDIN EN.CITE &lt;EndNote&gt;&lt;Cite&gt;&lt;Author&gt;WHO Collaborating Centre for Drug Statistics Methodology&lt;/Author&gt;&lt;Year&gt;2024&lt;/Year&gt;&lt;RecNum&gt;471&lt;/RecNum&gt;&lt;DisplayText&gt;&lt;style face="superscript"&gt;39&lt;/style&gt;&lt;/DisplayText&gt;&lt;record&gt;&lt;rec-number&gt;471&lt;/rec-number&gt;&lt;foreign-keys&gt;&lt;key app="EN" db-id="0a9sasvr7dwawyeva9qpw09xaap9erv5ad5e" timestamp="1716861931"&gt;471&lt;/key&gt;&lt;/foreign-keys&gt;&lt;ref-type name="Web Page"&gt;12&lt;/ref-type&gt;&lt;contributors&gt;&lt;authors&gt;&lt;author&gt;WHO Collaborating Centre for Drug Statistics Methodology, &lt;/author&gt;&lt;author&gt;Norwegian Institute of Public Health, &lt;/author&gt;&lt;/authors&gt;&lt;/contributors&gt;&lt;titles&gt;&lt;title&gt;DDD alterations from 2005–2024&lt;/title&gt;&lt;/titles&gt;&lt;number&gt;May 2024&lt;/number&gt;&lt;dates&gt;&lt;year&gt;2024&lt;/year&gt;&lt;/dates&gt;&lt;pub-location&gt;Norway&lt;/pub-location&gt;&lt;publisher&gt;WHO CC&lt;/publisher&gt;&lt;urls&gt;&lt;related-urls&gt;&lt;url&gt;https://www.whocc.no/atc_ddd_alterations__cumulative/ddd_alterations/&lt;/url&gt;&lt;/related-urls&gt;&lt;/urls&gt;&lt;/record&gt;&lt;/Cite&gt;&lt;/EndNote&gt;</w:instrText>
      </w:r>
      <w:r w:rsidR="000612E0">
        <w:fldChar w:fldCharType="separate"/>
      </w:r>
      <w:r w:rsidR="00577C74" w:rsidRPr="00577C74">
        <w:rPr>
          <w:noProof/>
          <w:vertAlign w:val="superscript"/>
        </w:rPr>
        <w:t>39</w:t>
      </w:r>
      <w:r w:rsidR="000612E0">
        <w:fldChar w:fldCharType="end"/>
      </w:r>
    </w:p>
    <w:p w14:paraId="55905A86" w14:textId="6A5EB9F6" w:rsidR="007800E4" w:rsidRDefault="00AD3E6B" w:rsidP="00AD3E6B">
      <w:pPr>
        <w:pStyle w:val="FigureTablefootnote"/>
        <w:numPr>
          <w:ilvl w:val="0"/>
          <w:numId w:val="21"/>
        </w:numPr>
        <w:tabs>
          <w:tab w:val="clear" w:pos="142"/>
          <w:tab w:val="left" w:pos="284"/>
        </w:tabs>
        <w:ind w:left="284" w:hanging="284"/>
      </w:pPr>
      <w:r w:rsidRPr="00625CC5">
        <w:t xml:space="preserve">There </w:t>
      </w:r>
      <w:r>
        <w:t xml:space="preserve">are </w:t>
      </w:r>
      <w:r w:rsidRPr="00625CC5">
        <w:t xml:space="preserve">some variation in data collection between </w:t>
      </w:r>
      <w:r>
        <w:t>countries</w:t>
      </w:r>
      <w:r w:rsidRPr="00625CC5">
        <w:t xml:space="preserve"> that cannot be displayed.</w:t>
      </w:r>
    </w:p>
    <w:p w14:paraId="72F7BBF1" w14:textId="7073E99A" w:rsidR="00D14D10" w:rsidRDefault="00D14D10" w:rsidP="00D14D10">
      <w:pPr>
        <w:pStyle w:val="FigureTablefootnote"/>
        <w:numPr>
          <w:ilvl w:val="0"/>
          <w:numId w:val="21"/>
        </w:numPr>
        <w:tabs>
          <w:tab w:val="clear" w:pos="142"/>
          <w:tab w:val="left" w:pos="284"/>
        </w:tabs>
        <w:ind w:left="284" w:hanging="284"/>
      </w:pPr>
      <w:r>
        <w:t>Complete international data for 2023 were not available for comparison.</w:t>
      </w:r>
    </w:p>
    <w:p w14:paraId="7C94D482" w14:textId="4842C273" w:rsidR="00B573F2" w:rsidRPr="009726DC" w:rsidRDefault="00B573F2" w:rsidP="009726DC">
      <w:pPr>
        <w:pStyle w:val="FigureTablefootnote"/>
      </w:pPr>
      <w:r>
        <w:t>Sources:</w:t>
      </w:r>
      <w:r w:rsidR="00223C90">
        <w:t xml:space="preserve"> </w:t>
      </w:r>
      <w:r w:rsidR="00223C90" w:rsidRPr="00F46944">
        <w:t>Gadzhanova, Roughead</w:t>
      </w:r>
      <w:r w:rsidR="00223C90" w:rsidRPr="00F46944">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00223C90" w:rsidRPr="00F46944">
        <w:fldChar w:fldCharType="separate"/>
      </w:r>
      <w:r w:rsidR="00087F2D" w:rsidRPr="00087F2D">
        <w:rPr>
          <w:noProof/>
          <w:vertAlign w:val="superscript"/>
        </w:rPr>
        <w:t>19</w:t>
      </w:r>
      <w:r w:rsidR="00223C90" w:rsidRPr="00F46944">
        <w:fldChar w:fldCharType="end"/>
      </w:r>
      <w:r>
        <w:t xml:space="preserve">; </w:t>
      </w:r>
      <w:r w:rsidR="00223C90">
        <w:t>European Centre for Disease Prevention and Control</w:t>
      </w:r>
      <w:r w:rsidR="00B232CC">
        <w:fldChar w:fldCharType="begin"/>
      </w:r>
      <w:r w:rsidR="00577C74">
        <w:instrText xml:space="preserve"> ADDIN EN.CITE &lt;EndNote&gt;&lt;Cite&gt;&lt;Author&gt;European Centre for Disease Control&lt;/Author&gt;&lt;Year&gt;2023&lt;/Year&gt;&lt;RecNum&gt;522&lt;/RecNum&gt;&lt;DisplayText&gt;&lt;style face="superscript"&gt;49&lt;/style&gt;&lt;/DisplayText&gt;&lt;record&gt;&lt;rec-number&gt;522&lt;/rec-number&gt;&lt;foreign-keys&gt;&lt;key app="EN" db-id="0a9sasvr7dwawyeva9qpw09xaap9erv5ad5e" timestamp="1717045664"&gt;522&lt;/key&gt;&lt;/foreign-keys&gt;&lt;ref-type name="Government Document"&gt;46&lt;/ref-type&gt;&lt;contributors&gt;&lt;authors&gt;&lt;author&gt;European Centre for Disease Control,&lt;/author&gt;&lt;/authors&gt;&lt;/contributors&gt;&lt;titles&gt;&lt;title&gt;Antimicrobial consumption in the EU/EEA (ESAC-Net) - Annual Epidemiological Report for 2022&lt;/title&gt;&lt;/titles&gt;&lt;dates&gt;&lt;year&gt;2023&lt;/year&gt;&lt;/dates&gt;&lt;pub-location&gt;Stockholm&lt;/pub-location&gt;&lt;publisher&gt;ECDC&lt;/publisher&gt;&lt;urls&gt;&lt;related-urls&gt;&lt;url&gt;https://www.ecdc.europa.eu/sites/default/files/documents/AER-antimicrobial-consumption.pdf&lt;/url&gt;&lt;/related-urls&gt;&lt;/urls&gt;&lt;/record&gt;&lt;/Cite&gt;&lt;/EndNote&gt;</w:instrText>
      </w:r>
      <w:r w:rsidR="00B232CC">
        <w:fldChar w:fldCharType="separate"/>
      </w:r>
      <w:r w:rsidR="00577C74" w:rsidRPr="00577C74">
        <w:rPr>
          <w:noProof/>
          <w:vertAlign w:val="superscript"/>
        </w:rPr>
        <w:t>49</w:t>
      </w:r>
      <w:r w:rsidR="00B232CC">
        <w:fldChar w:fldCharType="end"/>
      </w:r>
      <w:r w:rsidR="00223C90">
        <w:t xml:space="preserve">; </w:t>
      </w:r>
      <w:r w:rsidR="00223C90" w:rsidRPr="00223C90">
        <w:t>UK Health Security Agency</w:t>
      </w:r>
      <w:r w:rsidR="00B232CC">
        <w:fldChar w:fldCharType="begin"/>
      </w:r>
      <w:r w:rsidR="00577C74">
        <w:instrText xml:space="preserve"> ADDIN EN.CITE &lt;EndNote&gt;&lt;Cite&gt;&lt;Author&gt;UK Health Security Agency&lt;/Author&gt;&lt;Year&gt;2023&lt;/Year&gt;&lt;RecNum&gt;524&lt;/RecNum&gt;&lt;DisplayText&gt;&lt;style face="superscript"&gt;50&lt;/style&gt;&lt;/DisplayText&gt;&lt;record&gt;&lt;rec-number&gt;524&lt;/rec-number&gt;&lt;foreign-keys&gt;&lt;key app="EN" db-id="0a9sasvr7dwawyeva9qpw09xaap9erv5ad5e" timestamp="1717046394"&gt;524&lt;/key&gt;&lt;/foreign-keys&gt;&lt;ref-type name="Government Document"&gt;46&lt;/ref-type&gt;&lt;contributors&gt;&lt;authors&gt;&lt;author&gt;UK Health Security Agency,&lt;/author&gt;&lt;/authors&gt;&lt;/contributors&gt;&lt;titles&gt;&lt;title&gt;English surveillance programme for antimicrobial utilisation and resistance (ESPAUR) Report 2022 to 2023&lt;/title&gt;&lt;/titles&gt;&lt;dates&gt;&lt;year&gt;2023&lt;/year&gt;&lt;/dates&gt;&lt;pub-location&gt;London&lt;/pub-location&gt;&lt;publisher&gt;UK Health Security Agency&lt;/publisher&gt;&lt;urls&gt;&lt;related-urls&gt;&lt;url&gt;https://assets.publishing.service.gov.uk/media/65cf498ee1bdec001132225c/ESPAUR-report-2022-to-2023.pdf/&lt;/url&gt;&lt;/related-urls&gt;&lt;/urls&gt;&lt;/record&gt;&lt;/Cite&gt;&lt;/EndNote&gt;</w:instrText>
      </w:r>
      <w:r w:rsidR="00B232CC">
        <w:fldChar w:fldCharType="separate"/>
      </w:r>
      <w:r w:rsidR="00577C74" w:rsidRPr="00577C74">
        <w:rPr>
          <w:noProof/>
          <w:vertAlign w:val="superscript"/>
        </w:rPr>
        <w:t>50</w:t>
      </w:r>
      <w:r w:rsidR="00B232CC">
        <w:fldChar w:fldCharType="end"/>
      </w:r>
      <w:r w:rsidR="00223C90">
        <w:t>; Antimicrobial Resistance and Healthcare Associated Infection Scotland</w:t>
      </w:r>
      <w:r w:rsidR="00B232CC">
        <w:fldChar w:fldCharType="begin"/>
      </w:r>
      <w:r w:rsidR="00577C74">
        <w:instrText xml:space="preserve"> ADDIN EN.CITE &lt;EndNote&gt;&lt;Cite&gt;&lt;Author&gt;Antimicrobial Resistance and Healthcare Associated Infection Scotland&lt;/Author&gt;&lt;Year&gt;2023&lt;/Year&gt;&lt;RecNum&gt;523&lt;/RecNum&gt;&lt;DisplayText&gt;&lt;style face="superscript"&gt;51&lt;/style&gt;&lt;/DisplayText&gt;&lt;record&gt;&lt;rec-number&gt;523&lt;/rec-number&gt;&lt;foreign-keys&gt;&lt;key app="EN" db-id="0a9sasvr7dwawyeva9qpw09xaap9erv5ad5e" timestamp="1717045884"&gt;523&lt;/key&gt;&lt;/foreign-keys&gt;&lt;ref-type name="Government Document"&gt;46&lt;/ref-type&gt;&lt;contributors&gt;&lt;authors&gt;&lt;author&gt;Antimicrobial Resistance and Healthcare Associated Infection Scotland,&lt;/author&gt;&lt;/authors&gt;&lt;/contributors&gt;&lt;titles&gt;&lt;title&gt;Scottish One Health Antimicrobial Use and Antimicrobial Resistance in 2022&lt;/title&gt;&lt;/titles&gt;&lt;dates&gt;&lt;year&gt;2023&lt;/year&gt;&lt;/dates&gt;&lt;pub-location&gt;Scotland&lt;/pub-location&gt;&lt;publisher&gt;ARHAI&lt;/publisher&gt;&lt;urls&gt;&lt;related-urls&gt;&lt;url&gt;https://www.nss.nhs.scot/media/4609/sonaar-annual-report-2022-v1.pdf&lt;/url&gt;&lt;/related-urls&gt;&lt;/urls&gt;&lt;/record&gt;&lt;/Cite&gt;&lt;/EndNote&gt;</w:instrText>
      </w:r>
      <w:r w:rsidR="00B232CC">
        <w:fldChar w:fldCharType="separate"/>
      </w:r>
      <w:r w:rsidR="00577C74" w:rsidRPr="00577C74">
        <w:rPr>
          <w:noProof/>
          <w:vertAlign w:val="superscript"/>
        </w:rPr>
        <w:t>51</w:t>
      </w:r>
      <w:r w:rsidR="00B232CC">
        <w:fldChar w:fldCharType="end"/>
      </w:r>
      <w:r>
        <w:br w:type="page"/>
      </w:r>
    </w:p>
    <w:p w14:paraId="66F0C5F2" w14:textId="4B20AB7D" w:rsidR="00B71CED" w:rsidRPr="00DB1EE0" w:rsidRDefault="002B5055" w:rsidP="00B71CED">
      <w:pPr>
        <w:pStyle w:val="Heading1"/>
        <w:rPr>
          <w:color w:val="005370"/>
        </w:rPr>
      </w:pPr>
      <w:bookmarkStart w:id="47" w:name="_Toc100753206"/>
      <w:bookmarkStart w:id="48" w:name="_Toc103953974"/>
      <w:bookmarkStart w:id="49" w:name="_Toc121826733"/>
      <w:bookmarkStart w:id="50" w:name="_Toc173763624"/>
      <w:bookmarkStart w:id="51" w:name="_Hlk158892646"/>
      <w:bookmarkEnd w:id="11"/>
      <w:r>
        <w:rPr>
          <w:color w:val="005370"/>
        </w:rPr>
        <w:lastRenderedPageBreak/>
        <w:t>Conclusions</w:t>
      </w:r>
      <w:bookmarkEnd w:id="47"/>
      <w:bookmarkEnd w:id="48"/>
      <w:bookmarkEnd w:id="49"/>
      <w:bookmarkEnd w:id="50"/>
    </w:p>
    <w:p w14:paraId="0A8E243C" w14:textId="2760EFD5" w:rsidR="00DE3F2C" w:rsidRDefault="00DE3F2C" w:rsidP="00DE3F2C">
      <w:pPr>
        <w:rPr>
          <w:rFonts w:cstheme="minorHAnsi"/>
        </w:rPr>
      </w:pPr>
      <w:r>
        <w:rPr>
          <w:rFonts w:cstheme="minorHAnsi"/>
        </w:rPr>
        <w:t xml:space="preserve">It is encouraging that overall antimicrobial use in the community in 2023 has remained steady. Compared to 2022, there </w:t>
      </w:r>
      <w:r w:rsidR="008949D3">
        <w:rPr>
          <w:rFonts w:cstheme="minorHAnsi"/>
        </w:rPr>
        <w:t>was minimal</w:t>
      </w:r>
      <w:r>
        <w:rPr>
          <w:rFonts w:cstheme="minorHAnsi"/>
        </w:rPr>
        <w:t xml:space="preserve"> difference in the patterns of prescribing under the PBS and RPBS across </w:t>
      </w:r>
      <w:r>
        <w:rPr>
          <w:rFonts w:cs="Arial"/>
        </w:rPr>
        <w:t>age groups,</w:t>
      </w:r>
      <w:r w:rsidRPr="00391E29">
        <w:rPr>
          <w:rFonts w:cs="Arial"/>
        </w:rPr>
        <w:t xml:space="preserve"> states and territories</w:t>
      </w:r>
      <w:r>
        <w:rPr>
          <w:rFonts w:cs="Arial"/>
        </w:rPr>
        <w:t xml:space="preserve"> and local areas, </w:t>
      </w:r>
      <w:r w:rsidR="00E6145B">
        <w:rPr>
          <w:rFonts w:cs="Arial"/>
        </w:rPr>
        <w:t xml:space="preserve">the </w:t>
      </w:r>
      <w:r w:rsidR="00E47B24">
        <w:rPr>
          <w:rFonts w:cs="Arial"/>
        </w:rPr>
        <w:t xml:space="preserve">most frequently </w:t>
      </w:r>
      <w:r w:rsidR="00E47B24" w:rsidRPr="00E47B24">
        <w:rPr>
          <w:rFonts w:cs="Arial"/>
        </w:rPr>
        <w:t xml:space="preserve">prescribed </w:t>
      </w:r>
      <w:r w:rsidRPr="00E47B24">
        <w:rPr>
          <w:rFonts w:cs="Arial"/>
        </w:rPr>
        <w:t>antimicrobial</w:t>
      </w:r>
      <w:r w:rsidR="00E47B24" w:rsidRPr="00E47B24">
        <w:rPr>
          <w:rFonts w:cs="Arial"/>
        </w:rPr>
        <w:t>s</w:t>
      </w:r>
      <w:r>
        <w:rPr>
          <w:rFonts w:cs="Arial"/>
        </w:rPr>
        <w:t xml:space="preserve"> and</w:t>
      </w:r>
      <w:r w:rsidR="00E6145B">
        <w:rPr>
          <w:rFonts w:cs="Arial"/>
        </w:rPr>
        <w:t xml:space="preserve"> the</w:t>
      </w:r>
      <w:r>
        <w:rPr>
          <w:rFonts w:cs="Arial"/>
        </w:rPr>
        <w:t xml:space="preserve"> use </w:t>
      </w:r>
      <w:r w:rsidRPr="00B5090A">
        <w:rPr>
          <w:rFonts w:cs="Arial"/>
        </w:rPr>
        <w:t xml:space="preserve">of repeats. </w:t>
      </w:r>
      <w:r w:rsidRPr="00B5090A">
        <w:rPr>
          <w:rFonts w:cstheme="minorHAnsi"/>
        </w:rPr>
        <w:t xml:space="preserve">The </w:t>
      </w:r>
      <w:r>
        <w:rPr>
          <w:rFonts w:cstheme="minorHAnsi"/>
        </w:rPr>
        <w:t>marginal increase of</w:t>
      </w:r>
      <w:r w:rsidRPr="00B5090A">
        <w:rPr>
          <w:rFonts w:cstheme="minorHAnsi"/>
        </w:rPr>
        <w:t xml:space="preserve"> 1.3% </w:t>
      </w:r>
      <w:r w:rsidR="00CA57D9">
        <w:rPr>
          <w:rFonts w:cstheme="minorHAnsi"/>
        </w:rPr>
        <w:t xml:space="preserve">from 2022 to 2023 </w:t>
      </w:r>
      <w:r w:rsidRPr="00B5090A">
        <w:rPr>
          <w:rFonts w:cstheme="minorHAnsi"/>
        </w:rPr>
        <w:t>may</w:t>
      </w:r>
      <w:r w:rsidR="00214556">
        <w:rPr>
          <w:rFonts w:cstheme="minorHAnsi"/>
        </w:rPr>
        <w:t>, at least in part,</w:t>
      </w:r>
      <w:r w:rsidRPr="00B5090A">
        <w:rPr>
          <w:rFonts w:cstheme="minorHAnsi"/>
        </w:rPr>
        <w:t xml:space="preserve"> reflect an increase in the Australian population </w:t>
      </w:r>
      <w:r w:rsidR="00CA57D9">
        <w:rPr>
          <w:rFonts w:cstheme="minorHAnsi"/>
        </w:rPr>
        <w:t>over that period</w:t>
      </w:r>
      <w:r w:rsidRPr="00B5090A">
        <w:rPr>
          <w:rFonts w:cstheme="minorHAnsi"/>
        </w:rPr>
        <w:t>.</w:t>
      </w:r>
      <w:r w:rsidR="003E6B70">
        <w:rPr>
          <w:rFonts w:cstheme="minorHAnsi"/>
        </w:rPr>
        <w:fldChar w:fldCharType="begin"/>
      </w:r>
      <w:r w:rsidR="00214844">
        <w:rPr>
          <w:rFonts w:cstheme="minorHAnsi"/>
        </w:rPr>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003E6B70">
        <w:rPr>
          <w:rFonts w:cstheme="minorHAnsi"/>
        </w:rPr>
        <w:fldChar w:fldCharType="separate"/>
      </w:r>
      <w:r w:rsidR="00087F2D" w:rsidRPr="00087F2D">
        <w:rPr>
          <w:rFonts w:cstheme="minorHAnsi"/>
          <w:noProof/>
          <w:vertAlign w:val="superscript"/>
        </w:rPr>
        <w:t>19</w:t>
      </w:r>
      <w:r w:rsidR="003E6B70">
        <w:rPr>
          <w:rFonts w:cstheme="minorHAnsi"/>
        </w:rPr>
        <w:fldChar w:fldCharType="end"/>
      </w:r>
      <w:r w:rsidR="00214556">
        <w:rPr>
          <w:rFonts w:cstheme="minorHAnsi"/>
        </w:rPr>
        <w:t xml:space="preserve"> Nevertheless, usage rates in Australia remain</w:t>
      </w:r>
      <w:r w:rsidR="00D320BB">
        <w:rPr>
          <w:rFonts w:cstheme="minorHAnsi"/>
        </w:rPr>
        <w:t>ed</w:t>
      </w:r>
      <w:r w:rsidR="00214556">
        <w:rPr>
          <w:rFonts w:cstheme="minorHAnsi"/>
        </w:rPr>
        <w:t xml:space="preserve"> </w:t>
      </w:r>
      <w:r w:rsidR="00C72ECC">
        <w:rPr>
          <w:rFonts w:cstheme="minorHAnsi"/>
        </w:rPr>
        <w:t>higher than comparable European countries</w:t>
      </w:r>
      <w:r w:rsidR="008949D3">
        <w:rPr>
          <w:rFonts w:cstheme="minorHAnsi"/>
        </w:rPr>
        <w:t xml:space="preserve"> and England and Scotland</w:t>
      </w:r>
      <w:r w:rsidR="00C72ECC">
        <w:rPr>
          <w:rFonts w:cstheme="minorHAnsi"/>
        </w:rPr>
        <w:t xml:space="preserve">, and </w:t>
      </w:r>
      <w:r w:rsidR="008949D3">
        <w:rPr>
          <w:rFonts w:cstheme="minorHAnsi"/>
        </w:rPr>
        <w:t xml:space="preserve">more than </w:t>
      </w:r>
      <w:r w:rsidR="00214556">
        <w:rPr>
          <w:rFonts w:cstheme="minorHAnsi"/>
        </w:rPr>
        <w:t>double that of the Netherlands.</w:t>
      </w:r>
      <w:r w:rsidR="00427798">
        <w:rPr>
          <w:rFonts w:cstheme="minorHAnsi"/>
        </w:rPr>
        <w:fldChar w:fldCharType="begin">
          <w:fldData xml:space="preserve">PEVuZE5vdGU+PENpdGUgRXhjbHVkZVllYXI9IjEiPjxBdXRob3I+R2Fkemhhbm92YSBTIGFuZCBS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</w:fldData>
        </w:fldChar>
      </w:r>
      <w:r w:rsidR="00C43D56">
        <w:rPr>
          <w:rFonts w:cstheme="minorHAnsi"/>
        </w:rPr>
        <w:instrText xml:space="preserve"> ADDIN EN.CITE </w:instrText>
      </w:r>
      <w:r w:rsidR="00C43D56">
        <w:rPr>
          <w:rFonts w:cstheme="minorHAnsi"/>
        </w:rPr>
        <w:fldChar w:fldCharType="begin">
          <w:fldData xml:space="preserve">PEVuZE5vdGU+PENpdGUgRXhjbHVkZVllYXI9IjEiPjxBdXRob3I+R2Fkemhhbm92YSBTIGFuZCBS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</w:fldData>
        </w:fldChar>
      </w:r>
      <w:r w:rsidR="00C43D56">
        <w:rPr>
          <w:rFonts w:cstheme="minorHAnsi"/>
        </w:rPr>
        <w:instrText xml:space="preserve"> ADDIN EN.CITE.DATA </w:instrText>
      </w:r>
      <w:r w:rsidR="00C43D56">
        <w:rPr>
          <w:rFonts w:cstheme="minorHAnsi"/>
        </w:rPr>
      </w:r>
      <w:r w:rsidR="00C43D56">
        <w:rPr>
          <w:rFonts w:cstheme="minorHAnsi"/>
        </w:rPr>
        <w:fldChar w:fldCharType="end"/>
      </w:r>
      <w:r w:rsidR="00427798">
        <w:rPr>
          <w:rFonts w:cstheme="minorHAnsi"/>
        </w:rPr>
      </w:r>
      <w:r w:rsidR="00427798">
        <w:rPr>
          <w:rFonts w:cstheme="minorHAnsi"/>
        </w:rPr>
        <w:fldChar w:fldCharType="separate"/>
      </w:r>
      <w:r w:rsidR="00C43D56" w:rsidRPr="00C43D56">
        <w:rPr>
          <w:rFonts w:cstheme="minorHAnsi"/>
          <w:noProof/>
          <w:vertAlign w:val="superscript"/>
        </w:rPr>
        <w:t>19,49-51</w:t>
      </w:r>
      <w:r w:rsidR="00427798">
        <w:rPr>
          <w:rFonts w:cstheme="minorHAnsi"/>
        </w:rPr>
        <w:fldChar w:fldCharType="end"/>
      </w:r>
    </w:p>
    <w:p w14:paraId="1CB7D2B2" w14:textId="4CDD7C32" w:rsidR="00BD04C7" w:rsidRDefault="00DE3F2C" w:rsidP="00DE3F2C">
      <w:r w:rsidRPr="00E168C3">
        <w:rPr>
          <w:rFonts w:cstheme="minorHAnsi"/>
        </w:rPr>
        <w:t>The overall decline in antimicrobial use in</w:t>
      </w:r>
      <w:r w:rsidR="00A0027A" w:rsidRPr="00E168C3">
        <w:rPr>
          <w:rFonts w:cstheme="minorHAnsi"/>
        </w:rPr>
        <w:t xml:space="preserve"> </w:t>
      </w:r>
      <w:r w:rsidRPr="00E168C3">
        <w:rPr>
          <w:rFonts w:cstheme="minorHAnsi"/>
        </w:rPr>
        <w:t xml:space="preserve">the community </w:t>
      </w:r>
      <w:r>
        <w:rPr>
          <w:rFonts w:cstheme="minorHAnsi"/>
        </w:rPr>
        <w:t xml:space="preserve">from 2015 to 2023, particularly from 2020, indicates </w:t>
      </w:r>
      <w:r w:rsidR="0048693D">
        <w:rPr>
          <w:rFonts w:cstheme="minorHAnsi"/>
        </w:rPr>
        <w:t xml:space="preserve">that </w:t>
      </w:r>
      <w:r>
        <w:rPr>
          <w:rFonts w:cstheme="minorHAnsi"/>
        </w:rPr>
        <w:t>l</w:t>
      </w:r>
      <w:r w:rsidRPr="00E168C3">
        <w:rPr>
          <w:rFonts w:cstheme="minorHAnsi"/>
        </w:rPr>
        <w:t xml:space="preserve">ower levels of antimicrobial use are </w:t>
      </w:r>
      <w:r w:rsidRPr="00F836BF">
        <w:rPr>
          <w:rFonts w:cstheme="minorHAnsi"/>
        </w:rPr>
        <w:t xml:space="preserve">achievable </w:t>
      </w:r>
      <w:r w:rsidR="00E6145B">
        <w:rPr>
          <w:rFonts w:cstheme="minorHAnsi"/>
        </w:rPr>
        <w:t xml:space="preserve">in the </w:t>
      </w:r>
      <w:r w:rsidRPr="00F836BF">
        <w:rPr>
          <w:rFonts w:cstheme="minorHAnsi"/>
        </w:rPr>
        <w:t xml:space="preserve">long-term. The </w:t>
      </w:r>
      <w:r w:rsidR="00D44AED">
        <w:rPr>
          <w:rFonts w:cstheme="minorHAnsi"/>
        </w:rPr>
        <w:t xml:space="preserve">COVID-19 pandemic had a </w:t>
      </w:r>
      <w:r>
        <w:rPr>
          <w:rFonts w:cstheme="minorHAnsi"/>
        </w:rPr>
        <w:t xml:space="preserve">profound </w:t>
      </w:r>
      <w:r w:rsidR="00D44AED">
        <w:rPr>
          <w:rFonts w:cstheme="minorHAnsi"/>
        </w:rPr>
        <w:t xml:space="preserve">global </w:t>
      </w:r>
      <w:r>
        <w:rPr>
          <w:rFonts w:cstheme="minorHAnsi"/>
        </w:rPr>
        <w:t xml:space="preserve">impact </w:t>
      </w:r>
      <w:r w:rsidRPr="002B08D0">
        <w:rPr>
          <w:rFonts w:cstheme="minorHAnsi"/>
        </w:rPr>
        <w:t>on antimicrobial use</w:t>
      </w:r>
      <w:r w:rsidR="00D44AED" w:rsidRPr="002B08D0">
        <w:rPr>
          <w:rFonts w:cstheme="minorHAnsi"/>
        </w:rPr>
        <w:fldChar w:fldCharType="begin">
          <w:fldData xml:space="preserve">PEVuZE5vdGU+PENpdGU+PEF1dGhvcj5LaG91amE8L0F1dGhvcj48WWVhcj4yMDIyPC9ZZWFyPjxS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</w:fldData>
        </w:fldChar>
      </w:r>
      <w:r w:rsidR="00C43D56">
        <w:rPr>
          <w:rFonts w:cstheme="minorHAnsi"/>
        </w:rPr>
        <w:instrText xml:space="preserve"> ADDIN EN.CITE </w:instrText>
      </w:r>
      <w:r w:rsidR="00C43D56">
        <w:rPr>
          <w:rFonts w:cstheme="minorHAnsi"/>
        </w:rPr>
        <w:fldChar w:fldCharType="begin">
          <w:fldData xml:space="preserve">PEVuZE5vdGU+PENpdGU+PEF1dGhvcj5LaG91amE8L0F1dGhvcj48WWVhcj4yMDIyPC9ZZWFyPjxS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</w:fldData>
        </w:fldChar>
      </w:r>
      <w:r w:rsidR="00C43D56">
        <w:rPr>
          <w:rFonts w:cstheme="minorHAnsi"/>
        </w:rPr>
        <w:instrText xml:space="preserve"> ADDIN EN.CITE.DATA </w:instrText>
      </w:r>
      <w:r w:rsidR="00C43D56">
        <w:rPr>
          <w:rFonts w:cstheme="minorHAnsi"/>
        </w:rPr>
      </w:r>
      <w:r w:rsidR="00C43D56">
        <w:rPr>
          <w:rFonts w:cstheme="minorHAnsi"/>
        </w:rPr>
        <w:fldChar w:fldCharType="end"/>
      </w:r>
      <w:r w:rsidR="00D44AED" w:rsidRPr="002B08D0">
        <w:rPr>
          <w:rFonts w:cstheme="minorHAnsi"/>
        </w:rPr>
      </w:r>
      <w:r w:rsidR="00D44AED" w:rsidRPr="002B08D0">
        <w:rPr>
          <w:rFonts w:cstheme="minorHAnsi"/>
        </w:rPr>
        <w:fldChar w:fldCharType="separate"/>
      </w:r>
      <w:r w:rsidR="00C43D56" w:rsidRPr="00C43D56">
        <w:rPr>
          <w:rFonts w:cstheme="minorHAnsi"/>
          <w:noProof/>
          <w:vertAlign w:val="superscript"/>
        </w:rPr>
        <w:t>52,53</w:t>
      </w:r>
      <w:r w:rsidR="00D44AED" w:rsidRPr="002B08D0">
        <w:rPr>
          <w:rFonts w:cstheme="minorHAnsi"/>
        </w:rPr>
        <w:fldChar w:fldCharType="end"/>
      </w:r>
      <w:r w:rsidRPr="002B08D0">
        <w:rPr>
          <w:rFonts w:cstheme="minorHAnsi"/>
        </w:rPr>
        <w:t xml:space="preserve"> </w:t>
      </w:r>
      <w:r w:rsidR="009961BA">
        <w:rPr>
          <w:rFonts w:cstheme="minorHAnsi"/>
        </w:rPr>
        <w:t xml:space="preserve">that </w:t>
      </w:r>
      <w:r>
        <w:rPr>
          <w:rFonts w:cstheme="minorHAnsi"/>
        </w:rPr>
        <w:t xml:space="preserve">appears to have </w:t>
      </w:r>
      <w:r w:rsidR="00840E69">
        <w:rPr>
          <w:rFonts w:cstheme="minorHAnsi"/>
        </w:rPr>
        <w:t xml:space="preserve">been sustained </w:t>
      </w:r>
      <w:r>
        <w:rPr>
          <w:rFonts w:cstheme="minorHAnsi"/>
        </w:rPr>
        <w:t>in Australia</w:t>
      </w:r>
      <w:r w:rsidRPr="002B08D0">
        <w:rPr>
          <w:rFonts w:cstheme="minorHAnsi"/>
        </w:rPr>
        <w:t xml:space="preserve">. </w:t>
      </w:r>
      <w:r w:rsidR="00BD04C7">
        <w:rPr>
          <w:rFonts w:cstheme="minorHAnsi"/>
        </w:rPr>
        <w:t>T</w:t>
      </w:r>
      <w:r>
        <w:rPr>
          <w:rFonts w:cstheme="minorHAnsi"/>
        </w:rPr>
        <w:t>here are s</w:t>
      </w:r>
      <w:r w:rsidRPr="002B08D0">
        <w:rPr>
          <w:rFonts w:cstheme="minorHAnsi"/>
        </w:rPr>
        <w:t xml:space="preserve">everal factors </w:t>
      </w:r>
      <w:r>
        <w:rPr>
          <w:rFonts w:cstheme="minorHAnsi"/>
        </w:rPr>
        <w:t xml:space="preserve">that </w:t>
      </w:r>
      <w:r w:rsidRPr="002B08D0">
        <w:rPr>
          <w:rFonts w:cstheme="minorHAnsi"/>
        </w:rPr>
        <w:t xml:space="preserve">are likely to have influenced </w:t>
      </w:r>
      <w:r>
        <w:rPr>
          <w:rFonts w:cstheme="minorHAnsi"/>
        </w:rPr>
        <w:t>the decline</w:t>
      </w:r>
      <w:r w:rsidR="00E6145B">
        <w:rPr>
          <w:rFonts w:cstheme="minorHAnsi"/>
        </w:rPr>
        <w:t xml:space="preserve"> in antimicrobial use</w:t>
      </w:r>
      <w:r>
        <w:rPr>
          <w:rFonts w:cstheme="minorHAnsi"/>
        </w:rPr>
        <w:t xml:space="preserve"> </w:t>
      </w:r>
      <w:r w:rsidRPr="002B08D0">
        <w:rPr>
          <w:rFonts w:cstheme="minorHAnsi"/>
        </w:rPr>
        <w:t>in Australia</w:t>
      </w:r>
      <w:r>
        <w:rPr>
          <w:rFonts w:cstheme="minorHAnsi"/>
        </w:rPr>
        <w:t xml:space="preserve">, including </w:t>
      </w:r>
      <w:r>
        <w:t>PBS and RPBS policy changes for repeats</w:t>
      </w:r>
      <w:r w:rsidR="00BD04C7">
        <w:t>.</w:t>
      </w:r>
      <w:r w:rsidR="001D1579">
        <w:fldChar w:fldCharType="begin"/>
      </w:r>
      <w:r w:rsidR="00087F2D">
        <w:instrText xml:space="preserve"> ADDIN EN.CITE &lt;EndNote&gt;&lt;Cite&gt;&lt;Author&gt;Australian Government Department of Health and Aged Care&lt;/Author&gt;&lt;Year&gt;2020&lt;/Year&gt;&lt;RecNum&gt;108&lt;/RecNum&gt;&lt;DisplayText&gt;&lt;style face="superscript"&gt;25&lt;/style&gt;&lt;/DisplayText&gt;&lt;record&gt;&lt;rec-number&gt;108&lt;/rec-number&gt;&lt;foreign-keys&gt;&lt;key app="EN" db-id="0a9sasvr7dwawyeva9qpw09xaap9erv5ad5e" timestamp="1707963072"&gt;108&lt;/key&gt;&lt;/foreign-keys&gt;&lt;ref-type name="Web Page"&gt;12&lt;/ref-type&gt;&lt;contributors&gt;&lt;authors&gt;&lt;author&gt;Australian Government Department of Health and Aged Care,&lt;/author&gt;&lt;/authors&gt;&lt;/contributors&gt;&lt;titles&gt;&lt;title&gt;Revised PBS listings for Antibiotic use&lt;/title&gt;&lt;/titles&gt;&lt;number&gt;Feb 2024&lt;/number&gt;&lt;dates&gt;&lt;year&gt;2020&lt;/year&gt;&lt;/dates&gt;&lt;pub-location&gt;Canberra&lt;/pub-location&gt;&lt;publisher&gt;Department of Health and Aged Care&lt;/publisher&gt;&lt;urls&gt;&lt;related-urls&gt;&lt;url&gt;https://www.pbs.gov.au/news/2020/03/files/Antibiotics-factsheet-2020.pdf&lt;/url&gt;&lt;/related-urls&gt;&lt;/urls&gt;&lt;/record&gt;&lt;/Cite&gt;&lt;/EndNote&gt;</w:instrText>
      </w:r>
      <w:r w:rsidR="001D1579">
        <w:fldChar w:fldCharType="separate"/>
      </w:r>
      <w:r w:rsidR="00087F2D" w:rsidRPr="00087F2D">
        <w:rPr>
          <w:noProof/>
          <w:vertAlign w:val="superscript"/>
        </w:rPr>
        <w:t>25</w:t>
      </w:r>
      <w:r w:rsidR="001D1579">
        <w:fldChar w:fldCharType="end"/>
      </w:r>
      <w:r w:rsidR="00BD04C7">
        <w:t xml:space="preserve"> However, it is likely that local p</w:t>
      </w:r>
      <w:r w:rsidR="009961BA">
        <w:t>rescriber</w:t>
      </w:r>
      <w:r w:rsidR="00BD04C7">
        <w:t xml:space="preserve"> preference is a major influence on antimicrobial use </w:t>
      </w:r>
      <w:r w:rsidR="00BD04C7" w:rsidRPr="00116811">
        <w:t xml:space="preserve">given the ongoing trends in </w:t>
      </w:r>
      <w:r w:rsidR="00D44AED">
        <w:t>supply</w:t>
      </w:r>
      <w:r w:rsidR="00D44AED" w:rsidRPr="00116811">
        <w:t xml:space="preserve"> </w:t>
      </w:r>
      <w:r w:rsidR="00BD04C7" w:rsidRPr="00116811">
        <w:t>by local area</w:t>
      </w:r>
      <w:r w:rsidR="00BD04C7">
        <w:t>.</w:t>
      </w:r>
    </w:p>
    <w:p w14:paraId="6E4312FC" w14:textId="00269731" w:rsidR="00C34FD1" w:rsidRPr="00475A97" w:rsidRDefault="00DE3F2C" w:rsidP="00DE3F2C">
      <w:pPr>
        <w:rPr>
          <w:rFonts w:cstheme="minorHAnsi"/>
        </w:rPr>
      </w:pPr>
      <w:r>
        <w:rPr>
          <w:rFonts w:cstheme="minorHAnsi"/>
        </w:rPr>
        <w:t>There is an opportunity to enhance consumers</w:t>
      </w:r>
      <w:r w:rsidR="009961BA">
        <w:rPr>
          <w:rFonts w:cstheme="minorHAnsi"/>
        </w:rPr>
        <w:t>’</w:t>
      </w:r>
      <w:r>
        <w:rPr>
          <w:rFonts w:cstheme="minorHAnsi"/>
        </w:rPr>
        <w:t xml:space="preserve"> understanding of </w:t>
      </w:r>
      <w:r w:rsidRPr="002B08D0">
        <w:rPr>
          <w:rFonts w:cstheme="minorHAnsi"/>
        </w:rPr>
        <w:t>the role of antimicrobials in treating infections</w:t>
      </w:r>
      <w:r>
        <w:rPr>
          <w:rFonts w:cstheme="minorHAnsi"/>
        </w:rPr>
        <w:t>, particularly the lack of benefit of antibiotics for viral infections,</w:t>
      </w:r>
      <w:r w:rsidR="00C23255">
        <w:rPr>
          <w:rFonts w:cstheme="minorHAnsi"/>
        </w:rPr>
        <w:t xml:space="preserve"> and other conditions </w:t>
      </w:r>
      <w:r w:rsidR="00205F69">
        <w:rPr>
          <w:rFonts w:cstheme="minorHAnsi"/>
        </w:rPr>
        <w:t>for which</w:t>
      </w:r>
      <w:r w:rsidR="00C23255">
        <w:rPr>
          <w:rFonts w:cstheme="minorHAnsi"/>
        </w:rPr>
        <w:t xml:space="preserve"> antimicrobial</w:t>
      </w:r>
      <w:r w:rsidR="00205F69">
        <w:rPr>
          <w:rFonts w:cstheme="minorHAnsi"/>
        </w:rPr>
        <w:t>s</w:t>
      </w:r>
      <w:r w:rsidR="00C23255">
        <w:rPr>
          <w:rFonts w:cstheme="minorHAnsi"/>
        </w:rPr>
        <w:t xml:space="preserve"> provide little to no benefit. </w:t>
      </w:r>
      <w:r w:rsidRPr="00475A97">
        <w:rPr>
          <w:rFonts w:cstheme="minorHAnsi"/>
        </w:rPr>
        <w:t xml:space="preserve">The Commission will continue to reinforce messaging </w:t>
      </w:r>
      <w:r w:rsidR="00075E2B">
        <w:rPr>
          <w:rFonts w:cstheme="minorHAnsi"/>
        </w:rPr>
        <w:t xml:space="preserve">for consumers </w:t>
      </w:r>
      <w:r w:rsidRPr="00475A97">
        <w:rPr>
          <w:rFonts w:cstheme="minorHAnsi"/>
        </w:rPr>
        <w:t xml:space="preserve">about the role of antimicrobials in AMR, the effects of antimicrobials on beneficial and harmful bacteria, and raise awareness of the </w:t>
      </w:r>
      <w:r w:rsidR="00B83F83">
        <w:rPr>
          <w:rFonts w:cstheme="minorHAnsi"/>
        </w:rPr>
        <w:t xml:space="preserve">potential </w:t>
      </w:r>
      <w:r w:rsidRPr="00475A97">
        <w:rPr>
          <w:rFonts w:cstheme="minorHAnsi"/>
        </w:rPr>
        <w:t xml:space="preserve">impact of antimicrobials </w:t>
      </w:r>
      <w:r w:rsidR="00B83F83">
        <w:rPr>
          <w:rFonts w:cstheme="minorHAnsi"/>
        </w:rPr>
        <w:t xml:space="preserve">on </w:t>
      </w:r>
      <w:r w:rsidRPr="00475A97">
        <w:rPr>
          <w:rFonts w:cstheme="minorHAnsi"/>
        </w:rPr>
        <w:t>development of chronic conditions in children and adults.</w:t>
      </w:r>
      <w:r w:rsidR="001D1579">
        <w:rPr>
          <w:rFonts w:cstheme="minorHAnsi"/>
        </w:rPr>
        <w:fldChar w:fldCharType="begin">
          <w:fldData xml:space="preserve">PEVuZE5vdGU+PENpdGU+PEF1dGhvcj5EdW9uZyBRQTwvQXV0aG9yPjxZZWFyPjIwMjI8L1llYXI+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==
</w:fldData>
        </w:fldChar>
      </w:r>
      <w:r w:rsidR="00577C74">
        <w:rPr>
          <w:rFonts w:cstheme="minorHAnsi"/>
        </w:rPr>
        <w:instrText xml:space="preserve"> ADDIN EN.CITE </w:instrText>
      </w:r>
      <w:r w:rsidR="00577C74">
        <w:rPr>
          <w:rFonts w:cstheme="minorHAnsi"/>
        </w:rPr>
        <w:fldChar w:fldCharType="begin">
          <w:fldData xml:space="preserve">PEVuZE5vdGU+PENpdGU+PEF1dGhvcj5EdW9uZyBRQTwvQXV0aG9yPjxZZWFyPjIwMjI8L1llYXI+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==
</w:fldData>
        </w:fldChar>
      </w:r>
      <w:r w:rsidR="00577C74">
        <w:rPr>
          <w:rFonts w:cstheme="minorHAnsi"/>
        </w:rPr>
        <w:instrText xml:space="preserve"> ADDIN EN.CITE.DATA </w:instrText>
      </w:r>
      <w:r w:rsidR="00577C74">
        <w:rPr>
          <w:rFonts w:cstheme="minorHAnsi"/>
        </w:rPr>
      </w:r>
      <w:r w:rsidR="00577C74">
        <w:rPr>
          <w:rFonts w:cstheme="minorHAnsi"/>
        </w:rPr>
        <w:fldChar w:fldCharType="end"/>
      </w:r>
      <w:r w:rsidR="001D1579">
        <w:rPr>
          <w:rFonts w:cstheme="minorHAnsi"/>
        </w:rPr>
      </w:r>
      <w:r w:rsidR="001D1579">
        <w:rPr>
          <w:rFonts w:cstheme="minorHAnsi"/>
        </w:rPr>
        <w:fldChar w:fldCharType="separate"/>
      </w:r>
      <w:r w:rsidR="00577C74" w:rsidRPr="00577C74">
        <w:rPr>
          <w:rFonts w:cstheme="minorHAnsi"/>
          <w:noProof/>
          <w:vertAlign w:val="superscript"/>
        </w:rPr>
        <w:t>54-57</w:t>
      </w:r>
      <w:r w:rsidR="001D1579">
        <w:rPr>
          <w:rFonts w:cstheme="minorHAnsi"/>
        </w:rPr>
        <w:fldChar w:fldCharType="end"/>
      </w:r>
      <w:r w:rsidRPr="00475A97">
        <w:rPr>
          <w:rFonts w:cstheme="minorHAnsi"/>
        </w:rPr>
        <w:t xml:space="preserve"> </w:t>
      </w:r>
      <w:r w:rsidR="00D90821">
        <w:rPr>
          <w:rFonts w:cstheme="minorHAnsi"/>
        </w:rPr>
        <w:t xml:space="preserve">The Commission will also </w:t>
      </w:r>
      <w:r w:rsidR="007910F7">
        <w:rPr>
          <w:rFonts w:cstheme="minorHAnsi"/>
        </w:rPr>
        <w:t xml:space="preserve">promote </w:t>
      </w:r>
      <w:r w:rsidR="00C23255">
        <w:rPr>
          <w:rFonts w:cstheme="minorHAnsi"/>
        </w:rPr>
        <w:t>infection prevention and control</w:t>
      </w:r>
      <w:r w:rsidR="008462B0">
        <w:rPr>
          <w:rFonts w:cstheme="minorHAnsi"/>
        </w:rPr>
        <w:t xml:space="preserve"> practices</w:t>
      </w:r>
      <w:r w:rsidR="007910F7">
        <w:rPr>
          <w:rFonts w:cstheme="minorHAnsi"/>
        </w:rPr>
        <w:t xml:space="preserve"> in the community to reduce the spread of AMR.</w:t>
      </w:r>
    </w:p>
    <w:p w14:paraId="70611EC7" w14:textId="0494A548" w:rsidR="00DE3F2C" w:rsidRDefault="00DE3F2C" w:rsidP="00DE3F2C">
      <w:pPr>
        <w:rPr>
          <w:rFonts w:cstheme="minorHAnsi"/>
        </w:rPr>
      </w:pPr>
      <w:r>
        <w:rPr>
          <w:rFonts w:cstheme="minorHAnsi"/>
        </w:rPr>
        <w:t xml:space="preserve">This </w:t>
      </w:r>
      <w:r w:rsidR="00D44AED">
        <w:rPr>
          <w:rFonts w:cstheme="minorHAnsi"/>
        </w:rPr>
        <w:t xml:space="preserve">approach </w:t>
      </w:r>
      <w:r w:rsidR="008462B0">
        <w:rPr>
          <w:rFonts w:cstheme="minorHAnsi"/>
        </w:rPr>
        <w:t xml:space="preserve">is adopted because </w:t>
      </w:r>
      <w:r>
        <w:rPr>
          <w:rFonts w:cstheme="minorHAnsi"/>
        </w:rPr>
        <w:t>c</w:t>
      </w:r>
      <w:r w:rsidRPr="00F836BF">
        <w:rPr>
          <w:rFonts w:cstheme="minorHAnsi"/>
        </w:rPr>
        <w:t xml:space="preserve">ombined strategies of AMS and infection prevention and </w:t>
      </w:r>
      <w:r w:rsidRPr="00BA46D9">
        <w:rPr>
          <w:rFonts w:cstheme="minorHAnsi"/>
        </w:rPr>
        <w:t>control in the community</w:t>
      </w:r>
      <w:r>
        <w:rPr>
          <w:rFonts w:cstheme="minorHAnsi"/>
        </w:rPr>
        <w:t xml:space="preserve"> appear to be</w:t>
      </w:r>
      <w:r w:rsidRPr="00BA46D9">
        <w:rPr>
          <w:rFonts w:cstheme="minorHAnsi"/>
        </w:rPr>
        <w:t xml:space="preserve"> most effective in reducing antimicrobial use and improving prescribing appropriateness. However, strategies must be dynamic to adapt to challenges like ongoing </w:t>
      </w:r>
      <w:r>
        <w:rPr>
          <w:rFonts w:cstheme="minorHAnsi"/>
        </w:rPr>
        <w:t xml:space="preserve">medicines </w:t>
      </w:r>
      <w:r w:rsidRPr="00BA46D9">
        <w:rPr>
          <w:rFonts w:cstheme="minorHAnsi"/>
        </w:rPr>
        <w:t>short</w:t>
      </w:r>
      <w:r>
        <w:rPr>
          <w:rFonts w:cstheme="minorHAnsi"/>
        </w:rPr>
        <w:t>ages</w:t>
      </w:r>
      <w:r w:rsidR="00F0554E">
        <w:rPr>
          <w:rFonts w:cstheme="minorHAnsi"/>
        </w:rPr>
        <w:t>, and to particular settings and populations</w:t>
      </w:r>
      <w:r w:rsidRPr="00BA46D9">
        <w:rPr>
          <w:rFonts w:cstheme="minorHAnsi"/>
        </w:rPr>
        <w:t>.</w:t>
      </w:r>
    </w:p>
    <w:p w14:paraId="7DAFEA93" w14:textId="4CE0ED1C" w:rsidR="00D97129" w:rsidRDefault="00214556" w:rsidP="00D97129">
      <w:r>
        <w:rPr>
          <w:rFonts w:cstheme="minorHAnsi"/>
        </w:rPr>
        <w:t xml:space="preserve">Although </w:t>
      </w:r>
      <w:r w:rsidR="00A32FCE">
        <w:rPr>
          <w:rFonts w:cstheme="minorHAnsi"/>
        </w:rPr>
        <w:t xml:space="preserve">antimicrobial use in </w:t>
      </w:r>
      <w:r w:rsidR="005C3AEF">
        <w:rPr>
          <w:rFonts w:cstheme="minorHAnsi"/>
        </w:rPr>
        <w:t xml:space="preserve">aged care </w:t>
      </w:r>
      <w:r w:rsidR="00A32FCE">
        <w:rPr>
          <w:rFonts w:cstheme="minorHAnsi"/>
        </w:rPr>
        <w:t xml:space="preserve">homes </w:t>
      </w:r>
      <w:r w:rsidR="005C3AEF">
        <w:rPr>
          <w:rFonts w:cstheme="minorHAnsi"/>
        </w:rPr>
        <w:t xml:space="preserve">accounts for </w:t>
      </w:r>
      <w:r w:rsidR="00373D4E">
        <w:rPr>
          <w:rFonts w:cstheme="minorHAnsi"/>
        </w:rPr>
        <w:t>a very</w:t>
      </w:r>
      <w:r w:rsidR="005C3AEF">
        <w:rPr>
          <w:rFonts w:cstheme="minorHAnsi"/>
        </w:rPr>
        <w:t xml:space="preserve"> small proportion of </w:t>
      </w:r>
      <w:r w:rsidR="007F0C45">
        <w:rPr>
          <w:rFonts w:cstheme="minorHAnsi"/>
        </w:rPr>
        <w:t xml:space="preserve">overall </w:t>
      </w:r>
      <w:r w:rsidR="00F31FA9">
        <w:rPr>
          <w:rFonts w:cstheme="minorHAnsi"/>
        </w:rPr>
        <w:t>use</w:t>
      </w:r>
      <w:r w:rsidR="005C3AEF">
        <w:rPr>
          <w:rFonts w:cstheme="minorHAnsi"/>
        </w:rPr>
        <w:t xml:space="preserve"> in the community, the very high </w:t>
      </w:r>
      <w:r w:rsidR="00F31FA9">
        <w:rPr>
          <w:rFonts w:cstheme="minorHAnsi"/>
        </w:rPr>
        <w:t xml:space="preserve">dispensing </w:t>
      </w:r>
      <w:r w:rsidR="005C3AEF">
        <w:rPr>
          <w:rFonts w:cstheme="minorHAnsi"/>
        </w:rPr>
        <w:t xml:space="preserve">rates </w:t>
      </w:r>
      <w:r w:rsidR="00CB32F0">
        <w:rPr>
          <w:rFonts w:cstheme="minorHAnsi"/>
        </w:rPr>
        <w:t xml:space="preserve">per person </w:t>
      </w:r>
      <w:r w:rsidR="00E6145B">
        <w:rPr>
          <w:rFonts w:cstheme="minorHAnsi"/>
        </w:rPr>
        <w:t xml:space="preserve">and the volume of use </w:t>
      </w:r>
      <w:r w:rsidR="005C3AEF">
        <w:rPr>
          <w:rFonts w:cstheme="minorHAnsi"/>
        </w:rPr>
        <w:t>are cause for concern</w:t>
      </w:r>
      <w:r w:rsidR="00B3620F">
        <w:rPr>
          <w:rFonts w:cstheme="minorHAnsi"/>
        </w:rPr>
        <w:t xml:space="preserve">. Antimicrobial use is </w:t>
      </w:r>
      <w:r w:rsidR="005C3AEF">
        <w:rPr>
          <w:rFonts w:cstheme="minorHAnsi"/>
        </w:rPr>
        <w:t xml:space="preserve">notably higher </w:t>
      </w:r>
      <w:r w:rsidR="00B3620F">
        <w:rPr>
          <w:rFonts w:cstheme="minorHAnsi"/>
        </w:rPr>
        <w:t xml:space="preserve">for older Australians who reside in aged care homes than </w:t>
      </w:r>
      <w:r w:rsidR="00D44AED">
        <w:rPr>
          <w:rFonts w:cstheme="minorHAnsi"/>
        </w:rPr>
        <w:t xml:space="preserve">for </w:t>
      </w:r>
      <w:r w:rsidR="00B3620F">
        <w:rPr>
          <w:rFonts w:cstheme="minorHAnsi"/>
        </w:rPr>
        <w:t xml:space="preserve">those </w:t>
      </w:r>
      <w:r w:rsidR="00147228">
        <w:rPr>
          <w:rFonts w:cstheme="minorHAnsi"/>
        </w:rPr>
        <w:t xml:space="preserve">who reside </w:t>
      </w:r>
      <w:r w:rsidR="00B3620F">
        <w:rPr>
          <w:rFonts w:cstheme="minorHAnsi"/>
        </w:rPr>
        <w:t>in the community</w:t>
      </w:r>
      <w:r w:rsidR="00C45633">
        <w:rPr>
          <w:rFonts w:cstheme="minorHAnsi"/>
        </w:rPr>
        <w:t>.</w:t>
      </w:r>
      <w:r w:rsidR="005C3AEF">
        <w:rPr>
          <w:rFonts w:cstheme="minorHAnsi"/>
        </w:rPr>
        <w:t xml:space="preserve"> </w:t>
      </w:r>
      <w:r w:rsidR="00D97129">
        <w:rPr>
          <w:rFonts w:cstheme="minorHAnsi"/>
        </w:rPr>
        <w:t>It is well documented that a</w:t>
      </w:r>
      <w:r w:rsidR="00D97129" w:rsidRPr="00D97129">
        <w:rPr>
          <w:rFonts w:cstheme="minorHAnsi"/>
        </w:rPr>
        <w:t>ged care home</w:t>
      </w:r>
      <w:r w:rsidR="00D97129">
        <w:rPr>
          <w:rFonts w:cstheme="minorHAnsi"/>
        </w:rPr>
        <w:t xml:space="preserve"> </w:t>
      </w:r>
      <w:r w:rsidR="00D97129" w:rsidRPr="00D97129">
        <w:rPr>
          <w:rFonts w:cstheme="minorHAnsi"/>
        </w:rPr>
        <w:t>residents are susceptible to infections for a</w:t>
      </w:r>
      <w:r w:rsidR="00D97129">
        <w:rPr>
          <w:rFonts w:cstheme="minorHAnsi"/>
        </w:rPr>
        <w:t xml:space="preserve"> </w:t>
      </w:r>
      <w:r w:rsidR="00D97129" w:rsidRPr="00D97129">
        <w:rPr>
          <w:rFonts w:cstheme="minorHAnsi"/>
        </w:rPr>
        <w:t>variety of reasons, including advanced age,</w:t>
      </w:r>
      <w:r w:rsidR="00D97129">
        <w:rPr>
          <w:rFonts w:cstheme="minorHAnsi"/>
        </w:rPr>
        <w:t xml:space="preserve"> </w:t>
      </w:r>
      <w:r w:rsidR="00D97129" w:rsidRPr="00D97129">
        <w:rPr>
          <w:rFonts w:cstheme="minorHAnsi"/>
        </w:rPr>
        <w:t>multiple comorbidities, poor functional status</w:t>
      </w:r>
      <w:r w:rsidR="00D97129">
        <w:rPr>
          <w:rFonts w:cstheme="minorHAnsi"/>
        </w:rPr>
        <w:t xml:space="preserve"> </w:t>
      </w:r>
      <w:r w:rsidR="00D97129" w:rsidRPr="00D97129">
        <w:rPr>
          <w:rFonts w:cstheme="minorHAnsi"/>
        </w:rPr>
        <w:t>and compromised immune status.</w:t>
      </w:r>
      <w:r w:rsidR="002E5AD5" w:rsidRPr="004D1957">
        <w:fldChar w:fldCharType="begin"/>
      </w:r>
      <w:r w:rsidR="00087F2D">
        <w:instrText xml:space="preserve"> ADDIN EN.CITE &lt;EndNote&gt;&lt;Cite&gt;&lt;Author&gt;Australian Commission on Safety and Quality in Health Care&lt;/Author&gt;&lt;Year&gt;2023&lt;/Year&gt;&lt;RecNum&gt;68&lt;/RecNum&gt;&lt;DisplayText&gt;&lt;style face="superscript"&gt;18&lt;/style&gt;&lt;/DisplayText&gt;&lt;record&gt;&lt;rec-number&gt;68&lt;/rec-number&gt;&lt;foreign-keys&gt;&lt;key app="EN" db-id="0a9sasvr7dwawyeva9qpw09xaap9erv5ad5e" timestamp="1704343318"&gt;68&lt;/key&gt;&lt;/foreign-keys&gt;&lt;ref-type name="Government Document"&gt;46&lt;/ref-type&gt;&lt;contributors&gt;&lt;authors&gt;&lt;author&gt;Australian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health&lt;/title&gt;&lt;/titles&gt;&lt;dates&gt;&lt;year&gt;2023&lt;/year&gt;&lt;/dates&gt;&lt;pub-location&gt;Sydney&lt;/pub-location&gt;&lt;publisher&gt;ACSQHC&lt;/publisher&gt;&lt;urls&gt;&lt;/urls&gt;&lt;access-date&gt;Jan 2024&lt;/access-date&gt;&lt;/record&gt;&lt;/Cite&gt;&lt;/EndNote&gt;</w:instrText>
      </w:r>
      <w:r w:rsidR="002E5AD5" w:rsidRPr="004D1957">
        <w:fldChar w:fldCharType="separate"/>
      </w:r>
      <w:r w:rsidR="00087F2D" w:rsidRPr="00087F2D">
        <w:rPr>
          <w:noProof/>
          <w:vertAlign w:val="superscript"/>
        </w:rPr>
        <w:t>18</w:t>
      </w:r>
      <w:r w:rsidR="002E5AD5" w:rsidRPr="004D1957">
        <w:fldChar w:fldCharType="end"/>
      </w:r>
      <w:r w:rsidR="00D97129" w:rsidRPr="00D97129">
        <w:rPr>
          <w:rFonts w:cstheme="minorHAnsi"/>
        </w:rPr>
        <w:t xml:space="preserve"> Being</w:t>
      </w:r>
      <w:r w:rsidR="00D97129">
        <w:rPr>
          <w:rFonts w:cstheme="minorHAnsi"/>
        </w:rPr>
        <w:t xml:space="preserve"> </w:t>
      </w:r>
      <w:r w:rsidR="00D97129" w:rsidRPr="00D97129">
        <w:rPr>
          <w:rFonts w:cstheme="minorHAnsi"/>
        </w:rPr>
        <w:t>residential, these facilities are a close living</w:t>
      </w:r>
      <w:r w:rsidR="00D97129">
        <w:rPr>
          <w:rFonts w:cstheme="minorHAnsi"/>
        </w:rPr>
        <w:t xml:space="preserve"> </w:t>
      </w:r>
      <w:r w:rsidR="00D97129" w:rsidRPr="00D97129">
        <w:rPr>
          <w:rFonts w:cstheme="minorHAnsi"/>
        </w:rPr>
        <w:t>environment for residents in which they will</w:t>
      </w:r>
      <w:r w:rsidR="00D97129">
        <w:rPr>
          <w:rFonts w:cstheme="minorHAnsi"/>
        </w:rPr>
        <w:t xml:space="preserve"> </w:t>
      </w:r>
      <w:r w:rsidR="00D97129" w:rsidRPr="00D97129">
        <w:rPr>
          <w:rFonts w:cstheme="minorHAnsi"/>
        </w:rPr>
        <w:t xml:space="preserve">likely be in frequent contact with potentially colonised or infected </w:t>
      </w:r>
      <w:r w:rsidR="001D7233" w:rsidRPr="00D97129">
        <w:rPr>
          <w:rFonts w:cstheme="minorHAnsi"/>
        </w:rPr>
        <w:t>staff</w:t>
      </w:r>
      <w:r w:rsidR="00AD2D9B">
        <w:rPr>
          <w:rFonts w:cstheme="minorHAnsi"/>
        </w:rPr>
        <w:t xml:space="preserve">, </w:t>
      </w:r>
      <w:r w:rsidR="001D7233">
        <w:rPr>
          <w:rFonts w:cstheme="minorHAnsi"/>
        </w:rPr>
        <w:t>visitors</w:t>
      </w:r>
      <w:r w:rsidR="00AD2D9B">
        <w:rPr>
          <w:rFonts w:cstheme="minorHAnsi"/>
        </w:rPr>
        <w:t xml:space="preserve"> or other residents</w:t>
      </w:r>
      <w:r w:rsidR="00E6145B">
        <w:rPr>
          <w:rFonts w:cstheme="minorHAnsi"/>
        </w:rPr>
        <w:t xml:space="preserve">, </w:t>
      </w:r>
      <w:r w:rsidR="00854682">
        <w:rPr>
          <w:rFonts w:cstheme="minorHAnsi"/>
        </w:rPr>
        <w:t>and</w:t>
      </w:r>
      <w:r w:rsidR="00BC6EF0">
        <w:rPr>
          <w:rFonts w:cstheme="minorHAnsi"/>
        </w:rPr>
        <w:t xml:space="preserve"> </w:t>
      </w:r>
      <w:r w:rsidR="00E6145B">
        <w:rPr>
          <w:rFonts w:cstheme="minorHAnsi"/>
        </w:rPr>
        <w:t xml:space="preserve">environmental </w:t>
      </w:r>
      <w:r w:rsidR="00D97129" w:rsidRPr="00D97129">
        <w:rPr>
          <w:rFonts w:cstheme="minorHAnsi"/>
        </w:rPr>
        <w:t>surfaces. Residents may also have multiple</w:t>
      </w:r>
      <w:r w:rsidR="00D97129">
        <w:rPr>
          <w:rFonts w:cstheme="minorHAnsi"/>
        </w:rPr>
        <w:t xml:space="preserve"> </w:t>
      </w:r>
      <w:r w:rsidR="00D97129" w:rsidRPr="00D97129">
        <w:rPr>
          <w:rFonts w:cstheme="minorHAnsi"/>
        </w:rPr>
        <w:t>or prolonged hospitalisations for the same</w:t>
      </w:r>
      <w:r w:rsidR="00D97129">
        <w:rPr>
          <w:rFonts w:cstheme="minorHAnsi"/>
        </w:rPr>
        <w:t xml:space="preserve"> </w:t>
      </w:r>
      <w:r w:rsidR="00D97129" w:rsidRPr="00D97129">
        <w:rPr>
          <w:rFonts w:cstheme="minorHAnsi"/>
        </w:rPr>
        <w:t>reasons that make them susceptible to</w:t>
      </w:r>
      <w:r w:rsidR="00D97129">
        <w:rPr>
          <w:rFonts w:cstheme="minorHAnsi"/>
        </w:rPr>
        <w:t xml:space="preserve"> </w:t>
      </w:r>
      <w:r w:rsidR="00D97129" w:rsidRPr="00D97129">
        <w:rPr>
          <w:rFonts w:cstheme="minorHAnsi"/>
        </w:rPr>
        <w:t>infections</w:t>
      </w:r>
      <w:r w:rsidR="008268AC">
        <w:rPr>
          <w:rFonts w:cstheme="minorHAnsi"/>
        </w:rPr>
        <w:t>.</w:t>
      </w:r>
      <w:r w:rsidR="00A2744B" w:rsidRPr="004D1957">
        <w:fldChar w:fldCharType="begin"/>
      </w:r>
      <w:r w:rsidR="00087F2D">
        <w:instrText xml:space="preserve"> ADDIN EN.CITE &lt;EndNote&gt;&lt;Cite&gt;&lt;Author&gt;Australian Commission on Safety and Quality in Health Care&lt;/Author&gt;&lt;Year&gt;2023&lt;/Year&gt;&lt;RecNum&gt;68&lt;/RecNum&gt;&lt;DisplayText&gt;&lt;style face="superscript"&gt;18&lt;/style&gt;&lt;/DisplayText&gt;&lt;record&gt;&lt;rec-number&gt;68&lt;/rec-number&gt;&lt;foreign-keys&gt;&lt;key app="EN" db-id="0a9sasvr7dwawyeva9qpw09xaap9erv5ad5e" timestamp="1704343318"&gt;68&lt;/key&gt;&lt;/foreign-keys&gt;&lt;ref-type name="Government Document"&gt;46&lt;/ref-type&gt;&lt;contributors&gt;&lt;authors&gt;&lt;author&gt;Australian Commission on Safety and Quality in Health Care,&lt;/author&gt;&lt;/authors&gt;&lt;/contributors&gt;&lt;titles&gt;&lt;title&gt;AURA 2023: fifth Australian report on antimicrobial use and resistance in human health&lt;/title&gt;&lt;/titles&gt;&lt;dates&gt;&lt;year&gt;2023&lt;/year&gt;&lt;/dates&gt;&lt;pub-location&gt;Sydney&lt;/pub-location&gt;&lt;publisher&gt;ACSQHC&lt;/publisher&gt;&lt;urls&gt;&lt;/urls&gt;&lt;access-date&gt;Jan 2024&lt;/access-date&gt;&lt;/record&gt;&lt;/Cite&gt;&lt;/EndNote&gt;</w:instrText>
      </w:r>
      <w:r w:rsidR="00A2744B" w:rsidRPr="004D1957">
        <w:fldChar w:fldCharType="separate"/>
      </w:r>
      <w:r w:rsidR="00087F2D" w:rsidRPr="00087F2D">
        <w:rPr>
          <w:noProof/>
          <w:vertAlign w:val="superscript"/>
        </w:rPr>
        <w:t>18</w:t>
      </w:r>
      <w:r w:rsidR="00A2744B" w:rsidRPr="004D1957">
        <w:fldChar w:fldCharType="end"/>
      </w:r>
      <w:r w:rsidR="009C3D7C">
        <w:t xml:space="preserve"> </w:t>
      </w:r>
    </w:p>
    <w:p w14:paraId="2061C44F" w14:textId="3F2AFCD9" w:rsidR="009C3D7C" w:rsidRDefault="00D97129" w:rsidP="00D97129">
      <w:r>
        <w:t xml:space="preserve">Despite </w:t>
      </w:r>
      <w:r w:rsidRPr="00D97129">
        <w:t>the contributing factors</w:t>
      </w:r>
      <w:r>
        <w:t xml:space="preserve"> that increase the risk of infection for aged care home residents, h</w:t>
      </w:r>
      <w:r w:rsidRPr="00D97129">
        <w:t xml:space="preserve">igh levels of inappropriate antimicrobial prescribing and use in aged care homes are </w:t>
      </w:r>
      <w:r>
        <w:t xml:space="preserve">also </w:t>
      </w:r>
      <w:r w:rsidRPr="00D97129">
        <w:t>well documented.</w:t>
      </w:r>
      <w:r w:rsidR="00235CC6">
        <w:fldChar w:fldCharType="begin"/>
      </w:r>
      <w:r w:rsidR="00577C74">
        <w:instrText xml:space="preserve"> ADDIN EN.CITE &lt;EndNote&gt;&lt;Cite&gt;&lt;Author&gt;Royal Melbourne Hospital and the National Centre for Antimicrobial Stewardship&lt;/Author&gt;&lt;Year&gt;2024&lt;/Year&gt;&lt;RecNum&gt;542&lt;/RecNum&gt;&lt;DisplayText&gt;&lt;style face="superscript"&gt;41&lt;/style&gt;&lt;/DisplayText&gt;&lt;record&gt;&lt;rec-number&gt;542&lt;/rec-number&gt;&lt;foreign-keys&gt;&lt;key app="EN" db-id="0a9sasvr7dwawyeva9qpw09xaap9erv5ad5e" timestamp="1718837701"&gt;542&lt;/key&gt;&lt;/foreign-keys&gt;&lt;ref-type name="Government Document"&gt;46&lt;/ref-type&gt;&lt;contributors&gt;&lt;authors&gt;&lt;author&gt;Royal Melbourne Hospital and the National Centre for Antimicrobial Stewardship,&lt;/author&gt;&lt;/authors&gt;&lt;/contributors&gt;&lt;titles&gt;&lt;title&gt;Infections and antimicrobial prescribing in Australian residential aged care facilities. Results of the 2022 Aged Care National Antimicrobial Prescribing Survey&lt;/title&gt;&lt;/titles&gt;&lt;dates&gt;&lt;year&gt;2024&lt;/year&gt;&lt;/dates&gt;&lt;pub-location&gt;Canberra&lt;/pub-location&gt;&lt;publisher&gt;Department of Health and Aged Care&lt;/publisher&gt;&lt;urls&gt;&lt;related-urls&gt;&lt;url&gt;https://www.amr.gov.au/sites/default/files/2024-05/infection-and-antimicrobial-prescribing-in-australian-residential-aged-care-facilities-results-of-the-2022-aged-care-naps.pdf&lt;/url&gt;&lt;/related-urls&gt;&lt;/urls&gt;&lt;/record&gt;&lt;/Cite&gt;&lt;/EndNote&gt;</w:instrText>
      </w:r>
      <w:r w:rsidR="00235CC6">
        <w:fldChar w:fldCharType="separate"/>
      </w:r>
      <w:r w:rsidR="00577C74" w:rsidRPr="00577C74">
        <w:rPr>
          <w:noProof/>
          <w:vertAlign w:val="superscript"/>
        </w:rPr>
        <w:t>41</w:t>
      </w:r>
      <w:r w:rsidR="00235CC6">
        <w:fldChar w:fldCharType="end"/>
      </w:r>
      <w:r>
        <w:t xml:space="preserve"> </w:t>
      </w:r>
      <w:r w:rsidR="005B19CE">
        <w:t>The gap in surveillance of</w:t>
      </w:r>
      <w:r w:rsidR="00D44AED">
        <w:t xml:space="preserve"> indication and</w:t>
      </w:r>
      <w:r w:rsidR="005B19CE">
        <w:t xml:space="preserve"> non-prescription antimicrobials</w:t>
      </w:r>
      <w:r w:rsidR="002000EB">
        <w:t xml:space="preserve"> in the PBS and RPBS dataset</w:t>
      </w:r>
      <w:r w:rsidR="005B19CE">
        <w:t xml:space="preserve"> is</w:t>
      </w:r>
      <w:r w:rsidR="008F29DA">
        <w:t xml:space="preserve"> also</w:t>
      </w:r>
      <w:r w:rsidR="005B19CE">
        <w:t xml:space="preserve"> important to note</w:t>
      </w:r>
      <w:r>
        <w:t xml:space="preserve"> in this context</w:t>
      </w:r>
      <w:r w:rsidR="008F6875">
        <w:t xml:space="preserve">. This is </w:t>
      </w:r>
      <w:r w:rsidR="005B19CE">
        <w:t>especially for skin conditions, which</w:t>
      </w:r>
      <w:r w:rsidR="00E63BE9">
        <w:t xml:space="preserve"> are often treated</w:t>
      </w:r>
      <w:r w:rsidR="00D44AED">
        <w:t xml:space="preserve"> with</w:t>
      </w:r>
      <w:r w:rsidR="00E63BE9">
        <w:t xml:space="preserve"> over-the-counter </w:t>
      </w:r>
      <w:r w:rsidR="00D44AED">
        <w:t xml:space="preserve">antimicrobials </w:t>
      </w:r>
      <w:r w:rsidR="00E63BE9">
        <w:t xml:space="preserve">and are </w:t>
      </w:r>
      <w:r w:rsidR="005B19CE">
        <w:t xml:space="preserve">the most common reason for antimicrobial </w:t>
      </w:r>
      <w:r w:rsidR="00635FC7">
        <w:t xml:space="preserve">prescribing in aged care homes </w:t>
      </w:r>
      <w:r w:rsidR="005B19CE">
        <w:t xml:space="preserve">according to the </w:t>
      </w:r>
      <w:r w:rsidR="00A57EBA">
        <w:t>Aged Care National Antimicrobial Prescribing Survey</w:t>
      </w:r>
      <w:r w:rsidR="005B19CE">
        <w:t>.</w:t>
      </w:r>
      <w:r w:rsidR="00AB53DE">
        <w:fldChar w:fldCharType="begin"/>
      </w:r>
      <w:r w:rsidR="00577C74">
        <w:instrText xml:space="preserve"> ADDIN EN.CITE &lt;EndNote&gt;&lt;Cite&gt;&lt;Author&gt;Royal Melbourne Hospital and the National Centre for Antimicrobial Stewardship&lt;/Author&gt;&lt;Year&gt;2024&lt;/Year&gt;&lt;RecNum&gt;542&lt;/RecNum&gt;&lt;DisplayText&gt;&lt;style face="superscript"&gt;41&lt;/style&gt;&lt;/DisplayText&gt;&lt;record&gt;&lt;rec-number&gt;542&lt;/rec-number&gt;&lt;foreign-keys&gt;&lt;key app="EN" db-id="0a9sasvr7dwawyeva9qpw09xaap9erv5ad5e" timestamp="1718837701"&gt;542&lt;/key&gt;&lt;/foreign-keys&gt;&lt;ref-type name="Government Document"&gt;46&lt;/ref-type&gt;&lt;contributors&gt;&lt;authors&gt;&lt;author&gt;Royal Melbourne Hospital and the National Centre for Antimicrobial Stewardship,&lt;/author&gt;&lt;/authors&gt;&lt;/contributors&gt;&lt;titles&gt;&lt;title&gt;Infections and antimicrobial prescribing in Australian residential aged care facilities. Results of the 2022 Aged Care National Antimicrobial Prescribing Survey&lt;/title&gt;&lt;/titles&gt;&lt;dates&gt;&lt;year&gt;2024&lt;/year&gt;&lt;/dates&gt;&lt;pub-location&gt;Canberra&lt;/pub-location&gt;&lt;publisher&gt;Department of Health and Aged Care&lt;/publisher&gt;&lt;urls&gt;&lt;related-urls&gt;&lt;url&gt;https://www.amr.gov.au/sites/default/files/2024-05/infection-and-antimicrobial-prescribing-in-australian-residential-aged-care-facilities-results-of-the-2022-aged-care-naps.pdf&lt;/url&gt;&lt;/related-urls&gt;&lt;/urls&gt;&lt;/record&gt;&lt;/Cite&gt;&lt;/EndNote&gt;</w:instrText>
      </w:r>
      <w:r w:rsidR="00AB53DE">
        <w:fldChar w:fldCharType="separate"/>
      </w:r>
      <w:r w:rsidR="00577C74" w:rsidRPr="00577C74">
        <w:rPr>
          <w:noProof/>
          <w:vertAlign w:val="superscript"/>
        </w:rPr>
        <w:t>41</w:t>
      </w:r>
      <w:r w:rsidR="00AB53DE">
        <w:fldChar w:fldCharType="end"/>
      </w:r>
      <w:r w:rsidR="00E80C6A">
        <w:t xml:space="preserve"> Targeted AMS and infection prevention and control strategies are important for improving the safety of care provided to aged care home residents. </w:t>
      </w:r>
    </w:p>
    <w:p w14:paraId="13377E3B" w14:textId="2E059D4E" w:rsidR="00DE3F2C" w:rsidRPr="0046405F" w:rsidRDefault="00DE3F2C" w:rsidP="00E20D27">
      <w:pPr>
        <w:rPr>
          <w:rFonts w:cstheme="minorHAnsi"/>
        </w:rPr>
      </w:pPr>
      <w:r w:rsidRPr="0046405F">
        <w:rPr>
          <w:rFonts w:cstheme="minorHAnsi"/>
        </w:rPr>
        <w:t xml:space="preserve">The Commission will continue to work with </w:t>
      </w:r>
      <w:r w:rsidR="00E20D27" w:rsidRPr="0046405F">
        <w:rPr>
          <w:rFonts w:cstheme="minorHAnsi"/>
        </w:rPr>
        <w:t>health</w:t>
      </w:r>
      <w:r w:rsidR="00C07F01">
        <w:rPr>
          <w:rFonts w:cstheme="minorHAnsi"/>
        </w:rPr>
        <w:t xml:space="preserve"> service</w:t>
      </w:r>
      <w:r w:rsidR="00E20D27" w:rsidRPr="0046405F">
        <w:rPr>
          <w:rFonts w:cstheme="minorHAnsi"/>
        </w:rPr>
        <w:t xml:space="preserve"> providers and clinicians and local and professional organisations </w:t>
      </w:r>
      <w:r w:rsidRPr="0046405F">
        <w:rPr>
          <w:rFonts w:cstheme="minorHAnsi"/>
        </w:rPr>
        <w:t xml:space="preserve">across the community and aged care </w:t>
      </w:r>
      <w:r w:rsidR="00E20D27" w:rsidRPr="0046405F">
        <w:rPr>
          <w:rFonts w:cstheme="minorHAnsi"/>
        </w:rPr>
        <w:t>setting</w:t>
      </w:r>
      <w:r w:rsidR="0046405F" w:rsidRPr="0046405F">
        <w:rPr>
          <w:rFonts w:cstheme="minorHAnsi"/>
        </w:rPr>
        <w:t>s</w:t>
      </w:r>
      <w:r w:rsidR="00827FFB">
        <w:rPr>
          <w:rFonts w:cstheme="minorHAnsi"/>
        </w:rPr>
        <w:t xml:space="preserve">, and use </w:t>
      </w:r>
      <w:r w:rsidR="00C07F01">
        <w:rPr>
          <w:rFonts w:cstheme="minorHAnsi"/>
        </w:rPr>
        <w:t xml:space="preserve">surveillance </w:t>
      </w:r>
      <w:r w:rsidR="00827FFB">
        <w:rPr>
          <w:rFonts w:cstheme="minorHAnsi"/>
        </w:rPr>
        <w:t xml:space="preserve">data to inform </w:t>
      </w:r>
      <w:r w:rsidR="00D97129">
        <w:rPr>
          <w:rFonts w:cstheme="minorHAnsi"/>
        </w:rPr>
        <w:t xml:space="preserve">targeted </w:t>
      </w:r>
      <w:r w:rsidR="00827FFB">
        <w:rPr>
          <w:rFonts w:cstheme="minorHAnsi"/>
        </w:rPr>
        <w:t xml:space="preserve">strategies for </w:t>
      </w:r>
      <w:r w:rsidR="00DA0F21" w:rsidRPr="0046405F">
        <w:rPr>
          <w:rFonts w:cstheme="minorHAnsi"/>
        </w:rPr>
        <w:t>improv</w:t>
      </w:r>
      <w:r w:rsidR="00827FFB">
        <w:rPr>
          <w:rFonts w:cstheme="minorHAnsi"/>
        </w:rPr>
        <w:t>ing</w:t>
      </w:r>
      <w:r w:rsidR="00DA0F21" w:rsidRPr="0046405F">
        <w:rPr>
          <w:rFonts w:cstheme="minorHAnsi"/>
        </w:rPr>
        <w:t xml:space="preserve"> antimicrobial use</w:t>
      </w:r>
      <w:r w:rsidR="00624D37">
        <w:rPr>
          <w:rFonts w:cstheme="minorHAnsi"/>
        </w:rPr>
        <w:t xml:space="preserve"> and </w:t>
      </w:r>
      <w:r w:rsidR="00E80C6A">
        <w:rPr>
          <w:rFonts w:cstheme="minorHAnsi"/>
        </w:rPr>
        <w:t xml:space="preserve">resident and </w:t>
      </w:r>
      <w:r w:rsidR="00624D37">
        <w:rPr>
          <w:rFonts w:cstheme="minorHAnsi"/>
        </w:rPr>
        <w:t>patient safety</w:t>
      </w:r>
      <w:r w:rsidR="00DA0F21" w:rsidRPr="0046405F">
        <w:rPr>
          <w:rFonts w:cstheme="minorHAnsi"/>
        </w:rPr>
        <w:t xml:space="preserve">. </w:t>
      </w:r>
      <w:r w:rsidR="00E6145B">
        <w:rPr>
          <w:rFonts w:cstheme="minorHAnsi"/>
        </w:rPr>
        <w:t>In addition, t</w:t>
      </w:r>
      <w:r w:rsidR="00DA0F21" w:rsidRPr="0046405F">
        <w:rPr>
          <w:rFonts w:cstheme="minorHAnsi"/>
        </w:rPr>
        <w:t>he Commission will</w:t>
      </w:r>
      <w:r w:rsidR="00E80C6A">
        <w:rPr>
          <w:rFonts w:cstheme="minorHAnsi"/>
        </w:rPr>
        <w:t xml:space="preserve"> </w:t>
      </w:r>
      <w:r w:rsidR="00DD5EC2">
        <w:rPr>
          <w:rFonts w:cstheme="minorHAnsi"/>
        </w:rPr>
        <w:t xml:space="preserve">continue to </w:t>
      </w:r>
      <w:r w:rsidR="003938DF" w:rsidRPr="0046405F">
        <w:rPr>
          <w:rFonts w:cstheme="minorHAnsi"/>
        </w:rPr>
        <w:t>s</w:t>
      </w:r>
      <w:r w:rsidRPr="0046405F">
        <w:rPr>
          <w:rFonts w:cstheme="minorHAnsi"/>
        </w:rPr>
        <w:t xml:space="preserve">upport </w:t>
      </w:r>
      <w:r w:rsidR="00E20D27" w:rsidRPr="0046405F">
        <w:rPr>
          <w:rFonts w:cstheme="minorHAnsi"/>
        </w:rPr>
        <w:t xml:space="preserve">the </w:t>
      </w:r>
      <w:r w:rsidRPr="0046405F">
        <w:rPr>
          <w:rFonts w:cstheme="minorHAnsi"/>
        </w:rPr>
        <w:t xml:space="preserve">implementation of the </w:t>
      </w:r>
      <w:r w:rsidR="00E6145B" w:rsidRPr="00E6145B">
        <w:rPr>
          <w:rFonts w:cstheme="minorHAnsi"/>
        </w:rPr>
        <w:t xml:space="preserve">national safety and </w:t>
      </w:r>
      <w:r w:rsidR="00E6145B" w:rsidRPr="00E6145B">
        <w:rPr>
          <w:rFonts w:cstheme="minorHAnsi"/>
        </w:rPr>
        <w:lastRenderedPageBreak/>
        <w:t xml:space="preserve">quality </w:t>
      </w:r>
      <w:r w:rsidR="00E6145B">
        <w:rPr>
          <w:rFonts w:cstheme="minorHAnsi"/>
        </w:rPr>
        <w:t xml:space="preserve">standards for the </w:t>
      </w:r>
      <w:r w:rsidR="00D44AED" w:rsidRPr="0046405F">
        <w:rPr>
          <w:rFonts w:cstheme="minorHAnsi"/>
        </w:rPr>
        <w:t xml:space="preserve">primary and community and aged care </w:t>
      </w:r>
      <w:r w:rsidR="00E6145B">
        <w:rPr>
          <w:rFonts w:cstheme="minorHAnsi"/>
        </w:rPr>
        <w:t>sectors</w:t>
      </w:r>
      <w:r w:rsidR="00AB53DE">
        <w:rPr>
          <w:rFonts w:cstheme="minorHAnsi"/>
        </w:rPr>
        <w:fldChar w:fldCharType="begin">
          <w:fldData xml:space="preserve">PEVuZE5vdGU+PENpdGU+PEF1dGhvcj5BdXN0cmFsaWFuIENvbW1pc3Npb24gb24gU2FmZXR5IGFu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</w:fldData>
        </w:fldChar>
      </w:r>
      <w:r w:rsidR="00AB53DE">
        <w:rPr>
          <w:rFonts w:cstheme="minorHAnsi"/>
        </w:rPr>
        <w:instrText xml:space="preserve"> ADDIN EN.CITE </w:instrText>
      </w:r>
      <w:r w:rsidR="00AB53DE">
        <w:rPr>
          <w:rFonts w:cstheme="minorHAnsi"/>
        </w:rPr>
        <w:fldChar w:fldCharType="begin">
          <w:fldData xml:space="preserve">PEVuZE5vdGU+PENpdGU+PEF1dGhvcj5BdXN0cmFsaWFuIENvbW1pc3Npb24gb24gU2FmZXR5IGFu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</w:fldData>
        </w:fldChar>
      </w:r>
      <w:r w:rsidR="00AB53DE">
        <w:rPr>
          <w:rFonts w:cstheme="minorHAnsi"/>
        </w:rPr>
        <w:instrText xml:space="preserve"> ADDIN EN.CITE.DATA </w:instrText>
      </w:r>
      <w:r w:rsidR="00AB53DE">
        <w:rPr>
          <w:rFonts w:cstheme="minorHAnsi"/>
        </w:rPr>
      </w:r>
      <w:r w:rsidR="00AB53DE">
        <w:rPr>
          <w:rFonts w:cstheme="minorHAnsi"/>
        </w:rPr>
        <w:fldChar w:fldCharType="end"/>
      </w:r>
      <w:r w:rsidR="00AB53DE">
        <w:rPr>
          <w:rFonts w:cstheme="minorHAnsi"/>
        </w:rPr>
      </w:r>
      <w:r w:rsidR="00AB53DE">
        <w:rPr>
          <w:rFonts w:cstheme="minorHAnsi"/>
        </w:rPr>
        <w:fldChar w:fldCharType="separate"/>
      </w:r>
      <w:r w:rsidR="00AB53DE" w:rsidRPr="00AB53DE">
        <w:rPr>
          <w:rFonts w:cstheme="minorHAnsi"/>
          <w:noProof/>
          <w:vertAlign w:val="superscript"/>
        </w:rPr>
        <w:t>1-3</w:t>
      </w:r>
      <w:r w:rsidR="00AB53DE">
        <w:rPr>
          <w:rFonts w:cstheme="minorHAnsi"/>
        </w:rPr>
        <w:fldChar w:fldCharType="end"/>
      </w:r>
      <w:r w:rsidR="00312647" w:rsidRPr="0046405F">
        <w:rPr>
          <w:rFonts w:cstheme="minorHAnsi"/>
        </w:rPr>
        <w:t xml:space="preserve"> </w:t>
      </w:r>
      <w:r w:rsidR="00E80C6A">
        <w:rPr>
          <w:rFonts w:cstheme="minorHAnsi"/>
        </w:rPr>
        <w:t xml:space="preserve">to </w:t>
      </w:r>
      <w:r w:rsidR="00E6145B">
        <w:rPr>
          <w:rFonts w:cstheme="minorHAnsi"/>
        </w:rPr>
        <w:t xml:space="preserve">promote </w:t>
      </w:r>
      <w:r w:rsidR="00E80C6A">
        <w:rPr>
          <w:rFonts w:cstheme="minorHAnsi"/>
        </w:rPr>
        <w:t xml:space="preserve">effective </w:t>
      </w:r>
      <w:r w:rsidR="00FE0FF8" w:rsidRPr="0046405F">
        <w:rPr>
          <w:rFonts w:cstheme="minorHAnsi"/>
        </w:rPr>
        <w:t xml:space="preserve">infection prevention and control and </w:t>
      </w:r>
      <w:r w:rsidR="00D44AED">
        <w:rPr>
          <w:rFonts w:cstheme="minorHAnsi"/>
        </w:rPr>
        <w:t xml:space="preserve">AMS </w:t>
      </w:r>
      <w:r w:rsidR="00FE0FF8" w:rsidRPr="0046405F">
        <w:rPr>
          <w:rFonts w:cstheme="minorHAnsi"/>
        </w:rPr>
        <w:t>programs</w:t>
      </w:r>
      <w:r w:rsidR="0046405F" w:rsidRPr="0046405F">
        <w:rPr>
          <w:rFonts w:cstheme="minorHAnsi"/>
        </w:rPr>
        <w:t>.</w:t>
      </w:r>
    </w:p>
    <w:p w14:paraId="523DCB58" w14:textId="2EF506C5" w:rsidR="00DE3F2C" w:rsidRPr="00DE3F2C" w:rsidRDefault="00DE3F2C" w:rsidP="00CA40CA">
      <w:pPr>
        <w:spacing w:after="0"/>
      </w:pPr>
      <w:r>
        <w:t xml:space="preserve">The Commission will </w:t>
      </w:r>
      <w:r w:rsidR="00235CC6">
        <w:t xml:space="preserve">also </w:t>
      </w:r>
      <w:r>
        <w:t xml:space="preserve">continue to explore opportunities with the Department to enhance </w:t>
      </w:r>
      <w:r>
        <w:rPr>
          <w:rFonts w:cstheme="minorHAnsi"/>
        </w:rPr>
        <w:t xml:space="preserve">surveillance of </w:t>
      </w:r>
      <w:r w:rsidRPr="00864287">
        <w:t xml:space="preserve">the volume </w:t>
      </w:r>
      <w:r>
        <w:t xml:space="preserve">and appropriateness of </w:t>
      </w:r>
      <w:r w:rsidRPr="00864287">
        <w:t xml:space="preserve">antimicrobial use </w:t>
      </w:r>
      <w:r>
        <w:t>in Australia</w:t>
      </w:r>
      <w:r w:rsidRPr="00C760B7">
        <w:t xml:space="preserve"> </w:t>
      </w:r>
      <w:r>
        <w:t xml:space="preserve">to </w:t>
      </w:r>
      <w:r w:rsidR="00E6145B">
        <w:t xml:space="preserve">support </w:t>
      </w:r>
      <w:r>
        <w:t xml:space="preserve">the prevention and control of AMR. This </w:t>
      </w:r>
      <w:r w:rsidR="00E6145B">
        <w:t xml:space="preserve">could include </w:t>
      </w:r>
      <w:r>
        <w:t>important gaps in current surveillance efforts including repeat prescriptions</w:t>
      </w:r>
      <w:r w:rsidR="00E6145B">
        <w:t>;</w:t>
      </w:r>
      <w:r>
        <w:t xml:space="preserve"> the indications for use and supply of antimicrobials outside the PBS and RPBS, namely private prescriptions</w:t>
      </w:r>
      <w:r w:rsidR="00E6145B">
        <w:t xml:space="preserve"> and emerging models of service delivery </w:t>
      </w:r>
      <w:r w:rsidR="00CA6FB0">
        <w:t xml:space="preserve">involving </w:t>
      </w:r>
      <w:r w:rsidR="00E6145B">
        <w:t xml:space="preserve">community pharmacy </w:t>
      </w:r>
      <w:r w:rsidR="00CA6FB0">
        <w:t>prescribing;</w:t>
      </w:r>
      <w:r>
        <w:t xml:space="preserve"> and in Aboriginal and </w:t>
      </w:r>
      <w:r w:rsidRPr="00DE3F2C">
        <w:t>Torres Strait Islander health services.</w:t>
      </w:r>
      <w:r w:rsidRPr="00DE3F2C">
        <w:br w:type="page"/>
      </w:r>
    </w:p>
    <w:p w14:paraId="30880E92" w14:textId="6C1ACE20" w:rsidR="00FC3B5C" w:rsidRPr="00DB1EE0" w:rsidRDefault="004F11E2" w:rsidP="00214844">
      <w:pPr>
        <w:pStyle w:val="Heading1"/>
        <w:tabs>
          <w:tab w:val="center" w:pos="4819"/>
        </w:tabs>
        <w:rPr>
          <w:color w:val="005370"/>
        </w:rPr>
      </w:pPr>
      <w:bookmarkStart w:id="52" w:name="_Toc121826738"/>
      <w:bookmarkStart w:id="53" w:name="_Toc173763625"/>
      <w:bookmarkEnd w:id="51"/>
      <w:r w:rsidRPr="00DB1EE0">
        <w:rPr>
          <w:color w:val="005370"/>
        </w:rPr>
        <w:lastRenderedPageBreak/>
        <w:t>References</w:t>
      </w:r>
      <w:bookmarkEnd w:id="52"/>
      <w:bookmarkEnd w:id="53"/>
      <w:r w:rsidR="00214844">
        <w:rPr>
          <w:color w:val="005370"/>
        </w:rPr>
        <w:tab/>
      </w:r>
    </w:p>
    <w:p w14:paraId="62CC245C" w14:textId="77777777" w:rsidR="00C43D56" w:rsidRPr="00C43D56" w:rsidRDefault="00A869AB" w:rsidP="00C24E3E">
      <w:pPr>
        <w:pStyle w:val="EndNoteBibliography"/>
        <w:spacing w:before="0" w:after="0"/>
        <w:ind w:left="720" w:hanging="720"/>
      </w:pPr>
      <w:r>
        <w:fldChar w:fldCharType="begin"/>
      </w:r>
      <w:r>
        <w:instrText xml:space="preserve"> ADDIN EN.REFLIST </w:instrText>
      </w:r>
      <w:r>
        <w:fldChar w:fldCharType="separate"/>
      </w:r>
      <w:r w:rsidR="00C43D56" w:rsidRPr="00C43D56">
        <w:t>1.</w:t>
      </w:r>
      <w:r w:rsidR="00C43D56" w:rsidRPr="00C43D56">
        <w:tab/>
        <w:t>Australian Commission on Safety and Quality in Health Care. National Safety and Quality Primary and Community Healthcare Standards. Sydney: ACSQHC; 2021.</w:t>
      </w:r>
    </w:p>
    <w:p w14:paraId="7E28AE6F" w14:textId="1CF6BBC2" w:rsidR="00C43D56" w:rsidRPr="00C43D56" w:rsidRDefault="00C43D56" w:rsidP="00C24E3E">
      <w:pPr>
        <w:pStyle w:val="EndNoteBibliography"/>
        <w:spacing w:before="0" w:after="0"/>
        <w:ind w:left="720" w:hanging="720"/>
      </w:pPr>
      <w:r w:rsidRPr="00C43D56">
        <w:t>2.</w:t>
      </w:r>
      <w:r w:rsidRPr="00C43D56">
        <w:tab/>
        <w:t xml:space="preserve">Aged Care Quality and Safety Commission. Aged Care Quality Standards. [Internet] Sydney: ACQSC; 2021 [cited June 2024] Available from: </w:t>
      </w:r>
      <w:hyperlink r:id="rId38" w:history="1">
        <w:r w:rsidRPr="00C43D56">
          <w:rPr>
            <w:rStyle w:val="Hyperlink"/>
          </w:rPr>
          <w:t>https://www.agedcarequality.gov.au/providers/quality-standards</w:t>
        </w:r>
      </w:hyperlink>
      <w:r w:rsidRPr="00C43D56">
        <w:t>.</w:t>
      </w:r>
    </w:p>
    <w:p w14:paraId="46FF1787" w14:textId="7BC53D09" w:rsidR="00C43D56" w:rsidRPr="00C43D56" w:rsidRDefault="00C43D56" w:rsidP="00C24E3E">
      <w:pPr>
        <w:pStyle w:val="EndNoteBibliography"/>
        <w:spacing w:before="0" w:after="0"/>
        <w:ind w:left="720" w:hanging="720"/>
      </w:pPr>
      <w:r w:rsidRPr="00C43D56">
        <w:t>3.</w:t>
      </w:r>
      <w:r w:rsidRPr="00C43D56">
        <w:tab/>
        <w:t xml:space="preserve">Aged Care Quality and Safety Commission. Stronger Standards, Better Aged Care Program. [Internet] Sydney: ACQSC; 2021 [cited June 2024] Available from: </w:t>
      </w:r>
      <w:hyperlink r:id="rId39" w:history="1">
        <w:r w:rsidRPr="00C43D56">
          <w:rPr>
            <w:rStyle w:val="Hyperlink"/>
          </w:rPr>
          <w:t>https://www.agedcarequality.gov.au/providers/quality-standards/stronger-standards-better-aged-care-program</w:t>
        </w:r>
      </w:hyperlink>
      <w:r w:rsidRPr="00C43D56">
        <w:t>.</w:t>
      </w:r>
    </w:p>
    <w:p w14:paraId="1B85D63B" w14:textId="77777777" w:rsidR="00C43D56" w:rsidRPr="00C43D56" w:rsidRDefault="00C43D56" w:rsidP="00C24E3E">
      <w:pPr>
        <w:pStyle w:val="EndNoteBibliography"/>
        <w:spacing w:before="0" w:after="0"/>
        <w:ind w:left="720" w:hanging="720"/>
      </w:pPr>
      <w:r w:rsidRPr="00C43D56">
        <w:t>4.</w:t>
      </w:r>
      <w:r w:rsidRPr="00C43D56">
        <w:tab/>
        <w:t>Australian Commission on Safety and Quality in Health Care. Antimicrobial Stewardship Clinical Care Standard. Sydney: ACSQHC; 2020.</w:t>
      </w:r>
    </w:p>
    <w:p w14:paraId="06FB2F14" w14:textId="77777777" w:rsidR="00C43D56" w:rsidRPr="00C43D56" w:rsidRDefault="00C43D56" w:rsidP="00C24E3E">
      <w:pPr>
        <w:pStyle w:val="EndNoteBibliography"/>
        <w:spacing w:before="0" w:after="0"/>
        <w:ind w:left="720" w:hanging="720"/>
      </w:pPr>
      <w:r w:rsidRPr="00C43D56">
        <w:t>5.</w:t>
      </w:r>
      <w:r w:rsidRPr="00C43D56">
        <w:tab/>
        <w:t>Australian Commission on Safety and Quality in Health Care. Sepsis Clinical Care Standard. Sydney: ACSQHC; 2022.</w:t>
      </w:r>
    </w:p>
    <w:p w14:paraId="4098CE30" w14:textId="77777777" w:rsidR="00C43D56" w:rsidRPr="00C43D56" w:rsidRDefault="00C43D56" w:rsidP="00C24E3E">
      <w:pPr>
        <w:pStyle w:val="EndNoteBibliography"/>
        <w:spacing w:before="0" w:after="0"/>
        <w:ind w:left="720" w:hanging="720"/>
      </w:pPr>
      <w:r w:rsidRPr="00C43D56">
        <w:t>6.</w:t>
      </w:r>
      <w:r w:rsidRPr="00C43D56">
        <w:tab/>
        <w:t>Australian Commission for Safety and Quality in Health Care. Sore throat: should I take antibiotics? Sydney: ACSQHC; 2023.</w:t>
      </w:r>
    </w:p>
    <w:p w14:paraId="294C4CF1" w14:textId="77777777" w:rsidR="00C43D56" w:rsidRPr="00C43D56" w:rsidRDefault="00C43D56" w:rsidP="00C24E3E">
      <w:pPr>
        <w:pStyle w:val="EndNoteBibliography"/>
        <w:spacing w:before="0" w:after="0"/>
        <w:ind w:left="720" w:hanging="720"/>
      </w:pPr>
      <w:r w:rsidRPr="00C43D56">
        <w:t>7.</w:t>
      </w:r>
      <w:r w:rsidRPr="00C43D56">
        <w:tab/>
        <w:t>Australian Commission for Safety and Quality in Health Care. Acute bronchitis: should I take antibiotics? Sydney: ACSQHC; 2023.</w:t>
      </w:r>
    </w:p>
    <w:p w14:paraId="32713915" w14:textId="77777777" w:rsidR="00C43D56" w:rsidRPr="00C43D56" w:rsidRDefault="00C43D56" w:rsidP="00C24E3E">
      <w:pPr>
        <w:pStyle w:val="EndNoteBibliography"/>
        <w:spacing w:before="0" w:after="0"/>
        <w:ind w:left="720" w:hanging="720"/>
      </w:pPr>
      <w:r w:rsidRPr="00C43D56">
        <w:t>8.</w:t>
      </w:r>
      <w:r w:rsidRPr="00C43D56">
        <w:tab/>
        <w:t>Australian Commission for Safety and Quality in Health Care. Middle ear infection: should my child take antibiotics? Sydney: ACSQHC; 2023.</w:t>
      </w:r>
    </w:p>
    <w:p w14:paraId="25C59148" w14:textId="77777777" w:rsidR="00C43D56" w:rsidRPr="00C43D56" w:rsidRDefault="00C43D56" w:rsidP="00C24E3E">
      <w:pPr>
        <w:pStyle w:val="EndNoteBibliography"/>
        <w:spacing w:before="0" w:after="0"/>
        <w:ind w:left="720" w:hanging="720"/>
      </w:pPr>
      <w:r w:rsidRPr="00C43D56">
        <w:t>9.</w:t>
      </w:r>
      <w:r w:rsidRPr="00C43D56">
        <w:tab/>
        <w:t>Australian Commission for Safety and Quality in Health Care. Sinusitis: Should I take antibiotics? Sydney: ACSQHC; 2024.</w:t>
      </w:r>
    </w:p>
    <w:p w14:paraId="26B8EDF9" w14:textId="77777777" w:rsidR="00C43D56" w:rsidRPr="00C43D56" w:rsidRDefault="00C43D56" w:rsidP="00C24E3E">
      <w:pPr>
        <w:pStyle w:val="EndNoteBibliography"/>
        <w:spacing w:before="0" w:after="0"/>
        <w:ind w:left="720" w:hanging="720"/>
      </w:pPr>
      <w:r w:rsidRPr="00C43D56">
        <w:t>10.</w:t>
      </w:r>
      <w:r w:rsidRPr="00C43D56">
        <w:tab/>
        <w:t>Australian Commission for Safety and Quality in Health Care. Chronic obstructive pulmonary disease exacerbation (flare-up): Should I take antibiotics? Sydney: ACSQHC; 2024.</w:t>
      </w:r>
    </w:p>
    <w:p w14:paraId="2B2980CA" w14:textId="7F69B537" w:rsidR="00C43D56" w:rsidRPr="00C43D56" w:rsidRDefault="00C43D56" w:rsidP="00C24E3E">
      <w:pPr>
        <w:pStyle w:val="EndNoteBibliography"/>
        <w:spacing w:before="0" w:after="0"/>
        <w:ind w:left="720" w:hanging="720"/>
      </w:pPr>
      <w:r w:rsidRPr="00C43D56">
        <w:t>11.</w:t>
      </w:r>
      <w:r w:rsidRPr="00C43D56">
        <w:tab/>
        <w:t xml:space="preserve">Antibiotic Expert Group. Antibiotic [published 2019 Apr]. In: </w:t>
      </w:r>
      <w:r w:rsidRPr="00C43D56">
        <w:rPr>
          <w:i/>
        </w:rPr>
        <w:t>Therapeutic Guidelines</w:t>
      </w:r>
      <w:r w:rsidRPr="00C43D56">
        <w:t xml:space="preserve">. [Internet] Melbourne: Therapeutic Guidelines Limited; 2019 [cited Jan 2024] Available from: </w:t>
      </w:r>
      <w:hyperlink r:id="rId40" w:history="1">
        <w:r w:rsidRPr="00C43D56">
          <w:rPr>
            <w:rStyle w:val="Hyperlink"/>
          </w:rPr>
          <w:t>https://www.tg.org.au/</w:t>
        </w:r>
      </w:hyperlink>
      <w:r w:rsidRPr="00C43D56">
        <w:t>.</w:t>
      </w:r>
    </w:p>
    <w:p w14:paraId="4CF74415" w14:textId="77777777" w:rsidR="00C43D56" w:rsidRPr="00C43D56" w:rsidRDefault="00C43D56" w:rsidP="00C24E3E">
      <w:pPr>
        <w:pStyle w:val="EndNoteBibliography"/>
        <w:spacing w:before="0" w:after="0"/>
        <w:ind w:left="720" w:hanging="720"/>
      </w:pPr>
      <w:r w:rsidRPr="00C43D56">
        <w:t>12.</w:t>
      </w:r>
      <w:r w:rsidRPr="00C43D56">
        <w:tab/>
        <w:t>Australian Commission on Safety and Quality in Health Care. Antimicrobial use and appropriateness in the community: 2020–2021. Sydney: ACSQHC; 2022.</w:t>
      </w:r>
    </w:p>
    <w:p w14:paraId="251C8845" w14:textId="77777777" w:rsidR="00C43D56" w:rsidRPr="00C43D56" w:rsidRDefault="00C43D56" w:rsidP="00C24E3E">
      <w:pPr>
        <w:pStyle w:val="EndNoteBibliography"/>
        <w:spacing w:before="0" w:after="0"/>
        <w:ind w:left="720" w:hanging="720"/>
      </w:pPr>
      <w:r w:rsidRPr="00C43D56">
        <w:t>13.</w:t>
      </w:r>
      <w:r w:rsidRPr="00C43D56">
        <w:tab/>
        <w:t>Gadzhanova S and Roughead E on behalf of the Australian Commission on Safety and Quality in Health Care. Analysis of 2015–2022 PBS and RPBS antimicrobial dispensing data. Sydney: ACSQHC; 2023.</w:t>
      </w:r>
    </w:p>
    <w:p w14:paraId="6BB860D2" w14:textId="77777777" w:rsidR="00C43D56" w:rsidRPr="00C43D56" w:rsidRDefault="00C43D56" w:rsidP="00C24E3E">
      <w:pPr>
        <w:pStyle w:val="EndNoteBibliography"/>
        <w:spacing w:before="0" w:after="0"/>
        <w:ind w:left="720" w:hanging="720"/>
      </w:pPr>
      <w:r w:rsidRPr="00C43D56">
        <w:t>14.</w:t>
      </w:r>
      <w:r w:rsidRPr="00C43D56">
        <w:tab/>
        <w:t>Australian Commission on Safety and Quality in Health Care. AURA 2016: first Australian report on antimicrobial use and resistance in human health. Sydney: ACSQHC, 2016.</w:t>
      </w:r>
    </w:p>
    <w:p w14:paraId="661C928E" w14:textId="77777777" w:rsidR="00C43D56" w:rsidRPr="00C43D56" w:rsidRDefault="00C43D56" w:rsidP="00C24E3E">
      <w:pPr>
        <w:pStyle w:val="EndNoteBibliography"/>
        <w:spacing w:before="0" w:after="0"/>
        <w:ind w:left="720" w:hanging="720"/>
      </w:pPr>
      <w:r w:rsidRPr="00C43D56">
        <w:t>15.</w:t>
      </w:r>
      <w:r w:rsidRPr="00C43D56">
        <w:tab/>
        <w:t>Australian Commission on Safety and Quality in Health Care. AURA 2017: second Australian report on antimicrobial use and resistance in human health. Sydney: ACSQHC, 2017.</w:t>
      </w:r>
    </w:p>
    <w:p w14:paraId="467FFA58" w14:textId="77777777" w:rsidR="00C43D56" w:rsidRPr="00C43D56" w:rsidRDefault="00C43D56" w:rsidP="00C24E3E">
      <w:pPr>
        <w:pStyle w:val="EndNoteBibliography"/>
        <w:spacing w:before="0" w:after="0"/>
        <w:ind w:left="720" w:hanging="720"/>
      </w:pPr>
      <w:r w:rsidRPr="00C43D56">
        <w:t>16.</w:t>
      </w:r>
      <w:r w:rsidRPr="00C43D56">
        <w:tab/>
        <w:t>Australian Commission on Safety and Quality in Health Care. AURA 2019: third Australian report on antimicrobial use and resistance in human health. Sydney: ACSQHC, 2019.</w:t>
      </w:r>
    </w:p>
    <w:p w14:paraId="4DA77B2C" w14:textId="77777777" w:rsidR="00C43D56" w:rsidRPr="00C43D56" w:rsidRDefault="00C43D56" w:rsidP="00C24E3E">
      <w:pPr>
        <w:pStyle w:val="EndNoteBibliography"/>
        <w:spacing w:before="0" w:after="0"/>
        <w:ind w:left="720" w:hanging="720"/>
      </w:pPr>
      <w:r w:rsidRPr="00C43D56">
        <w:t>17.</w:t>
      </w:r>
      <w:r w:rsidRPr="00C43D56">
        <w:tab/>
        <w:t>Australian Commission on Safety and Quality in Health Care. AURA 2021: fourth Australian report on antimicrobial use and resistance in human health. Sydney: ACSQHC; 2021.</w:t>
      </w:r>
    </w:p>
    <w:p w14:paraId="3A36AEF5" w14:textId="77777777" w:rsidR="00C43D56" w:rsidRPr="00C43D56" w:rsidRDefault="00C43D56" w:rsidP="00C24E3E">
      <w:pPr>
        <w:pStyle w:val="EndNoteBibliography"/>
        <w:spacing w:before="0" w:after="0"/>
        <w:ind w:left="720" w:hanging="720"/>
      </w:pPr>
      <w:r w:rsidRPr="00C43D56">
        <w:t>18.</w:t>
      </w:r>
      <w:r w:rsidRPr="00C43D56">
        <w:tab/>
        <w:t>Australian Commission on Safety and Quality in Health Care. AURA 2023: fifth Australian report on antimicrobial use and resistance in human health. Sydney: ACSQHC; 2023.</w:t>
      </w:r>
    </w:p>
    <w:p w14:paraId="245A0D2A" w14:textId="77777777" w:rsidR="00C43D56" w:rsidRPr="00C43D56" w:rsidRDefault="00C43D56" w:rsidP="00C24E3E">
      <w:pPr>
        <w:pStyle w:val="EndNoteBibliography"/>
        <w:spacing w:before="0" w:after="0"/>
        <w:ind w:left="720" w:hanging="720"/>
      </w:pPr>
      <w:r w:rsidRPr="00C43D56">
        <w:t>19.</w:t>
      </w:r>
      <w:r w:rsidRPr="00C43D56">
        <w:tab/>
        <w:t>Gadzhanova S and Roughead E. Analysis of 2015–2023 PBS and RPBS data for the National Report on Antimicrobial Use and Resistance (unpublished).</w:t>
      </w:r>
    </w:p>
    <w:p w14:paraId="561141E0" w14:textId="1A0B61D5" w:rsidR="00C43D56" w:rsidRPr="00C43D56" w:rsidRDefault="00C43D56" w:rsidP="00C24E3E">
      <w:pPr>
        <w:pStyle w:val="EndNoteBibliography"/>
        <w:spacing w:before="0" w:after="0"/>
        <w:ind w:left="720" w:hanging="720"/>
      </w:pPr>
      <w:r w:rsidRPr="00C43D56">
        <w:t>20.</w:t>
      </w:r>
      <w:r w:rsidRPr="00C43D56">
        <w:tab/>
        <w:t xml:space="preserve">World Health Organization. WHO Director-General's opening remarks at the media briefing on COVID-19 - 11 March 2020. [Internet] Geneva: WHO; 2020 [cited Feb 2024] Available from: </w:t>
      </w:r>
      <w:hyperlink r:id="rId41" w:history="1">
        <w:r w:rsidRPr="00C43D56">
          <w:rPr>
            <w:rStyle w:val="Hyperlink"/>
          </w:rPr>
          <w:t>https://www.who.int/director-general/speeches/detail/who-director-general-s-opening-remarks-at-the-media-briefing-on-covid-19---11-march-2020</w:t>
        </w:r>
      </w:hyperlink>
      <w:r w:rsidRPr="00C43D56">
        <w:t>.</w:t>
      </w:r>
    </w:p>
    <w:p w14:paraId="1103DEDA" w14:textId="5C1FDFBD" w:rsidR="00C43D56" w:rsidRPr="00C43D56" w:rsidRDefault="00C43D56" w:rsidP="00C24E3E">
      <w:pPr>
        <w:pStyle w:val="EndNoteBibliography"/>
        <w:spacing w:before="0" w:after="0"/>
        <w:ind w:left="720" w:hanging="720"/>
      </w:pPr>
      <w:r w:rsidRPr="00C43D56">
        <w:t>21.</w:t>
      </w:r>
      <w:r w:rsidRPr="00C43D56">
        <w:tab/>
        <w:t xml:space="preserve">Prime Minister, Minister for Health, Minister for Aged Care and Senior Australians, Minister for Youth and Sport. $2.4 billion health plan to fight COVID-19. [Internet] Canberra: Commonwealth of Australia; 2020  Available from: </w:t>
      </w:r>
      <w:hyperlink r:id="rId42" w:anchor="search=%22media/pressrel/7234737%22" w:history="1">
        <w:r w:rsidRPr="00C43D56">
          <w:rPr>
            <w:rStyle w:val="Hyperlink"/>
          </w:rPr>
          <w:t>https://parlinfo.aph.gov.au/parlInfo/download/media/pressrel/7234737/upload_binary/7234737.PDF;fileType=application%2Fpdf#search=%22media/pressrel/7234737%22</w:t>
        </w:r>
      </w:hyperlink>
      <w:r w:rsidRPr="00C43D56">
        <w:t>.</w:t>
      </w:r>
    </w:p>
    <w:p w14:paraId="234C09FE" w14:textId="1182F1B9" w:rsidR="00C43D56" w:rsidRPr="00C43D56" w:rsidRDefault="00C43D56" w:rsidP="00C24E3E">
      <w:pPr>
        <w:pStyle w:val="EndNoteBibliography"/>
        <w:spacing w:before="0" w:after="0"/>
        <w:ind w:left="720" w:hanging="720"/>
      </w:pPr>
      <w:r w:rsidRPr="00C43D56">
        <w:t>22.</w:t>
      </w:r>
      <w:r w:rsidRPr="00C43D56">
        <w:tab/>
        <w:t xml:space="preserve">Prime Minister, Minister for Health, Minister for Foreign Affairs and Minister for Women. $1.1 billion to support more mental health, Medicare and domestic violence services [Internet] Canberra: Commonwealth of Australia; 2020 [cited Feb 2024] Available from: </w:t>
      </w:r>
      <w:hyperlink r:id="rId43" w:history="1">
        <w:r w:rsidRPr="00C43D56">
          <w:rPr>
            <w:rStyle w:val="Hyperlink"/>
          </w:rPr>
          <w:t>https://formerministers.dss.gov.au/19287/prime-minister-joint-media-release-1-1-billion-to-support-more-mental-health-medicare-and-domestic-violence-services/</w:t>
        </w:r>
      </w:hyperlink>
      <w:r w:rsidRPr="00C43D56">
        <w:t>.</w:t>
      </w:r>
    </w:p>
    <w:p w14:paraId="620E74E5" w14:textId="528E245E" w:rsidR="00C43D56" w:rsidRPr="00C43D56" w:rsidRDefault="00C43D56" w:rsidP="00C24E3E">
      <w:pPr>
        <w:pStyle w:val="EndNoteBibliography"/>
        <w:spacing w:before="0" w:after="0"/>
        <w:ind w:left="720" w:hanging="720"/>
      </w:pPr>
      <w:r w:rsidRPr="00C43D56">
        <w:t>23.</w:t>
      </w:r>
      <w:r w:rsidRPr="00C43D56">
        <w:tab/>
        <w:t xml:space="preserve">Australian Bureau of Statistics. Population and COVID-19. [Internet] Canberra: ABS; 2020  Available from: </w:t>
      </w:r>
      <w:hyperlink r:id="rId44" w:history="1">
        <w:r w:rsidRPr="00C43D56">
          <w:rPr>
            <w:rStyle w:val="Hyperlink"/>
          </w:rPr>
          <w:t>https://www.abs.gov.au/articles/population-and-covid-19</w:t>
        </w:r>
      </w:hyperlink>
      <w:r w:rsidRPr="00C43D56">
        <w:t>.</w:t>
      </w:r>
    </w:p>
    <w:p w14:paraId="4B770B71" w14:textId="77777777" w:rsidR="00C43D56" w:rsidRPr="00C43D56" w:rsidRDefault="00C43D56" w:rsidP="00C24E3E">
      <w:pPr>
        <w:pStyle w:val="EndNoteBibliography"/>
        <w:spacing w:before="0" w:after="0"/>
        <w:ind w:left="720" w:hanging="720"/>
      </w:pPr>
      <w:r w:rsidRPr="00C43D56">
        <w:t>24.</w:t>
      </w:r>
      <w:r w:rsidRPr="00C43D56">
        <w:tab/>
        <w:t>Australian Government Department of Health and Aged Care. National 2020 Influenza Season Summary. Canberra: Department of Health and Aged Care; 2020.</w:t>
      </w:r>
    </w:p>
    <w:p w14:paraId="3FDF9C3E" w14:textId="67EC1AA0" w:rsidR="00C43D56" w:rsidRPr="00C43D56" w:rsidRDefault="00C43D56" w:rsidP="00C24E3E">
      <w:pPr>
        <w:pStyle w:val="EndNoteBibliography"/>
        <w:spacing w:before="0" w:after="0"/>
        <w:ind w:left="720" w:hanging="720"/>
      </w:pPr>
      <w:r w:rsidRPr="00C43D56">
        <w:t>25.</w:t>
      </w:r>
      <w:r w:rsidRPr="00C43D56">
        <w:tab/>
        <w:t xml:space="preserve">Australian Government Department of Health and Aged Care. Revised PBS listings for Antibiotic use. [Internet] Canberra: Department of Health and Aged Care; 2020 [cited Feb 2024] Available from: </w:t>
      </w:r>
      <w:hyperlink r:id="rId45" w:history="1">
        <w:r w:rsidRPr="00C43D56">
          <w:rPr>
            <w:rStyle w:val="Hyperlink"/>
          </w:rPr>
          <w:t>https://www.pbs.gov.au/news/2020/03/files/Antibiotics-factsheet-2020.pdf</w:t>
        </w:r>
      </w:hyperlink>
      <w:r w:rsidRPr="00C43D56">
        <w:t>.</w:t>
      </w:r>
    </w:p>
    <w:p w14:paraId="5C0D5386" w14:textId="77777777" w:rsidR="00C43D56" w:rsidRPr="00C43D56" w:rsidRDefault="00C43D56" w:rsidP="00C24E3E">
      <w:pPr>
        <w:pStyle w:val="EndNoteBibliography"/>
        <w:spacing w:before="0" w:after="0"/>
        <w:ind w:left="720" w:hanging="720"/>
      </w:pPr>
      <w:r w:rsidRPr="00C43D56">
        <w:t>26.</w:t>
      </w:r>
      <w:r w:rsidRPr="00C43D56">
        <w:tab/>
        <w:t>Queensland Government. Medicines and Poisons (Medicines) Amendment Regulation (No.2) 2022. Brisbane: Queensland Government; 2022.</w:t>
      </w:r>
    </w:p>
    <w:p w14:paraId="10672BF0" w14:textId="77777777" w:rsidR="00C43D56" w:rsidRPr="00C43D56" w:rsidRDefault="00C43D56" w:rsidP="00C24E3E">
      <w:pPr>
        <w:pStyle w:val="EndNoteBibliography"/>
        <w:spacing w:before="0" w:after="0"/>
        <w:ind w:left="720" w:hanging="720"/>
      </w:pPr>
      <w:r w:rsidRPr="00C43D56">
        <w:t>27.</w:t>
      </w:r>
      <w:r w:rsidRPr="00C43D56">
        <w:tab/>
        <w:t>Queensland Health. Health (Drugs and Poisons) Regulation 1996 Drug Therapy Protocol – Pharmacist UTI Trial. Brisbane: Queensland Health; 2020.</w:t>
      </w:r>
    </w:p>
    <w:p w14:paraId="54A4DDE1" w14:textId="77777777" w:rsidR="00C43D56" w:rsidRPr="00C43D56" w:rsidRDefault="00C43D56" w:rsidP="00C24E3E">
      <w:pPr>
        <w:pStyle w:val="EndNoteBibliography"/>
        <w:spacing w:before="0" w:after="0"/>
        <w:ind w:left="720" w:hanging="720"/>
      </w:pPr>
      <w:r w:rsidRPr="00C43D56">
        <w:t>28.</w:t>
      </w:r>
      <w:r w:rsidRPr="00C43D56">
        <w:tab/>
        <w:t>Northern Territory Government. Medicines, Poisons and Therapeutic Goods Legislation Amendment Act 2022. Darwin: Northern Territory Government; 2022.</w:t>
      </w:r>
    </w:p>
    <w:p w14:paraId="7DB95A1C" w14:textId="77777777" w:rsidR="00C43D56" w:rsidRPr="00C43D56" w:rsidRDefault="00C43D56" w:rsidP="00C24E3E">
      <w:pPr>
        <w:pStyle w:val="EndNoteBibliography"/>
        <w:spacing w:before="0" w:after="0"/>
        <w:ind w:left="720" w:hanging="720"/>
      </w:pPr>
      <w:r w:rsidRPr="00C43D56">
        <w:t>29.</w:t>
      </w:r>
      <w:r w:rsidRPr="00C43D56">
        <w:tab/>
        <w:t>NSW Health. NSW Pharmacy Trial. Sydney: NSW Health; 2023.</w:t>
      </w:r>
    </w:p>
    <w:p w14:paraId="2EE029BB" w14:textId="77777777" w:rsidR="00C43D56" w:rsidRPr="00C43D56" w:rsidRDefault="00C43D56" w:rsidP="00C24E3E">
      <w:pPr>
        <w:pStyle w:val="EndNoteBibliography"/>
        <w:spacing w:before="0" w:after="0"/>
        <w:ind w:left="720" w:hanging="720"/>
      </w:pPr>
      <w:r w:rsidRPr="00C43D56">
        <w:t>30.</w:t>
      </w:r>
      <w:r w:rsidRPr="00C43D56">
        <w:tab/>
        <w:t>Government of Western Australia Department of Health. Treatment of urinary tract infection (UTIs) by pharmacists. Perth: Government of Western Australia Department of Health; 2023.</w:t>
      </w:r>
    </w:p>
    <w:p w14:paraId="31C852D0" w14:textId="77777777" w:rsidR="00C43D56" w:rsidRPr="00C43D56" w:rsidRDefault="00C43D56" w:rsidP="00C24E3E">
      <w:pPr>
        <w:pStyle w:val="EndNoteBibliography"/>
        <w:spacing w:before="0" w:after="0"/>
        <w:ind w:left="720" w:hanging="720"/>
      </w:pPr>
      <w:r w:rsidRPr="00C43D56">
        <w:t>31.</w:t>
      </w:r>
      <w:r w:rsidRPr="00C43D56">
        <w:tab/>
        <w:t>Victorian Government Department of Health. Victorian community pharmacist statewide pilot. Melbourne: Victorian Government Department of Health; 2023.</w:t>
      </w:r>
    </w:p>
    <w:p w14:paraId="2BEF70FD" w14:textId="77777777" w:rsidR="00C43D56" w:rsidRPr="00C43D56" w:rsidRDefault="00C43D56" w:rsidP="00C24E3E">
      <w:pPr>
        <w:pStyle w:val="EndNoteBibliography"/>
        <w:spacing w:before="0" w:after="0"/>
        <w:ind w:left="720" w:hanging="720"/>
      </w:pPr>
      <w:r w:rsidRPr="00C43D56">
        <w:t>32.</w:t>
      </w:r>
      <w:r w:rsidRPr="00C43D56">
        <w:tab/>
        <w:t>SA Health. Access to UTI treatment in community pharmacies. Adelaide: SA Health; 2023.</w:t>
      </w:r>
    </w:p>
    <w:p w14:paraId="781E176C" w14:textId="77777777" w:rsidR="00C43D56" w:rsidRPr="00C43D56" w:rsidRDefault="00C43D56" w:rsidP="00C24E3E">
      <w:pPr>
        <w:pStyle w:val="EndNoteBibliography"/>
        <w:spacing w:before="0" w:after="0"/>
        <w:ind w:left="720" w:hanging="720"/>
      </w:pPr>
      <w:r w:rsidRPr="00C43D56">
        <w:t>33.</w:t>
      </w:r>
      <w:r w:rsidRPr="00C43D56">
        <w:tab/>
        <w:t>Tasmanian Government Department of Health. Tasmanian Community Pharmacy Program. Hobart: Tasmanian Government Department of Health; 2024.</w:t>
      </w:r>
    </w:p>
    <w:p w14:paraId="4D27B5D2" w14:textId="5C80743F" w:rsidR="00C43D56" w:rsidRPr="00C43D56" w:rsidRDefault="00C43D56" w:rsidP="00C24E3E">
      <w:pPr>
        <w:pStyle w:val="EndNoteBibliography"/>
        <w:spacing w:before="0" w:after="0"/>
        <w:ind w:left="720" w:hanging="720"/>
      </w:pPr>
      <w:r w:rsidRPr="00C43D56">
        <w:t>34.</w:t>
      </w:r>
      <w:r w:rsidRPr="00C43D56">
        <w:tab/>
        <w:t xml:space="preserve">Therapeutic Goods Administration. About the antibiotics shortage 2022–2023. [Internet] Canberra: TGA; 2023 [cited May 2024] Available from: </w:t>
      </w:r>
      <w:hyperlink r:id="rId46" w:history="1">
        <w:r w:rsidRPr="00C43D56">
          <w:rPr>
            <w:rStyle w:val="Hyperlink"/>
          </w:rPr>
          <w:t>https://www.tga.gov.au/safety/shortages/information-about-major-medicine-shortages/about-antibiotics-shortage-2022-2023</w:t>
        </w:r>
      </w:hyperlink>
      <w:r w:rsidRPr="00C43D56">
        <w:t>.</w:t>
      </w:r>
    </w:p>
    <w:p w14:paraId="69FB189B" w14:textId="77777777" w:rsidR="00C43D56" w:rsidRPr="00C43D56" w:rsidRDefault="00C43D56" w:rsidP="00C24E3E">
      <w:pPr>
        <w:pStyle w:val="EndNoteBibliography"/>
        <w:spacing w:before="0" w:after="0"/>
        <w:ind w:left="720" w:hanging="720"/>
      </w:pPr>
      <w:r w:rsidRPr="00C43D56">
        <w:t>35.</w:t>
      </w:r>
      <w:r w:rsidRPr="00C43D56">
        <w:tab/>
        <w:t>Wozniak T, Nguyen A, Rollin A, Brock J, Bowskill A, Morgan B, et al. Antimicrobial Resistance (AMR) Impact Report: How big is Australia’s AMR threat? Australia: CSIRO and MTPConnect; 2022.</w:t>
      </w:r>
    </w:p>
    <w:p w14:paraId="534570F2" w14:textId="77777777" w:rsidR="00C43D56" w:rsidRPr="00C43D56" w:rsidRDefault="00C43D56" w:rsidP="00C24E3E">
      <w:pPr>
        <w:pStyle w:val="EndNoteBibliography"/>
        <w:spacing w:before="0" w:after="0"/>
        <w:ind w:left="720" w:hanging="720"/>
      </w:pPr>
      <w:r w:rsidRPr="00C43D56">
        <w:t>36.</w:t>
      </w:r>
      <w:r w:rsidRPr="00C43D56">
        <w:tab/>
        <w:t>Organisation for Economic Co-operation and Development. Stemming the superbug tide: just a few dollars more. Paris: OECD, 2018.</w:t>
      </w:r>
    </w:p>
    <w:p w14:paraId="749E4BE9" w14:textId="79CBC1EA" w:rsidR="00C43D56" w:rsidRPr="00C43D56" w:rsidRDefault="00C43D56" w:rsidP="00C24E3E">
      <w:pPr>
        <w:pStyle w:val="EndNoteBibliography"/>
        <w:spacing w:before="0" w:after="0"/>
        <w:ind w:left="720" w:hanging="720"/>
      </w:pPr>
      <w:r w:rsidRPr="00C43D56">
        <w:t>37.</w:t>
      </w:r>
      <w:r w:rsidRPr="00C43D56">
        <w:tab/>
        <w:t xml:space="preserve">World Health Organization. Antimicrobial resistance. [Internet] Geneva: WHO; 2023 [cited Jan 2024] Available from: </w:t>
      </w:r>
      <w:hyperlink r:id="rId47" w:history="1">
        <w:r w:rsidRPr="00C43D56">
          <w:rPr>
            <w:rStyle w:val="Hyperlink"/>
          </w:rPr>
          <w:t>https://www.who.int/news-room/fact-sheets/detail/antimicrobial-resistance</w:t>
        </w:r>
      </w:hyperlink>
      <w:r w:rsidRPr="00C43D56">
        <w:t>.</w:t>
      </w:r>
    </w:p>
    <w:p w14:paraId="27468D89" w14:textId="5CBEA5E1" w:rsidR="00C43D56" w:rsidRPr="00C43D56" w:rsidRDefault="00C43D56" w:rsidP="00C24E3E">
      <w:pPr>
        <w:pStyle w:val="EndNoteBibliography"/>
        <w:spacing w:before="0" w:after="0"/>
        <w:ind w:left="720" w:hanging="720"/>
      </w:pPr>
      <w:r w:rsidRPr="00C43D56">
        <w:t>38.</w:t>
      </w:r>
      <w:r w:rsidRPr="00C43D56">
        <w:tab/>
        <w:t xml:space="preserve">Drug Utilisation Sub Committee (DUSC). Antibiotics: PBS/RPBS utilisation, Oct 2014 and Feb 2015. [Internet] Canberra: Department of Health and Aged Care; 2015 [cited Jan 2024] Available from: </w:t>
      </w:r>
      <w:hyperlink r:id="rId48" w:history="1">
        <w:r w:rsidRPr="00C43D56">
          <w:rPr>
            <w:rStyle w:val="Hyperlink"/>
          </w:rPr>
          <w:t>http://www.pbs.gov.au/info/industry/listing/participants/public-release-docs/antibiotics/antibiotics-oct-14-feb-15</w:t>
        </w:r>
      </w:hyperlink>
      <w:r w:rsidRPr="00C43D56">
        <w:t>.</w:t>
      </w:r>
    </w:p>
    <w:p w14:paraId="46FA03C3" w14:textId="47F31966" w:rsidR="00C43D56" w:rsidRPr="00C43D56" w:rsidRDefault="00C43D56" w:rsidP="00C24E3E">
      <w:pPr>
        <w:pStyle w:val="EndNoteBibliography"/>
        <w:spacing w:before="0" w:after="0"/>
        <w:ind w:left="720" w:hanging="720"/>
      </w:pPr>
      <w:r w:rsidRPr="00C43D56">
        <w:t>39.</w:t>
      </w:r>
      <w:r w:rsidRPr="00C43D56">
        <w:tab/>
        <w:t xml:space="preserve">WHO Collaborating Centre for Drug Statistics Methodology, Norwegian Institute of Public Health. DDD alterations from 2005–2024. [Internet] Norway: WHO CC; 2024 [cited May 2024] Available from: </w:t>
      </w:r>
      <w:hyperlink r:id="rId49" w:history="1">
        <w:r w:rsidRPr="00C43D56">
          <w:rPr>
            <w:rStyle w:val="Hyperlink"/>
          </w:rPr>
          <w:t>https://www.whocc.no/atc_ddd_alterations__cumulative/ddd_alterations/</w:t>
        </w:r>
      </w:hyperlink>
      <w:r w:rsidRPr="00C43D56">
        <w:t>.</w:t>
      </w:r>
    </w:p>
    <w:p w14:paraId="23A3E77D" w14:textId="77777777" w:rsidR="00C43D56" w:rsidRPr="00C43D56" w:rsidRDefault="00C43D56" w:rsidP="00C24E3E">
      <w:pPr>
        <w:pStyle w:val="EndNoteBibliography"/>
        <w:spacing w:before="0" w:after="0"/>
        <w:ind w:left="720" w:hanging="720"/>
      </w:pPr>
      <w:r w:rsidRPr="00C43D56">
        <w:t>40.</w:t>
      </w:r>
      <w:r w:rsidRPr="00C43D56">
        <w:tab/>
        <w:t>Gadzhanova S, Roughead E. Analysis of 2021–2023 PBS and RPBS data for the National Report on Antimicrobial Use and Resistance with a special focus on aged care (unpublished).</w:t>
      </w:r>
    </w:p>
    <w:p w14:paraId="2BE52A41" w14:textId="77777777" w:rsidR="00C43D56" w:rsidRPr="00C43D56" w:rsidRDefault="00C43D56" w:rsidP="00C24E3E">
      <w:pPr>
        <w:pStyle w:val="EndNoteBibliography"/>
        <w:spacing w:before="0" w:after="0"/>
        <w:ind w:left="720" w:hanging="720"/>
      </w:pPr>
      <w:r w:rsidRPr="00C43D56">
        <w:t>41.</w:t>
      </w:r>
      <w:r w:rsidRPr="00C43D56">
        <w:tab/>
        <w:t xml:space="preserve">Royal Melbourne Hospital and the National Centre for Antimicrobial Stewardship. Infections and antimicrobial prescribing in Australian residential aged care facilities. Results of the </w:t>
      </w:r>
      <w:r w:rsidRPr="00C43D56">
        <w:lastRenderedPageBreak/>
        <w:t>2022 Aged Care National Antimicrobial Prescribing Survey. Canberra: Department of Health and Aged Care; 2024.</w:t>
      </w:r>
    </w:p>
    <w:p w14:paraId="483199E2" w14:textId="77777777" w:rsidR="00C43D56" w:rsidRPr="00C43D56" w:rsidRDefault="00C43D56" w:rsidP="00C24E3E">
      <w:pPr>
        <w:pStyle w:val="EndNoteBibliography"/>
        <w:spacing w:before="0" w:after="0"/>
        <w:ind w:left="720" w:hanging="720"/>
      </w:pPr>
      <w:r w:rsidRPr="00C43D56">
        <w:t>42.</w:t>
      </w:r>
      <w:r w:rsidRPr="00C43D56">
        <w:tab/>
        <w:t>Organisation for Economic Co-operation and Development. OECD Health Statistics 2023. Paris: OECD; 2023.</w:t>
      </w:r>
    </w:p>
    <w:p w14:paraId="661DF5BE" w14:textId="49809735" w:rsidR="00C43D56" w:rsidRPr="00C43D56" w:rsidRDefault="00C43D56" w:rsidP="00C24E3E">
      <w:pPr>
        <w:pStyle w:val="EndNoteBibliography"/>
        <w:spacing w:before="0" w:after="0"/>
        <w:ind w:left="720" w:hanging="720"/>
      </w:pPr>
      <w:r w:rsidRPr="00C43D56">
        <w:t>43.</w:t>
      </w:r>
      <w:r w:rsidRPr="00C43D56">
        <w:tab/>
        <w:t xml:space="preserve">Organisation for Economic Co-operation and Development (OECD). Antimicrobial Resistance in the EU/EEA: A One Health Response. [Internet] Paris: OECD; 2022 [cited Feb 2024] Available from: </w:t>
      </w:r>
      <w:hyperlink r:id="rId50" w:history="1">
        <w:r w:rsidRPr="00C43D56">
          <w:rPr>
            <w:rStyle w:val="Hyperlink"/>
          </w:rPr>
          <w:t>https://www.ecdc.europa.eu/en/publications-data/antimicrobial-resistance-eueea-one-health-response</w:t>
        </w:r>
      </w:hyperlink>
      <w:r w:rsidRPr="00C43D56">
        <w:t>.</w:t>
      </w:r>
    </w:p>
    <w:p w14:paraId="360765D0" w14:textId="77777777" w:rsidR="00C43D56" w:rsidRPr="00C43D56" w:rsidRDefault="00C43D56" w:rsidP="00C24E3E">
      <w:pPr>
        <w:pStyle w:val="EndNoteBibliography"/>
        <w:spacing w:before="0" w:after="0"/>
        <w:ind w:left="720" w:hanging="720"/>
      </w:pPr>
      <w:r w:rsidRPr="00C43D56">
        <w:t>44.</w:t>
      </w:r>
      <w:r w:rsidRPr="00C43D56">
        <w:tab/>
        <w:t>NPS MedicineWise. General Practice Insights Report July 2019–June 2020 including analyses related to the impact of COVID-19. Sydney: NPS MedicineWise, 2021.</w:t>
      </w:r>
    </w:p>
    <w:p w14:paraId="55EF6157" w14:textId="77777777" w:rsidR="00C43D56" w:rsidRPr="00C43D56" w:rsidRDefault="00C43D56" w:rsidP="00C24E3E">
      <w:pPr>
        <w:pStyle w:val="EndNoteBibliography"/>
        <w:spacing w:before="0" w:after="0"/>
        <w:ind w:left="720" w:hanging="720"/>
      </w:pPr>
      <w:r w:rsidRPr="00C43D56">
        <w:t>45.</w:t>
      </w:r>
      <w:r w:rsidRPr="00C43D56">
        <w:tab/>
        <w:t>Buehrle DJ, Nguyen MH, Wagener MM, Clancy CJ. Impact of the Coronavirus Disease 2019 Pandemic on Outpatient Antibiotic Prescriptions in the United States. Open Forum Infect Dis. 2020 Dec;7(12):ofaa575.</w:t>
      </w:r>
    </w:p>
    <w:p w14:paraId="4039F050" w14:textId="77777777" w:rsidR="00C43D56" w:rsidRPr="00C43D56" w:rsidRDefault="00C43D56" w:rsidP="00C24E3E">
      <w:pPr>
        <w:pStyle w:val="EndNoteBibliography"/>
        <w:spacing w:before="0" w:after="0"/>
        <w:ind w:left="720" w:hanging="720"/>
      </w:pPr>
      <w:r w:rsidRPr="00C43D56">
        <w:t>46.</w:t>
      </w:r>
      <w:r w:rsidRPr="00C43D56">
        <w:tab/>
        <w:t>Buehrle DJ, Wagener MM, Nguyen MH, Clancy CJ. Trends in Outpatient Antibiotic Prescriptions in the United States During the COVID-19 Pandemic in 2020. JAMA Network Open. 2021;4(9):e2126114-e2126114.</w:t>
      </w:r>
    </w:p>
    <w:p w14:paraId="0EE195D1" w14:textId="77777777" w:rsidR="00C43D56" w:rsidRPr="00C43D56" w:rsidRDefault="00C43D56" w:rsidP="00C24E3E">
      <w:pPr>
        <w:pStyle w:val="EndNoteBibliography"/>
        <w:spacing w:before="0" w:after="0"/>
        <w:ind w:left="720" w:hanging="720"/>
      </w:pPr>
      <w:r w:rsidRPr="00C43D56">
        <w:t>47.</w:t>
      </w:r>
      <w:r w:rsidRPr="00C43D56">
        <w:tab/>
        <w:t>Duffy E, Thomas M, Hills T, Ritchie S. The impacts of New Zealand's COVID-19 epidemic response on community antibiotic use and hospitalisation for pneumonia, peritonsillar abscess and rheumatic fever. Lancet Reg Health West Pac. 2021 Jul;12:100162.</w:t>
      </w:r>
    </w:p>
    <w:p w14:paraId="60223699" w14:textId="77777777" w:rsidR="00C43D56" w:rsidRPr="00C43D56" w:rsidRDefault="00C43D56" w:rsidP="00C24E3E">
      <w:pPr>
        <w:pStyle w:val="EndNoteBibliography"/>
        <w:spacing w:before="0" w:after="0"/>
        <w:ind w:left="720" w:hanging="720"/>
      </w:pPr>
      <w:r w:rsidRPr="00C43D56">
        <w:t>48.</w:t>
      </w:r>
      <w:r w:rsidRPr="00C43D56">
        <w:tab/>
        <w:t>Högberg LD, Vlahović-Palčevski V, Pereira C, Weist K, Monnet DL. Decrease in community antibiotic consumption during the COVID-19 pandemic, EU/EEA, 2020. Euro Surveill. 2021 Nov;26(46).</w:t>
      </w:r>
    </w:p>
    <w:p w14:paraId="4D04B60B" w14:textId="77777777" w:rsidR="00C43D56" w:rsidRPr="00C43D56" w:rsidRDefault="00C43D56" w:rsidP="00C24E3E">
      <w:pPr>
        <w:pStyle w:val="EndNoteBibliography"/>
        <w:spacing w:before="0" w:after="0"/>
        <w:ind w:left="720" w:hanging="720"/>
      </w:pPr>
      <w:r w:rsidRPr="00C43D56">
        <w:t>49.</w:t>
      </w:r>
      <w:r w:rsidRPr="00C43D56">
        <w:tab/>
        <w:t>European Centre for Disease Control. Antimicrobial consumption in the EU/EEA (ESAC-Net) - Annual Epidemiological Report for 2022. Stockholm: ECDC; 2023.</w:t>
      </w:r>
    </w:p>
    <w:p w14:paraId="707FA40F" w14:textId="77777777" w:rsidR="00C43D56" w:rsidRPr="00C43D56" w:rsidRDefault="00C43D56" w:rsidP="00C24E3E">
      <w:pPr>
        <w:pStyle w:val="EndNoteBibliography"/>
        <w:spacing w:before="0" w:after="0"/>
        <w:ind w:left="720" w:hanging="720"/>
      </w:pPr>
      <w:r w:rsidRPr="00C43D56">
        <w:t>50.</w:t>
      </w:r>
      <w:r w:rsidRPr="00C43D56">
        <w:tab/>
        <w:t>UK Health Security Agency. English surveillance programme for antimicrobial utilisation and resistance (ESPAUR) Report 2022 to 2023. London: UK Health Security Agency; 2023.</w:t>
      </w:r>
    </w:p>
    <w:p w14:paraId="578DF58B" w14:textId="77777777" w:rsidR="00C43D56" w:rsidRPr="00C43D56" w:rsidRDefault="00C43D56" w:rsidP="00C24E3E">
      <w:pPr>
        <w:pStyle w:val="EndNoteBibliography"/>
        <w:spacing w:before="0" w:after="0"/>
        <w:ind w:left="720" w:hanging="720"/>
      </w:pPr>
      <w:r w:rsidRPr="00C43D56">
        <w:t>51.</w:t>
      </w:r>
      <w:r w:rsidRPr="00C43D56">
        <w:tab/>
        <w:t>Antimicrobial Resistance and Healthcare Associated Infection Scotland. Scottish One Health Antimicrobial Use and Antimicrobial Resistance in 2022. Scotland: ARHAI; 2023.</w:t>
      </w:r>
    </w:p>
    <w:p w14:paraId="127246F5" w14:textId="77777777" w:rsidR="00C43D56" w:rsidRPr="00C43D56" w:rsidRDefault="00C43D56" w:rsidP="00C24E3E">
      <w:pPr>
        <w:pStyle w:val="EndNoteBibliography"/>
        <w:spacing w:before="0" w:after="0"/>
        <w:ind w:left="720" w:hanging="720"/>
      </w:pPr>
      <w:r w:rsidRPr="00C43D56">
        <w:t>52.</w:t>
      </w:r>
      <w:r w:rsidRPr="00C43D56">
        <w:tab/>
        <w:t>Khouja T, Mitsantisuk K, Tadrous M, Suda KJ. Global consumption of antimicrobials: impact of the WHO Global Action Plan on Antimicrobial Resistance and 2019 coronavirus pandemic (COVID-19). J Antimicrob Chemother. 2022 Apr 27;77(5):1491-1499.</w:t>
      </w:r>
    </w:p>
    <w:p w14:paraId="645E220E" w14:textId="77777777" w:rsidR="00C43D56" w:rsidRPr="00C43D56" w:rsidRDefault="00C43D56" w:rsidP="00C24E3E">
      <w:pPr>
        <w:pStyle w:val="EndNoteBibliography"/>
        <w:spacing w:before="0" w:after="0"/>
        <w:ind w:left="720" w:hanging="720"/>
      </w:pPr>
      <w:r w:rsidRPr="00C43D56">
        <w:t>53.</w:t>
      </w:r>
      <w:r w:rsidRPr="00C43D56">
        <w:tab/>
        <w:t>Vermeulen H, Hens N, Catteau L, Catry B, Coenen S. Impact of the COVID-19 pandemic on community antibiotic consumption in the EU/European Economic Area: a changepoint analysis. J Antimicrob Chemother. 2023;78(10):2572-2580.</w:t>
      </w:r>
    </w:p>
    <w:p w14:paraId="6C776F70" w14:textId="77777777" w:rsidR="00C43D56" w:rsidRPr="00C43D56" w:rsidRDefault="00C43D56" w:rsidP="00C24E3E">
      <w:pPr>
        <w:pStyle w:val="EndNoteBibliography"/>
        <w:spacing w:before="0" w:after="0"/>
        <w:ind w:left="720" w:hanging="720"/>
      </w:pPr>
      <w:r w:rsidRPr="00C43D56">
        <w:t>54.</w:t>
      </w:r>
      <w:r w:rsidRPr="00C43D56">
        <w:tab/>
        <w:t>Duong QA, Pittet LF, Curtis N, P Z. Antibiotic exposure and adverse long-term health outcomes in children: a systematic review and meta-analysis. J Infect. 2022 Sep;85(3):213-300.</w:t>
      </w:r>
    </w:p>
    <w:p w14:paraId="22B31B23" w14:textId="77777777" w:rsidR="00C43D56" w:rsidRPr="00C43D56" w:rsidRDefault="00C43D56" w:rsidP="00C24E3E">
      <w:pPr>
        <w:pStyle w:val="EndNoteBibliography"/>
        <w:spacing w:before="0" w:after="0"/>
        <w:ind w:left="720" w:hanging="720"/>
      </w:pPr>
      <w:r w:rsidRPr="00C43D56">
        <w:t>55.</w:t>
      </w:r>
      <w:r w:rsidRPr="00C43D56">
        <w:tab/>
        <w:t>Aversa Z, Atkinson E, Schafer M, Theiler R, Rocca W, Blaser M, et al. Association of infant antibiotic exposure with childhood health outcomes. Mayo Clin Proc. 2021 Jan;96(1):66-77.</w:t>
      </w:r>
    </w:p>
    <w:p w14:paraId="49EE9A32" w14:textId="77777777" w:rsidR="00C43D56" w:rsidRPr="00C43D56" w:rsidRDefault="00C43D56" w:rsidP="00C24E3E">
      <w:pPr>
        <w:pStyle w:val="EndNoteBibliography"/>
        <w:spacing w:before="0" w:after="0"/>
        <w:ind w:left="720" w:hanging="720"/>
      </w:pPr>
      <w:r w:rsidRPr="00C43D56">
        <w:t>56.</w:t>
      </w:r>
      <w:r w:rsidRPr="00C43D56">
        <w:tab/>
        <w:t>Trasande L, Blustein J, Liu M, Corwin E, Cox LM, Blaser M. Infant antibiotic exposures and early-life body mass. Int J Obes (Lond). 2013 Jan;37(1):16-23.</w:t>
      </w:r>
    </w:p>
    <w:p w14:paraId="0EC68E58" w14:textId="77777777" w:rsidR="00C43D56" w:rsidRPr="00C43D56" w:rsidRDefault="00C43D56" w:rsidP="00C24E3E">
      <w:pPr>
        <w:pStyle w:val="EndNoteBibliography"/>
        <w:spacing w:before="0" w:after="0"/>
        <w:ind w:left="720" w:hanging="720"/>
      </w:pPr>
      <w:r w:rsidRPr="00C43D56">
        <w:t>57.</w:t>
      </w:r>
      <w:r w:rsidRPr="00C43D56">
        <w:tab/>
        <w:t>Queen J, Zhang J, Sears CL. Oral antibiotic use and chronic disease: long-term health impact beyond antimicrobial resistance and Clostridioides difficile. Gut Microbes. 2020 Jul 3;11(4):1092-1103.</w:t>
      </w:r>
    </w:p>
    <w:p w14:paraId="4A510BA8" w14:textId="77777777" w:rsidR="00C43D56" w:rsidRPr="00C43D56" w:rsidRDefault="00C43D56" w:rsidP="00C24E3E">
      <w:pPr>
        <w:pStyle w:val="EndNoteBibliography"/>
        <w:spacing w:before="0" w:after="0"/>
        <w:ind w:left="720" w:hanging="720"/>
      </w:pPr>
      <w:r w:rsidRPr="00C43D56">
        <w:t>58.</w:t>
      </w:r>
      <w:r w:rsidRPr="00C43D56">
        <w:tab/>
        <w:t>Australian Government Department of Health and Aged Care. National Medicines Policy 2022. Canberra: Department of Health and Aged Care; 2022.</w:t>
      </w:r>
    </w:p>
    <w:p w14:paraId="47383BA7" w14:textId="26C0E8C5" w:rsidR="00C43D56" w:rsidRPr="00C43D56" w:rsidRDefault="00C43D56" w:rsidP="00C24E3E">
      <w:pPr>
        <w:pStyle w:val="EndNoteBibliography"/>
        <w:spacing w:before="0" w:after="0"/>
        <w:ind w:left="720" w:hanging="720"/>
      </w:pPr>
      <w:r w:rsidRPr="00C43D56">
        <w:t>59.</w:t>
      </w:r>
      <w:r w:rsidRPr="00C43D56">
        <w:tab/>
        <w:t xml:space="preserve">Australian Government Department of Health and Aged Care. About the PBS. [Internet] Canberra: Department of Health and Aged Care; 2024 [cited Jan 2024 ] Available from: </w:t>
      </w:r>
      <w:hyperlink r:id="rId51" w:history="1">
        <w:r w:rsidRPr="00C43D56">
          <w:rPr>
            <w:rStyle w:val="Hyperlink"/>
          </w:rPr>
          <w:t>https://www.pbs.gov.au/info/about-the-pbs</w:t>
        </w:r>
      </w:hyperlink>
      <w:r w:rsidRPr="00C43D56">
        <w:t>.</w:t>
      </w:r>
    </w:p>
    <w:p w14:paraId="091BD18F" w14:textId="0932FD05" w:rsidR="00C43D56" w:rsidRPr="00C43D56" w:rsidRDefault="00C43D56" w:rsidP="00C24E3E">
      <w:pPr>
        <w:pStyle w:val="EndNoteBibliography"/>
        <w:spacing w:before="0" w:after="0"/>
        <w:ind w:left="720" w:hanging="720"/>
      </w:pPr>
      <w:r w:rsidRPr="00C43D56">
        <w:t>60.</w:t>
      </w:r>
      <w:r w:rsidRPr="00C43D56">
        <w:tab/>
        <w:t xml:space="preserve">Australian Government Department of Veterans' Affairs. Concessional medicines under RPBS. [Internet] Canberra: Department of Veteran's Affairs; 2024 [cited Jan 2024] Available from: </w:t>
      </w:r>
      <w:hyperlink r:id="rId52" w:history="1">
        <w:r w:rsidRPr="00C43D56">
          <w:rPr>
            <w:rStyle w:val="Hyperlink"/>
          </w:rPr>
          <w:t>https://www.dva.gov.au/health-and-treatment/help-cover-healthcare-costs/manage-medicine-and-keep-costs-down/concessional</w:t>
        </w:r>
      </w:hyperlink>
      <w:r w:rsidRPr="00C43D56">
        <w:t>.</w:t>
      </w:r>
    </w:p>
    <w:p w14:paraId="4E178DC3" w14:textId="1DCA8D5B" w:rsidR="00C43D56" w:rsidRPr="00C43D56" w:rsidRDefault="00C43D56" w:rsidP="00C24E3E">
      <w:pPr>
        <w:pStyle w:val="EndNoteBibliography"/>
        <w:spacing w:before="0" w:after="0"/>
        <w:ind w:left="720" w:hanging="720"/>
      </w:pPr>
      <w:r w:rsidRPr="00C43D56">
        <w:lastRenderedPageBreak/>
        <w:t>61.</w:t>
      </w:r>
      <w:r w:rsidRPr="00C43D56">
        <w:tab/>
        <w:t xml:space="preserve">Australian Institute of Health and Welfare. Older Australians. [Internet] Canberra: AIHW; 2023 [cited June 2024] Available from: </w:t>
      </w:r>
      <w:hyperlink r:id="rId53" w:history="1">
        <w:r w:rsidRPr="00C43D56">
          <w:rPr>
            <w:rStyle w:val="Hyperlink"/>
          </w:rPr>
          <w:t>https://www.aihw.gov.au/reports/older-people/older-australians/contents/aged-care</w:t>
        </w:r>
      </w:hyperlink>
      <w:r w:rsidRPr="00C43D56">
        <w:t>.</w:t>
      </w:r>
    </w:p>
    <w:p w14:paraId="79FDC713" w14:textId="2FA82ACE" w:rsidR="00C43D56" w:rsidRPr="00C43D56" w:rsidRDefault="00C43D56" w:rsidP="00C24E3E">
      <w:pPr>
        <w:pStyle w:val="EndNoteBibliography"/>
        <w:spacing w:before="0" w:after="0"/>
        <w:ind w:left="720" w:hanging="720"/>
      </w:pPr>
      <w:r w:rsidRPr="00C43D56">
        <w:t>62.</w:t>
      </w:r>
      <w:r w:rsidRPr="00C43D56">
        <w:tab/>
        <w:t xml:space="preserve">Australian Bureau of Statistics. Australian Statistical Geography Standard (ASGS) Edition 3: Main Structure and Greater Capital City Statistical Areas. [Internet] Canberra: ABS; 2021  Available from: </w:t>
      </w:r>
      <w:hyperlink r:id="rId54" w:history="1">
        <w:r w:rsidRPr="00C43D56">
          <w:rPr>
            <w:rStyle w:val="Hyperlink"/>
          </w:rPr>
          <w:t>https://www.abs.gov.au/statistics/standards/australian-statistical-geography-standard-asgs-edition-3/jul2021-jun2026/main-structure-and-greater-capital-city-statistical-areas</w:t>
        </w:r>
      </w:hyperlink>
      <w:r w:rsidRPr="00C43D56">
        <w:t>.</w:t>
      </w:r>
    </w:p>
    <w:p w14:paraId="322D219D" w14:textId="127FC9CB" w:rsidR="00C43D56" w:rsidRPr="00C43D56" w:rsidRDefault="00C43D56" w:rsidP="00C24E3E">
      <w:pPr>
        <w:pStyle w:val="EndNoteBibliography"/>
        <w:spacing w:before="0" w:after="0"/>
        <w:ind w:left="720" w:hanging="720"/>
      </w:pPr>
      <w:r w:rsidRPr="00C43D56">
        <w:t>63.</w:t>
      </w:r>
      <w:r w:rsidRPr="00C43D56">
        <w:tab/>
        <w:t xml:space="preserve">Australian Government Department of Health and Aged Care. Primary Health Networks. [Internet] Canberra: Department of Health and Aged Care; 2023 [cited June 2024] Available from: </w:t>
      </w:r>
      <w:hyperlink r:id="rId55" w:history="1">
        <w:r w:rsidRPr="00C43D56">
          <w:rPr>
            <w:rStyle w:val="Hyperlink"/>
          </w:rPr>
          <w:t>https://www.health.gov.au/our-work/phn</w:t>
        </w:r>
      </w:hyperlink>
      <w:r w:rsidRPr="00C43D56">
        <w:t>.</w:t>
      </w:r>
    </w:p>
    <w:p w14:paraId="21F0C4B6" w14:textId="1951C594" w:rsidR="00C43D56" w:rsidRPr="00C43D56" w:rsidRDefault="00C43D56" w:rsidP="00C24E3E">
      <w:pPr>
        <w:pStyle w:val="EndNoteBibliography"/>
        <w:spacing w:before="0" w:after="0"/>
        <w:ind w:left="720" w:hanging="720"/>
      </w:pPr>
      <w:r w:rsidRPr="00C43D56">
        <w:t>64.</w:t>
      </w:r>
      <w:r w:rsidRPr="00C43D56">
        <w:tab/>
        <w:t xml:space="preserve">Australian Bureau of Statistics. Estimates of Aboriginal and Torres Strait Islander Australians. [Internet] Canberra: ABS; 2020 [cited Jan 2024] Available from: </w:t>
      </w:r>
      <w:hyperlink r:id="rId56" w:history="1">
        <w:r w:rsidRPr="00C43D56">
          <w:rPr>
            <w:rStyle w:val="Hyperlink"/>
          </w:rPr>
          <w:t>https://www.abs.gov.au/statistics/people/aboriginal-and-torres-strait-islander-peoples/estimates-aboriginal-and-torres-strait-islander-australians/latest-release</w:t>
        </w:r>
      </w:hyperlink>
      <w:r w:rsidRPr="00C43D56">
        <w:t>.</w:t>
      </w:r>
    </w:p>
    <w:p w14:paraId="3FC37B07" w14:textId="7DB05B36" w:rsidR="00C43D56" w:rsidRPr="00C43D56" w:rsidRDefault="00C43D56" w:rsidP="00C24E3E">
      <w:pPr>
        <w:pStyle w:val="EndNoteBibliography"/>
        <w:spacing w:before="0"/>
        <w:ind w:left="720" w:hanging="720"/>
      </w:pPr>
      <w:r w:rsidRPr="00C43D56">
        <w:t>65.</w:t>
      </w:r>
      <w:r w:rsidRPr="00C43D56">
        <w:tab/>
        <w:t xml:space="preserve">Australian Government Department of Health and Aged Care. Pharmaceutical Benefits Scheme (PBS). [Internet] Canberra: Department of Health and Aged Care; 2024 [cited Jan 2024] Available from: </w:t>
      </w:r>
      <w:hyperlink r:id="rId57" w:history="1">
        <w:r w:rsidRPr="00C43D56">
          <w:rPr>
            <w:rStyle w:val="Hyperlink"/>
          </w:rPr>
          <w:t>http://www.pbs.gov.au/pbs/home</w:t>
        </w:r>
      </w:hyperlink>
      <w:r w:rsidRPr="00C43D56">
        <w:t>.</w:t>
      </w:r>
    </w:p>
    <w:p w14:paraId="6BB60C4B" w14:textId="0E146716" w:rsidR="00CD5766" w:rsidRDefault="00A869AB" w:rsidP="00C24E3E">
      <w:pPr>
        <w:spacing w:before="0"/>
        <w:ind w:left="12807" w:hanging="720"/>
      </w:pPr>
      <w:r>
        <w:fldChar w:fldCharType="end"/>
      </w:r>
      <w:r w:rsidR="00CD5766">
        <w:br w:type="page"/>
      </w:r>
    </w:p>
    <w:p w14:paraId="348A924E" w14:textId="400A898C" w:rsidR="00FC3B5C" w:rsidRPr="00DB1EE0" w:rsidRDefault="00FC3B5C" w:rsidP="00B1414B">
      <w:pPr>
        <w:pStyle w:val="Heading1"/>
        <w:tabs>
          <w:tab w:val="left" w:pos="6863"/>
        </w:tabs>
        <w:rPr>
          <w:color w:val="005370"/>
        </w:rPr>
      </w:pPr>
      <w:bookmarkStart w:id="54" w:name="_Toc121826739"/>
      <w:bookmarkStart w:id="55" w:name="_Toc173763626"/>
      <w:r w:rsidRPr="00DB1EE0">
        <w:rPr>
          <w:color w:val="005370"/>
        </w:rPr>
        <w:lastRenderedPageBreak/>
        <w:t>Appendix</w:t>
      </w:r>
      <w:bookmarkStart w:id="56" w:name="_Appendix_1:_Data"/>
      <w:bookmarkStart w:id="57" w:name="_Toc121826740"/>
      <w:bookmarkEnd w:id="54"/>
      <w:bookmarkEnd w:id="56"/>
      <w:r w:rsidR="00B1414B" w:rsidRPr="00DB1EE0">
        <w:rPr>
          <w:color w:val="005370"/>
        </w:rPr>
        <w:t xml:space="preserve"> </w:t>
      </w:r>
      <w:r w:rsidRPr="00DB1EE0">
        <w:rPr>
          <w:color w:val="005370"/>
        </w:rPr>
        <w:t>1: Data source description</w:t>
      </w:r>
      <w:bookmarkEnd w:id="55"/>
      <w:bookmarkEnd w:id="57"/>
    </w:p>
    <w:p w14:paraId="6DF1A211" w14:textId="3BD54BD9" w:rsidR="00A12B60" w:rsidRPr="008A49FA" w:rsidRDefault="00FC3B5C" w:rsidP="008A49FA">
      <w:pPr>
        <w:pStyle w:val="Heading4"/>
        <w:spacing w:before="300" w:after="180"/>
        <w:rPr>
          <w:color w:val="005370"/>
          <w:sz w:val="28"/>
          <w:szCs w:val="28"/>
        </w:rPr>
      </w:pPr>
      <w:bookmarkStart w:id="58" w:name="_Toc121826741"/>
      <w:r w:rsidRPr="008A49FA">
        <w:rPr>
          <w:color w:val="005370"/>
          <w:sz w:val="28"/>
          <w:szCs w:val="28"/>
        </w:rPr>
        <w:t>About the Pharmaceutical Benefits Scheme and Repatriation Pharmaceutical Benefits Scheme</w:t>
      </w:r>
      <w:bookmarkEnd w:id="58"/>
    </w:p>
    <w:p w14:paraId="47235EDB" w14:textId="58C58FDD" w:rsidR="00E82554" w:rsidRPr="00121710" w:rsidRDefault="00121710" w:rsidP="001D0AA2">
      <w:r>
        <w:t>T</w:t>
      </w:r>
      <w:r w:rsidR="00E82554" w:rsidRPr="00121710">
        <w:t>he Pharmaceutical Benefits Scheme (PBS) provides timely, reliable and affordable access to necessary medicines for Australians. The PBS is part of the Australian Government’s broader National Medicines Policy. The aim of the National Medicines Policy</w:t>
      </w:r>
      <w:r w:rsidR="00BD3F3B">
        <w:fldChar w:fldCharType="begin"/>
      </w:r>
      <w:r w:rsidR="00BD3F3B">
        <w:instrText xml:space="preserve"> ADDIN EN.CITE &lt;EndNote&gt;&lt;Cite&gt;&lt;Author&gt;Australian Government Department of Health and Aged Care&lt;/Author&gt;&lt;Year&gt;2022&lt;/Year&gt;&lt;RecNum&gt;547&lt;/RecNum&gt;&lt;DisplayText&gt;&lt;style face="superscript"&gt;58&lt;/style&gt;&lt;/DisplayText&gt;&lt;record&gt;&lt;rec-number&gt;547&lt;/rec-number&gt;&lt;foreign-keys&gt;&lt;key app="EN" db-id="0a9sasvr7dwawyeva9qpw09xaap9erv5ad5e" timestamp="1722816153"&gt;547&lt;/key&gt;&lt;/foreign-keys&gt;&lt;ref-type name="Government Document"&gt;46&lt;/ref-type&gt;&lt;contributors&gt;&lt;authors&gt;&lt;author&gt;Australian Government Department of Health and Aged Care,&lt;/author&gt;&lt;/authors&gt;&lt;/contributors&gt;&lt;titles&gt;&lt;title&gt;National Medicines Policy 2022&lt;/title&gt;&lt;/titles&gt;&lt;dates&gt;&lt;year&gt;2022&lt;/year&gt;&lt;/dates&gt;&lt;pub-location&gt;Canberra&lt;/pub-location&gt;&lt;publisher&gt;Department of Health and Aged Care&lt;/publisher&gt;&lt;urls&gt;&lt;related-urls&gt;&lt;url&gt;https://www.health.gov.au/sites/default/files/2022-12/national-medicines-policy.pdf&lt;/url&gt;&lt;/related-urls&gt;&lt;/urls&gt;&lt;/record&gt;&lt;/Cite&gt;&lt;/EndNote&gt;</w:instrText>
      </w:r>
      <w:r w:rsidR="00BD3F3B">
        <w:fldChar w:fldCharType="separate"/>
      </w:r>
      <w:r w:rsidR="00BD3F3B" w:rsidRPr="00BD3F3B">
        <w:rPr>
          <w:noProof/>
          <w:vertAlign w:val="superscript"/>
        </w:rPr>
        <w:t>58</w:t>
      </w:r>
      <w:r w:rsidR="00BD3F3B">
        <w:fldChar w:fldCharType="end"/>
      </w:r>
      <w:r w:rsidR="00E82554" w:rsidRPr="00121710">
        <w:t xml:space="preserve"> is to meet medication and related service needs, so that both optimal health outcomes and economic objectives are achieved. Under the PBS, the </w:t>
      </w:r>
      <w:r w:rsidR="005C22D5" w:rsidRPr="00121710">
        <w:t>Australian G</w:t>
      </w:r>
      <w:r w:rsidR="00E82554" w:rsidRPr="00121710">
        <w:t>overnment subsidises the cost of medicine for most medical conditions. Most of the listed medicines are dispensed by pharmacists, and used by patients at home.</w:t>
      </w:r>
      <w:r w:rsidR="00E82554" w:rsidRPr="00121710">
        <w:fldChar w:fldCharType="begin"/>
      </w:r>
      <w:r w:rsidR="00BD3F3B">
        <w:instrText xml:space="preserve"> ADDIN EN.CITE &lt;EndNote&gt;&lt;Cite&gt;&lt;Author&gt;Australian Government Department of Health and Aged Care&lt;/Author&gt;&lt;Year&gt;2024&lt;/Year&gt;&lt;RecNum&gt;66&lt;/RecNum&gt;&lt;DisplayText&gt;&lt;style face="superscript"&gt;59&lt;/style&gt;&lt;/DisplayText&gt;&lt;record&gt;&lt;rec-number&gt;66&lt;/rec-number&gt;&lt;foreign-keys&gt;&lt;key app="EN" db-id="0a9sasvr7dwawyeva9qpw09xaap9erv5ad5e" timestamp="1704342651"&gt;66&lt;/key&gt;&lt;/foreign-keys&gt;&lt;ref-type name="Web Page"&gt;12&lt;/ref-type&gt;&lt;contributors&gt;&lt;authors&gt;&lt;author&gt;Australian Government Department of Health and Aged Care, &lt;/author&gt;&lt;/authors&gt;&lt;/contributors&gt;&lt;titles&gt;&lt;title&gt;About the PBS&lt;/title&gt;&lt;/titles&gt;&lt;number&gt;Jan 2024 &lt;/number&gt;&lt;dates&gt;&lt;year&gt;2024&lt;/year&gt;&lt;/dates&gt;&lt;pub-location&gt;Canberra&lt;/pub-location&gt;&lt;publisher&gt;Department of Health and Aged Care&lt;/publisher&gt;&lt;urls&gt;&lt;related-urls&gt;&lt;url&gt;https://www.pbs.gov.au/info/about-the-pbs&lt;/url&gt;&lt;/related-urls&gt;&lt;/urls&gt;&lt;/record&gt;&lt;/Cite&gt;&lt;/EndNote&gt;</w:instrText>
      </w:r>
      <w:r w:rsidR="00E82554" w:rsidRPr="00121710">
        <w:fldChar w:fldCharType="separate"/>
      </w:r>
      <w:r w:rsidR="00BD3F3B" w:rsidRPr="00BD3F3B">
        <w:rPr>
          <w:noProof/>
          <w:vertAlign w:val="superscript"/>
        </w:rPr>
        <w:t>59</w:t>
      </w:r>
      <w:r w:rsidR="00E82554" w:rsidRPr="00121710">
        <w:fldChar w:fldCharType="end"/>
      </w:r>
    </w:p>
    <w:p w14:paraId="32FADA3E" w14:textId="0DD7939B" w:rsidR="00E82554" w:rsidRPr="00121710" w:rsidRDefault="00121710" w:rsidP="001D0AA2">
      <w:r>
        <w:t>T</w:t>
      </w:r>
      <w:r w:rsidR="00E82554" w:rsidRPr="00121710" w:rsidDel="00A47A54">
        <w:t>he Repatriation Pharmaceutical Benefits Scheme (RPBS) provides eligible people</w:t>
      </w:r>
      <w:r w:rsidR="00E552B2" w:rsidRPr="00121710">
        <w:t>,</w:t>
      </w:r>
      <w:r w:rsidR="00B335DC" w:rsidRPr="00121710">
        <w:t xml:space="preserve"> as designated by the Australian Government Department of Veterans’ Affairs</w:t>
      </w:r>
      <w:r w:rsidR="00E552B2" w:rsidRPr="00121710">
        <w:t>,</w:t>
      </w:r>
      <w:r w:rsidR="00B335DC" w:rsidRPr="00121710">
        <w:t xml:space="preserve"> </w:t>
      </w:r>
      <w:r w:rsidR="00E82554" w:rsidRPr="00121710" w:rsidDel="00A47A54">
        <w:t>with access to a wide range of medicines and wound care items at a concession rate</w:t>
      </w:r>
      <w:r w:rsidR="00E82554" w:rsidRPr="00121710">
        <w:t>.</w:t>
      </w:r>
      <w:r w:rsidR="00E82554" w:rsidRPr="00121710">
        <w:fldChar w:fldCharType="begin"/>
      </w:r>
      <w:r w:rsidR="00BD3F3B">
        <w:instrText xml:space="preserve"> ADDIN EN.CITE &lt;EndNote&gt;&lt;Cite&gt;&lt;Author&gt;Australian Government Department of Veterans&amp;apos; Affairs&lt;/Author&gt;&lt;Year&gt;2024&lt;/Year&gt;&lt;RecNum&gt;67&lt;/RecNum&gt;&lt;DisplayText&gt;&lt;style face="superscript"&gt;60&lt;/style&gt;&lt;/DisplayText&gt;&lt;record&gt;&lt;rec-number&gt;67&lt;/rec-number&gt;&lt;foreign-keys&gt;&lt;key app="EN" db-id="0a9sasvr7dwawyeva9qpw09xaap9erv5ad5e" timestamp="1704342652"&gt;67&lt;/key&gt;&lt;/foreign-keys&gt;&lt;ref-type name="Web Page"&gt;12&lt;/ref-type&gt;&lt;contributors&gt;&lt;authors&gt;&lt;author&gt;Australian Government Department of Veterans&amp;apos; Affairs, &lt;/author&gt;&lt;/authors&gt;&lt;/contributors&gt;&lt;titles&gt;&lt;title&gt;Concessional medicines under RPBS&lt;/title&gt;&lt;/titles&gt;&lt;number&gt;Jan 2024&lt;/number&gt;&lt;dates&gt;&lt;year&gt;2024&lt;/year&gt;&lt;/dates&gt;&lt;pub-location&gt;Canberra&lt;/pub-location&gt;&lt;publisher&gt;Department of Veteran&amp;apos;s Affairs&lt;/publisher&gt;&lt;urls&gt;&lt;related-urls&gt;&lt;url&gt;https://www.dva.gov.au/health-and-treatment/help-cover-healthcare-costs/manage-medicine-and-keep-costs-down/concessional&lt;/url&gt;&lt;/related-urls&gt;&lt;/urls&gt;&lt;/record&gt;&lt;/Cite&gt;&lt;/EndNote&gt;</w:instrText>
      </w:r>
      <w:r w:rsidR="00E82554" w:rsidRPr="00121710">
        <w:fldChar w:fldCharType="separate"/>
      </w:r>
      <w:r w:rsidR="00BD3F3B" w:rsidRPr="00BD3F3B">
        <w:rPr>
          <w:noProof/>
          <w:vertAlign w:val="superscript"/>
        </w:rPr>
        <w:t>60</w:t>
      </w:r>
      <w:r w:rsidR="00E82554" w:rsidRPr="00121710">
        <w:fldChar w:fldCharType="end"/>
      </w:r>
    </w:p>
    <w:p w14:paraId="5C933877" w14:textId="02EC6666" w:rsidR="00E82554" w:rsidRPr="00121710" w:rsidRDefault="00FB63BF" w:rsidP="001D0AA2">
      <w:r w:rsidRPr="00121710">
        <w:t>Th</w:t>
      </w:r>
      <w:r w:rsidR="00E82554" w:rsidRPr="00121710">
        <w:t>e proportion of prescriptions written in the community that are captured by the PBS</w:t>
      </w:r>
      <w:r w:rsidR="005A42D6" w:rsidRPr="00121710">
        <w:t xml:space="preserve"> and </w:t>
      </w:r>
      <w:r w:rsidR="00E82554" w:rsidRPr="00121710">
        <w:t>RPBS is estimated to be more than 90%</w:t>
      </w:r>
      <w:r w:rsidR="00E82554" w:rsidRPr="00121710">
        <w:fldChar w:fldCharType="begin"/>
      </w:r>
      <w:r w:rsidR="00BD3F3B">
        <w:instrText xml:space="preserve"> ADDIN EN.CITE &lt;EndNote&gt;&lt;Cite&gt;&lt;Author&gt;Drug Utilisation Sub Committee (DUSC)&lt;/Author&gt;&lt;Year&gt;2015&lt;/Year&gt;&lt;RecNum&gt;485&lt;/RecNum&gt;&lt;DisplayText&gt;&lt;style face="superscript"&gt;38&lt;/style&gt;&lt;/DisplayText&gt;&lt;record&gt;&lt;rec-number&gt;485&lt;/rec-number&gt;&lt;foreign-keys&gt;&lt;key app="EN" db-id="0a9sasvr7dwawyeva9qpw09xaap9erv5ad5e" timestamp="1716861976"&gt;485&lt;/key&gt;&lt;/foreign-keys&gt;&lt;ref-type name="Web Page"&gt;12&lt;/ref-type&gt;&lt;contributors&gt;&lt;authors&gt;&lt;author&gt;Drug Utilisation Sub Committee (DUSC),&lt;/author&gt;&lt;/authors&gt;&lt;/contributors&gt;&lt;titles&gt;&lt;title&gt;Antibiotics: PBS/RPBS utilisation, Oct 2014 and Feb 2015&lt;/title&gt;&lt;/titles&gt;&lt;number&gt;Jan 2024&lt;/number&gt;&lt;dates&gt;&lt;year&gt;2015&lt;/year&gt;&lt;/dates&gt;&lt;pub-location&gt;Canberra&lt;/pub-location&gt;&lt;publisher&gt;Department of Health and Aged Care&lt;/publisher&gt;&lt;work-type&gt;Internet&lt;/work-type&gt;&lt;urls&gt;&lt;related-urls&gt;&lt;url&gt;http://www.pbs.gov.au/info/industry/listing/participants/public-release-docs/antibiotics/antibiotics-oct-14-feb-15&lt;/url&gt;&lt;/related-urls&gt;&lt;/urls&gt;&lt;/record&gt;&lt;/Cite&gt;&lt;/EndNote&gt;</w:instrText>
      </w:r>
      <w:r w:rsidR="00E82554" w:rsidRPr="00121710">
        <w:fldChar w:fldCharType="separate"/>
      </w:r>
      <w:r w:rsidR="00BD3F3B" w:rsidRPr="00BD3F3B">
        <w:rPr>
          <w:noProof/>
          <w:vertAlign w:val="superscript"/>
        </w:rPr>
        <w:t>38</w:t>
      </w:r>
      <w:r w:rsidR="00E82554" w:rsidRPr="00121710">
        <w:fldChar w:fldCharType="end"/>
      </w:r>
      <w:r w:rsidR="00E82554" w:rsidRPr="00121710">
        <w:t>, although the exact percentage is not known. The PBS</w:t>
      </w:r>
      <w:r w:rsidR="005A42D6" w:rsidRPr="00121710">
        <w:t xml:space="preserve"> and </w:t>
      </w:r>
      <w:r w:rsidR="00E82554" w:rsidRPr="00121710">
        <w:t>RPBS also capture public hospital outpatient and discharge prescriptions in all states and territories except New South Wales. The PBS</w:t>
      </w:r>
      <w:r w:rsidR="005A42D6" w:rsidRPr="00121710">
        <w:t xml:space="preserve"> and </w:t>
      </w:r>
      <w:r w:rsidR="00E82554" w:rsidRPr="00121710">
        <w:t xml:space="preserve">RPBS do not capture data on </w:t>
      </w:r>
      <w:r w:rsidR="00853998" w:rsidRPr="00121710">
        <w:t xml:space="preserve">private </w:t>
      </w:r>
      <w:r w:rsidR="00E82554" w:rsidRPr="00121710">
        <w:t>prescriptions</w:t>
      </w:r>
      <w:r w:rsidR="00DA0D62" w:rsidRPr="00121710">
        <w:t xml:space="preserve"> (that is non-PBS or non-RPBS prescriptions </w:t>
      </w:r>
      <w:r w:rsidR="0076178E" w:rsidRPr="00121710">
        <w:t xml:space="preserve">that are </w:t>
      </w:r>
      <w:r w:rsidR="00DA0D62" w:rsidRPr="00121710">
        <w:t>not subsidised under the PBS or RPBS)</w:t>
      </w:r>
      <w:r w:rsidR="00E82554" w:rsidRPr="00121710">
        <w:t xml:space="preserve">, or </w:t>
      </w:r>
      <w:r w:rsidR="00667156" w:rsidRPr="00121710">
        <w:t xml:space="preserve">those dispensed by </w:t>
      </w:r>
      <w:r w:rsidR="00E82554" w:rsidRPr="00121710">
        <w:t>many Aboriginal and Torres Strait Islander health services.</w:t>
      </w:r>
    </w:p>
    <w:p w14:paraId="56D24ACC" w14:textId="4969951F" w:rsidR="00E751BB" w:rsidRPr="00121710" w:rsidRDefault="00121710" w:rsidP="001D0AA2">
      <w:r>
        <w:t>T</w:t>
      </w:r>
      <w:r w:rsidR="00E82554" w:rsidRPr="00121710">
        <w:t>he Australian Government Department of Health and Aged Care (the Department) analyses PBS</w:t>
      </w:r>
      <w:r w:rsidR="005A42D6" w:rsidRPr="00121710">
        <w:t xml:space="preserve"> and </w:t>
      </w:r>
      <w:r w:rsidR="00E82554" w:rsidRPr="00121710">
        <w:t xml:space="preserve">RPBS data to inform economic analyses and policy development. Comprehensive medicine usage data are required for </w:t>
      </w:r>
      <w:r w:rsidR="005A42D6" w:rsidRPr="00121710">
        <w:t>several</w:t>
      </w:r>
      <w:r w:rsidR="00E82554" w:rsidRPr="00121710">
        <w:t xml:space="preserve"> purposes, including pharmacosurveillance and targeting, and evaluation of initiatives for </w:t>
      </w:r>
      <w:r w:rsidR="005A42D6" w:rsidRPr="00121710">
        <w:t xml:space="preserve">the </w:t>
      </w:r>
      <w:r w:rsidR="00E82554" w:rsidRPr="00121710">
        <w:t>quality use of medicines. The data are also needed by regulatory and financing authorities, and the pharmaceutical industry.</w:t>
      </w:r>
      <w:bookmarkStart w:id="59" w:name="_Toc121826743"/>
    </w:p>
    <w:p w14:paraId="229C9F98" w14:textId="77777777" w:rsidR="00E751BB" w:rsidRPr="00296EF3" w:rsidRDefault="00E751BB" w:rsidP="00296EF3">
      <w:pPr>
        <w:pStyle w:val="Heading4"/>
        <w:rPr>
          <w:color w:val="005370"/>
        </w:rPr>
      </w:pPr>
      <w:r w:rsidRPr="00296EF3">
        <w:rPr>
          <w:color w:val="005370"/>
        </w:rPr>
        <w:t>Data source and criteria</w:t>
      </w:r>
    </w:p>
    <w:p w14:paraId="6DA35B10" w14:textId="58AD0737" w:rsidR="00E751BB" w:rsidRDefault="00E751BB" w:rsidP="00E751BB">
      <w:r>
        <w:t>This report analyses d</w:t>
      </w:r>
      <w:r w:rsidRPr="00F46944">
        <w:t>ata on antimicrobials dispensed under the PBS</w:t>
      </w:r>
      <w:r>
        <w:t xml:space="preserve"> and </w:t>
      </w:r>
      <w:r w:rsidRPr="00F46944">
        <w:t xml:space="preserve">RPBS, from 1 January 2015 to 31 December </w:t>
      </w:r>
      <w:r>
        <w:t xml:space="preserve">2023 </w:t>
      </w:r>
      <w:r w:rsidRPr="00F46944">
        <w:rPr>
          <w:rFonts w:eastAsiaTheme="minorEastAsia"/>
        </w:rPr>
        <w:t xml:space="preserve">and </w:t>
      </w:r>
      <w:r w:rsidR="00625E3D" w:rsidRPr="00F46944">
        <w:rPr>
          <w:rFonts w:cstheme="minorHAnsi"/>
        </w:rPr>
        <w:t>include</w:t>
      </w:r>
      <w:r w:rsidR="00625E3D">
        <w:rPr>
          <w:rFonts w:cstheme="minorHAnsi"/>
        </w:rPr>
        <w:t>s</w:t>
      </w:r>
      <w:r w:rsidR="00625E3D" w:rsidRPr="00F46944">
        <w:rPr>
          <w:rFonts w:cstheme="minorHAnsi"/>
        </w:rPr>
        <w:t xml:space="preserve"> all prescriptions priced under the patient co-payment which are prescriptions that do not attract a reimbursement</w:t>
      </w:r>
      <w:r w:rsidR="00625E3D">
        <w:rPr>
          <w:rFonts w:cstheme="minorHAnsi"/>
        </w:rPr>
        <w:t xml:space="preserve"> </w:t>
      </w:r>
      <w:r w:rsidR="00625E3D" w:rsidRPr="00FB005D">
        <w:t>(</w:t>
      </w:r>
      <w:r w:rsidR="00625E3D" w:rsidRPr="00D43799">
        <w:t xml:space="preserve">Table </w:t>
      </w:r>
      <w:r w:rsidR="00625E3D">
        <w:t>A1.</w:t>
      </w:r>
      <w:r w:rsidR="00625E3D" w:rsidRPr="00D43799">
        <w:t>1</w:t>
      </w:r>
      <w:r w:rsidR="00625E3D" w:rsidRPr="00F46944">
        <w:t>)</w:t>
      </w:r>
      <w:r w:rsidR="00971FED">
        <w:t>.</w:t>
      </w:r>
    </w:p>
    <w:p w14:paraId="31EF3B83" w14:textId="32C9FF65" w:rsidR="00844925" w:rsidRDefault="00E751BB" w:rsidP="00B85F65">
      <w:pPr>
        <w:rPr>
          <w:rFonts w:cstheme="minorHAnsi"/>
        </w:rPr>
      </w:pPr>
      <w:r w:rsidRPr="00F46944">
        <w:t>These data were obtained from Services Australia following approval for disclosure from the Department and the</w:t>
      </w:r>
      <w:r w:rsidR="000C4436">
        <w:t xml:space="preserve"> Australian Government</w:t>
      </w:r>
      <w:r w:rsidRPr="00F46944">
        <w:t xml:space="preserve"> Department of Veterans’ Affairs.</w:t>
      </w:r>
      <w:r w:rsidRPr="004E4ED9">
        <w:rPr>
          <w:rFonts w:cstheme="minorHAnsi"/>
        </w:rPr>
        <w:t xml:space="preserve"> </w:t>
      </w:r>
      <w:r w:rsidRPr="00F46944">
        <w:t>The Department collects data on antimicrobial dispensing in the community through the PBS</w:t>
      </w:r>
      <w:r>
        <w:t xml:space="preserve"> and </w:t>
      </w:r>
      <w:r w:rsidRPr="00F46944">
        <w:t>RPBS from the Medicare pharmacy claims database.</w:t>
      </w:r>
      <w:r w:rsidRPr="004E4ED9">
        <w:rPr>
          <w:rFonts w:cstheme="minorHAnsi"/>
        </w:rPr>
        <w:t xml:space="preserve"> </w:t>
      </w:r>
      <w:r w:rsidRPr="00F46944">
        <w:rPr>
          <w:rFonts w:cstheme="minorHAnsi"/>
        </w:rPr>
        <w:t xml:space="preserve">The data </w:t>
      </w:r>
      <w:r>
        <w:rPr>
          <w:rFonts w:cstheme="minorHAnsi"/>
        </w:rPr>
        <w:t>d</w:t>
      </w:r>
      <w:r w:rsidR="00E32D4C">
        <w:rPr>
          <w:rFonts w:cstheme="minorHAnsi"/>
        </w:rPr>
        <w:t>o</w:t>
      </w:r>
      <w:r w:rsidRPr="00F46944">
        <w:rPr>
          <w:rFonts w:cstheme="minorHAnsi"/>
        </w:rPr>
        <w:t xml:space="preserve"> not contain details on any prescriptions supplied privately</w:t>
      </w:r>
      <w:r w:rsidR="00FE624C">
        <w:rPr>
          <w:rFonts w:cstheme="minorHAnsi"/>
        </w:rPr>
        <w:t xml:space="preserve"> or on antimicrobials provided over</w:t>
      </w:r>
      <w:r w:rsidR="00A5736F">
        <w:rPr>
          <w:rFonts w:cstheme="minorHAnsi"/>
        </w:rPr>
        <w:t>-</w:t>
      </w:r>
      <w:r w:rsidR="00FE624C">
        <w:rPr>
          <w:rFonts w:cstheme="minorHAnsi"/>
        </w:rPr>
        <w:t>the</w:t>
      </w:r>
      <w:r w:rsidR="00A5736F">
        <w:rPr>
          <w:rFonts w:cstheme="minorHAnsi"/>
        </w:rPr>
        <w:t>-</w:t>
      </w:r>
      <w:r w:rsidR="00FE624C">
        <w:rPr>
          <w:rFonts w:cstheme="minorHAnsi"/>
        </w:rPr>
        <w:t>counter (i.e. without the need for a prescription)</w:t>
      </w:r>
      <w:r w:rsidRPr="00F46944">
        <w:rPr>
          <w:rFonts w:cstheme="minorHAnsi"/>
        </w:rPr>
        <w:t>.</w:t>
      </w:r>
    </w:p>
    <w:p w14:paraId="75FC9672" w14:textId="76227225" w:rsidR="00B85F65" w:rsidRDefault="00844925" w:rsidP="00B85F65">
      <w:pPr>
        <w:rPr>
          <w:rFonts w:cstheme="minorHAnsi"/>
        </w:rPr>
      </w:pPr>
      <w:r>
        <w:rPr>
          <w:rFonts w:cstheme="minorHAnsi"/>
        </w:rPr>
        <w:t xml:space="preserve">For reporting on antimicrobial use in aged care, </w:t>
      </w:r>
      <w:r w:rsidR="00670086">
        <w:rPr>
          <w:rFonts w:cstheme="minorHAnsi"/>
        </w:rPr>
        <w:t xml:space="preserve">the data include </w:t>
      </w:r>
      <w:r w:rsidR="00670086" w:rsidRPr="00BB31DE">
        <w:rPr>
          <w:rFonts w:cstheme="minorHAnsi"/>
        </w:rPr>
        <w:t>an indicator for patient’s residence</w:t>
      </w:r>
      <w:r w:rsidR="00670086">
        <w:rPr>
          <w:rFonts w:cstheme="minorHAnsi"/>
        </w:rPr>
        <w:t xml:space="preserve"> in an aged care home.</w:t>
      </w:r>
      <w:r w:rsidR="002D0B25">
        <w:rPr>
          <w:rFonts w:cstheme="minorHAnsi"/>
        </w:rPr>
        <w:t xml:space="preserve"> The aged care indicator was introduced </w:t>
      </w:r>
      <w:r w:rsidR="00B37F18">
        <w:rPr>
          <w:rFonts w:cstheme="minorHAnsi"/>
        </w:rPr>
        <w:t xml:space="preserve">in </w:t>
      </w:r>
      <w:r w:rsidR="002D0B25">
        <w:rPr>
          <w:rFonts w:cstheme="minorHAnsi"/>
        </w:rPr>
        <w:t>July 2017</w:t>
      </w:r>
      <w:r w:rsidR="008F270A">
        <w:rPr>
          <w:rFonts w:cstheme="minorHAnsi"/>
        </w:rPr>
        <w:t xml:space="preserve"> </w:t>
      </w:r>
      <w:r w:rsidR="00B37F18">
        <w:rPr>
          <w:rFonts w:cstheme="minorHAnsi"/>
        </w:rPr>
        <w:t xml:space="preserve">and </w:t>
      </w:r>
      <w:r w:rsidR="008F270A">
        <w:rPr>
          <w:rFonts w:cstheme="minorHAnsi"/>
        </w:rPr>
        <w:t xml:space="preserve">became </w:t>
      </w:r>
      <w:r w:rsidR="002D0B25">
        <w:rPr>
          <w:rFonts w:cstheme="minorHAnsi"/>
        </w:rPr>
        <w:t>mandatory from July 2020</w:t>
      </w:r>
      <w:r w:rsidR="008F270A">
        <w:rPr>
          <w:rFonts w:cstheme="minorHAnsi"/>
        </w:rPr>
        <w:t xml:space="preserve">. </w:t>
      </w:r>
      <w:r w:rsidR="005F3B91">
        <w:rPr>
          <w:rFonts w:cstheme="minorHAnsi"/>
        </w:rPr>
        <w:t>Therefore, analys</w:t>
      </w:r>
      <w:r w:rsidR="00B37F18">
        <w:rPr>
          <w:rFonts w:cstheme="minorHAnsi"/>
        </w:rPr>
        <w:t>e</w:t>
      </w:r>
      <w:r w:rsidR="005F3B91">
        <w:rPr>
          <w:rFonts w:cstheme="minorHAnsi"/>
        </w:rPr>
        <w:t xml:space="preserve">s </w:t>
      </w:r>
      <w:r w:rsidR="00B37F18">
        <w:rPr>
          <w:rFonts w:cstheme="minorHAnsi"/>
        </w:rPr>
        <w:t xml:space="preserve">for data </w:t>
      </w:r>
      <w:r w:rsidR="005F3B91">
        <w:rPr>
          <w:rFonts w:cstheme="minorHAnsi"/>
        </w:rPr>
        <w:t xml:space="preserve">from </w:t>
      </w:r>
      <w:r w:rsidR="005F3B91" w:rsidRPr="00F46944">
        <w:t>1 January 20</w:t>
      </w:r>
      <w:r w:rsidR="005F3B91">
        <w:t>21</w:t>
      </w:r>
      <w:r w:rsidR="005F3B91" w:rsidRPr="00F46944">
        <w:t xml:space="preserve"> to 31 December </w:t>
      </w:r>
      <w:r w:rsidR="005F3B91">
        <w:t xml:space="preserve">2023 </w:t>
      </w:r>
      <w:r w:rsidR="009F623E">
        <w:t>were</w:t>
      </w:r>
      <w:r w:rsidR="005F3B91">
        <w:t xml:space="preserve"> included in this report </w:t>
      </w:r>
      <w:r w:rsidR="009F623E">
        <w:t>to ensure complete and reliable data</w:t>
      </w:r>
      <w:r w:rsidR="00FB63BF">
        <w:t xml:space="preserve"> analysis</w:t>
      </w:r>
      <w:r w:rsidR="005F3B91">
        <w:t>.</w:t>
      </w:r>
      <w:r w:rsidR="00950F3D">
        <w:t xml:space="preserve"> The aged care indicator does not capture multi-purpose services.</w:t>
      </w:r>
      <w:r w:rsidR="00B85F65">
        <w:rPr>
          <w:rFonts w:cstheme="minorHAnsi"/>
        </w:rPr>
        <w:br w:type="page"/>
      </w:r>
    </w:p>
    <w:p w14:paraId="4D2C8CEC" w14:textId="11321FE8" w:rsidR="00E751BB" w:rsidRPr="0033365E" w:rsidRDefault="00E751BB" w:rsidP="00E96EEA">
      <w:pPr>
        <w:pStyle w:val="FigureTableTitle"/>
        <w:spacing w:after="120"/>
        <w:rPr>
          <w:b w:val="0"/>
          <w:bCs/>
        </w:rPr>
      </w:pPr>
      <w:bookmarkStart w:id="60" w:name="_Toc121331861"/>
      <w:bookmarkStart w:id="61" w:name="_Toc121744361"/>
      <w:bookmarkStart w:id="62" w:name="_Toc121491301"/>
      <w:bookmarkStart w:id="63" w:name="_Toc166587349"/>
      <w:r w:rsidRPr="00625242">
        <w:lastRenderedPageBreak/>
        <w:t>Table </w:t>
      </w:r>
      <w:r w:rsidR="003D6CBF">
        <w:t>A</w:t>
      </w:r>
      <w:r w:rsidR="0033462D">
        <w:t>1.</w:t>
      </w:r>
      <w:r w:rsidR="00FB3BCF">
        <w:fldChar w:fldCharType="begin"/>
      </w:r>
      <w:r w:rsidR="00FB3BCF">
        <w:instrText xml:space="preserve"> SEQ Table \* ARABIC </w:instrText>
      </w:r>
      <w:r w:rsidR="00FB3BCF">
        <w:fldChar w:fldCharType="separate"/>
      </w:r>
      <w:r w:rsidR="00450BE6">
        <w:rPr>
          <w:noProof/>
        </w:rPr>
        <w:t>1</w:t>
      </w:r>
      <w:r w:rsidR="00FB3BCF">
        <w:rPr>
          <w:noProof/>
        </w:rPr>
        <w:fldChar w:fldCharType="end"/>
      </w:r>
      <w:r w:rsidRPr="00625242">
        <w:t>: </w:t>
      </w:r>
      <w:r w:rsidRPr="0033365E">
        <w:rPr>
          <w:b w:val="0"/>
          <w:bCs/>
        </w:rPr>
        <w:t>PBS</w:t>
      </w:r>
      <w:r>
        <w:rPr>
          <w:b w:val="0"/>
          <w:bCs/>
        </w:rPr>
        <w:t xml:space="preserve"> and </w:t>
      </w:r>
      <w:r w:rsidRPr="0033365E">
        <w:rPr>
          <w:b w:val="0"/>
          <w:bCs/>
        </w:rPr>
        <w:t>RPBS community antimicrobial use data source</w:t>
      </w:r>
      <w:bookmarkEnd w:id="60"/>
      <w:bookmarkEnd w:id="61"/>
      <w:bookmarkEnd w:id="62"/>
      <w:bookmarkEnd w:id="63"/>
    </w:p>
    <w:tbl>
      <w:tblPr>
        <w:tblStyle w:val="PlainTable2"/>
        <w:tblW w:w="0" w:type="auto"/>
        <w:tblLook w:val="04A0" w:firstRow="1" w:lastRow="0" w:firstColumn="1" w:lastColumn="0" w:noHBand="0" w:noVBand="1"/>
        <w:tblCaption w:val="Table A1.1: PBS and RPBS community antimicrobial use data source"/>
      </w:tblPr>
      <w:tblGrid>
        <w:gridCol w:w="2204"/>
        <w:gridCol w:w="6552"/>
      </w:tblGrid>
      <w:tr w:rsidR="00E751BB" w:rsidRPr="0033365E" w14:paraId="42F5DE86" w14:textId="77777777" w:rsidTr="00D60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shd w:val="clear" w:color="auto" w:fill="ECB69E"/>
          </w:tcPr>
          <w:p w14:paraId="41270F4E" w14:textId="77777777" w:rsidR="00E751BB" w:rsidRPr="0033365E" w:rsidRDefault="00E751BB" w:rsidP="00ED5473">
            <w:pPr>
              <w:rPr>
                <w:rFonts w:ascii="Arial" w:hAnsi="Arial"/>
              </w:rPr>
            </w:pPr>
            <w:r w:rsidRPr="0033365E">
              <w:rPr>
                <w:rFonts w:ascii="Arial" w:hAnsi="Arial" w:cs="Arial"/>
                <w:color w:val="000000"/>
                <w:sz w:val="21"/>
                <w:szCs w:val="21"/>
              </w:rPr>
              <w:t>Subject and type of surveillance</w:t>
            </w:r>
          </w:p>
        </w:tc>
        <w:tc>
          <w:tcPr>
            <w:tcW w:w="6552" w:type="dxa"/>
            <w:vAlign w:val="center"/>
          </w:tcPr>
          <w:p w14:paraId="1282E773" w14:textId="77777777" w:rsidR="00E751BB" w:rsidRPr="0033365E" w:rsidRDefault="00E751BB" w:rsidP="00ED5473">
            <w:pPr>
              <w:tabs>
                <w:tab w:val="left" w:pos="216"/>
              </w:tabs>
              <w:spacing w:before="60" w:after="60"/>
              <w:ind w:left="216" w:hanging="216"/>
              <w:cnfStyle w:val="100000000000" w:firstRow="1"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Passive surveillance of antimicrobial use in the community</w:t>
            </w:r>
          </w:p>
        </w:tc>
      </w:tr>
      <w:tr w:rsidR="00E751BB" w:rsidRPr="0033365E" w14:paraId="630E2293" w14:textId="77777777" w:rsidTr="00D6042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04" w:type="dxa"/>
            <w:shd w:val="clear" w:color="auto" w:fill="ECB69E"/>
          </w:tcPr>
          <w:p w14:paraId="6D6699E9" w14:textId="77777777" w:rsidR="00E751BB" w:rsidRPr="0033365E" w:rsidRDefault="00E751BB" w:rsidP="00ED5473">
            <w:pPr>
              <w:rPr>
                <w:rFonts w:ascii="Arial" w:hAnsi="Arial"/>
              </w:rPr>
            </w:pPr>
            <w:r w:rsidRPr="0033365E">
              <w:rPr>
                <w:rFonts w:ascii="Arial" w:hAnsi="Arial" w:cs="Arial"/>
                <w:color w:val="000000"/>
                <w:sz w:val="21"/>
                <w:szCs w:val="21"/>
              </w:rPr>
              <w:t>Data source</w:t>
            </w:r>
          </w:p>
        </w:tc>
        <w:tc>
          <w:tcPr>
            <w:tcW w:w="6552" w:type="dxa"/>
          </w:tcPr>
          <w:p w14:paraId="142B7AAE" w14:textId="77777777" w:rsidR="00E751BB" w:rsidRPr="0033365E" w:rsidRDefault="00E751BB" w:rsidP="00ED5473">
            <w:pPr>
              <w:cnfStyle w:val="000000100000" w:firstRow="0" w:lastRow="0" w:firstColumn="0" w:lastColumn="0" w:oddVBand="0" w:evenVBand="0" w:oddHBand="1" w:evenHBand="0" w:firstRowFirstColumn="0" w:firstRowLastColumn="0" w:lastRowFirstColumn="0" w:lastRowLastColumn="0"/>
              <w:rPr>
                <w:rFonts w:ascii="Arial" w:hAnsi="Arial"/>
              </w:rPr>
            </w:pPr>
            <w:r w:rsidRPr="0033365E">
              <w:rPr>
                <w:rFonts w:ascii="Arial" w:hAnsi="Arial" w:cs="Arial"/>
                <w:color w:val="000000"/>
                <w:sz w:val="21"/>
                <w:szCs w:val="21"/>
              </w:rPr>
              <w:t>Pharmaceutical Benefits Scheme (PBS) and Repatriation Pharmaceutical Benefits Scheme (RPBS)</w:t>
            </w:r>
          </w:p>
        </w:tc>
      </w:tr>
      <w:tr w:rsidR="00E751BB" w:rsidRPr="0033365E" w14:paraId="152691CE" w14:textId="77777777" w:rsidTr="00D6042F">
        <w:tc>
          <w:tcPr>
            <w:cnfStyle w:val="001000000000" w:firstRow="0" w:lastRow="0" w:firstColumn="1" w:lastColumn="0" w:oddVBand="0" w:evenVBand="0" w:oddHBand="0" w:evenHBand="0" w:firstRowFirstColumn="0" w:firstRowLastColumn="0" w:lastRowFirstColumn="0" w:lastRowLastColumn="0"/>
            <w:tcW w:w="2204" w:type="dxa"/>
            <w:shd w:val="clear" w:color="auto" w:fill="ECB69E"/>
          </w:tcPr>
          <w:p w14:paraId="3051588A" w14:textId="77777777" w:rsidR="00E751BB" w:rsidRPr="0033365E" w:rsidRDefault="00E751BB" w:rsidP="00ED5473">
            <w:pPr>
              <w:rPr>
                <w:rFonts w:ascii="Arial" w:hAnsi="Arial"/>
              </w:rPr>
            </w:pPr>
            <w:r w:rsidRPr="0033365E">
              <w:rPr>
                <w:rFonts w:ascii="Arial" w:hAnsi="Arial" w:cs="Arial"/>
                <w:color w:val="000000"/>
                <w:sz w:val="21"/>
                <w:szCs w:val="21"/>
              </w:rPr>
              <w:t>Type of data</w:t>
            </w:r>
          </w:p>
        </w:tc>
        <w:tc>
          <w:tcPr>
            <w:tcW w:w="6552" w:type="dxa"/>
          </w:tcPr>
          <w:p w14:paraId="3BBE78A1" w14:textId="77777777" w:rsidR="00E751BB" w:rsidRPr="0033365E" w:rsidRDefault="00E751BB" w:rsidP="00ED5473">
            <w:pPr>
              <w:cnfStyle w:val="000000000000" w:firstRow="0" w:lastRow="0" w:firstColumn="0" w:lastColumn="0" w:oddVBand="0" w:evenVBand="0" w:oddHBand="0" w:evenHBand="0" w:firstRowFirstColumn="0" w:firstRowLastColumn="0" w:lastRowFirstColumn="0" w:lastRowLastColumn="0"/>
              <w:rPr>
                <w:rFonts w:ascii="Arial" w:hAnsi="Arial"/>
              </w:rPr>
            </w:pPr>
            <w:r w:rsidRPr="0033365E">
              <w:rPr>
                <w:rFonts w:ascii="Arial" w:hAnsi="Arial" w:cs="Arial"/>
                <w:color w:val="000000"/>
                <w:sz w:val="21"/>
                <w:szCs w:val="21"/>
              </w:rPr>
              <w:t>Dispensed volume, trends</w:t>
            </w:r>
          </w:p>
        </w:tc>
      </w:tr>
      <w:tr w:rsidR="00E751BB" w:rsidRPr="0033365E" w14:paraId="566585D2" w14:textId="77777777" w:rsidTr="00D60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shd w:val="clear" w:color="auto" w:fill="ECB69E"/>
          </w:tcPr>
          <w:p w14:paraId="03B45319" w14:textId="77777777" w:rsidR="00E751BB" w:rsidRPr="0033365E" w:rsidRDefault="00E751BB" w:rsidP="00ED5473">
            <w:pPr>
              <w:rPr>
                <w:rFonts w:ascii="Arial" w:hAnsi="Arial"/>
              </w:rPr>
            </w:pPr>
            <w:r w:rsidRPr="0033365E">
              <w:rPr>
                <w:rFonts w:ascii="Arial" w:hAnsi="Arial" w:cs="Arial"/>
                <w:color w:val="000000"/>
                <w:sz w:val="21"/>
                <w:szCs w:val="21"/>
              </w:rPr>
              <w:t>Setting</w:t>
            </w:r>
          </w:p>
        </w:tc>
        <w:tc>
          <w:tcPr>
            <w:tcW w:w="6552" w:type="dxa"/>
          </w:tcPr>
          <w:p w14:paraId="37E48F98" w14:textId="03E9FA5F" w:rsidR="00E751BB" w:rsidRPr="0033365E" w:rsidRDefault="00E751BB" w:rsidP="00ED5473">
            <w:pPr>
              <w:cnfStyle w:val="000000100000" w:firstRow="0" w:lastRow="0" w:firstColumn="0" w:lastColumn="0" w:oddVBand="0" w:evenVBand="0" w:oddHBand="1" w:evenHBand="0" w:firstRowFirstColumn="0" w:firstRowLastColumn="0" w:lastRowFirstColumn="0" w:lastRowLastColumn="0"/>
              <w:rPr>
                <w:rFonts w:ascii="Arial" w:hAnsi="Arial"/>
              </w:rPr>
            </w:pPr>
            <w:r w:rsidRPr="0033365E">
              <w:rPr>
                <w:rFonts w:ascii="Arial" w:hAnsi="Arial" w:cs="Arial"/>
                <w:color w:val="000000"/>
                <w:sz w:val="21"/>
                <w:szCs w:val="21"/>
              </w:rPr>
              <w:t>Australian general practices and community health services*</w:t>
            </w:r>
            <w:r w:rsidRPr="0033365E">
              <w:rPr>
                <w:rFonts w:ascii="Arial" w:hAnsi="Arial" w:cs="Arial"/>
                <w:color w:val="000000"/>
                <w:sz w:val="21"/>
                <w:szCs w:val="21"/>
                <w:vertAlign w:val="superscript"/>
              </w:rPr>
              <w:t>†</w:t>
            </w:r>
            <w:r w:rsidR="009701F9">
              <w:rPr>
                <w:rFonts w:ascii="Arial" w:hAnsi="Arial" w:cs="Arial"/>
                <w:color w:val="000000"/>
                <w:sz w:val="21"/>
                <w:szCs w:val="21"/>
                <w:vertAlign w:val="superscript"/>
              </w:rPr>
              <w:t>#</w:t>
            </w:r>
            <w:r w:rsidRPr="0033365E">
              <w:rPr>
                <w:rFonts w:ascii="Arial" w:hAnsi="Arial" w:cs="Arial"/>
                <w:color w:val="000000"/>
                <w:sz w:val="21"/>
                <w:szCs w:val="21"/>
                <w:vertAlign w:val="superscript"/>
              </w:rPr>
              <w:t>§</w:t>
            </w:r>
          </w:p>
        </w:tc>
      </w:tr>
      <w:tr w:rsidR="00E751BB" w:rsidRPr="0033365E" w14:paraId="223ED04A" w14:textId="77777777" w:rsidTr="00D6042F">
        <w:tc>
          <w:tcPr>
            <w:cnfStyle w:val="001000000000" w:firstRow="0" w:lastRow="0" w:firstColumn="1" w:lastColumn="0" w:oddVBand="0" w:evenVBand="0" w:oddHBand="0" w:evenHBand="0" w:firstRowFirstColumn="0" w:firstRowLastColumn="0" w:lastRowFirstColumn="0" w:lastRowLastColumn="0"/>
            <w:tcW w:w="2204" w:type="dxa"/>
            <w:shd w:val="clear" w:color="auto" w:fill="ECB69E"/>
          </w:tcPr>
          <w:p w14:paraId="0FCBADB2" w14:textId="77777777" w:rsidR="00E751BB" w:rsidRPr="0033365E" w:rsidRDefault="00E751BB" w:rsidP="00ED5473">
            <w:pPr>
              <w:rPr>
                <w:rFonts w:ascii="Arial" w:hAnsi="Arial"/>
              </w:rPr>
            </w:pPr>
            <w:r w:rsidRPr="0033365E">
              <w:rPr>
                <w:rFonts w:ascii="Arial" w:hAnsi="Arial" w:cs="Arial"/>
                <w:color w:val="000000"/>
                <w:sz w:val="21"/>
                <w:szCs w:val="21"/>
              </w:rPr>
              <w:t>Coverage</w:t>
            </w:r>
          </w:p>
        </w:tc>
        <w:tc>
          <w:tcPr>
            <w:tcW w:w="6552" w:type="dxa"/>
          </w:tcPr>
          <w:p w14:paraId="13D3486E"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National</w:t>
            </w:r>
          </w:p>
          <w:p w14:paraId="2B8E515E"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2015: 29,264,932 prescriptions for all antimicrobials</w:t>
            </w:r>
          </w:p>
          <w:p w14:paraId="0DD45FD7"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2016: 27,324,648 prescriptions for all antimicrobials</w:t>
            </w:r>
          </w:p>
          <w:p w14:paraId="276D62AB"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2017: 26,553,451 prescriptions for all antimicrobials</w:t>
            </w:r>
          </w:p>
          <w:p w14:paraId="2A6F105D" w14:textId="77777777" w:rsidR="00E751BB" w:rsidRPr="0033365E" w:rsidRDefault="00E751BB" w:rsidP="00ED5473">
            <w:pPr>
              <w:keepNext/>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2018: 26,229,366 prescriptions for all antimicrobials</w:t>
            </w:r>
          </w:p>
          <w:p w14:paraId="01D39C40"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2019: 26,669,561 prescriptions for all antimicrobials</w:t>
            </w:r>
          </w:p>
          <w:p w14:paraId="2E1DFC46" w14:textId="77777777" w:rsidR="00E751BB" w:rsidRPr="0033365E"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2020: 20,095,926 prescriptions for all antimicrobials</w:t>
            </w:r>
          </w:p>
          <w:p w14:paraId="4F63C5AC" w14:textId="77777777" w:rsidR="00E751BB"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33365E">
              <w:rPr>
                <w:rFonts w:ascii="Arial" w:hAnsi="Arial" w:cs="Arial"/>
                <w:color w:val="000000"/>
                <w:sz w:val="21"/>
                <w:szCs w:val="21"/>
              </w:rPr>
              <w:t>2021: 19,931,271 prescriptions for all antimicrobials</w:t>
            </w:r>
          </w:p>
          <w:p w14:paraId="41A349D3" w14:textId="77777777" w:rsidR="00E751BB"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Pr>
                <w:rFonts w:ascii="Arial" w:hAnsi="Arial" w:cs="Arial"/>
                <w:color w:val="000000"/>
                <w:sz w:val="21"/>
                <w:szCs w:val="21"/>
              </w:rPr>
              <w:t>2022: 21,848,005 prescriptions for all antimicrobials</w:t>
            </w:r>
          </w:p>
          <w:p w14:paraId="30540489" w14:textId="6A53DF27" w:rsidR="00E751BB" w:rsidRPr="00A22D7D" w:rsidRDefault="00E751BB" w:rsidP="00ED5473">
            <w:pPr>
              <w:tabs>
                <w:tab w:val="left" w:pos="216"/>
              </w:tabs>
              <w:spacing w:before="60" w:after="60"/>
              <w:ind w:left="216" w:hanging="21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A22D7D">
              <w:rPr>
                <w:rFonts w:ascii="Arial" w:hAnsi="Arial" w:cs="Arial"/>
                <w:sz w:val="21"/>
                <w:szCs w:val="21"/>
              </w:rPr>
              <w:t xml:space="preserve">2023: </w:t>
            </w:r>
            <w:r w:rsidR="00A22D7D" w:rsidRPr="00A22D7D">
              <w:rPr>
                <w:rFonts w:ascii="Arial" w:hAnsi="Arial" w:cs="Arial"/>
                <w:sz w:val="21"/>
                <w:szCs w:val="21"/>
              </w:rPr>
              <w:t>22,126,604</w:t>
            </w:r>
            <w:r w:rsidR="00A22D7D">
              <w:rPr>
                <w:rFonts w:ascii="Arial" w:hAnsi="Arial" w:cs="Arial"/>
                <w:sz w:val="21"/>
                <w:szCs w:val="21"/>
              </w:rPr>
              <w:t xml:space="preserve"> </w:t>
            </w:r>
            <w:r w:rsidRPr="00A22D7D">
              <w:rPr>
                <w:rFonts w:ascii="Arial" w:hAnsi="Arial" w:cs="Arial"/>
                <w:sz w:val="21"/>
                <w:szCs w:val="21"/>
              </w:rPr>
              <w:t>prescriptions for all antimicrobials</w:t>
            </w:r>
          </w:p>
        </w:tc>
      </w:tr>
    </w:tbl>
    <w:p w14:paraId="5E5ADA14" w14:textId="44EC2E3B" w:rsidR="000B1EA4" w:rsidRDefault="000B1EA4" w:rsidP="00C36B4C">
      <w:pPr>
        <w:pStyle w:val="FigureTablefootnote"/>
        <w:spacing w:before="60"/>
        <w:rPr>
          <w:rFonts w:asciiTheme="majorHAnsi" w:hAnsiTheme="majorHAnsi" w:cstheme="majorHAnsi"/>
        </w:rPr>
      </w:pPr>
      <w:bookmarkStart w:id="64" w:name="_Hlk100660832"/>
      <w:r w:rsidRPr="00C36B4C">
        <w:t>PBS = Pharmaceutical Benefits Scheme; RPBS = Repatriation Pharmaceutical Benefits Scheme</w:t>
      </w:r>
    </w:p>
    <w:p w14:paraId="5EC97C86" w14:textId="47388533" w:rsidR="00E751BB" w:rsidRPr="00F46944" w:rsidRDefault="00E751BB" w:rsidP="00C941E3">
      <w:pPr>
        <w:pStyle w:val="FigureTablefootnote"/>
      </w:pPr>
      <w:r w:rsidRPr="00F46944">
        <w:rPr>
          <w:rFonts w:asciiTheme="majorHAnsi" w:hAnsiTheme="majorHAnsi" w:cstheme="majorHAnsi"/>
        </w:rPr>
        <w:t>*</w:t>
      </w:r>
      <w:r>
        <w:rPr>
          <w:rFonts w:asciiTheme="majorHAnsi" w:hAnsiTheme="majorHAnsi" w:cstheme="majorHAnsi"/>
        </w:rPr>
        <w:tab/>
      </w:r>
      <w:r w:rsidRPr="00F46944">
        <w:t>Data include all antimicrobials dispensed through the PBS</w:t>
      </w:r>
      <w:r>
        <w:t xml:space="preserve"> and </w:t>
      </w:r>
      <w:r w:rsidRPr="00F46944">
        <w:t>RPBS; therefore, antimicrobials dispensed from some inpatient and outpatient services, and some community health services, and Aboriginal and Torres Strait Islander health services may not be captured</w:t>
      </w:r>
    </w:p>
    <w:p w14:paraId="72BB121E" w14:textId="377EE92D" w:rsidR="00E751BB" w:rsidRDefault="00E751BB" w:rsidP="00E751BB">
      <w:pPr>
        <w:tabs>
          <w:tab w:val="left" w:pos="142"/>
        </w:tabs>
        <w:spacing w:before="0" w:after="0"/>
        <w:rPr>
          <w:rFonts w:cstheme="minorHAnsi"/>
          <w:sz w:val="16"/>
          <w:szCs w:val="16"/>
        </w:rPr>
      </w:pPr>
      <w:r w:rsidRPr="0012233F">
        <w:rPr>
          <w:rFonts w:ascii="Arial" w:hAnsi="Arial" w:cs="Arial"/>
          <w:sz w:val="16"/>
          <w:szCs w:val="16"/>
        </w:rPr>
        <w:t>†</w:t>
      </w:r>
      <w:r>
        <w:rPr>
          <w:rFonts w:ascii="Arial" w:hAnsi="Arial" w:cs="Arial"/>
          <w:sz w:val="16"/>
          <w:szCs w:val="16"/>
          <w:vertAlign w:val="superscript"/>
        </w:rPr>
        <w:tab/>
      </w:r>
      <w:r>
        <w:rPr>
          <w:rFonts w:cstheme="minorHAnsi"/>
          <w:sz w:val="16"/>
          <w:szCs w:val="16"/>
        </w:rPr>
        <w:t xml:space="preserve">Private </w:t>
      </w:r>
      <w:r w:rsidRPr="00F46944">
        <w:rPr>
          <w:rFonts w:cstheme="minorHAnsi"/>
          <w:sz w:val="16"/>
          <w:szCs w:val="16"/>
        </w:rPr>
        <w:t xml:space="preserve">prescriptions </w:t>
      </w:r>
      <w:r>
        <w:rPr>
          <w:rFonts w:cstheme="minorHAnsi"/>
          <w:sz w:val="16"/>
          <w:szCs w:val="16"/>
        </w:rPr>
        <w:t xml:space="preserve">(i.e. prescriptions that are not subsidised under the PBS or RPBS) </w:t>
      </w:r>
      <w:r w:rsidR="00A8295A">
        <w:rPr>
          <w:rFonts w:cstheme="minorHAnsi"/>
          <w:sz w:val="16"/>
          <w:szCs w:val="16"/>
        </w:rPr>
        <w:t>including pharmacist prescribing</w:t>
      </w:r>
      <w:r w:rsidR="005A08E6">
        <w:rPr>
          <w:rFonts w:cstheme="minorHAnsi"/>
          <w:sz w:val="16"/>
          <w:szCs w:val="16"/>
        </w:rPr>
        <w:t xml:space="preserve"> initiatives</w:t>
      </w:r>
      <w:r w:rsidR="00A8295A">
        <w:rPr>
          <w:rFonts w:cstheme="minorHAnsi"/>
          <w:sz w:val="16"/>
          <w:szCs w:val="16"/>
        </w:rPr>
        <w:t xml:space="preserve"> </w:t>
      </w:r>
      <w:r w:rsidRPr="00F46944">
        <w:rPr>
          <w:rFonts w:cstheme="minorHAnsi"/>
          <w:sz w:val="16"/>
          <w:szCs w:val="16"/>
        </w:rPr>
        <w:t xml:space="preserve">are not </w:t>
      </w:r>
      <w:r w:rsidR="009701F9">
        <w:rPr>
          <w:rFonts w:cstheme="minorHAnsi"/>
          <w:sz w:val="16"/>
          <w:szCs w:val="16"/>
        </w:rPr>
        <w:t>captured by</w:t>
      </w:r>
      <w:r w:rsidRPr="00F46944">
        <w:rPr>
          <w:rFonts w:cstheme="minorHAnsi"/>
          <w:sz w:val="16"/>
          <w:szCs w:val="16"/>
        </w:rPr>
        <w:t xml:space="preserve"> this dataset</w:t>
      </w:r>
    </w:p>
    <w:p w14:paraId="19F37601" w14:textId="3EDC7ED2" w:rsidR="009701F9" w:rsidRPr="00F46944" w:rsidRDefault="009701F9" w:rsidP="00E751BB">
      <w:pPr>
        <w:tabs>
          <w:tab w:val="left" w:pos="142"/>
        </w:tabs>
        <w:spacing w:before="0" w:after="0"/>
        <w:rPr>
          <w:rFonts w:cstheme="minorHAnsi"/>
          <w:sz w:val="16"/>
          <w:szCs w:val="16"/>
        </w:rPr>
      </w:pPr>
      <w:r w:rsidRPr="0012233F">
        <w:rPr>
          <w:rFonts w:ascii="Arial" w:hAnsi="Arial" w:cs="Arial"/>
          <w:sz w:val="16"/>
          <w:szCs w:val="16"/>
        </w:rPr>
        <w:t>§</w:t>
      </w:r>
      <w:r>
        <w:rPr>
          <w:rFonts w:ascii="Arial" w:hAnsi="Arial" w:cs="Arial"/>
          <w:sz w:val="16"/>
          <w:szCs w:val="16"/>
        </w:rPr>
        <w:tab/>
      </w:r>
      <w:r w:rsidRPr="009701F9">
        <w:rPr>
          <w:rFonts w:ascii="Arial" w:hAnsi="Arial" w:cs="Arial"/>
          <w:sz w:val="16"/>
          <w:szCs w:val="16"/>
        </w:rPr>
        <w:t>Antimicrobials available over-the-counter or without a prescription are not captured by</w:t>
      </w:r>
      <w:r>
        <w:rPr>
          <w:rFonts w:ascii="Arial" w:hAnsi="Arial" w:cs="Arial"/>
          <w:sz w:val="16"/>
          <w:szCs w:val="16"/>
        </w:rPr>
        <w:t xml:space="preserve"> this dataset</w:t>
      </w:r>
    </w:p>
    <w:p w14:paraId="0DB30941" w14:textId="0511CE5B" w:rsidR="00E751BB" w:rsidRPr="006938E2" w:rsidRDefault="009701F9" w:rsidP="00E751BB">
      <w:pPr>
        <w:pStyle w:val="BulletLast"/>
        <w:numPr>
          <w:ilvl w:val="0"/>
          <w:numId w:val="0"/>
        </w:numPr>
        <w:spacing w:after="0"/>
        <w:ind w:left="142" w:hanging="142"/>
        <w:rPr>
          <w:rFonts w:asciiTheme="minorHAnsi" w:hAnsiTheme="minorHAnsi" w:cstheme="minorHAnsi"/>
          <w:sz w:val="16"/>
          <w:szCs w:val="16"/>
        </w:rPr>
      </w:pPr>
      <w:r>
        <w:rPr>
          <w:rFonts w:ascii="Arial" w:hAnsi="Arial" w:cs="Arial"/>
          <w:color w:val="auto"/>
          <w:sz w:val="16"/>
          <w:szCs w:val="16"/>
        </w:rPr>
        <w:t>#</w:t>
      </w:r>
      <w:r w:rsidR="00E751BB">
        <w:rPr>
          <w:rFonts w:ascii="Arial" w:hAnsi="Arial" w:cs="Arial"/>
          <w:color w:val="auto"/>
          <w:sz w:val="16"/>
          <w:szCs w:val="16"/>
          <w:vertAlign w:val="superscript"/>
        </w:rPr>
        <w:tab/>
      </w:r>
      <w:r w:rsidR="00CE3049">
        <w:rPr>
          <w:rFonts w:asciiTheme="minorHAnsi" w:hAnsiTheme="minorHAnsi" w:cstheme="minorHAnsi"/>
          <w:sz w:val="16"/>
          <w:szCs w:val="16"/>
        </w:rPr>
        <w:t xml:space="preserve">PBS and RPBS </w:t>
      </w:r>
      <w:r w:rsidR="00E751BB" w:rsidRPr="00F46944">
        <w:rPr>
          <w:rFonts w:asciiTheme="minorHAnsi" w:hAnsiTheme="minorHAnsi" w:cstheme="minorHAnsi"/>
          <w:sz w:val="16"/>
          <w:szCs w:val="16"/>
        </w:rPr>
        <w:t>data do not indicate the diagnosis or condition of the patient or the indication for prescription</w:t>
      </w:r>
    </w:p>
    <w:p w14:paraId="2876BBEF" w14:textId="52520B63" w:rsidR="00E751BB" w:rsidRDefault="00E751BB" w:rsidP="00E751BB">
      <w:pPr>
        <w:pStyle w:val="FigureTablefootnote"/>
      </w:pPr>
      <w:r w:rsidRPr="00444AFE">
        <w:t>Source: Gadzhanova, Roughead</w:t>
      </w:r>
      <w:r w:rsidRPr="00444AFE">
        <w:fldChar w:fldCharType="begin"/>
      </w:r>
      <w:r w:rsidR="00214844">
        <w:instrText xml:space="preserve"> ADDIN EN.CITE &lt;EndNote&gt;&lt;Cite&gt;&lt;Author&gt;Gadzhanova S and Roughead E&lt;/Author&gt;&lt;RecNum&gt;3&lt;/RecNum&gt;&lt;DisplayText&gt;&lt;style face="superscript"&gt;19&lt;/style&gt;&lt;/DisplayText&gt;&lt;record&gt;&lt;rec-number&gt;3&lt;/rec-number&gt;&lt;foreign-keys&gt;&lt;key app="EN" db-id="0a9sasvr7dwawyeva9qpw09xaap9erv5ad5e" timestamp="1704339860"&gt;3&lt;/key&gt;&lt;/foreign-keys&gt;&lt;ref-type name="Government Document"&gt;46&lt;/ref-type&gt;&lt;contributors&gt;&lt;authors&gt;&lt;author&gt;Gadzhanova S and Roughead E,&lt;/author&gt;&lt;/authors&gt;&lt;/contributors&gt;&lt;titles&gt;&lt;title&gt;Analysis of 2015–2023 PBS and RPBS data for the National Report on Antimicrobial Use and Resistance (unpublished)&lt;/title&gt;&lt;/titles&gt;&lt;dates&gt;&lt;/dates&gt;&lt;urls&gt;&lt;/urls&gt;&lt;/record&gt;&lt;/Cite&gt;&lt;/EndNote&gt;</w:instrText>
      </w:r>
      <w:r w:rsidRPr="00444AFE">
        <w:fldChar w:fldCharType="separate"/>
      </w:r>
      <w:r w:rsidR="00087F2D" w:rsidRPr="00087F2D">
        <w:rPr>
          <w:noProof/>
          <w:vertAlign w:val="superscript"/>
        </w:rPr>
        <w:t>19</w:t>
      </w:r>
      <w:r w:rsidRPr="00444AFE">
        <w:fldChar w:fldCharType="end"/>
      </w:r>
      <w:bookmarkEnd w:id="64"/>
    </w:p>
    <w:p w14:paraId="16D5E363" w14:textId="77777777" w:rsidR="00002927" w:rsidRPr="0033365E" w:rsidRDefault="00002927" w:rsidP="00E751BB">
      <w:pPr>
        <w:pStyle w:val="FigureTablefootnote"/>
      </w:pPr>
    </w:p>
    <w:p w14:paraId="6E1497F0" w14:textId="77777777" w:rsidR="00E751BB" w:rsidRPr="00296EF3" w:rsidRDefault="00E751BB" w:rsidP="00296EF3">
      <w:pPr>
        <w:pStyle w:val="Heading4"/>
        <w:rPr>
          <w:color w:val="005370"/>
        </w:rPr>
      </w:pPr>
      <w:r w:rsidRPr="00296EF3">
        <w:rPr>
          <w:color w:val="005370"/>
        </w:rPr>
        <w:t>Data development and analysis</w:t>
      </w:r>
    </w:p>
    <w:p w14:paraId="2D6442AE" w14:textId="1E098F04" w:rsidR="001C2A62" w:rsidRDefault="001C2A62" w:rsidP="001C2A62">
      <w:pPr>
        <w:rPr>
          <w:rFonts w:cstheme="minorHAnsi"/>
        </w:rPr>
      </w:pPr>
      <w:bookmarkStart w:id="65" w:name="_Hlk100655594"/>
      <w:r>
        <w:t>T</w:t>
      </w:r>
      <w:r w:rsidRPr="00F46944">
        <w:t xml:space="preserve">he </w:t>
      </w:r>
      <w:r w:rsidR="00EB13AC" w:rsidRPr="00F46944">
        <w:t>Australian Commission on Safety and Quality in Health Care (the Commission)</w:t>
      </w:r>
      <w:r w:rsidR="00EB13AC">
        <w:t xml:space="preserve"> </w:t>
      </w:r>
      <w:r w:rsidRPr="00F46944">
        <w:t xml:space="preserve">engaged the University of South </w:t>
      </w:r>
      <w:r w:rsidRPr="001C1C28">
        <w:t xml:space="preserve">Australia to perform </w:t>
      </w:r>
      <w:r>
        <w:t xml:space="preserve">the </w:t>
      </w:r>
      <w:r w:rsidRPr="001C1C28">
        <w:rPr>
          <w:rFonts w:cstheme="minorHAnsi"/>
        </w:rPr>
        <w:t>analyses</w:t>
      </w:r>
      <w:r>
        <w:rPr>
          <w:rFonts w:cstheme="minorHAnsi"/>
        </w:rPr>
        <w:t xml:space="preserve"> a</w:t>
      </w:r>
      <w:r w:rsidRPr="00F46944">
        <w:t>s part of the development of this report</w:t>
      </w:r>
      <w:r>
        <w:t>.</w:t>
      </w:r>
    </w:p>
    <w:bookmarkEnd w:id="65"/>
    <w:p w14:paraId="0479E427" w14:textId="7B44BBE7" w:rsidR="00EB13AC" w:rsidRPr="00844925" w:rsidRDefault="00002927" w:rsidP="009E45D5">
      <w:pPr>
        <w:spacing w:before="60" w:after="60"/>
      </w:pPr>
      <w:r w:rsidRPr="007D16BA">
        <w:rPr>
          <w:rFonts w:cstheme="minorHAnsi"/>
        </w:rPr>
        <w:t>The antimicrobials included in the analyses are shown in Tables A1.2</w:t>
      </w:r>
      <w:r>
        <w:rPr>
          <w:rFonts w:cstheme="minorHAnsi"/>
        </w:rPr>
        <w:t xml:space="preserve"> and </w:t>
      </w:r>
      <w:r w:rsidRPr="007D16BA">
        <w:rPr>
          <w:rFonts w:cstheme="minorHAnsi"/>
        </w:rPr>
        <w:t>A1.3</w:t>
      </w:r>
      <w:r w:rsidR="001A1EAD">
        <w:rPr>
          <w:rFonts w:cstheme="minorHAnsi"/>
        </w:rPr>
        <w:t xml:space="preserve"> and</w:t>
      </w:r>
      <w:r>
        <w:rPr>
          <w:rFonts w:cstheme="minorHAnsi"/>
        </w:rPr>
        <w:t xml:space="preserve"> are listed by </w:t>
      </w:r>
      <w:r>
        <w:t xml:space="preserve">World Health Organization (WHO) </w:t>
      </w:r>
      <w:r w:rsidRPr="00E906CB">
        <w:t>Anatomical Therapeutic Chemical (ATC) Classification</w:t>
      </w:r>
      <w:r>
        <w:t xml:space="preserve">s. ATC </w:t>
      </w:r>
      <w:r w:rsidR="00724DE0">
        <w:t xml:space="preserve">codes </w:t>
      </w:r>
      <w:r>
        <w:t xml:space="preserve">group medicines according to the organ or system on which they act, and their therapeutic, pharmacological, and chemical properties. </w:t>
      </w:r>
      <w:r>
        <w:rPr>
          <w:rFonts w:cstheme="minorHAnsi"/>
        </w:rPr>
        <w:t xml:space="preserve">Almost all antimicrobials supplied </w:t>
      </w:r>
      <w:r w:rsidRPr="000B76CA">
        <w:t>under the PBS and RPBS</w:t>
      </w:r>
      <w:r>
        <w:t xml:space="preserve"> are ATC code J01, antibacterials for systemic use. </w:t>
      </w:r>
      <w:r w:rsidR="00E751BB" w:rsidRPr="00F46944">
        <w:rPr>
          <w:rFonts w:cstheme="minorHAnsi"/>
        </w:rPr>
        <w:t>Th</w:t>
      </w:r>
      <w:r w:rsidR="00E751BB">
        <w:rPr>
          <w:rFonts w:cstheme="minorHAnsi"/>
        </w:rPr>
        <w:t xml:space="preserve">e </w:t>
      </w:r>
      <w:r w:rsidR="00E751BB" w:rsidRPr="00F46944">
        <w:rPr>
          <w:rFonts w:cstheme="minorHAnsi"/>
        </w:rPr>
        <w:t xml:space="preserve">codes </w:t>
      </w:r>
      <w:r w:rsidR="0068097E">
        <w:rPr>
          <w:rFonts w:cstheme="minorHAnsi"/>
        </w:rPr>
        <w:t xml:space="preserve">included </w:t>
      </w:r>
      <w:r w:rsidR="00E751BB">
        <w:rPr>
          <w:rFonts w:cstheme="minorHAnsi"/>
        </w:rPr>
        <w:t>in addition to J01</w:t>
      </w:r>
      <w:r w:rsidR="00B057D1">
        <w:rPr>
          <w:rFonts w:cstheme="minorHAnsi"/>
        </w:rPr>
        <w:t> </w:t>
      </w:r>
      <w:r w:rsidR="00E751BB">
        <w:rPr>
          <w:rFonts w:cstheme="minorHAnsi"/>
        </w:rPr>
        <w:t xml:space="preserve">antibacterials ensure </w:t>
      </w:r>
      <w:r w:rsidR="00E751BB" w:rsidRPr="00F46944">
        <w:rPr>
          <w:rFonts w:cstheme="minorHAnsi"/>
        </w:rPr>
        <w:t>that data captured better reflect antimicrobial exposure in the community</w:t>
      </w:r>
      <w:r w:rsidR="00D62397">
        <w:rPr>
          <w:rFonts w:cstheme="minorHAnsi"/>
        </w:rPr>
        <w:t xml:space="preserve"> and aged care settings.</w:t>
      </w:r>
      <w:r w:rsidR="00EB13AC">
        <w:rPr>
          <w:rFonts w:cstheme="minorHAnsi"/>
        </w:rPr>
        <w:br w:type="page"/>
      </w:r>
    </w:p>
    <w:p w14:paraId="67E6B720" w14:textId="4FC77976" w:rsidR="00E751BB" w:rsidRPr="00625242" w:rsidRDefault="00E751BB" w:rsidP="00E751BB">
      <w:pPr>
        <w:pStyle w:val="FigureTableTitle"/>
        <w:rPr>
          <w:bCs/>
        </w:rPr>
      </w:pPr>
      <w:bookmarkStart w:id="66" w:name="_Toc121744362"/>
      <w:bookmarkStart w:id="67" w:name="_Toc121491302"/>
      <w:bookmarkStart w:id="68" w:name="_Toc166587350"/>
      <w:r>
        <w:lastRenderedPageBreak/>
        <w:t>Table</w:t>
      </w:r>
      <w:r w:rsidRPr="00F46944">
        <w:t> </w:t>
      </w:r>
      <w:r w:rsidR="003D6CBF">
        <w:t>A</w:t>
      </w:r>
      <w:r w:rsidR="0033462D">
        <w:t>1.</w:t>
      </w:r>
      <w:r w:rsidR="00FB3BCF">
        <w:fldChar w:fldCharType="begin"/>
      </w:r>
      <w:r w:rsidR="00FB3BCF">
        <w:instrText xml:space="preserve"> SEQ Table \* ARABIC </w:instrText>
      </w:r>
      <w:r w:rsidR="00FB3BCF">
        <w:fldChar w:fldCharType="separate"/>
      </w:r>
      <w:r w:rsidR="00450BE6">
        <w:rPr>
          <w:noProof/>
        </w:rPr>
        <w:t>2</w:t>
      </w:r>
      <w:r w:rsidR="00FB3BCF">
        <w:rPr>
          <w:noProof/>
        </w:rPr>
        <w:fldChar w:fldCharType="end"/>
      </w:r>
      <w:r w:rsidRPr="00F46944">
        <w:t>:</w:t>
      </w:r>
      <w:r w:rsidRPr="00625242">
        <w:t> </w:t>
      </w:r>
      <w:r w:rsidRPr="0033365E">
        <w:rPr>
          <w:b w:val="0"/>
          <w:bCs/>
        </w:rPr>
        <w:t xml:space="preserve">Antimicrobials included in the </w:t>
      </w:r>
      <w:r w:rsidR="005A145A">
        <w:rPr>
          <w:b w:val="0"/>
          <w:bCs/>
        </w:rPr>
        <w:t xml:space="preserve">overall </w:t>
      </w:r>
      <w:r w:rsidRPr="0033365E">
        <w:rPr>
          <w:b w:val="0"/>
          <w:bCs/>
        </w:rPr>
        <w:t>analyses of PBS</w:t>
      </w:r>
      <w:r>
        <w:rPr>
          <w:b w:val="0"/>
          <w:bCs/>
        </w:rPr>
        <w:t xml:space="preserve"> and </w:t>
      </w:r>
      <w:r w:rsidRPr="0033365E">
        <w:rPr>
          <w:b w:val="0"/>
          <w:bCs/>
        </w:rPr>
        <w:t>RPBS data, 2015–</w:t>
      </w:r>
      <w:r>
        <w:rPr>
          <w:b w:val="0"/>
          <w:bCs/>
        </w:rPr>
        <w:t>2023</w:t>
      </w:r>
      <w:bookmarkEnd w:id="66"/>
      <w:bookmarkEnd w:id="67"/>
      <w:bookmarkEnd w:id="68"/>
    </w:p>
    <w:tbl>
      <w:tblPr>
        <w:tblW w:w="9214" w:type="dxa"/>
        <w:tblLook w:val="04A0" w:firstRow="1" w:lastRow="0" w:firstColumn="1" w:lastColumn="0" w:noHBand="0" w:noVBand="1"/>
        <w:tblCaption w:val="Table A1.2: Antimicrobials included in the overall analyses of PBS and RPBS data, 2015–2023"/>
      </w:tblPr>
      <w:tblGrid>
        <w:gridCol w:w="2381"/>
        <w:gridCol w:w="6833"/>
      </w:tblGrid>
      <w:tr w:rsidR="00E751BB" w:rsidRPr="0033365E" w14:paraId="6DC5BDA9" w14:textId="77777777" w:rsidTr="00C36B4C">
        <w:trPr>
          <w:trHeight w:val="328"/>
        </w:trPr>
        <w:tc>
          <w:tcPr>
            <w:tcW w:w="2381" w:type="dxa"/>
            <w:tcBorders>
              <w:top w:val="single" w:sz="4" w:space="0" w:color="auto"/>
              <w:left w:val="nil"/>
              <w:bottom w:val="single" w:sz="4" w:space="0" w:color="auto"/>
              <w:right w:val="nil"/>
            </w:tcBorders>
            <w:shd w:val="clear" w:color="auto" w:fill="ECB69E"/>
            <w:vAlign w:val="center"/>
            <w:hideMark/>
          </w:tcPr>
          <w:p w14:paraId="190C38E5" w14:textId="77777777" w:rsidR="00E751BB" w:rsidRPr="0033365E" w:rsidRDefault="00E751BB" w:rsidP="00ED5473">
            <w:pPr>
              <w:spacing w:before="0" w:after="0"/>
              <w:rPr>
                <w:rFonts w:ascii="Arial" w:hAnsi="Arial" w:cs="Arial"/>
                <w:b/>
                <w:bCs/>
                <w:color w:val="000000"/>
                <w:sz w:val="20"/>
                <w:szCs w:val="20"/>
              </w:rPr>
            </w:pPr>
            <w:r w:rsidRPr="0033365E">
              <w:rPr>
                <w:rFonts w:ascii="Arial" w:hAnsi="Arial" w:cs="Arial"/>
                <w:b/>
                <w:bCs/>
                <w:color w:val="000000"/>
                <w:sz w:val="20"/>
                <w:szCs w:val="20"/>
              </w:rPr>
              <w:t>ATC codes</w:t>
            </w:r>
          </w:p>
        </w:tc>
        <w:tc>
          <w:tcPr>
            <w:tcW w:w="6833" w:type="dxa"/>
            <w:tcBorders>
              <w:top w:val="single" w:sz="4" w:space="0" w:color="auto"/>
              <w:left w:val="nil"/>
              <w:bottom w:val="single" w:sz="4" w:space="0" w:color="auto"/>
              <w:right w:val="nil"/>
            </w:tcBorders>
            <w:shd w:val="clear" w:color="auto" w:fill="ECB69E"/>
            <w:vAlign w:val="center"/>
            <w:hideMark/>
          </w:tcPr>
          <w:p w14:paraId="04EF5CBF" w14:textId="77777777" w:rsidR="00E751BB" w:rsidRPr="0033365E" w:rsidRDefault="00E751BB" w:rsidP="00ED5473">
            <w:pPr>
              <w:spacing w:before="0" w:after="0"/>
              <w:rPr>
                <w:rFonts w:ascii="Arial" w:hAnsi="Arial" w:cs="Arial"/>
                <w:b/>
                <w:bCs/>
                <w:color w:val="000000"/>
                <w:sz w:val="20"/>
                <w:szCs w:val="20"/>
              </w:rPr>
            </w:pPr>
            <w:r w:rsidRPr="0033365E">
              <w:rPr>
                <w:rFonts w:ascii="Arial" w:hAnsi="Arial" w:cs="Arial"/>
                <w:b/>
                <w:bCs/>
                <w:color w:val="000000"/>
                <w:sz w:val="20"/>
                <w:szCs w:val="20"/>
              </w:rPr>
              <w:t>Description</w:t>
            </w:r>
          </w:p>
        </w:tc>
      </w:tr>
      <w:tr w:rsidR="00E751BB" w:rsidRPr="0033365E" w14:paraId="6F8E5A69"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5609F806"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J01</w:t>
            </w:r>
          </w:p>
        </w:tc>
        <w:tc>
          <w:tcPr>
            <w:tcW w:w="6833" w:type="dxa"/>
            <w:tcBorders>
              <w:top w:val="nil"/>
              <w:left w:val="nil"/>
              <w:bottom w:val="single" w:sz="4" w:space="0" w:color="auto"/>
              <w:right w:val="nil"/>
            </w:tcBorders>
            <w:shd w:val="clear" w:color="auto" w:fill="auto"/>
            <w:vAlign w:val="center"/>
            <w:hideMark/>
          </w:tcPr>
          <w:p w14:paraId="577CF34B"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Antibacterials for systemic use</w:t>
            </w:r>
          </w:p>
        </w:tc>
      </w:tr>
      <w:tr w:rsidR="00E751BB" w:rsidRPr="0033365E" w14:paraId="2FFFC7F7"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432F6A00"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A02BD</w:t>
            </w:r>
          </w:p>
        </w:tc>
        <w:tc>
          <w:tcPr>
            <w:tcW w:w="6833" w:type="dxa"/>
            <w:tcBorders>
              <w:top w:val="nil"/>
              <w:left w:val="nil"/>
              <w:bottom w:val="single" w:sz="4" w:space="0" w:color="auto"/>
              <w:right w:val="nil"/>
            </w:tcBorders>
            <w:shd w:val="clear" w:color="auto" w:fill="auto"/>
            <w:vAlign w:val="center"/>
            <w:hideMark/>
          </w:tcPr>
          <w:p w14:paraId="0D026595"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 xml:space="preserve">Combinations for eradication of </w:t>
            </w:r>
            <w:r w:rsidRPr="0033365E">
              <w:rPr>
                <w:rFonts w:ascii="Arial" w:hAnsi="Arial" w:cs="Arial"/>
                <w:i/>
                <w:iCs/>
                <w:color w:val="000000"/>
                <w:sz w:val="20"/>
                <w:szCs w:val="20"/>
              </w:rPr>
              <w:t>Helicobacter pylori</w:t>
            </w:r>
          </w:p>
        </w:tc>
      </w:tr>
      <w:tr w:rsidR="00E751BB" w:rsidRPr="0033365E" w14:paraId="1E422833"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02A72979"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A07AA09</w:t>
            </w:r>
          </w:p>
        </w:tc>
        <w:tc>
          <w:tcPr>
            <w:tcW w:w="6833" w:type="dxa"/>
            <w:tcBorders>
              <w:top w:val="nil"/>
              <w:left w:val="nil"/>
              <w:bottom w:val="single" w:sz="4" w:space="0" w:color="auto"/>
              <w:right w:val="nil"/>
            </w:tcBorders>
            <w:shd w:val="clear" w:color="auto" w:fill="auto"/>
            <w:vAlign w:val="center"/>
            <w:hideMark/>
          </w:tcPr>
          <w:p w14:paraId="61EEB928"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Vancomycin (intestinal anti-infectives)</w:t>
            </w:r>
          </w:p>
        </w:tc>
      </w:tr>
      <w:tr w:rsidR="00E751BB" w:rsidRPr="0033365E" w14:paraId="5C5FDBA1"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6B0CEFE3"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A07AA11</w:t>
            </w:r>
          </w:p>
        </w:tc>
        <w:tc>
          <w:tcPr>
            <w:tcW w:w="6833" w:type="dxa"/>
            <w:tcBorders>
              <w:top w:val="nil"/>
              <w:left w:val="nil"/>
              <w:bottom w:val="single" w:sz="4" w:space="0" w:color="auto"/>
              <w:right w:val="nil"/>
            </w:tcBorders>
            <w:shd w:val="clear" w:color="auto" w:fill="auto"/>
            <w:vAlign w:val="center"/>
            <w:hideMark/>
          </w:tcPr>
          <w:p w14:paraId="6A5BBC9E"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Rifaximin (intestinal anti-infectives)</w:t>
            </w:r>
          </w:p>
        </w:tc>
      </w:tr>
      <w:tr w:rsidR="00E751BB" w:rsidRPr="0033365E" w14:paraId="69BE1A80"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64798E58"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D06AX09</w:t>
            </w:r>
          </w:p>
        </w:tc>
        <w:tc>
          <w:tcPr>
            <w:tcW w:w="6833" w:type="dxa"/>
            <w:tcBorders>
              <w:top w:val="nil"/>
              <w:left w:val="nil"/>
              <w:bottom w:val="single" w:sz="4" w:space="0" w:color="auto"/>
              <w:right w:val="nil"/>
            </w:tcBorders>
            <w:shd w:val="clear" w:color="auto" w:fill="auto"/>
            <w:vAlign w:val="center"/>
            <w:hideMark/>
          </w:tcPr>
          <w:p w14:paraId="2656C486" w14:textId="6B35AF59"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Mupirocin (cream/ointment)</w:t>
            </w:r>
          </w:p>
        </w:tc>
      </w:tr>
      <w:tr w:rsidR="00E751BB" w:rsidRPr="0033365E" w14:paraId="40954A81"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3D0B87D4"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D06BA01</w:t>
            </w:r>
          </w:p>
        </w:tc>
        <w:tc>
          <w:tcPr>
            <w:tcW w:w="6833" w:type="dxa"/>
            <w:tcBorders>
              <w:top w:val="nil"/>
              <w:left w:val="nil"/>
              <w:bottom w:val="single" w:sz="4" w:space="0" w:color="auto"/>
              <w:right w:val="nil"/>
            </w:tcBorders>
            <w:shd w:val="clear" w:color="auto" w:fill="auto"/>
            <w:vAlign w:val="center"/>
            <w:hideMark/>
          </w:tcPr>
          <w:p w14:paraId="7E6695FF" w14:textId="77777777"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Sulfadiazine silver (cream)</w:t>
            </w:r>
          </w:p>
        </w:tc>
      </w:tr>
      <w:tr w:rsidR="00E751BB" w:rsidRPr="0033365E" w14:paraId="63239099"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3A57FBDF" w14:textId="1ACFA842"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 xml:space="preserve">S01AA01, </w:t>
            </w:r>
            <w:r w:rsidR="008A5E60" w:rsidRPr="0033365E">
              <w:rPr>
                <w:rFonts w:ascii="Arial" w:hAnsi="Arial" w:cs="Arial"/>
                <w:sz w:val="20"/>
                <w:szCs w:val="20"/>
              </w:rPr>
              <w:t>S01AA07</w:t>
            </w:r>
            <w:r w:rsidR="008A5E60">
              <w:rPr>
                <w:rFonts w:ascii="Arial" w:hAnsi="Arial" w:cs="Arial"/>
                <w:sz w:val="20"/>
                <w:szCs w:val="20"/>
              </w:rPr>
              <w:t xml:space="preserve">, </w:t>
            </w:r>
            <w:r w:rsidRPr="0033365E">
              <w:rPr>
                <w:rFonts w:ascii="Arial" w:hAnsi="Arial" w:cs="Arial"/>
                <w:color w:val="000000"/>
                <w:sz w:val="20"/>
                <w:szCs w:val="20"/>
              </w:rPr>
              <w:t>S01AA11, S01AA12</w:t>
            </w:r>
            <w:r w:rsidR="008D2652">
              <w:rPr>
                <w:rFonts w:ascii="Arial" w:hAnsi="Arial" w:cs="Arial"/>
                <w:color w:val="000000"/>
                <w:sz w:val="20"/>
                <w:szCs w:val="20"/>
              </w:rPr>
              <w:t xml:space="preserve">, </w:t>
            </w:r>
            <w:r w:rsidR="008D2652" w:rsidRPr="008D2652">
              <w:rPr>
                <w:rFonts w:ascii="Arial" w:hAnsi="Arial" w:cs="Arial"/>
                <w:color w:val="000000"/>
                <w:sz w:val="20"/>
                <w:szCs w:val="20"/>
              </w:rPr>
              <w:t>S01AE01, S01AE03</w:t>
            </w:r>
          </w:p>
        </w:tc>
        <w:tc>
          <w:tcPr>
            <w:tcW w:w="6833" w:type="dxa"/>
            <w:tcBorders>
              <w:top w:val="nil"/>
              <w:left w:val="nil"/>
              <w:bottom w:val="single" w:sz="4" w:space="0" w:color="auto"/>
              <w:right w:val="nil"/>
            </w:tcBorders>
            <w:shd w:val="clear" w:color="auto" w:fill="auto"/>
            <w:vAlign w:val="center"/>
            <w:hideMark/>
          </w:tcPr>
          <w:p w14:paraId="5C667F03" w14:textId="2CDC00F6"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 xml:space="preserve">Ophthalmological antibiotics: chloramphenicol, </w:t>
            </w:r>
            <w:r w:rsidR="008A5E60">
              <w:rPr>
                <w:rFonts w:ascii="Arial" w:hAnsi="Arial" w:cs="Arial"/>
                <w:color w:val="000000"/>
                <w:sz w:val="20"/>
                <w:szCs w:val="20"/>
              </w:rPr>
              <w:t>f</w:t>
            </w:r>
            <w:r w:rsidR="008A5E60" w:rsidRPr="0033365E">
              <w:rPr>
                <w:rFonts w:ascii="Arial" w:hAnsi="Arial" w:cs="Arial"/>
                <w:sz w:val="20"/>
                <w:szCs w:val="20"/>
              </w:rPr>
              <w:t>ramycetin</w:t>
            </w:r>
            <w:r w:rsidR="00724F5D">
              <w:rPr>
                <w:rFonts w:ascii="Arial" w:hAnsi="Arial" w:cs="Arial"/>
                <w:sz w:val="20"/>
                <w:szCs w:val="20"/>
              </w:rPr>
              <w:t xml:space="preserve"> (alternatively S03AA)</w:t>
            </w:r>
            <w:r w:rsidR="008A5E60">
              <w:rPr>
                <w:rFonts w:ascii="Arial" w:hAnsi="Arial" w:cs="Arial"/>
                <w:sz w:val="20"/>
                <w:szCs w:val="20"/>
              </w:rPr>
              <w:t xml:space="preserve">, </w:t>
            </w:r>
            <w:r w:rsidR="008A5E60" w:rsidRPr="0033365E">
              <w:rPr>
                <w:rFonts w:ascii="Arial" w:hAnsi="Arial" w:cs="Arial"/>
                <w:color w:val="000000"/>
                <w:sz w:val="20"/>
                <w:szCs w:val="20"/>
              </w:rPr>
              <w:t>gentamicin,</w:t>
            </w:r>
            <w:r w:rsidR="008A5E60">
              <w:rPr>
                <w:rFonts w:ascii="Arial" w:hAnsi="Arial" w:cs="Arial"/>
                <w:color w:val="000000"/>
                <w:sz w:val="20"/>
                <w:szCs w:val="20"/>
              </w:rPr>
              <w:t xml:space="preserve"> </w:t>
            </w:r>
            <w:r w:rsidRPr="0033365E">
              <w:rPr>
                <w:rFonts w:ascii="Arial" w:hAnsi="Arial" w:cs="Arial"/>
                <w:color w:val="000000"/>
                <w:sz w:val="20"/>
                <w:szCs w:val="20"/>
              </w:rPr>
              <w:t>tobramycin</w:t>
            </w:r>
            <w:r w:rsidR="008D2652">
              <w:rPr>
                <w:rFonts w:ascii="Arial" w:hAnsi="Arial" w:cs="Arial"/>
                <w:color w:val="000000"/>
                <w:sz w:val="20"/>
                <w:szCs w:val="20"/>
              </w:rPr>
              <w:t xml:space="preserve">, </w:t>
            </w:r>
            <w:r w:rsidR="008D2652" w:rsidRPr="008D2652">
              <w:rPr>
                <w:rFonts w:ascii="Arial" w:hAnsi="Arial" w:cs="Arial"/>
                <w:color w:val="000000"/>
                <w:sz w:val="20"/>
                <w:szCs w:val="20"/>
              </w:rPr>
              <w:t>ofloxacin, ciprofloxacin</w:t>
            </w:r>
          </w:p>
        </w:tc>
      </w:tr>
      <w:tr w:rsidR="00E751BB" w:rsidRPr="0033365E" w14:paraId="133A79B4" w14:textId="77777777" w:rsidTr="00C36B4C">
        <w:trPr>
          <w:trHeight w:val="328"/>
        </w:trPr>
        <w:tc>
          <w:tcPr>
            <w:tcW w:w="2381" w:type="dxa"/>
            <w:tcBorders>
              <w:top w:val="nil"/>
              <w:left w:val="nil"/>
              <w:bottom w:val="single" w:sz="4" w:space="0" w:color="auto"/>
              <w:right w:val="nil"/>
            </w:tcBorders>
            <w:shd w:val="clear" w:color="auto" w:fill="auto"/>
            <w:vAlign w:val="center"/>
            <w:hideMark/>
          </w:tcPr>
          <w:p w14:paraId="60FA3EE2" w14:textId="545E8B0C" w:rsidR="00E751BB" w:rsidRPr="0033365E" w:rsidRDefault="00C82DBA" w:rsidP="00ED5473">
            <w:pPr>
              <w:spacing w:before="0" w:after="0"/>
              <w:rPr>
                <w:rFonts w:ascii="Arial" w:hAnsi="Arial" w:cs="Arial"/>
                <w:color w:val="000000"/>
                <w:sz w:val="20"/>
                <w:szCs w:val="20"/>
              </w:rPr>
            </w:pPr>
            <w:r>
              <w:rPr>
                <w:rFonts w:ascii="Arial" w:hAnsi="Arial" w:cs="Arial"/>
                <w:color w:val="000000"/>
                <w:sz w:val="20"/>
                <w:szCs w:val="20"/>
              </w:rPr>
              <w:t xml:space="preserve">S02AA01, </w:t>
            </w:r>
            <w:r w:rsidR="00E751BB" w:rsidRPr="0033365E">
              <w:rPr>
                <w:rFonts w:ascii="Arial" w:hAnsi="Arial" w:cs="Arial"/>
                <w:color w:val="000000"/>
                <w:sz w:val="20"/>
                <w:szCs w:val="20"/>
              </w:rPr>
              <w:t>S02AA15</w:t>
            </w:r>
          </w:p>
        </w:tc>
        <w:tc>
          <w:tcPr>
            <w:tcW w:w="6833" w:type="dxa"/>
            <w:tcBorders>
              <w:top w:val="nil"/>
              <w:left w:val="nil"/>
              <w:bottom w:val="single" w:sz="4" w:space="0" w:color="auto"/>
              <w:right w:val="nil"/>
            </w:tcBorders>
            <w:shd w:val="clear" w:color="auto" w:fill="auto"/>
            <w:vAlign w:val="center"/>
            <w:hideMark/>
          </w:tcPr>
          <w:p w14:paraId="7B4B4F9F" w14:textId="6420E1D1" w:rsidR="00E751BB" w:rsidRPr="0033365E" w:rsidRDefault="00E751BB" w:rsidP="00ED5473">
            <w:pPr>
              <w:spacing w:before="0" w:after="0"/>
              <w:rPr>
                <w:rFonts w:ascii="Arial" w:hAnsi="Arial" w:cs="Arial"/>
                <w:color w:val="000000"/>
                <w:sz w:val="20"/>
                <w:szCs w:val="20"/>
              </w:rPr>
            </w:pPr>
            <w:r w:rsidRPr="0033365E">
              <w:rPr>
                <w:rFonts w:ascii="Arial" w:hAnsi="Arial" w:cs="Arial"/>
                <w:color w:val="000000"/>
                <w:sz w:val="20"/>
                <w:szCs w:val="20"/>
              </w:rPr>
              <w:t>Otological anti-infectives:</w:t>
            </w:r>
            <w:r w:rsidR="008A5E60">
              <w:rPr>
                <w:rFonts w:ascii="Arial" w:hAnsi="Arial" w:cs="Arial"/>
                <w:color w:val="000000"/>
                <w:sz w:val="20"/>
                <w:szCs w:val="20"/>
              </w:rPr>
              <w:t xml:space="preserve"> </w:t>
            </w:r>
            <w:r w:rsidR="00C82DBA">
              <w:rPr>
                <w:rFonts w:ascii="Arial" w:hAnsi="Arial" w:cs="Arial"/>
                <w:color w:val="000000"/>
                <w:sz w:val="20"/>
                <w:szCs w:val="20"/>
              </w:rPr>
              <w:t xml:space="preserve">chloramphenicol, </w:t>
            </w:r>
            <w:r w:rsidRPr="0033365E">
              <w:rPr>
                <w:rFonts w:ascii="Arial" w:hAnsi="Arial" w:cs="Arial"/>
                <w:color w:val="000000"/>
                <w:sz w:val="20"/>
                <w:szCs w:val="20"/>
              </w:rPr>
              <w:t>ciprofloxacin</w:t>
            </w:r>
          </w:p>
        </w:tc>
      </w:tr>
    </w:tbl>
    <w:p w14:paraId="1256F66D" w14:textId="77777777" w:rsidR="00C36B4C" w:rsidRDefault="00C36B4C" w:rsidP="00C36B4C">
      <w:pPr>
        <w:spacing w:before="60" w:after="60"/>
        <w:rPr>
          <w:sz w:val="16"/>
          <w:szCs w:val="16"/>
        </w:rPr>
      </w:pPr>
      <w:r>
        <w:rPr>
          <w:sz w:val="16"/>
          <w:szCs w:val="16"/>
        </w:rPr>
        <w:t>ATC = </w:t>
      </w:r>
      <w:r w:rsidRPr="00C36B4C">
        <w:rPr>
          <w:sz w:val="16"/>
          <w:szCs w:val="16"/>
        </w:rPr>
        <w:t>Anatomical Therapeutic Chemical</w:t>
      </w:r>
      <w:r>
        <w:rPr>
          <w:sz w:val="16"/>
          <w:szCs w:val="16"/>
        </w:rPr>
        <w:t xml:space="preserve">; </w:t>
      </w:r>
      <w:r w:rsidRPr="00C36B4C">
        <w:rPr>
          <w:sz w:val="16"/>
          <w:szCs w:val="16"/>
        </w:rPr>
        <w:t>PBS = Pharmaceutical Benefits Scheme; RPBS = Repatriation Pharmaceutical Benefits Scheme</w:t>
      </w:r>
    </w:p>
    <w:p w14:paraId="6843BAE8" w14:textId="77777777" w:rsidR="009E45D5" w:rsidRDefault="009E45D5" w:rsidP="00C36B4C">
      <w:pPr>
        <w:spacing w:before="60" w:after="60"/>
        <w:rPr>
          <w:sz w:val="16"/>
          <w:szCs w:val="16"/>
        </w:rPr>
      </w:pPr>
    </w:p>
    <w:p w14:paraId="237D0D29" w14:textId="2CBF712E" w:rsidR="005A145A" w:rsidRDefault="005A145A" w:rsidP="00C36B4C">
      <w:pPr>
        <w:spacing w:after="60"/>
        <w:rPr>
          <w:bCs/>
        </w:rPr>
      </w:pPr>
      <w:r w:rsidRPr="009E45D5">
        <w:rPr>
          <w:b/>
          <w:bCs/>
        </w:rPr>
        <w:t>Table A</w:t>
      </w:r>
      <w:r w:rsidR="0033462D" w:rsidRPr="009E45D5">
        <w:rPr>
          <w:b/>
          <w:bCs/>
        </w:rPr>
        <w:t>1.</w:t>
      </w:r>
      <w:r w:rsidRPr="009E45D5">
        <w:rPr>
          <w:b/>
          <w:bCs/>
        </w:rPr>
        <w:t>3:</w:t>
      </w:r>
      <w:r w:rsidRPr="00625242">
        <w:t> </w:t>
      </w:r>
      <w:r w:rsidR="007356CE">
        <w:t>Additional a</w:t>
      </w:r>
      <w:r w:rsidRPr="0033365E">
        <w:rPr>
          <w:bCs/>
        </w:rPr>
        <w:t>ntimicrobials included in the analyses of PBS</w:t>
      </w:r>
      <w:r>
        <w:rPr>
          <w:bCs/>
        </w:rPr>
        <w:t xml:space="preserve"> and </w:t>
      </w:r>
      <w:r w:rsidRPr="0033365E">
        <w:rPr>
          <w:bCs/>
        </w:rPr>
        <w:t>RPBS data</w:t>
      </w:r>
      <w:r w:rsidR="00715665">
        <w:rPr>
          <w:bCs/>
        </w:rPr>
        <w:t xml:space="preserve"> for </w:t>
      </w:r>
      <w:r w:rsidR="00FE5201">
        <w:rPr>
          <w:bCs/>
        </w:rPr>
        <w:t>aged care homes</w:t>
      </w:r>
      <w:r w:rsidR="0097515A">
        <w:rPr>
          <w:bCs/>
        </w:rPr>
        <w:t xml:space="preserve"> and older Australians</w:t>
      </w:r>
      <w:r w:rsidRPr="0033365E">
        <w:rPr>
          <w:bCs/>
        </w:rPr>
        <w:t>, 20</w:t>
      </w:r>
      <w:r>
        <w:rPr>
          <w:bCs/>
        </w:rPr>
        <w:t>21</w:t>
      </w:r>
      <w:r w:rsidRPr="0033365E">
        <w:rPr>
          <w:bCs/>
        </w:rPr>
        <w:t>–</w:t>
      </w:r>
      <w:r>
        <w:rPr>
          <w:bCs/>
        </w:rPr>
        <w:t>2023</w:t>
      </w:r>
    </w:p>
    <w:tbl>
      <w:tblPr>
        <w:tblW w:w="9214" w:type="dxa"/>
        <w:tblLook w:val="04A0" w:firstRow="1" w:lastRow="0" w:firstColumn="1" w:lastColumn="0" w:noHBand="0" w:noVBand="1"/>
        <w:tblCaption w:val="Table A1.3: Additional antimicrobials included in the analyses of PBS and RPBS data for aged care homes and older Australians, 2021–2023"/>
      </w:tblPr>
      <w:tblGrid>
        <w:gridCol w:w="2381"/>
        <w:gridCol w:w="6833"/>
      </w:tblGrid>
      <w:tr w:rsidR="00FC0E2F" w:rsidRPr="0033365E" w14:paraId="433CF21D" w14:textId="77777777" w:rsidTr="003D30E4">
        <w:trPr>
          <w:trHeight w:val="328"/>
        </w:trPr>
        <w:tc>
          <w:tcPr>
            <w:tcW w:w="2381" w:type="dxa"/>
            <w:tcBorders>
              <w:top w:val="single" w:sz="4" w:space="0" w:color="auto"/>
              <w:left w:val="nil"/>
              <w:bottom w:val="single" w:sz="4" w:space="0" w:color="auto"/>
              <w:right w:val="nil"/>
            </w:tcBorders>
            <w:shd w:val="clear" w:color="auto" w:fill="ECB69E"/>
            <w:vAlign w:val="center"/>
            <w:hideMark/>
          </w:tcPr>
          <w:p w14:paraId="50EC8944" w14:textId="77777777" w:rsidR="00FC0E2F" w:rsidRPr="0033365E" w:rsidRDefault="00FC0E2F" w:rsidP="003D30E4">
            <w:pPr>
              <w:spacing w:before="0" w:after="0"/>
              <w:rPr>
                <w:rFonts w:ascii="Arial" w:hAnsi="Arial" w:cs="Arial"/>
                <w:b/>
                <w:bCs/>
                <w:color w:val="000000"/>
                <w:sz w:val="20"/>
                <w:szCs w:val="20"/>
              </w:rPr>
            </w:pPr>
            <w:r w:rsidRPr="0033365E">
              <w:rPr>
                <w:rFonts w:ascii="Arial" w:hAnsi="Arial" w:cs="Arial"/>
                <w:b/>
                <w:bCs/>
                <w:color w:val="000000"/>
                <w:sz w:val="20"/>
                <w:szCs w:val="20"/>
              </w:rPr>
              <w:t>ATC codes</w:t>
            </w:r>
          </w:p>
        </w:tc>
        <w:tc>
          <w:tcPr>
            <w:tcW w:w="6833" w:type="dxa"/>
            <w:tcBorders>
              <w:top w:val="single" w:sz="4" w:space="0" w:color="auto"/>
              <w:left w:val="nil"/>
              <w:bottom w:val="single" w:sz="4" w:space="0" w:color="auto"/>
              <w:right w:val="nil"/>
            </w:tcBorders>
            <w:shd w:val="clear" w:color="auto" w:fill="ECB69E"/>
            <w:vAlign w:val="center"/>
            <w:hideMark/>
          </w:tcPr>
          <w:p w14:paraId="1D5AE62C" w14:textId="77777777" w:rsidR="00FC0E2F" w:rsidRPr="0033365E" w:rsidRDefault="00FC0E2F" w:rsidP="003D30E4">
            <w:pPr>
              <w:spacing w:before="0" w:after="0"/>
              <w:rPr>
                <w:rFonts w:ascii="Arial" w:hAnsi="Arial" w:cs="Arial"/>
                <w:b/>
                <w:bCs/>
                <w:color w:val="000000"/>
                <w:sz w:val="20"/>
                <w:szCs w:val="20"/>
              </w:rPr>
            </w:pPr>
            <w:r w:rsidRPr="0033365E">
              <w:rPr>
                <w:rFonts w:ascii="Arial" w:hAnsi="Arial" w:cs="Arial"/>
                <w:b/>
                <w:bCs/>
                <w:color w:val="000000"/>
                <w:sz w:val="20"/>
                <w:szCs w:val="20"/>
              </w:rPr>
              <w:t>Description</w:t>
            </w:r>
          </w:p>
        </w:tc>
      </w:tr>
      <w:tr w:rsidR="00A731BA" w:rsidRPr="0033365E" w14:paraId="66828A52"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648292A9" w14:textId="1328A01C" w:rsidR="00A731BA" w:rsidRPr="0033365E" w:rsidRDefault="00A731BA" w:rsidP="00A731BA">
            <w:pPr>
              <w:spacing w:before="0" w:after="0"/>
              <w:rPr>
                <w:rFonts w:ascii="Arial" w:hAnsi="Arial" w:cs="Arial"/>
                <w:b/>
                <w:bCs/>
                <w:color w:val="000000"/>
                <w:sz w:val="20"/>
                <w:szCs w:val="20"/>
              </w:rPr>
            </w:pPr>
            <w:r w:rsidRPr="00B13CB0">
              <w:rPr>
                <w:rFonts w:ascii="Arial" w:hAnsi="Arial" w:cs="Arial"/>
                <w:color w:val="000000"/>
                <w:sz w:val="20"/>
                <w:szCs w:val="20"/>
              </w:rPr>
              <w:t>J01EA01,</w:t>
            </w:r>
            <w:r>
              <w:t xml:space="preserve"> </w:t>
            </w:r>
            <w:r w:rsidR="0035729E" w:rsidRPr="00B13CB0">
              <w:rPr>
                <w:rFonts w:ascii="Arial" w:hAnsi="Arial" w:cs="Arial"/>
                <w:color w:val="000000"/>
                <w:sz w:val="20"/>
                <w:szCs w:val="20"/>
              </w:rPr>
              <w:t>J01MA06</w:t>
            </w:r>
            <w:r w:rsidR="0035729E">
              <w:rPr>
                <w:rFonts w:ascii="Arial" w:hAnsi="Arial" w:cs="Arial"/>
                <w:color w:val="000000"/>
                <w:sz w:val="20"/>
                <w:szCs w:val="20"/>
              </w:rPr>
              <w:t xml:space="preserve">, </w:t>
            </w:r>
            <w:r w:rsidRPr="00B13CB0">
              <w:rPr>
                <w:rFonts w:ascii="Arial" w:hAnsi="Arial" w:cs="Arial"/>
                <w:color w:val="000000"/>
                <w:sz w:val="20"/>
                <w:szCs w:val="20"/>
              </w:rPr>
              <w:t>J01XE01,</w:t>
            </w:r>
            <w:r>
              <w:t xml:space="preserve"> </w:t>
            </w:r>
            <w:r w:rsidRPr="00B13CB0">
              <w:rPr>
                <w:rFonts w:ascii="Arial" w:hAnsi="Arial" w:cs="Arial"/>
                <w:color w:val="000000"/>
                <w:sz w:val="20"/>
                <w:szCs w:val="20"/>
              </w:rPr>
              <w:t>J01XX05</w:t>
            </w:r>
            <w:r w:rsidR="00D76B56">
              <w:rPr>
                <w:rFonts w:ascii="Arial" w:hAnsi="Arial" w:cs="Arial"/>
                <w:color w:val="000000"/>
                <w:sz w:val="20"/>
                <w:szCs w:val="20"/>
              </w:rPr>
              <w:t>*</w:t>
            </w:r>
          </w:p>
        </w:tc>
        <w:tc>
          <w:tcPr>
            <w:tcW w:w="6833" w:type="dxa"/>
            <w:tcBorders>
              <w:top w:val="single" w:sz="4" w:space="0" w:color="auto"/>
              <w:left w:val="nil"/>
              <w:bottom w:val="single" w:sz="4" w:space="0" w:color="auto"/>
              <w:right w:val="nil"/>
            </w:tcBorders>
            <w:shd w:val="clear" w:color="auto" w:fill="auto"/>
            <w:vAlign w:val="center"/>
          </w:tcPr>
          <w:p w14:paraId="00415C67" w14:textId="4EFB104B" w:rsidR="00A731BA" w:rsidRPr="0033365E" w:rsidRDefault="00A731BA" w:rsidP="00A731BA">
            <w:pPr>
              <w:spacing w:before="0" w:after="0"/>
              <w:rPr>
                <w:rFonts w:ascii="Arial" w:hAnsi="Arial" w:cs="Arial"/>
                <w:b/>
                <w:bCs/>
                <w:color w:val="000000"/>
                <w:sz w:val="20"/>
                <w:szCs w:val="20"/>
              </w:rPr>
            </w:pPr>
            <w:r>
              <w:rPr>
                <w:rFonts w:ascii="Arial" w:hAnsi="Arial" w:cs="Arial"/>
                <w:color w:val="000000"/>
                <w:sz w:val="20"/>
                <w:szCs w:val="20"/>
              </w:rPr>
              <w:t>Antibacterials</w:t>
            </w:r>
            <w:r w:rsidRPr="00B13CB0">
              <w:rPr>
                <w:rFonts w:ascii="Arial" w:hAnsi="Arial" w:cs="Arial"/>
                <w:color w:val="000000"/>
                <w:sz w:val="20"/>
                <w:szCs w:val="20"/>
              </w:rPr>
              <w:t xml:space="preserve"> for urinary tract infections</w:t>
            </w:r>
            <w:r>
              <w:rPr>
                <w:rFonts w:ascii="Arial" w:hAnsi="Arial" w:cs="Arial"/>
                <w:color w:val="000000"/>
                <w:sz w:val="20"/>
                <w:szCs w:val="20"/>
              </w:rPr>
              <w:t>:</w:t>
            </w:r>
            <w:r w:rsidRPr="00B13CB0">
              <w:rPr>
                <w:rFonts w:ascii="Arial" w:hAnsi="Arial" w:cs="Arial"/>
                <w:color w:val="000000"/>
                <w:sz w:val="20"/>
                <w:szCs w:val="20"/>
              </w:rPr>
              <w:t xml:space="preserve"> trimethoprim</w:t>
            </w:r>
            <w:r>
              <w:rPr>
                <w:rFonts w:ascii="Arial" w:hAnsi="Arial" w:cs="Arial"/>
                <w:color w:val="000000"/>
                <w:sz w:val="20"/>
                <w:szCs w:val="20"/>
              </w:rPr>
              <w:t>,</w:t>
            </w:r>
            <w:r w:rsidR="0035729E" w:rsidRPr="00B13CB0">
              <w:rPr>
                <w:rFonts w:ascii="Arial" w:hAnsi="Arial" w:cs="Arial"/>
                <w:color w:val="000000"/>
                <w:sz w:val="20"/>
                <w:szCs w:val="20"/>
              </w:rPr>
              <w:t xml:space="preserve"> norfloxacin</w:t>
            </w:r>
            <w:r w:rsidR="0035729E">
              <w:rPr>
                <w:rFonts w:ascii="Arial" w:hAnsi="Arial" w:cs="Arial"/>
                <w:color w:val="000000"/>
                <w:sz w:val="20"/>
                <w:szCs w:val="20"/>
              </w:rPr>
              <w:t>,</w:t>
            </w:r>
            <w:r w:rsidRPr="00B13CB0">
              <w:rPr>
                <w:rFonts w:ascii="Arial" w:hAnsi="Arial" w:cs="Arial"/>
                <w:color w:val="000000"/>
                <w:sz w:val="20"/>
                <w:szCs w:val="20"/>
              </w:rPr>
              <w:t xml:space="preserve"> nitrofurantoin</w:t>
            </w:r>
            <w:r>
              <w:rPr>
                <w:rFonts w:ascii="Arial" w:hAnsi="Arial" w:cs="Arial"/>
                <w:color w:val="000000"/>
                <w:sz w:val="20"/>
                <w:szCs w:val="20"/>
              </w:rPr>
              <w:t>,</w:t>
            </w:r>
            <w:r w:rsidRPr="00B13CB0">
              <w:rPr>
                <w:rFonts w:ascii="Arial" w:hAnsi="Arial" w:cs="Arial"/>
                <w:color w:val="000000"/>
                <w:sz w:val="20"/>
                <w:szCs w:val="20"/>
              </w:rPr>
              <w:t xml:space="preserve"> methenamine </w:t>
            </w:r>
            <w:r>
              <w:rPr>
                <w:rFonts w:ascii="Arial" w:hAnsi="Arial" w:cs="Arial"/>
                <w:color w:val="000000"/>
                <w:sz w:val="20"/>
                <w:szCs w:val="20"/>
              </w:rPr>
              <w:t>hippurate</w:t>
            </w:r>
          </w:p>
        </w:tc>
      </w:tr>
      <w:tr w:rsidR="00D523A6" w:rsidRPr="0033365E" w14:paraId="33AE72B2"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76D979FE" w14:textId="619AB71B" w:rsidR="00D523A6" w:rsidRPr="00B13CB0" w:rsidRDefault="00D523A6" w:rsidP="00A731BA">
            <w:pPr>
              <w:spacing w:before="0" w:after="0"/>
              <w:rPr>
                <w:rFonts w:ascii="Arial" w:hAnsi="Arial" w:cs="Arial"/>
                <w:color w:val="000000"/>
                <w:sz w:val="20"/>
                <w:szCs w:val="20"/>
              </w:rPr>
            </w:pPr>
            <w:r>
              <w:rPr>
                <w:rFonts w:ascii="Arial" w:hAnsi="Arial" w:cs="Arial"/>
                <w:color w:val="000000"/>
                <w:sz w:val="20"/>
                <w:szCs w:val="20"/>
              </w:rPr>
              <w:t>A01</w:t>
            </w:r>
          </w:p>
        </w:tc>
        <w:tc>
          <w:tcPr>
            <w:tcW w:w="6833" w:type="dxa"/>
            <w:tcBorders>
              <w:top w:val="single" w:sz="4" w:space="0" w:color="auto"/>
              <w:left w:val="nil"/>
              <w:bottom w:val="single" w:sz="4" w:space="0" w:color="auto"/>
              <w:right w:val="nil"/>
            </w:tcBorders>
            <w:shd w:val="clear" w:color="auto" w:fill="auto"/>
            <w:vAlign w:val="center"/>
          </w:tcPr>
          <w:p w14:paraId="1029EE7A" w14:textId="7D16A583" w:rsidR="00D523A6" w:rsidRDefault="004442B0" w:rsidP="00A731BA">
            <w:pPr>
              <w:spacing w:before="0" w:after="0"/>
              <w:rPr>
                <w:rFonts w:ascii="Arial" w:hAnsi="Arial" w:cs="Arial"/>
                <w:color w:val="000000"/>
                <w:sz w:val="20"/>
                <w:szCs w:val="20"/>
              </w:rPr>
            </w:pPr>
            <w:r>
              <w:rPr>
                <w:rFonts w:ascii="Arial" w:hAnsi="Arial" w:cs="Arial"/>
                <w:color w:val="000000"/>
                <w:sz w:val="20"/>
                <w:szCs w:val="20"/>
              </w:rPr>
              <w:t>S</w:t>
            </w:r>
            <w:r w:rsidRPr="004442B0">
              <w:rPr>
                <w:rFonts w:ascii="Arial" w:hAnsi="Arial" w:cs="Arial"/>
                <w:color w:val="000000"/>
                <w:sz w:val="20"/>
                <w:szCs w:val="20"/>
              </w:rPr>
              <w:t>tomatological preparations</w:t>
            </w:r>
          </w:p>
        </w:tc>
      </w:tr>
      <w:tr w:rsidR="00A731BA" w:rsidRPr="0033365E" w14:paraId="1073190A" w14:textId="77777777" w:rsidTr="003D30E4">
        <w:trPr>
          <w:trHeight w:val="328"/>
        </w:trPr>
        <w:tc>
          <w:tcPr>
            <w:tcW w:w="2381" w:type="dxa"/>
            <w:tcBorders>
              <w:top w:val="nil"/>
              <w:left w:val="nil"/>
              <w:bottom w:val="single" w:sz="4" w:space="0" w:color="auto"/>
              <w:right w:val="nil"/>
            </w:tcBorders>
            <w:shd w:val="clear" w:color="auto" w:fill="auto"/>
            <w:vAlign w:val="center"/>
          </w:tcPr>
          <w:p w14:paraId="61C18369" w14:textId="33DFFF86"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D01</w:t>
            </w:r>
            <w:r w:rsidR="00D76B56">
              <w:rPr>
                <w:rFonts w:ascii="Arial" w:hAnsi="Arial" w:cs="Arial"/>
                <w:color w:val="000000"/>
                <w:sz w:val="20"/>
                <w:szCs w:val="20"/>
              </w:rPr>
              <w:t>*</w:t>
            </w:r>
          </w:p>
        </w:tc>
        <w:tc>
          <w:tcPr>
            <w:tcW w:w="6833" w:type="dxa"/>
            <w:tcBorders>
              <w:top w:val="nil"/>
              <w:left w:val="nil"/>
              <w:bottom w:val="single" w:sz="4" w:space="0" w:color="auto"/>
              <w:right w:val="nil"/>
            </w:tcBorders>
            <w:shd w:val="clear" w:color="auto" w:fill="auto"/>
            <w:vAlign w:val="center"/>
          </w:tcPr>
          <w:p w14:paraId="57DB3AFE" w14:textId="57D6713B"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Antifungals for dermatological use</w:t>
            </w:r>
          </w:p>
        </w:tc>
      </w:tr>
      <w:tr w:rsidR="00A731BA" w:rsidRPr="0033365E" w14:paraId="456C712F" w14:textId="77777777" w:rsidTr="00A731BA">
        <w:trPr>
          <w:trHeight w:val="328"/>
        </w:trPr>
        <w:tc>
          <w:tcPr>
            <w:tcW w:w="2381" w:type="dxa"/>
            <w:tcBorders>
              <w:top w:val="nil"/>
              <w:left w:val="nil"/>
              <w:bottom w:val="single" w:sz="4" w:space="0" w:color="auto"/>
              <w:right w:val="nil"/>
            </w:tcBorders>
            <w:shd w:val="clear" w:color="auto" w:fill="auto"/>
            <w:vAlign w:val="center"/>
          </w:tcPr>
          <w:p w14:paraId="3B73C17D" w14:textId="56B17D5C"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D06</w:t>
            </w:r>
            <w:r w:rsidR="00D76B56">
              <w:rPr>
                <w:rFonts w:ascii="Arial" w:hAnsi="Arial" w:cs="Arial"/>
                <w:color w:val="000000"/>
                <w:sz w:val="20"/>
                <w:szCs w:val="20"/>
              </w:rPr>
              <w:t>*</w:t>
            </w:r>
          </w:p>
        </w:tc>
        <w:tc>
          <w:tcPr>
            <w:tcW w:w="6833" w:type="dxa"/>
            <w:tcBorders>
              <w:top w:val="nil"/>
              <w:left w:val="nil"/>
              <w:bottom w:val="single" w:sz="4" w:space="0" w:color="auto"/>
              <w:right w:val="nil"/>
            </w:tcBorders>
            <w:shd w:val="clear" w:color="auto" w:fill="auto"/>
            <w:vAlign w:val="center"/>
          </w:tcPr>
          <w:p w14:paraId="62D2A0B7" w14:textId="0598DD38"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Antibiotics and chemotherapeutics for dermatological use</w:t>
            </w:r>
          </w:p>
        </w:tc>
      </w:tr>
      <w:tr w:rsidR="00A731BA" w:rsidRPr="0033365E" w14:paraId="0BE5F937"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7B57CD73" w14:textId="762F0544"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D11</w:t>
            </w:r>
            <w:r w:rsidR="00D76B56">
              <w:rPr>
                <w:rFonts w:ascii="Arial" w:hAnsi="Arial" w:cs="Arial"/>
                <w:color w:val="000000"/>
                <w:sz w:val="20"/>
                <w:szCs w:val="20"/>
              </w:rPr>
              <w:t>*</w:t>
            </w:r>
          </w:p>
        </w:tc>
        <w:tc>
          <w:tcPr>
            <w:tcW w:w="6833" w:type="dxa"/>
            <w:tcBorders>
              <w:top w:val="single" w:sz="4" w:space="0" w:color="auto"/>
              <w:left w:val="nil"/>
              <w:bottom w:val="single" w:sz="4" w:space="0" w:color="auto"/>
              <w:right w:val="nil"/>
            </w:tcBorders>
            <w:shd w:val="clear" w:color="auto" w:fill="auto"/>
            <w:vAlign w:val="center"/>
          </w:tcPr>
          <w:p w14:paraId="72719ECC" w14:textId="5F8D4A1D" w:rsidR="00A731BA" w:rsidRPr="0033365E" w:rsidRDefault="00A731BA" w:rsidP="00A731BA">
            <w:pPr>
              <w:spacing w:before="0" w:after="0"/>
              <w:rPr>
                <w:rFonts w:ascii="Arial" w:hAnsi="Arial" w:cs="Arial"/>
                <w:color w:val="000000"/>
                <w:sz w:val="20"/>
                <w:szCs w:val="20"/>
              </w:rPr>
            </w:pPr>
            <w:r>
              <w:rPr>
                <w:rFonts w:ascii="Arial" w:hAnsi="Arial" w:cs="Arial"/>
                <w:color w:val="000000"/>
                <w:sz w:val="20"/>
                <w:szCs w:val="20"/>
              </w:rPr>
              <w:t>Other dermatological preparations</w:t>
            </w:r>
          </w:p>
        </w:tc>
      </w:tr>
      <w:tr w:rsidR="0056682B" w:rsidRPr="0033365E" w14:paraId="7870A3D1"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6D8343E9" w14:textId="1FA85A9E" w:rsidR="0056682B" w:rsidRDefault="0056682B" w:rsidP="00A731BA">
            <w:pPr>
              <w:spacing w:before="0" w:after="0"/>
              <w:rPr>
                <w:rFonts w:ascii="Arial" w:hAnsi="Arial" w:cs="Arial"/>
                <w:color w:val="000000"/>
                <w:sz w:val="20"/>
                <w:szCs w:val="20"/>
              </w:rPr>
            </w:pPr>
            <w:r>
              <w:rPr>
                <w:rFonts w:ascii="Arial" w:hAnsi="Arial" w:cs="Arial"/>
                <w:color w:val="000000"/>
                <w:sz w:val="20"/>
                <w:szCs w:val="20"/>
              </w:rPr>
              <w:t>J02</w:t>
            </w:r>
          </w:p>
        </w:tc>
        <w:tc>
          <w:tcPr>
            <w:tcW w:w="6833" w:type="dxa"/>
            <w:tcBorders>
              <w:top w:val="single" w:sz="4" w:space="0" w:color="auto"/>
              <w:left w:val="nil"/>
              <w:bottom w:val="single" w:sz="4" w:space="0" w:color="auto"/>
              <w:right w:val="nil"/>
            </w:tcBorders>
            <w:shd w:val="clear" w:color="auto" w:fill="auto"/>
            <w:vAlign w:val="center"/>
          </w:tcPr>
          <w:p w14:paraId="5FD1387B" w14:textId="7D3CAA10" w:rsidR="0056682B" w:rsidRDefault="004442B0" w:rsidP="00A731BA">
            <w:pPr>
              <w:spacing w:before="0" w:after="0"/>
              <w:rPr>
                <w:rFonts w:ascii="Arial" w:hAnsi="Arial" w:cs="Arial"/>
                <w:color w:val="000000"/>
                <w:sz w:val="20"/>
                <w:szCs w:val="20"/>
              </w:rPr>
            </w:pPr>
            <w:r>
              <w:rPr>
                <w:rFonts w:ascii="Arial" w:hAnsi="Arial" w:cs="Arial"/>
                <w:color w:val="000000"/>
                <w:sz w:val="20"/>
                <w:szCs w:val="20"/>
              </w:rPr>
              <w:t>A</w:t>
            </w:r>
            <w:r w:rsidRPr="004442B0">
              <w:rPr>
                <w:rFonts w:ascii="Arial" w:hAnsi="Arial" w:cs="Arial"/>
                <w:color w:val="000000"/>
                <w:sz w:val="20"/>
                <w:szCs w:val="20"/>
              </w:rPr>
              <w:t>ntimycotics for systemic use</w:t>
            </w:r>
          </w:p>
        </w:tc>
      </w:tr>
      <w:tr w:rsidR="00EB4549" w:rsidRPr="0033365E" w14:paraId="0766783B"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45CB61D9" w14:textId="1E14BE58" w:rsidR="00EB4549" w:rsidRPr="0010341A" w:rsidRDefault="00EB4549" w:rsidP="00A731BA">
            <w:pPr>
              <w:spacing w:before="0" w:after="0"/>
              <w:rPr>
                <w:rFonts w:ascii="Arial" w:hAnsi="Arial" w:cs="Arial"/>
                <w:color w:val="000000"/>
                <w:sz w:val="20"/>
                <w:szCs w:val="20"/>
              </w:rPr>
            </w:pPr>
            <w:r w:rsidRPr="0010341A">
              <w:rPr>
                <w:rFonts w:ascii="Arial" w:hAnsi="Arial" w:cs="Arial"/>
                <w:color w:val="000000"/>
                <w:sz w:val="20"/>
                <w:szCs w:val="20"/>
              </w:rPr>
              <w:t>J04</w:t>
            </w:r>
          </w:p>
        </w:tc>
        <w:tc>
          <w:tcPr>
            <w:tcW w:w="6833" w:type="dxa"/>
            <w:tcBorders>
              <w:top w:val="single" w:sz="4" w:space="0" w:color="auto"/>
              <w:left w:val="nil"/>
              <w:bottom w:val="single" w:sz="4" w:space="0" w:color="auto"/>
              <w:right w:val="nil"/>
            </w:tcBorders>
            <w:shd w:val="clear" w:color="auto" w:fill="auto"/>
            <w:vAlign w:val="center"/>
          </w:tcPr>
          <w:p w14:paraId="267591C8" w14:textId="7A448651" w:rsidR="00EB4549" w:rsidRPr="0010341A" w:rsidRDefault="00EB4549" w:rsidP="00A731BA">
            <w:pPr>
              <w:spacing w:before="0" w:after="0"/>
              <w:rPr>
                <w:rFonts w:ascii="Arial" w:hAnsi="Arial" w:cs="Arial"/>
                <w:color w:val="000000"/>
                <w:sz w:val="20"/>
                <w:szCs w:val="20"/>
              </w:rPr>
            </w:pPr>
            <w:r w:rsidRPr="00A5736F">
              <w:rPr>
                <w:sz w:val="20"/>
                <w:szCs w:val="20"/>
              </w:rPr>
              <w:t>Antimycobacterials</w:t>
            </w:r>
          </w:p>
        </w:tc>
      </w:tr>
      <w:tr w:rsidR="0056682B" w:rsidRPr="0033365E" w14:paraId="4D17F09A" w14:textId="77777777" w:rsidTr="00A731BA">
        <w:trPr>
          <w:trHeight w:val="328"/>
        </w:trPr>
        <w:tc>
          <w:tcPr>
            <w:tcW w:w="2381" w:type="dxa"/>
            <w:tcBorders>
              <w:top w:val="single" w:sz="4" w:space="0" w:color="auto"/>
              <w:left w:val="nil"/>
              <w:bottom w:val="single" w:sz="4" w:space="0" w:color="auto"/>
              <w:right w:val="nil"/>
            </w:tcBorders>
            <w:shd w:val="clear" w:color="auto" w:fill="auto"/>
            <w:vAlign w:val="center"/>
          </w:tcPr>
          <w:p w14:paraId="04BBE54B" w14:textId="379B9AF7" w:rsidR="0056682B" w:rsidRDefault="0056682B" w:rsidP="00A731BA">
            <w:pPr>
              <w:spacing w:before="0" w:after="0"/>
              <w:rPr>
                <w:rFonts w:ascii="Arial" w:hAnsi="Arial" w:cs="Arial"/>
                <w:color w:val="000000"/>
                <w:sz w:val="20"/>
                <w:szCs w:val="20"/>
              </w:rPr>
            </w:pPr>
            <w:r>
              <w:rPr>
                <w:rFonts w:ascii="Arial" w:hAnsi="Arial" w:cs="Arial"/>
                <w:color w:val="000000"/>
                <w:sz w:val="20"/>
                <w:szCs w:val="20"/>
              </w:rPr>
              <w:t>S03</w:t>
            </w:r>
          </w:p>
        </w:tc>
        <w:tc>
          <w:tcPr>
            <w:tcW w:w="6833" w:type="dxa"/>
            <w:tcBorders>
              <w:top w:val="single" w:sz="4" w:space="0" w:color="auto"/>
              <w:left w:val="nil"/>
              <w:bottom w:val="single" w:sz="4" w:space="0" w:color="auto"/>
              <w:right w:val="nil"/>
            </w:tcBorders>
            <w:shd w:val="clear" w:color="auto" w:fill="auto"/>
            <w:vAlign w:val="center"/>
          </w:tcPr>
          <w:p w14:paraId="37582F36" w14:textId="0C2DB919" w:rsidR="0056682B" w:rsidRDefault="00C26254" w:rsidP="00A731BA">
            <w:pPr>
              <w:spacing w:before="0" w:after="0"/>
              <w:rPr>
                <w:rFonts w:ascii="Arial" w:hAnsi="Arial" w:cs="Arial"/>
                <w:color w:val="000000"/>
                <w:sz w:val="20"/>
                <w:szCs w:val="20"/>
              </w:rPr>
            </w:pPr>
            <w:r>
              <w:rPr>
                <w:rFonts w:ascii="Arial" w:hAnsi="Arial" w:cs="Arial"/>
                <w:color w:val="000000"/>
                <w:sz w:val="20"/>
                <w:szCs w:val="20"/>
              </w:rPr>
              <w:t>O</w:t>
            </w:r>
            <w:r w:rsidRPr="00C26254">
              <w:rPr>
                <w:rFonts w:ascii="Arial" w:hAnsi="Arial" w:cs="Arial"/>
                <w:color w:val="000000"/>
                <w:sz w:val="20"/>
                <w:szCs w:val="20"/>
              </w:rPr>
              <w:t>phthalmological and otological preparations</w:t>
            </w:r>
          </w:p>
        </w:tc>
      </w:tr>
    </w:tbl>
    <w:p w14:paraId="0A01CAA3" w14:textId="77777777" w:rsidR="000B1EA4" w:rsidRDefault="00C36B4C" w:rsidP="00A5736F">
      <w:pPr>
        <w:spacing w:before="60" w:after="0"/>
        <w:rPr>
          <w:sz w:val="16"/>
          <w:szCs w:val="16"/>
        </w:rPr>
      </w:pPr>
      <w:r>
        <w:rPr>
          <w:sz w:val="16"/>
          <w:szCs w:val="16"/>
        </w:rPr>
        <w:t>ATC = </w:t>
      </w:r>
      <w:r w:rsidRPr="00C36B4C">
        <w:rPr>
          <w:sz w:val="16"/>
          <w:szCs w:val="16"/>
        </w:rPr>
        <w:t>Anatomical Therapeutic Chemical</w:t>
      </w:r>
      <w:r>
        <w:rPr>
          <w:sz w:val="16"/>
          <w:szCs w:val="16"/>
        </w:rPr>
        <w:t xml:space="preserve">; </w:t>
      </w:r>
      <w:r w:rsidRPr="00C36B4C">
        <w:rPr>
          <w:sz w:val="16"/>
          <w:szCs w:val="16"/>
        </w:rPr>
        <w:t>PBS = Pharmaceutical Benefits Scheme; RPBS = Repatriation Pharmaceutical Benefits Scheme</w:t>
      </w:r>
    </w:p>
    <w:p w14:paraId="0426CD24" w14:textId="45C104A4" w:rsidR="00DA603F" w:rsidRDefault="00A0027A" w:rsidP="00A5736F">
      <w:pPr>
        <w:tabs>
          <w:tab w:val="left" w:pos="284"/>
        </w:tabs>
        <w:spacing w:before="0" w:after="0"/>
        <w:rPr>
          <w:sz w:val="16"/>
          <w:szCs w:val="16"/>
        </w:rPr>
      </w:pPr>
      <w:r w:rsidRPr="002D377A">
        <w:rPr>
          <w:sz w:val="16"/>
          <w:szCs w:val="16"/>
        </w:rPr>
        <w:t>*</w:t>
      </w:r>
      <w:r w:rsidRPr="002D377A">
        <w:rPr>
          <w:sz w:val="16"/>
          <w:szCs w:val="16"/>
        </w:rPr>
        <w:tab/>
        <w:t xml:space="preserve">Antimicrobials </w:t>
      </w:r>
      <w:r w:rsidR="00CC0B43" w:rsidRPr="00A5736F">
        <w:rPr>
          <w:sz w:val="16"/>
          <w:szCs w:val="16"/>
        </w:rPr>
        <w:t>f</w:t>
      </w:r>
      <w:r w:rsidR="00C02909" w:rsidRPr="00A5736F">
        <w:rPr>
          <w:sz w:val="16"/>
          <w:szCs w:val="16"/>
        </w:rPr>
        <w:t xml:space="preserve">urther analysed as a focus for antimicrobial use in </w:t>
      </w:r>
      <w:r w:rsidR="00D76B56" w:rsidRPr="002D377A">
        <w:rPr>
          <w:sz w:val="16"/>
          <w:szCs w:val="16"/>
        </w:rPr>
        <w:t>aged care</w:t>
      </w:r>
      <w:r w:rsidR="00C02909" w:rsidRPr="00A5736F">
        <w:rPr>
          <w:sz w:val="16"/>
          <w:szCs w:val="16"/>
        </w:rPr>
        <w:t xml:space="preserve"> homes and older Australians</w:t>
      </w:r>
    </w:p>
    <w:p w14:paraId="44C61B7A" w14:textId="38CE7B35" w:rsidR="00C36B4C" w:rsidRDefault="00DA603F" w:rsidP="00DA603F">
      <w:r w:rsidRPr="00F46944">
        <w:t xml:space="preserve">For reporting of age-standardised rates, the reference population was the Australian population </w:t>
      </w:r>
      <w:r>
        <w:t xml:space="preserve">in </w:t>
      </w:r>
      <w:r w:rsidRPr="00F46944">
        <w:t>mid-2013 for consistency with previous AURA reports.</w:t>
      </w:r>
      <w:r w:rsidRPr="00F46944">
        <w:fldChar w:fldCharType="begin">
          <w:fldData xml:space="preserve">PEVuZE5vdGU+PENpdGU+PEF1dGhvcj5BdXN0cmFsaWFuIENvbW1pc3Npb24gb24gU2FmZXR5IGFu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PC9jb250cmlidXRvcnM+PHRpdGxlcz48dGl0bGU+QVVSQSAyMDE5OiB0aGlyZCBBdXN0cmFsaWFu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WWVhcj4yMDIzPC9ZZWFyPjxSZWNOdW0+Njg8L1JlY051bT48cmVjb3JkPjxyZWMtbnVtYmVyPjY4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</w:fldData>
        </w:fldChar>
      </w:r>
      <w:r w:rsidR="00087F2D">
        <w:instrText xml:space="preserve"> ADDIN EN.CITE </w:instrText>
      </w:r>
      <w:r w:rsidR="00087F2D">
        <w:fldChar w:fldCharType="begin">
          <w:fldData xml:space="preserve">PEVuZE5vdGU+PENpdGU+PEF1dGhvcj5BdXN0cmFsaWFuIENvbW1pc3Npb24gb24gU2FmZXR5IGFu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</w:fldData>
        </w:fldChar>
      </w:r>
      <w:r w:rsidR="00087F2D">
        <w:instrText xml:space="preserve"> ADDIN EN.CITE.DATA </w:instrText>
      </w:r>
      <w:r w:rsidR="00087F2D">
        <w:fldChar w:fldCharType="end"/>
      </w:r>
      <w:r w:rsidRPr="00F46944">
        <w:fldChar w:fldCharType="separate"/>
      </w:r>
      <w:r w:rsidR="00087F2D" w:rsidRPr="00087F2D">
        <w:rPr>
          <w:noProof/>
          <w:vertAlign w:val="superscript"/>
        </w:rPr>
        <w:t>14-18</w:t>
      </w:r>
      <w:r w:rsidRPr="00F46944">
        <w:fldChar w:fldCharType="end"/>
      </w:r>
      <w:r w:rsidRPr="00F46944">
        <w:t xml:space="preserve"> Where population data were used, the mid-year (30</w:t>
      </w:r>
      <w:r>
        <w:t xml:space="preserve"> </w:t>
      </w:r>
      <w:r w:rsidRPr="00F46944">
        <w:t xml:space="preserve">June) estimates for each calendar year </w:t>
      </w:r>
      <w:r>
        <w:t xml:space="preserve">were used </w:t>
      </w:r>
      <w:r w:rsidRPr="00F46944">
        <w:t>as provided by the Australian Bureau of Statistics (ABS).</w:t>
      </w:r>
    </w:p>
    <w:p w14:paraId="450A2826" w14:textId="436BBB34" w:rsidR="005F0482" w:rsidRPr="003437BA" w:rsidRDefault="00DA603F" w:rsidP="005F0482">
      <w:r w:rsidRPr="003437BA">
        <w:t xml:space="preserve">For aged care analyses, </w:t>
      </w:r>
      <w:r w:rsidR="00DB2E46" w:rsidRPr="003E7A42">
        <w:t xml:space="preserve">population estimates </w:t>
      </w:r>
      <w:r w:rsidR="00426A36" w:rsidRPr="003E7A42">
        <w:t xml:space="preserve">for bed days </w:t>
      </w:r>
      <w:r w:rsidR="008C2654" w:rsidRPr="003E7A42">
        <w:t>we</w:t>
      </w:r>
      <w:r w:rsidR="00DB2E46" w:rsidRPr="003E7A42">
        <w:t xml:space="preserve">re not available </w:t>
      </w:r>
      <w:r w:rsidR="008C2654" w:rsidRPr="003E7A42">
        <w:t>to estimate the rates of antimicrobial use</w:t>
      </w:r>
      <w:r w:rsidR="00426A36" w:rsidRPr="003E7A42">
        <w:t xml:space="preserve">. In the absence of this, the estimated population as described by the Australian Institute of Health and Welfare </w:t>
      </w:r>
      <w:r w:rsidR="00992054" w:rsidRPr="003E7A42">
        <w:t xml:space="preserve">(AIHW) was used. </w:t>
      </w:r>
      <w:r w:rsidR="005F0482" w:rsidRPr="003437BA">
        <w:t xml:space="preserve">Most of the analysis was restricted to </w:t>
      </w:r>
      <w:r w:rsidR="00865523">
        <w:t xml:space="preserve">older Australians </w:t>
      </w:r>
      <w:r w:rsidR="005F0482" w:rsidRPr="003437BA">
        <w:t>aged 65</w:t>
      </w:r>
      <w:r w:rsidR="00BD07CE">
        <w:t xml:space="preserve"> years </w:t>
      </w:r>
      <w:r w:rsidR="005F0482" w:rsidRPr="003437BA">
        <w:t xml:space="preserve">and over as AIHW provides population data on </w:t>
      </w:r>
      <w:r w:rsidR="0071432A">
        <w:t xml:space="preserve">older Australians </w:t>
      </w:r>
      <w:r w:rsidR="005F0482" w:rsidRPr="003437BA">
        <w:t xml:space="preserve">who </w:t>
      </w:r>
      <w:r w:rsidR="00652D12">
        <w:t xml:space="preserve">reside </w:t>
      </w:r>
      <w:r w:rsidR="005F0482" w:rsidRPr="003437BA">
        <w:t>in aged care</w:t>
      </w:r>
      <w:r w:rsidR="00254259" w:rsidRPr="003437BA">
        <w:t xml:space="preserve"> homes</w:t>
      </w:r>
      <w:r w:rsidR="005F0482" w:rsidRPr="003437BA">
        <w:t>. According to the latest AIHW report</w:t>
      </w:r>
      <w:r w:rsidR="00BD3F3B">
        <w:fldChar w:fldCharType="begin"/>
      </w:r>
      <w:r w:rsidR="00BD3F3B">
        <w:instrText xml:space="preserve"> ADDIN EN.CITE &lt;EndNote&gt;&lt;Cite&gt;&lt;Author&gt;Australian Institute of Health and Welfare&lt;/Author&gt;&lt;Year&gt;2023&lt;/Year&gt;&lt;RecNum&gt;543&lt;/RecNum&gt;&lt;DisplayText&gt;&lt;style face="superscript"&gt;61&lt;/style&gt;&lt;/DisplayText&gt;&lt;record&gt;&lt;rec-number&gt;543&lt;/rec-number&gt;&lt;foreign-keys&gt;&lt;key app="EN" db-id="0a9sasvr7dwawyeva9qpw09xaap9erv5ad5e" timestamp="1718853722"&gt;543&lt;/key&gt;&lt;/foreign-keys&gt;&lt;ref-type name="Web Page"&gt;12&lt;/ref-type&gt;&lt;contributors&gt;&lt;authors&gt;&lt;author&gt;Australian Institute of Health and Welfare,&lt;/author&gt;&lt;/authors&gt;&lt;/contributors&gt;&lt;titles&gt;&lt;title&gt;Older Australians&lt;/title&gt;&lt;/titles&gt;&lt;number&gt;June 2024&lt;/number&gt;&lt;dates&gt;&lt;year&gt;2023&lt;/year&gt;&lt;/dates&gt;&lt;pub-location&gt;Canberra&lt;/pub-location&gt;&lt;publisher&gt;AIHW&lt;/publisher&gt;&lt;urls&gt;&lt;related-urls&gt;&lt;url&gt;https://www.aihw.gov.au/reports/older-people/older-australians/contents/aged-care&lt;/url&gt;&lt;/related-urls&gt;&lt;/urls&gt;&lt;/record&gt;&lt;/Cite&gt;&lt;/EndNote&gt;</w:instrText>
      </w:r>
      <w:r w:rsidR="00BD3F3B">
        <w:fldChar w:fldCharType="separate"/>
      </w:r>
      <w:r w:rsidR="00BD3F3B" w:rsidRPr="00BD3F3B">
        <w:rPr>
          <w:noProof/>
          <w:vertAlign w:val="superscript"/>
        </w:rPr>
        <w:t>61</w:t>
      </w:r>
      <w:r w:rsidR="00BD3F3B">
        <w:fldChar w:fldCharType="end"/>
      </w:r>
      <w:r w:rsidR="005F0482" w:rsidRPr="003437BA">
        <w:t>, there were 185,000</w:t>
      </w:r>
      <w:r w:rsidR="00652D12">
        <w:t> </w:t>
      </w:r>
      <w:r w:rsidR="0071432A">
        <w:t>older Australians</w:t>
      </w:r>
      <w:r w:rsidR="005F0482" w:rsidRPr="003437BA">
        <w:t xml:space="preserve"> in aged care at 30</w:t>
      </w:r>
      <w:r w:rsidR="00BD07CE">
        <w:t> </w:t>
      </w:r>
      <w:r w:rsidR="005F0482" w:rsidRPr="003437BA">
        <w:t>June 2022, with an annual increase of approximately 2%.</w:t>
      </w:r>
    </w:p>
    <w:p w14:paraId="34A41603" w14:textId="5AB1BEFA" w:rsidR="00201D88" w:rsidRPr="003437BA" w:rsidRDefault="005F0482" w:rsidP="005F0482">
      <w:r w:rsidRPr="003437BA">
        <w:t>For all analyses requiring population estimates in 2023, based on the AIHW estimate of 2% growth, it was assumed 190,000</w:t>
      </w:r>
      <w:r w:rsidR="000729BA">
        <w:t> </w:t>
      </w:r>
      <w:r w:rsidR="00D007BE">
        <w:t xml:space="preserve">older Australians </w:t>
      </w:r>
      <w:r w:rsidR="000729BA">
        <w:t xml:space="preserve">resided </w:t>
      </w:r>
      <w:r w:rsidRPr="003437BA">
        <w:t xml:space="preserve">in aged care </w:t>
      </w:r>
      <w:r w:rsidR="00CE0035">
        <w:t xml:space="preserve">homes </w:t>
      </w:r>
      <w:r w:rsidRPr="003437BA">
        <w:t>in 2023. The community population was estimated based on the age-specific ABS estimates excluding the aged-care estimates. For analysis on rates of prescription</w:t>
      </w:r>
      <w:r w:rsidR="0076756E" w:rsidRPr="003437BA">
        <w:t>s</w:t>
      </w:r>
      <w:r w:rsidRPr="003437BA">
        <w:t xml:space="preserve"> per 100</w:t>
      </w:r>
      <w:r w:rsidR="00E10B98">
        <w:t> </w:t>
      </w:r>
      <w:r w:rsidRPr="003437BA">
        <w:t>people, it was assumed that there were around 5,000</w:t>
      </w:r>
      <w:r w:rsidR="00443736">
        <w:t> </w:t>
      </w:r>
      <w:r w:rsidRPr="003437BA">
        <w:t xml:space="preserve">additional people </w:t>
      </w:r>
      <w:r w:rsidR="00B14BFA" w:rsidRPr="003437BA">
        <w:t xml:space="preserve">aged less than 65 years </w:t>
      </w:r>
      <w:r w:rsidR="00443736">
        <w:t xml:space="preserve">who resided in </w:t>
      </w:r>
      <w:r w:rsidRPr="003437BA">
        <w:t xml:space="preserve">aged care </w:t>
      </w:r>
      <w:r w:rsidR="002806CD" w:rsidRPr="003437BA">
        <w:t>homes</w:t>
      </w:r>
      <w:r w:rsidR="00B14BFA" w:rsidRPr="003437BA">
        <w:t xml:space="preserve">. The </w:t>
      </w:r>
      <w:r w:rsidRPr="003437BA">
        <w:t>following estimates were used: 185,000</w:t>
      </w:r>
      <w:r w:rsidR="00C56EAF">
        <w:t> </w:t>
      </w:r>
      <w:r w:rsidRPr="003437BA">
        <w:t>for 2021; 190,000</w:t>
      </w:r>
      <w:r w:rsidR="00C56EAF">
        <w:t> </w:t>
      </w:r>
      <w:r w:rsidRPr="003437BA">
        <w:t>for 2022 and 195,000</w:t>
      </w:r>
      <w:r w:rsidR="00C56EAF">
        <w:t> </w:t>
      </w:r>
      <w:r w:rsidRPr="003437BA">
        <w:t>for 2023.</w:t>
      </w:r>
    </w:p>
    <w:p w14:paraId="31211343" w14:textId="123C39CD" w:rsidR="000D3493" w:rsidRDefault="00201D88" w:rsidP="000D3493">
      <w:r>
        <w:lastRenderedPageBreak/>
        <w:t xml:space="preserve">For analyses by location, postcode was used to stratify the data by state or territory and </w:t>
      </w:r>
      <w:r w:rsidR="003D35CB">
        <w:t>Statistical Area Level 3 (</w:t>
      </w:r>
      <w:r w:rsidR="003D35CB" w:rsidRPr="00C8228D">
        <w:t>SA3</w:t>
      </w:r>
      <w:r w:rsidR="003D35CB">
        <w:t>)</w:t>
      </w:r>
      <w:r>
        <w:t xml:space="preserve"> using the ABS Australian Statistical Geography Standard (AGSC)</w:t>
      </w:r>
      <w:r w:rsidR="00BD3F3B">
        <w:fldChar w:fldCharType="begin"/>
      </w:r>
      <w:r w:rsidR="00BD3F3B">
        <w:instrText xml:space="preserve"> ADDIN EN.CITE &lt;EndNote&gt;&lt;Cite&gt;&lt;Author&gt;Australian Bureau of Statistics&lt;/Author&gt;&lt;Year&gt;2021&lt;/Year&gt;&lt;RecNum&gt;548&lt;/RecNum&gt;&lt;DisplayText&gt;&lt;style face="superscript"&gt;62&lt;/style&gt;&lt;/DisplayText&gt;&lt;record&gt;&lt;rec-number&gt;548&lt;/rec-number&gt;&lt;foreign-keys&gt;&lt;key app="EN" db-id="0a9sasvr7dwawyeva9qpw09xaap9erv5ad5e" timestamp="1722818060"&gt;548&lt;/key&gt;&lt;/foreign-keys&gt;&lt;ref-type name="Web Page"&gt;12&lt;/ref-type&gt;&lt;contributors&gt;&lt;authors&gt;&lt;author&gt;Australian Bureau of Statistics,&lt;/author&gt;&lt;/authors&gt;&lt;/contributors&gt;&lt;titles&gt;&lt;title&gt;Australian Statistical Geography Standard (ASGS) Edition 3: Main Structure and Greater Capital City Statistical Areas&lt;/title&gt;&lt;/titles&gt;&lt;volume&gt;June 2024&lt;/volume&gt;&lt;dates&gt;&lt;year&gt;2021&lt;/year&gt;&lt;/dates&gt;&lt;pub-location&gt;Canberra&lt;/pub-location&gt;&lt;publisher&gt;ABS&lt;/publisher&gt;&lt;urls&gt;&lt;related-urls&gt;&lt;url&gt;https://www.abs.gov.au/statistics/standards/australian-statistical-geography-standard-asgs-edition-3/jul2021-jun2026/main-structure-and-greater-capital-city-statistical-areas&lt;/url&gt;&lt;/related-urls&gt;&lt;/urls&gt;&lt;/record&gt;&lt;/Cite&gt;&lt;/EndNote&gt;</w:instrText>
      </w:r>
      <w:r w:rsidR="00BD3F3B">
        <w:fldChar w:fldCharType="separate"/>
      </w:r>
      <w:r w:rsidR="00BD3F3B" w:rsidRPr="00BD3F3B">
        <w:rPr>
          <w:noProof/>
          <w:vertAlign w:val="superscript"/>
        </w:rPr>
        <w:t>62</w:t>
      </w:r>
      <w:r w:rsidR="00BD3F3B">
        <w:fldChar w:fldCharType="end"/>
      </w:r>
      <w:r>
        <w:t xml:space="preserve">, and </w:t>
      </w:r>
      <w:r w:rsidR="003D35CB">
        <w:t>by Primary Health Network</w:t>
      </w:r>
      <w:r w:rsidR="007A7578">
        <w:t xml:space="preserve"> (PHN)</w:t>
      </w:r>
      <w:r>
        <w:t>.</w:t>
      </w:r>
      <w:r w:rsidR="005C6B93">
        <w:fldChar w:fldCharType="begin"/>
      </w:r>
      <w:r w:rsidR="005C6B93">
        <w:instrText xml:space="preserve"> ADDIN EN.CITE &lt;EndNote&gt;&lt;Cite&gt;&lt;Author&gt;Australian Government Department of Health and Aged Care&lt;/Author&gt;&lt;Year&gt;2023&lt;/Year&gt;&lt;RecNum&gt;549&lt;/RecNum&gt;&lt;DisplayText&gt;&lt;style face="superscript"&gt;63&lt;/style&gt;&lt;/DisplayText&gt;&lt;record&gt;&lt;rec-number&gt;549&lt;/rec-number&gt;&lt;foreign-keys&gt;&lt;key app="EN" db-id="0a9sasvr7dwawyeva9qpw09xaap9erv5ad5e" timestamp="1722824974"&gt;549&lt;/key&gt;&lt;/foreign-keys&gt;&lt;ref-type name="Web Page"&gt;12&lt;/ref-type&gt;&lt;contributors&gt;&lt;authors&gt;&lt;author&gt;Australian Government Department of Health and Aged Care,&lt;/author&gt;&lt;/authors&gt;&lt;/contributors&gt;&lt;titles&gt;&lt;title&gt;Primary Health Networks&lt;/title&gt;&lt;/titles&gt;&lt;number&gt;June 2024&lt;/number&gt;&lt;dates&gt;&lt;year&gt;2023&lt;/year&gt;&lt;/dates&gt;&lt;pub-location&gt;Canberra&lt;/pub-location&gt;&lt;publisher&gt;Department of Health and Aged Care&lt;/publisher&gt;&lt;urls&gt;&lt;related-urls&gt;&lt;url&gt;https://www.health.gov.au/our-work/phn&lt;/url&gt;&lt;/related-urls&gt;&lt;/urls&gt;&lt;/record&gt;&lt;/Cite&gt;&lt;/EndNote&gt;</w:instrText>
      </w:r>
      <w:r w:rsidR="005C6B93">
        <w:fldChar w:fldCharType="separate"/>
      </w:r>
      <w:r w:rsidR="005C6B93" w:rsidRPr="005C6B93">
        <w:rPr>
          <w:noProof/>
          <w:vertAlign w:val="superscript"/>
        </w:rPr>
        <w:t>63</w:t>
      </w:r>
      <w:r w:rsidR="005C6B93">
        <w:fldChar w:fldCharType="end"/>
      </w:r>
      <w:r w:rsidR="00972F50">
        <w:t xml:space="preserve"> </w:t>
      </w:r>
      <w:r w:rsidR="00A13963">
        <w:t xml:space="preserve">For SA3 analyses, some data </w:t>
      </w:r>
      <w:r w:rsidR="00742F16">
        <w:t xml:space="preserve">were </w:t>
      </w:r>
      <w:r w:rsidR="00A13963">
        <w:t>not published due to suppression</w:t>
      </w:r>
      <w:r w:rsidR="00640F12">
        <w:t xml:space="preserve"> of nominal population</w:t>
      </w:r>
      <w:r w:rsidR="00D27A99">
        <w:t>s</w:t>
      </w:r>
      <w:r w:rsidR="00640F12">
        <w:t xml:space="preserve"> or antimicrobial use.</w:t>
      </w:r>
    </w:p>
    <w:p w14:paraId="5D152DF9" w14:textId="77777777" w:rsidR="00E751BB" w:rsidRPr="00296EF3" w:rsidRDefault="00E751BB" w:rsidP="00296EF3">
      <w:pPr>
        <w:pStyle w:val="Heading4"/>
        <w:rPr>
          <w:color w:val="005370"/>
        </w:rPr>
      </w:pPr>
      <w:bookmarkStart w:id="69" w:name="_Toc121826728"/>
      <w:r w:rsidRPr="00296EF3">
        <w:rPr>
          <w:color w:val="005370"/>
        </w:rPr>
        <w:t>Considerations for interpreting data</w:t>
      </w:r>
      <w:bookmarkEnd w:id="69"/>
    </w:p>
    <w:p w14:paraId="54921702" w14:textId="0D021309" w:rsidR="00A824AD" w:rsidRPr="00F46944" w:rsidRDefault="00CF7FE1" w:rsidP="00E751BB">
      <w:r w:rsidRPr="00943D7D">
        <w:rPr>
          <w:rFonts w:asciiTheme="majorHAnsi" w:hAnsiTheme="majorHAnsi" w:cstheme="majorHAnsi"/>
        </w:rPr>
        <w:t xml:space="preserve">This report focusses on </w:t>
      </w:r>
      <w:r w:rsidR="00943D7D" w:rsidRPr="00943D7D">
        <w:rPr>
          <w:rFonts w:asciiTheme="majorHAnsi" w:hAnsiTheme="majorHAnsi" w:cstheme="majorHAnsi"/>
        </w:rPr>
        <w:t xml:space="preserve">data on antimicrobials dispensed, or supplied, under the </w:t>
      </w:r>
      <w:r w:rsidR="002350FC" w:rsidRPr="00943D7D">
        <w:rPr>
          <w:rFonts w:asciiTheme="majorHAnsi" w:hAnsiTheme="majorHAnsi" w:cstheme="majorHAnsi"/>
        </w:rPr>
        <w:t>PBS and RPBS</w:t>
      </w:r>
      <w:r w:rsidRPr="00943D7D">
        <w:rPr>
          <w:rFonts w:asciiTheme="majorHAnsi" w:hAnsiTheme="majorHAnsi" w:cstheme="majorHAnsi"/>
        </w:rPr>
        <w:t>.</w:t>
      </w:r>
      <w:r>
        <w:rPr>
          <w:rFonts w:asciiTheme="majorHAnsi" w:hAnsiTheme="majorHAnsi" w:cstheme="majorHAnsi"/>
        </w:rPr>
        <w:t xml:space="preserve"> </w:t>
      </w:r>
      <w:r w:rsidR="00E751BB" w:rsidRPr="002E76B0">
        <w:rPr>
          <w:rFonts w:asciiTheme="majorHAnsi" w:hAnsiTheme="majorHAnsi" w:cstheme="majorHAnsi"/>
        </w:rPr>
        <w:t xml:space="preserve">Prescribing </w:t>
      </w:r>
      <w:r w:rsidR="00E751BB" w:rsidRPr="00F46944">
        <w:rPr>
          <w:rFonts w:asciiTheme="majorHAnsi" w:hAnsiTheme="majorHAnsi" w:cstheme="majorHAnsi"/>
        </w:rPr>
        <w:t>data can differ from dispensing data because not all prescriptions are dispensed, sometimes under the instruction of the treating doctor not to have the prescription filled unless the condition worsens. Similarly, dispensing data may differ from consumption data because not all prescriptions dispensed are consumed,</w:t>
      </w:r>
      <w:r w:rsidR="00E751BB" w:rsidRPr="00F46944">
        <w:t xml:space="preserve"> as patients may not use any or all of the antimicrobials provided.</w:t>
      </w:r>
    </w:p>
    <w:p w14:paraId="42A2411B" w14:textId="77777777" w:rsidR="00E751BB" w:rsidRPr="00F46944" w:rsidRDefault="00E751BB" w:rsidP="00E751BB">
      <w:r w:rsidRPr="00F46944">
        <w:t>Issues that need to be considered when interpreting PBS</w:t>
      </w:r>
      <w:r>
        <w:t xml:space="preserve"> and </w:t>
      </w:r>
      <w:r w:rsidRPr="00F46944">
        <w:t>RPBS data include the following:</w:t>
      </w:r>
    </w:p>
    <w:p w14:paraId="65A87D8D" w14:textId="09D9F61F" w:rsidR="00E751BB" w:rsidRPr="00F46944" w:rsidRDefault="00E751BB" w:rsidP="00E9572F">
      <w:pPr>
        <w:pStyle w:val="ListParagraph"/>
        <w:numPr>
          <w:ilvl w:val="0"/>
          <w:numId w:val="6"/>
        </w:numPr>
        <w:spacing w:before="0" w:after="200"/>
        <w:ind w:left="643"/>
      </w:pPr>
      <w:r w:rsidRPr="00F46944">
        <w:t>The principal source of dispensing data in the community in Australia is the PBS</w:t>
      </w:r>
      <w:r>
        <w:t xml:space="preserve"> and </w:t>
      </w:r>
      <w:r w:rsidRPr="00F46944">
        <w:t xml:space="preserve">RPBS. </w:t>
      </w:r>
      <w:r w:rsidR="0087021C">
        <w:t xml:space="preserve">These </w:t>
      </w:r>
      <w:r w:rsidRPr="00F46944">
        <w:t>data are estimated to capture more than 90% of all antimicrobial prescriptions dispensed in the community</w:t>
      </w:r>
      <w:r>
        <w:fldChar w:fldCharType="begin"/>
      </w:r>
      <w:r w:rsidR="005C6B93">
        <w:instrText xml:space="preserve"> ADDIN EN.CITE &lt;EndNote&gt;&lt;Cite&gt;&lt;Author&gt;Drug Utilisation Sub Committee (DUSC)&lt;/Author&gt;&lt;Year&gt;2015&lt;/Year&gt;&lt;RecNum&gt;485&lt;/RecNum&gt;&lt;DisplayText&gt;&lt;style face="superscript"&gt;38&lt;/style&gt;&lt;/DisplayText&gt;&lt;record&gt;&lt;rec-number&gt;485&lt;/rec-number&gt;&lt;foreign-keys&gt;&lt;key app="EN" db-id="0a9sasvr7dwawyeva9qpw09xaap9erv5ad5e" timestamp="1716861976"&gt;485&lt;/key&gt;&lt;/foreign-keys&gt;&lt;ref-type name="Web Page"&gt;12&lt;/ref-type&gt;&lt;contributors&gt;&lt;authors&gt;&lt;author&gt;Drug Utilisation Sub Committee (DUSC),&lt;/author&gt;&lt;/authors&gt;&lt;/contributors&gt;&lt;titles&gt;&lt;title&gt;Antibiotics: PBS/RPBS utilisation, Oct 2014 and Feb 2015&lt;/title&gt;&lt;/titles&gt;&lt;number&gt;Jan 2024&lt;/number&gt;&lt;dates&gt;&lt;year&gt;2015&lt;/year&gt;&lt;/dates&gt;&lt;pub-location&gt;Canberra&lt;/pub-location&gt;&lt;publisher&gt;Department of Health and Aged Care&lt;/publisher&gt;&lt;work-type&gt;Internet&lt;/work-type&gt;&lt;urls&gt;&lt;related-urls&gt;&lt;url&gt;http://www.pbs.gov.au/info/industry/listing/participants/public-release-docs/antibiotics/antibiotics-oct-14-feb-15&lt;/url&gt;&lt;/related-urls&gt;&lt;/urls&gt;&lt;/record&gt;&lt;/Cite&gt;&lt;/EndNote&gt;</w:instrText>
      </w:r>
      <w:r>
        <w:fldChar w:fldCharType="separate"/>
      </w:r>
      <w:r w:rsidR="005C6B93" w:rsidRPr="005C6B93">
        <w:rPr>
          <w:noProof/>
          <w:vertAlign w:val="superscript"/>
        </w:rPr>
        <w:t>38</w:t>
      </w:r>
      <w:r>
        <w:fldChar w:fldCharType="end"/>
      </w:r>
    </w:p>
    <w:p w14:paraId="0BE574C6" w14:textId="5E0C8269" w:rsidR="00E751BB" w:rsidRPr="00F46944" w:rsidRDefault="00E751BB" w:rsidP="00E9572F">
      <w:pPr>
        <w:pStyle w:val="ListParagraph"/>
        <w:numPr>
          <w:ilvl w:val="0"/>
          <w:numId w:val="6"/>
        </w:numPr>
        <w:spacing w:before="0" w:after="200"/>
        <w:ind w:left="643"/>
      </w:pPr>
      <w:r w:rsidRPr="00F46944">
        <w:t>PBS</w:t>
      </w:r>
      <w:r>
        <w:t xml:space="preserve"> and </w:t>
      </w:r>
      <w:r w:rsidRPr="00F46944">
        <w:t>RPBS listings for some antimicrobials changed to restrict the maximum quantity and number of repeats from April 2020</w:t>
      </w:r>
      <w:r>
        <w:fldChar w:fldCharType="begin"/>
      </w:r>
      <w:r w:rsidR="00087F2D">
        <w:instrText xml:space="preserve"> ADDIN EN.CITE &lt;EndNote&gt;&lt;Cite&gt;&lt;Author&gt;Australian Government Department of Health and Aged Care&lt;/Author&gt;&lt;Year&gt;2020&lt;/Year&gt;&lt;RecNum&gt;108&lt;/RecNum&gt;&lt;DisplayText&gt;&lt;style face="superscript"&gt;25&lt;/style&gt;&lt;/DisplayText&gt;&lt;record&gt;&lt;rec-number&gt;108&lt;/rec-number&gt;&lt;foreign-keys&gt;&lt;key app="EN" db-id="0a9sasvr7dwawyeva9qpw09xaap9erv5ad5e" timestamp="1707963072"&gt;108&lt;/key&gt;&lt;/foreign-keys&gt;&lt;ref-type name="Web Page"&gt;12&lt;/ref-type&gt;&lt;contributors&gt;&lt;authors&gt;&lt;author&gt;Australian Government Department of Health and Aged Care,&lt;/author&gt;&lt;/authors&gt;&lt;/contributors&gt;&lt;titles&gt;&lt;title&gt;Revised PBS listings for Antibiotic use&lt;/title&gt;&lt;/titles&gt;&lt;number&gt;Feb 2024&lt;/number&gt;&lt;dates&gt;&lt;year&gt;2020&lt;/year&gt;&lt;/dates&gt;&lt;pub-location&gt;Canberra&lt;/pub-location&gt;&lt;publisher&gt;Department of Health and Aged Care&lt;/publisher&gt;&lt;urls&gt;&lt;related-urls&gt;&lt;url&gt;https://www.pbs.gov.au/news/2020/03/files/Antibiotics-factsheet-2020.pdf&lt;/url&gt;&lt;/related-urls&gt;&lt;/urls&gt;&lt;/record&gt;&lt;/Cite&gt;&lt;/EndNote&gt;</w:instrText>
      </w:r>
      <w:r>
        <w:fldChar w:fldCharType="separate"/>
      </w:r>
      <w:r w:rsidR="00087F2D" w:rsidRPr="00087F2D">
        <w:rPr>
          <w:noProof/>
          <w:vertAlign w:val="superscript"/>
        </w:rPr>
        <w:t>25</w:t>
      </w:r>
      <w:r>
        <w:fldChar w:fldCharType="end"/>
      </w:r>
    </w:p>
    <w:p w14:paraId="098E4322" w14:textId="28964CE5" w:rsidR="00451D49" w:rsidRDefault="00E751BB" w:rsidP="00451D49">
      <w:pPr>
        <w:pStyle w:val="ListParagraph"/>
        <w:numPr>
          <w:ilvl w:val="0"/>
          <w:numId w:val="6"/>
        </w:numPr>
        <w:spacing w:before="0" w:after="200"/>
        <w:ind w:left="643"/>
      </w:pPr>
      <w:r w:rsidRPr="000B76CA">
        <w:t xml:space="preserve">The </w:t>
      </w:r>
      <w:r w:rsidR="004919E4">
        <w:t xml:space="preserve">defined daily </w:t>
      </w:r>
      <w:r w:rsidR="004919E4" w:rsidRPr="007361B5">
        <w:t>dose (</w:t>
      </w:r>
      <w:r w:rsidRPr="007361B5">
        <w:t>DDD</w:t>
      </w:r>
      <w:r w:rsidR="004919E4" w:rsidRPr="007361B5">
        <w:t>)</w:t>
      </w:r>
      <w:r w:rsidRPr="007361B5">
        <w:t xml:space="preserve"> values determined by the </w:t>
      </w:r>
      <w:r w:rsidR="004919E4" w:rsidRPr="007361B5">
        <w:t>WHO</w:t>
      </w:r>
      <w:r w:rsidRPr="007361B5">
        <w:t xml:space="preserve"> Collaborating Centre for Drug Statistics Methodology for 2024 have been</w:t>
      </w:r>
      <w:r w:rsidRPr="000B76CA">
        <w:t xml:space="preserve"> applied in this report, causing slight </w:t>
      </w:r>
      <w:r w:rsidR="008A2C6B">
        <w:t>variation with</w:t>
      </w:r>
      <w:r w:rsidRPr="000B76CA">
        <w:t xml:space="preserve"> results presented in previous reports</w:t>
      </w:r>
    </w:p>
    <w:p w14:paraId="4D3A3C2D" w14:textId="7E9F7BE7" w:rsidR="00451D49" w:rsidRDefault="00451D49" w:rsidP="00451D49">
      <w:pPr>
        <w:pStyle w:val="ListParagraph"/>
        <w:numPr>
          <w:ilvl w:val="0"/>
          <w:numId w:val="6"/>
        </w:numPr>
        <w:spacing w:before="0" w:after="200"/>
        <w:ind w:left="643"/>
      </w:pPr>
      <w:r w:rsidRPr="00F46944">
        <w:t>Percentages and other data relating to 2015 to 202</w:t>
      </w:r>
      <w:r>
        <w:t>3</w:t>
      </w:r>
      <w:r w:rsidRPr="00F46944">
        <w:t xml:space="preserve"> may have changed compared to previous reports as more data have become available</w:t>
      </w:r>
      <w:r>
        <w:t>.</w:t>
      </w:r>
    </w:p>
    <w:p w14:paraId="7F6F15D0" w14:textId="1ACBA048" w:rsidR="008A7167" w:rsidRDefault="008A7167" w:rsidP="00B851CD">
      <w:r w:rsidRPr="00BE2F16">
        <w:t>Antimicrobials dispensed from most inpatient and some outpatient services, some community health services, and some Aboriginal and Torres Strait Islander health services may not be captured in the</w:t>
      </w:r>
      <w:r>
        <w:t xml:space="preserve"> PBS and RPBS</w:t>
      </w:r>
      <w:r w:rsidRPr="00BE2F16">
        <w:t xml:space="preserve"> dataset. This may impact findings between states and territories as approximately 30% of the Northern Territory population identify as Aboriginal or Torres Strait Islander, compared to approximately 5% or less in other </w:t>
      </w:r>
      <w:r w:rsidR="00D8173D">
        <w:t>jurisdictions</w:t>
      </w:r>
      <w:r w:rsidR="00D67054">
        <w:t>.</w:t>
      </w:r>
      <w:r w:rsidRPr="00BE2F16">
        <w:fldChar w:fldCharType="begin"/>
      </w:r>
      <w:r w:rsidR="005C6B93">
        <w:instrText xml:space="preserve"> ADDIN EN.CITE &lt;EndNote&gt;&lt;Cite&gt;&lt;Author&gt;Australian Bureau of Statistics&lt;/Author&gt;&lt;Year&gt;2020&lt;/Year&gt;&lt;RecNum&gt;73&lt;/RecNum&gt;&lt;DisplayText&gt;&lt;style face="superscript"&gt;64&lt;/style&gt;&lt;/DisplayText&gt;&lt;record&gt;&lt;rec-number&gt;73&lt;/rec-number&gt;&lt;foreign-keys&gt;&lt;key app="EN" db-id="0a9sasvr7dwawyeva9qpw09xaap9erv5ad5e" timestamp="1704770780"&gt;73&lt;/key&gt;&lt;/foreign-keys&gt;&lt;ref-type name="Web Page"&gt;12&lt;/ref-type&gt;&lt;contributors&gt;&lt;authors&gt;&lt;author&gt;Australian Bureau of Statistics,&lt;/author&gt;&lt;/authors&gt;&lt;/contributors&gt;&lt;titles&gt;&lt;title&gt;Estimates of Aboriginal and Torres Strait Islander Australians&lt;/title&gt;&lt;/titles&gt;&lt;number&gt;Jan 2024&lt;/number&gt;&lt;dates&gt;&lt;year&gt;2020&lt;/year&gt;&lt;/dates&gt;&lt;pub-location&gt;Canberra&lt;/pub-location&gt;&lt;publisher&gt;ABS&lt;/publisher&gt;&lt;urls&gt;&lt;related-urls&gt;&lt;url&gt;https://www.abs.gov.au/statistics/people/aboriginal-and-torres-strait-islander-peoples/estimates-aboriginal-and-torres-strait-islander-australians/latest-release&lt;/url&gt;&lt;/related-urls&gt;&lt;/urls&gt;&lt;/record&gt;&lt;/Cite&gt;&lt;/EndNote&gt;</w:instrText>
      </w:r>
      <w:r w:rsidRPr="00BE2F16">
        <w:fldChar w:fldCharType="separate"/>
      </w:r>
      <w:r w:rsidR="005C6B93" w:rsidRPr="005C6B93">
        <w:rPr>
          <w:noProof/>
          <w:vertAlign w:val="superscript"/>
        </w:rPr>
        <w:t>64</w:t>
      </w:r>
      <w:r w:rsidRPr="00BE2F16">
        <w:fldChar w:fldCharType="end"/>
      </w:r>
    </w:p>
    <w:p w14:paraId="7A299FF3" w14:textId="3BF6E48E" w:rsidR="00E751BB" w:rsidRPr="00F46944" w:rsidRDefault="00E01D60" w:rsidP="0003511C">
      <w:r>
        <w:t>P</w:t>
      </w:r>
      <w:r w:rsidR="00E751BB" w:rsidRPr="00F46944">
        <w:t>rescriptions may be dispensed privately</w:t>
      </w:r>
      <w:r w:rsidR="00FE624C">
        <w:t xml:space="preserve"> or provided over</w:t>
      </w:r>
      <w:r w:rsidR="00A5736F">
        <w:t>-</w:t>
      </w:r>
      <w:r w:rsidR="00FE624C">
        <w:t>the</w:t>
      </w:r>
      <w:r w:rsidR="00A5736F">
        <w:t>-</w:t>
      </w:r>
      <w:r w:rsidR="00FE624C">
        <w:t>counter</w:t>
      </w:r>
      <w:r w:rsidR="00E751BB" w:rsidRPr="00F46944">
        <w:t>, meaning that the PBS</w:t>
      </w:r>
      <w:r w:rsidR="00E751BB">
        <w:t xml:space="preserve"> and </w:t>
      </w:r>
      <w:r w:rsidR="00E751BB" w:rsidRPr="00F46944">
        <w:t>RPBS does not subsidise the cost of the medicine.</w:t>
      </w:r>
      <w:r w:rsidR="00D45579" w:rsidRPr="00D45579">
        <w:t xml:space="preserve"> </w:t>
      </w:r>
      <w:r w:rsidR="00C21AE1">
        <w:t>A</w:t>
      </w:r>
      <w:r w:rsidR="002B61A0">
        <w:t>ntimicrobial</w:t>
      </w:r>
      <w:r w:rsidR="00C21AE1">
        <w:t xml:space="preserve">s prescribed </w:t>
      </w:r>
      <w:r w:rsidR="002B61A0">
        <w:t xml:space="preserve">by medical practitioners, dental practitioners, nurse practitioners and optometrists </w:t>
      </w:r>
      <w:r w:rsidR="002B61A0" w:rsidRPr="00D56D4A">
        <w:t xml:space="preserve">may not </w:t>
      </w:r>
      <w:r w:rsidR="002B61A0">
        <w:t xml:space="preserve">be </w:t>
      </w:r>
      <w:r w:rsidR="002B61A0" w:rsidRPr="00D56D4A">
        <w:t>captured in this dataset</w:t>
      </w:r>
      <w:r w:rsidR="002B61A0">
        <w:t xml:space="preserve"> </w:t>
      </w:r>
      <w:r w:rsidR="00C21AE1">
        <w:t>if a prescription</w:t>
      </w:r>
      <w:r w:rsidR="002B61A0">
        <w:t xml:space="preserve"> </w:t>
      </w:r>
      <w:r w:rsidR="00C21AE1">
        <w:t xml:space="preserve">was issued </w:t>
      </w:r>
      <w:r w:rsidR="000D6840">
        <w:t xml:space="preserve">privately </w:t>
      </w:r>
      <w:r w:rsidR="00C21AE1">
        <w:t>for</w:t>
      </w:r>
      <w:r w:rsidR="00E751BB" w:rsidRPr="00F46944">
        <w:t>:</w:t>
      </w:r>
    </w:p>
    <w:p w14:paraId="29EA3054" w14:textId="77777777" w:rsidR="00E751BB" w:rsidRPr="00F46944" w:rsidRDefault="00E751BB" w:rsidP="008367FF">
      <w:pPr>
        <w:pStyle w:val="ListParagraph"/>
        <w:numPr>
          <w:ilvl w:val="0"/>
          <w:numId w:val="7"/>
        </w:numPr>
        <w:spacing w:before="0" w:after="200"/>
        <w:ind w:left="641" w:hanging="357"/>
      </w:pPr>
      <w:r w:rsidRPr="00F46944">
        <w:t>An antimicrobial for a non-subsidised indication or for travel</w:t>
      </w:r>
    </w:p>
    <w:p w14:paraId="184CD485" w14:textId="09AAEB3D" w:rsidR="00E751BB" w:rsidRDefault="00E751BB" w:rsidP="008367FF">
      <w:pPr>
        <w:pStyle w:val="ListParagraph"/>
        <w:numPr>
          <w:ilvl w:val="0"/>
          <w:numId w:val="7"/>
        </w:numPr>
        <w:spacing w:before="0" w:after="200"/>
        <w:ind w:left="641" w:hanging="357"/>
      </w:pPr>
      <w:r w:rsidRPr="00F46944">
        <w:t>A quantity that exceeds the PBS</w:t>
      </w:r>
      <w:r>
        <w:t xml:space="preserve"> and </w:t>
      </w:r>
      <w:r w:rsidRPr="00F46944">
        <w:t xml:space="preserve">RPBS </w:t>
      </w:r>
      <w:r w:rsidR="0014193B" w:rsidRPr="0014193B">
        <w:t xml:space="preserve">maximum </w:t>
      </w:r>
      <w:r w:rsidR="0014193B">
        <w:t xml:space="preserve">for </w:t>
      </w:r>
      <w:r w:rsidR="0014193B" w:rsidRPr="0014193B">
        <w:t xml:space="preserve">quantities </w:t>
      </w:r>
      <w:r w:rsidR="0014193B">
        <w:t xml:space="preserve">or </w:t>
      </w:r>
      <w:r w:rsidR="0014193B" w:rsidRPr="0014193B">
        <w:t>number of repeat</w:t>
      </w:r>
      <w:r w:rsidR="0014193B">
        <w:t>s</w:t>
      </w:r>
      <w:r w:rsidRPr="00F46944">
        <w:t>.</w:t>
      </w:r>
    </w:p>
    <w:p w14:paraId="49A35BBB" w14:textId="2C4A11AF" w:rsidR="00B81249" w:rsidRDefault="002A63EA" w:rsidP="008367FF">
      <w:r>
        <w:t>A</w:t>
      </w:r>
      <w:r w:rsidR="002B61A0">
        <w:t xml:space="preserve">ntimicrobials prescribed by </w:t>
      </w:r>
      <w:r w:rsidR="000B74E2">
        <w:t xml:space="preserve">other clinicians </w:t>
      </w:r>
      <w:r w:rsidR="003C3E9B" w:rsidRPr="00D56D4A">
        <w:t xml:space="preserve">are not captured in </w:t>
      </w:r>
      <w:r w:rsidR="003C3E9B">
        <w:t xml:space="preserve">the PBS and RPBS </w:t>
      </w:r>
      <w:r w:rsidR="003C3E9B" w:rsidRPr="00D56D4A">
        <w:t>dataset</w:t>
      </w:r>
      <w:r w:rsidR="003C3E9B">
        <w:t xml:space="preserve"> as they </w:t>
      </w:r>
      <w:r>
        <w:t xml:space="preserve">are </w:t>
      </w:r>
      <w:r w:rsidR="00B87B12">
        <w:t>supplied</w:t>
      </w:r>
      <w:r>
        <w:t xml:space="preserve"> privately</w:t>
      </w:r>
      <w:r w:rsidR="002B61A0">
        <w:t xml:space="preserve">. </w:t>
      </w:r>
      <w:r w:rsidR="00B87B12">
        <w:t>This includes p</w:t>
      </w:r>
      <w:r w:rsidR="00B81249">
        <w:t>harmacist prescribing initiatives</w:t>
      </w:r>
      <w:r w:rsidR="00B87B12">
        <w:t xml:space="preserve">, which are not </w:t>
      </w:r>
      <w:r w:rsidR="00B81249">
        <w:t xml:space="preserve">subsidised by the PBS and RPBS. Volumes of antimicrobial use for these programs are </w:t>
      </w:r>
      <w:r w:rsidR="009F4AEC">
        <w:t xml:space="preserve">currently </w:t>
      </w:r>
      <w:r w:rsidR="00B81249">
        <w:t>not reported.</w:t>
      </w:r>
    </w:p>
    <w:p w14:paraId="177E8F31" w14:textId="518992C1" w:rsidR="007D16BA" w:rsidRPr="00F46944" w:rsidRDefault="007D16BA" w:rsidP="008367FF">
      <w:r>
        <w:t xml:space="preserve">Antimicrobials available </w:t>
      </w:r>
      <w:r w:rsidR="005B54A2">
        <w:t xml:space="preserve">over-the-counter or </w:t>
      </w:r>
      <w:r>
        <w:t xml:space="preserve">without a prescription </w:t>
      </w:r>
      <w:r w:rsidR="00E73B23">
        <w:t xml:space="preserve">are also </w:t>
      </w:r>
      <w:r w:rsidR="005B54A2">
        <w:t>not captured by the PBS and RPBS</w:t>
      </w:r>
      <w:r w:rsidR="00D22B73">
        <w:t xml:space="preserve">, such as </w:t>
      </w:r>
      <w:r w:rsidR="0025568D" w:rsidRPr="004D37A3">
        <w:rPr>
          <w:rFonts w:cstheme="minorHAnsi"/>
        </w:rPr>
        <w:t>antifungal treatments for oral or vaginal thrush and skin infections</w:t>
      </w:r>
      <w:r w:rsidR="008A7167">
        <w:rPr>
          <w:rFonts w:cstheme="minorHAnsi"/>
        </w:rPr>
        <w:t xml:space="preserve">. </w:t>
      </w:r>
    </w:p>
    <w:p w14:paraId="263106DE" w14:textId="3A8D933A" w:rsidR="00297F88" w:rsidRDefault="00F9423C" w:rsidP="0003511C">
      <w:r w:rsidRPr="00916128">
        <w:t xml:space="preserve">For aged care analyses in this report, people aged 65 years and over are referred to as ‘older Australians’. It is important to note the diversity of this age group </w:t>
      </w:r>
      <w:r w:rsidR="00F01F51" w:rsidRPr="00916128">
        <w:t>and the difference in population size across settings</w:t>
      </w:r>
      <w:r w:rsidR="00F01F51" w:rsidRPr="008367FF">
        <w:t>. T</w:t>
      </w:r>
      <w:r w:rsidRPr="00916128">
        <w:t>he majority of those who reside in aged care homes are aged 85 years and over</w:t>
      </w:r>
      <w:r w:rsidR="00F01F51" w:rsidRPr="008367FF">
        <w:t>, while v</w:t>
      </w:r>
      <w:r w:rsidRPr="00916128">
        <w:t>ery few residents of aged care homes are aged less than 65 years. The healthcare needs of Australians across these settings are also likely to vary. Australians who reside in aged care homes may have higher-level care needs and be more likely to require treatment with antimicrobials compared with those who reside in the community.</w:t>
      </w:r>
    </w:p>
    <w:p w14:paraId="0381087E" w14:textId="6455FD5F" w:rsidR="00F9423C" w:rsidRDefault="00F9423C" w:rsidP="0003511C">
      <w:r>
        <w:t>Additionally</w:t>
      </w:r>
      <w:r w:rsidR="005A08E6">
        <w:t xml:space="preserve"> for residents of aged care homes</w:t>
      </w:r>
      <w:r>
        <w:t>, t</w:t>
      </w:r>
      <w:r w:rsidRPr="003437BA">
        <w:t xml:space="preserve">he limitation of using population estimates rather than bed days is that use, as measured by volume measures, may be under-estimated if there </w:t>
      </w:r>
      <w:r w:rsidRPr="003437BA">
        <w:lastRenderedPageBreak/>
        <w:t>were periods where an aged care home was not at capacity. Alternatively, use may be over-estimated, as measured by population rates, if there was significant turn-over of residents in the year. The lack of complete population capture also means all rates and proportions are estimate</w:t>
      </w:r>
      <w:r>
        <w:t>s</w:t>
      </w:r>
      <w:r w:rsidRPr="003437BA">
        <w:t>.</w:t>
      </w:r>
    </w:p>
    <w:p w14:paraId="5E2A5C91" w14:textId="06E1E235" w:rsidR="003F0308" w:rsidRDefault="003E1307" w:rsidP="0003511C">
      <w:r>
        <w:t xml:space="preserve">The capability to assess appropriateness of antimicrobial use in the PBS and RPBS dataset is limited. </w:t>
      </w:r>
      <w:r w:rsidR="004159DC">
        <w:t xml:space="preserve">The </w:t>
      </w:r>
      <w:r w:rsidR="00DC706D" w:rsidRPr="00F46944">
        <w:t>diagnosis or condition of the patient</w:t>
      </w:r>
      <w:r w:rsidR="004159DC">
        <w:t xml:space="preserve"> and </w:t>
      </w:r>
      <w:r w:rsidR="00DC706D" w:rsidRPr="00F46944">
        <w:t>the indication for prescription</w:t>
      </w:r>
      <w:r w:rsidR="004159DC">
        <w:t xml:space="preserve"> is not captured by the PBS and RPBS but </w:t>
      </w:r>
      <w:r w:rsidR="00C971D6">
        <w:t xml:space="preserve">may be inferred </w:t>
      </w:r>
      <w:r w:rsidR="004159DC">
        <w:t>with consideration to</w:t>
      </w:r>
      <w:r w:rsidR="006E0AC3" w:rsidRPr="006E0AC3">
        <w:t xml:space="preserve"> PBS and RPBS listings</w:t>
      </w:r>
      <w:r w:rsidR="004159DC">
        <w:t>, WHO ATC</w:t>
      </w:r>
      <w:r w:rsidR="004159DC" w:rsidRPr="006E0AC3">
        <w:t xml:space="preserve"> Classification</w:t>
      </w:r>
      <w:r w:rsidR="004159DC">
        <w:t>s and</w:t>
      </w:r>
      <w:r w:rsidR="000930B0">
        <w:t xml:space="preserve"> current evidence-based Australian therapeutic guidelines and resources on antimicrobial prescribing.</w:t>
      </w:r>
    </w:p>
    <w:p w14:paraId="4451A7C0" w14:textId="67F25E62" w:rsidR="006F339B" w:rsidRDefault="006F339B" w:rsidP="0003511C">
      <w:r>
        <w:t xml:space="preserve">The Commission has </w:t>
      </w:r>
      <w:r w:rsidR="001D0AA2">
        <w:t xml:space="preserve">previously </w:t>
      </w:r>
      <w:r w:rsidR="00073E5B">
        <w:t>analysed</w:t>
      </w:r>
      <w:r>
        <w:t xml:space="preserve"> </w:t>
      </w:r>
      <w:r w:rsidR="001D0AA2">
        <w:t xml:space="preserve">appropriateness of antimicrobial use in the community </w:t>
      </w:r>
      <w:r w:rsidR="00073E5B">
        <w:t xml:space="preserve">using data </w:t>
      </w:r>
      <w:r w:rsidR="002F6056">
        <w:t>captured by</w:t>
      </w:r>
      <w:r w:rsidR="00073E5B">
        <w:t xml:space="preserve"> the MedicineInsight program.</w:t>
      </w:r>
      <w:r w:rsidR="005C6B93">
        <w:fldChar w:fldCharType="begin">
          <w:fldData xml:space="preserve">PEVuZE5vdGU+PENpdGU+PEF1dGhvcj5BdXN0cmFsaWFuIENvbW1pc3Npb24gb24gU2FmZXR5IGFu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</w:fldData>
        </w:fldChar>
      </w:r>
      <w:r w:rsidR="00C43D56">
        <w:instrText xml:space="preserve"> ADDIN EN.CITE </w:instrText>
      </w:r>
      <w:r w:rsidR="00C43D56">
        <w:fldChar w:fldCharType="begin">
          <w:fldData xml:space="preserve">PEVuZE5vdGU+PENpdGU+PEF1dGhvcj5BdXN0cmFsaWFuIENvbW1pc3Npb24gb24gU2FmZXR5IGFu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</w:fldData>
        </w:fldChar>
      </w:r>
      <w:r w:rsidR="00C43D56">
        <w:instrText xml:space="preserve"> ADDIN EN.CITE.DATA </w:instrText>
      </w:r>
      <w:r w:rsidR="00C43D56">
        <w:fldChar w:fldCharType="end"/>
      </w:r>
      <w:r w:rsidR="005C6B93">
        <w:fldChar w:fldCharType="separate"/>
      </w:r>
      <w:r w:rsidR="00C43D56" w:rsidRPr="00C43D56">
        <w:rPr>
          <w:noProof/>
          <w:vertAlign w:val="superscript"/>
        </w:rPr>
        <w:t>12,15-18</w:t>
      </w:r>
      <w:r w:rsidR="005C6B93">
        <w:fldChar w:fldCharType="end"/>
      </w:r>
      <w:r w:rsidR="00073E5B">
        <w:t xml:space="preserve"> </w:t>
      </w:r>
      <w:r w:rsidR="00823382">
        <w:t xml:space="preserve">As </w:t>
      </w:r>
      <w:r w:rsidR="00823382" w:rsidRPr="00073E5B">
        <w:t>part of the 2022–23 Budget initiative that included the redesign of the Quality Use of Diagnostics, Therapeutics and Pathology Program</w:t>
      </w:r>
      <w:r w:rsidR="00823382">
        <w:t xml:space="preserve">, responsibility </w:t>
      </w:r>
      <w:r w:rsidR="00073E5B" w:rsidRPr="00073E5B">
        <w:t xml:space="preserve">for the operation of the MedicineInsight program was transferred to the Commission from 2023. The Commission </w:t>
      </w:r>
      <w:r w:rsidR="00F769D6">
        <w:t xml:space="preserve">continues to seek </w:t>
      </w:r>
      <w:r w:rsidR="00073E5B" w:rsidRPr="00073E5B">
        <w:t xml:space="preserve">contributor consent </w:t>
      </w:r>
      <w:r w:rsidR="002C5DE5">
        <w:t xml:space="preserve">and </w:t>
      </w:r>
      <w:r w:rsidR="001A2284">
        <w:t xml:space="preserve">undergo </w:t>
      </w:r>
      <w:r w:rsidR="002C5DE5">
        <w:t xml:space="preserve">data validation processes </w:t>
      </w:r>
      <w:r w:rsidR="00073E5B" w:rsidRPr="00073E5B">
        <w:t xml:space="preserve">for the continuation of the program. As a result, MedicineInsight data were not available for analysis and inclusion in </w:t>
      </w:r>
      <w:r w:rsidR="002558C7">
        <w:t>this report</w:t>
      </w:r>
      <w:r w:rsidR="00073E5B" w:rsidRPr="00073E5B">
        <w:t>.</w:t>
      </w:r>
    </w:p>
    <w:p w14:paraId="47438899" w14:textId="60B66CC5" w:rsidR="00E751BB" w:rsidRDefault="00E751BB" w:rsidP="0003511C">
      <w:r w:rsidRPr="00F46944">
        <w:t>Further information on the PBS</w:t>
      </w:r>
      <w:r>
        <w:t xml:space="preserve"> and </w:t>
      </w:r>
      <w:r w:rsidRPr="00F46944">
        <w:t>RPBS can be found on the PBS website.</w:t>
      </w:r>
      <w:r>
        <w:fldChar w:fldCharType="begin"/>
      </w:r>
      <w:r w:rsidR="005C6B93">
        <w:instrText xml:space="preserve"> ADDIN EN.CITE &lt;EndNote&gt;&lt;Cite&gt;&lt;Author&gt;Australian Government Department of Health and Aged Care&lt;/Author&gt;&lt;Year&gt;2024&lt;/Year&gt;&lt;RecNum&gt;74&lt;/RecNum&gt;&lt;DisplayText&gt;&lt;style face="superscript"&gt;65&lt;/style&gt;&lt;/DisplayText&gt;&lt;record&gt;&lt;rec-number&gt;74&lt;/rec-number&gt;&lt;foreign-keys&gt;&lt;key app="EN" db-id="0a9sasvr7dwawyeva9qpw09xaap9erv5ad5e" timestamp="1704770997"&gt;74&lt;/key&gt;&lt;/foreign-keys&gt;&lt;ref-type name="Web Page"&gt;12&lt;/ref-type&gt;&lt;contributors&gt;&lt;authors&gt;&lt;author&gt;Australian Government Department of Health and Aged Care,&lt;/author&gt;&lt;/authors&gt;&lt;/contributors&gt;&lt;titles&gt;&lt;title&gt;Pharmaceutical Benefits Scheme (PBS)&lt;/title&gt;&lt;/titles&gt;&lt;number&gt;Jan 2024&lt;/number&gt;&lt;dates&gt;&lt;year&gt;2024&lt;/year&gt;&lt;/dates&gt;&lt;pub-location&gt;Canberra&lt;/pub-location&gt;&lt;publisher&gt;Department of Health and Aged Care&lt;/publisher&gt;&lt;work-type&gt;Internet&lt;/work-type&gt;&lt;urls&gt;&lt;related-urls&gt;&lt;url&gt;&lt;style face="underline" font="default" size="100%"&gt;http://www.pbs.gov.au/pbs/home&lt;/style&gt;&lt;/url&gt;&lt;/related-urls&gt;&lt;/urls&gt;&lt;/record&gt;&lt;/Cite&gt;&lt;/EndNote&gt;</w:instrText>
      </w:r>
      <w:r>
        <w:fldChar w:fldCharType="separate"/>
      </w:r>
      <w:r w:rsidR="005C6B93" w:rsidRPr="005C6B93">
        <w:rPr>
          <w:noProof/>
          <w:vertAlign w:val="superscript"/>
        </w:rPr>
        <w:t>65</w:t>
      </w:r>
      <w:r>
        <w:fldChar w:fldCharType="end"/>
      </w:r>
      <w:r w:rsidRPr="00F46944">
        <w:rPr>
          <w:rStyle w:val="CommentReference"/>
          <w:rFonts w:ascii="Times New Roman" w:eastAsiaTheme="minorEastAsia" w:hAnsi="Times New Roman"/>
          <w:color w:val="000000"/>
        </w:rPr>
        <w:t xml:space="preserve"> </w:t>
      </w:r>
      <w:r w:rsidRPr="00F46944">
        <w:t>A more accurate estimate of the proportion of dispensing through the PBS</w:t>
      </w:r>
      <w:r>
        <w:t xml:space="preserve"> and </w:t>
      </w:r>
      <w:r w:rsidRPr="00F46944">
        <w:t>RPBS will provide a more complete picture of dispensing in Australia</w:t>
      </w:r>
      <w:r w:rsidR="001D58BB">
        <w:t>.</w:t>
      </w:r>
    </w:p>
    <w:p w14:paraId="41C03E2A" w14:textId="42344004" w:rsidR="00E81DF0" w:rsidRDefault="00E81DF0">
      <w:pPr>
        <w:spacing w:before="0" w:after="80"/>
      </w:pPr>
      <w:r>
        <w:br w:type="page"/>
      </w:r>
    </w:p>
    <w:p w14:paraId="69EE4392" w14:textId="6BE3FB9F" w:rsidR="00344AF7" w:rsidRPr="00DB1EE0" w:rsidRDefault="00344AF7" w:rsidP="00E72DE4">
      <w:pPr>
        <w:pStyle w:val="Heading1"/>
        <w:rPr>
          <w:color w:val="005370"/>
        </w:rPr>
      </w:pPr>
      <w:bookmarkStart w:id="70" w:name="_Toc173763627"/>
      <w:bookmarkEnd w:id="59"/>
      <w:r w:rsidRPr="00DB1EE0">
        <w:rPr>
          <w:color w:val="005370"/>
        </w:rPr>
        <w:lastRenderedPageBreak/>
        <w:t xml:space="preserve">Appendix </w:t>
      </w:r>
      <w:r w:rsidR="0043350E" w:rsidRPr="00DB1EE0">
        <w:rPr>
          <w:color w:val="005370"/>
        </w:rPr>
        <w:t>2</w:t>
      </w:r>
      <w:r w:rsidRPr="00DB1EE0">
        <w:rPr>
          <w:color w:val="005370"/>
        </w:rPr>
        <w:t>: Further analyses by local area</w:t>
      </w:r>
      <w:bookmarkEnd w:id="70"/>
    </w:p>
    <w:p w14:paraId="375CAE14" w14:textId="534CB909" w:rsidR="00344AF7" w:rsidRPr="00344AF7" w:rsidRDefault="00344AF7" w:rsidP="00344AF7">
      <w:r>
        <w:t>Further analyses of a</w:t>
      </w:r>
      <w:r w:rsidRPr="00344AF7">
        <w:t xml:space="preserve">ntimicrobials supplied under the </w:t>
      </w:r>
      <w:r>
        <w:t>Pharmaceutical Benefits Scheme (</w:t>
      </w:r>
      <w:r w:rsidRPr="00344AF7">
        <w:t>PBS</w:t>
      </w:r>
      <w:r>
        <w:t xml:space="preserve">) </w:t>
      </w:r>
      <w:r w:rsidRPr="00344AF7">
        <w:t xml:space="preserve">and </w:t>
      </w:r>
      <w:r>
        <w:t>Repatriation Pharmaceutical Benefits Scheme (</w:t>
      </w:r>
      <w:r w:rsidRPr="00344AF7">
        <w:t>RPBS</w:t>
      </w:r>
      <w:r>
        <w:t>)</w:t>
      </w:r>
      <w:r w:rsidRPr="00344AF7">
        <w:t xml:space="preserve"> by </w:t>
      </w:r>
      <w:r>
        <w:t>Statistical Area Level 3 (</w:t>
      </w:r>
      <w:r w:rsidRPr="00344AF7">
        <w:t>SA3</w:t>
      </w:r>
      <w:r>
        <w:t xml:space="preserve">) and </w:t>
      </w:r>
      <w:r w:rsidR="00006387">
        <w:rPr>
          <w:rFonts w:cstheme="minorHAnsi"/>
        </w:rPr>
        <w:t xml:space="preserve">Primary Health Network (PHN) </w:t>
      </w:r>
      <w:r w:rsidRPr="00344AF7">
        <w:t>are included in th</w:t>
      </w:r>
      <w:r w:rsidR="00757218">
        <w:t>is</w:t>
      </w:r>
      <w:r>
        <w:t xml:space="preserve"> </w:t>
      </w:r>
      <w:r w:rsidRPr="00344AF7">
        <w:t xml:space="preserve">Appendix. These data can be used by health services, </w:t>
      </w:r>
      <w:r w:rsidR="00006387">
        <w:t>PHNs</w:t>
      </w:r>
      <w:r w:rsidRPr="00344AF7">
        <w:t>, general practitioners and other clinicians to review antimicrobial use in their local area and compare to other areas.</w:t>
      </w:r>
    </w:p>
    <w:p w14:paraId="798F03DD" w14:textId="31EE08AA" w:rsidR="00344AF7" w:rsidRPr="00986B8D" w:rsidRDefault="00344AF7" w:rsidP="00344AF7">
      <w:r w:rsidRPr="00986B8D">
        <w:t xml:space="preserve">Appendix </w:t>
      </w:r>
      <w:r w:rsidR="00F76F55">
        <w:t xml:space="preserve">2 </w:t>
      </w:r>
      <w:r w:rsidRPr="00986B8D">
        <w:t>is provided as a separate file</w:t>
      </w:r>
      <w:r w:rsidR="00CE6EA2">
        <w:t xml:space="preserve"> on the Commission’s </w:t>
      </w:r>
      <w:hyperlink r:id="rId58" w:history="1">
        <w:r w:rsidR="00CE6EA2" w:rsidRPr="00DE75C2">
          <w:rPr>
            <w:rStyle w:val="Hyperlink"/>
            <w:color w:val="005370"/>
          </w:rPr>
          <w:t>website</w:t>
        </w:r>
      </w:hyperlink>
      <w:r w:rsidRPr="00986B8D">
        <w:t>:</w:t>
      </w:r>
    </w:p>
    <w:p w14:paraId="4D5993FA" w14:textId="581D11F5" w:rsidR="00986B8D" w:rsidRDefault="00986B8D" w:rsidP="00E9572F">
      <w:pPr>
        <w:pStyle w:val="ListParagraph"/>
        <w:numPr>
          <w:ilvl w:val="0"/>
          <w:numId w:val="13"/>
        </w:numPr>
        <w:spacing w:before="0"/>
        <w:ind w:left="714" w:hanging="357"/>
        <w:contextualSpacing w:val="0"/>
      </w:pPr>
      <w:r w:rsidRPr="00986B8D">
        <w:t>Table A2.1: Number of PBS and RPBS antimicrobial prescriptions dispensed per 1,000</w:t>
      </w:r>
      <w:r w:rsidR="001C6D42">
        <w:t> </w:t>
      </w:r>
      <w:r w:rsidRPr="00986B8D">
        <w:t>people, age-standardised rate by patient's SA3, 2015–2023</w:t>
      </w:r>
    </w:p>
    <w:p w14:paraId="6C492A95" w14:textId="2ADF79CA" w:rsidR="00986B8D" w:rsidRDefault="00986B8D" w:rsidP="00E9572F">
      <w:pPr>
        <w:pStyle w:val="ListParagraph"/>
        <w:numPr>
          <w:ilvl w:val="0"/>
          <w:numId w:val="13"/>
        </w:numPr>
        <w:spacing w:before="0"/>
        <w:ind w:left="714" w:hanging="357"/>
        <w:contextualSpacing w:val="0"/>
      </w:pPr>
      <w:r w:rsidRPr="00986B8D">
        <w:t>Table A2.2: Number of PBS and RPBS antimicrobial prescriptions dispensed per 1,000</w:t>
      </w:r>
      <w:r w:rsidR="001C6D42">
        <w:t> </w:t>
      </w:r>
      <w:r w:rsidRPr="00986B8D">
        <w:t>people, by patient's age and SA3, 2023</w:t>
      </w:r>
    </w:p>
    <w:p w14:paraId="02A52BE8" w14:textId="1E2D63C3" w:rsidR="00986B8D" w:rsidRDefault="00986B8D" w:rsidP="00E9572F">
      <w:pPr>
        <w:pStyle w:val="ListParagraph"/>
        <w:numPr>
          <w:ilvl w:val="0"/>
          <w:numId w:val="13"/>
        </w:numPr>
        <w:spacing w:before="0"/>
        <w:ind w:left="714" w:hanging="357"/>
        <w:contextualSpacing w:val="0"/>
      </w:pPr>
      <w:r w:rsidRPr="00986B8D">
        <w:t>Table A2.3: Percentage of original antimicrobial prescriptions with maximum repeats ordered for the most commonly used antimicrobials as a proportion of all original antimicrobial prescriptions for the given antimicrobial ordered, by prescriber's SA3, 2023</w:t>
      </w:r>
    </w:p>
    <w:p w14:paraId="45F54AFD" w14:textId="4A6CFFAD" w:rsidR="00986B8D" w:rsidRDefault="00986B8D" w:rsidP="00E9572F">
      <w:pPr>
        <w:pStyle w:val="ListParagraph"/>
        <w:numPr>
          <w:ilvl w:val="0"/>
          <w:numId w:val="13"/>
        </w:numPr>
        <w:spacing w:before="0"/>
        <w:ind w:left="714" w:hanging="357"/>
        <w:contextualSpacing w:val="0"/>
      </w:pPr>
      <w:r w:rsidRPr="00986B8D">
        <w:t>Table A2.4: Number of PBS and RPBS antimicrobial prescriptions dispensed per 100,000</w:t>
      </w:r>
      <w:r w:rsidR="001C6D42">
        <w:t> </w:t>
      </w:r>
      <w:r w:rsidRPr="00986B8D">
        <w:t>people in winter (June–August), age-standardised rate by prescriber's SA3, 2023</w:t>
      </w:r>
    </w:p>
    <w:p w14:paraId="450832B2" w14:textId="626157A4" w:rsidR="00986B8D" w:rsidRDefault="00986B8D" w:rsidP="00E9572F">
      <w:pPr>
        <w:pStyle w:val="ListParagraph"/>
        <w:numPr>
          <w:ilvl w:val="0"/>
          <w:numId w:val="13"/>
        </w:numPr>
        <w:spacing w:before="0"/>
        <w:ind w:left="714" w:hanging="357"/>
        <w:contextualSpacing w:val="0"/>
      </w:pPr>
      <w:r w:rsidRPr="00986B8D">
        <w:t>Table A2.5: Number of PBS and RPBS antimicrobial prescriptions dispensed per 1,000</w:t>
      </w:r>
      <w:r w:rsidR="001C6D42">
        <w:t> </w:t>
      </w:r>
      <w:r w:rsidRPr="00986B8D">
        <w:t>people, age-standardised rate by patient's PHN, 2019–2023</w:t>
      </w:r>
    </w:p>
    <w:p w14:paraId="42FE74E2" w14:textId="0F6B4A6B" w:rsidR="00986B8D" w:rsidRDefault="00986B8D" w:rsidP="00E9572F">
      <w:pPr>
        <w:pStyle w:val="ListParagraph"/>
        <w:numPr>
          <w:ilvl w:val="0"/>
          <w:numId w:val="13"/>
        </w:numPr>
        <w:spacing w:before="0"/>
        <w:ind w:left="714" w:hanging="357"/>
        <w:contextualSpacing w:val="0"/>
      </w:pPr>
      <w:r w:rsidRPr="00986B8D">
        <w:t>Table A2.6: Number of PBS and RPBS antimicrobial prescriptions dispensed per 1,000</w:t>
      </w:r>
      <w:r w:rsidR="001C6D42">
        <w:t> </w:t>
      </w:r>
      <w:r w:rsidRPr="00986B8D">
        <w:t>people, by patient's age and PHN, 2023</w:t>
      </w:r>
    </w:p>
    <w:p w14:paraId="3668CDD4" w14:textId="188D163E" w:rsidR="00986B8D" w:rsidRDefault="00986B8D" w:rsidP="00E9572F">
      <w:pPr>
        <w:pStyle w:val="ListParagraph"/>
        <w:numPr>
          <w:ilvl w:val="0"/>
          <w:numId w:val="13"/>
        </w:numPr>
        <w:spacing w:before="0"/>
        <w:ind w:left="714" w:hanging="357"/>
        <w:contextualSpacing w:val="0"/>
      </w:pPr>
      <w:r w:rsidRPr="00986B8D">
        <w:t>Table A2.7: Percent</w:t>
      </w:r>
      <w:r w:rsidR="000127BF">
        <w:t>age</w:t>
      </w:r>
      <w:r w:rsidRPr="00986B8D">
        <w:t xml:space="preserve"> of original antimicrobial prescriptions with maximum repeats ordered for the most commonly used antimicrobials as a proportion of all original antimicrobial prescriptions for the given antimicrobial ordered, by prescriber's PHN, 2023</w:t>
      </w:r>
    </w:p>
    <w:p w14:paraId="1F124999" w14:textId="0F8ED01D" w:rsidR="009A28FD" w:rsidRDefault="00986B8D" w:rsidP="00AF39B6">
      <w:pPr>
        <w:pStyle w:val="ListParagraph"/>
        <w:numPr>
          <w:ilvl w:val="0"/>
          <w:numId w:val="12"/>
        </w:numPr>
        <w:spacing w:before="0" w:after="80"/>
        <w:contextualSpacing w:val="0"/>
      </w:pPr>
      <w:r w:rsidRPr="00986B8D">
        <w:t>Table A2.8: Number of PBS and RPBS antimicrobial prescriptions dispensed per 100,000</w:t>
      </w:r>
      <w:r w:rsidR="001C6D42">
        <w:t> </w:t>
      </w:r>
      <w:r w:rsidRPr="00986B8D">
        <w:t>people in winter (June–August), age-standardised rate by prescriber's PHN, 2023</w:t>
      </w:r>
      <w:r w:rsidR="004279D2">
        <w:t>.</w:t>
      </w:r>
    </w:p>
    <w:p w14:paraId="224E43C3" w14:textId="0E29B3B1" w:rsidR="00FB77A7" w:rsidRDefault="00FB77A7">
      <w:pPr>
        <w:spacing w:before="0" w:after="80"/>
      </w:pPr>
      <w:r>
        <w:br w:type="page"/>
      </w:r>
    </w:p>
    <w:p w14:paraId="70DF3AA1" w14:textId="77777777" w:rsidR="009A28FD" w:rsidRDefault="009A28FD" w:rsidP="009A28FD">
      <w:pPr>
        <w:spacing w:before="0" w:after="80"/>
      </w:pPr>
    </w:p>
    <w:p w14:paraId="3C0CF33E" w14:textId="4FD33F55" w:rsidR="00FB77A7" w:rsidRDefault="00FB77A7" w:rsidP="007C72D8">
      <w:pPr>
        <w:spacing w:before="0" w:after="80"/>
        <w:jc w:val="center"/>
      </w:pPr>
      <w:r w:rsidRPr="00FE624C">
        <w:t>This page was left intentionally blank</w:t>
      </w:r>
    </w:p>
    <w:p w14:paraId="0C858AAF" w14:textId="273B4437" w:rsidR="009A28FD" w:rsidRPr="00FB69FD" w:rsidRDefault="009A28FD" w:rsidP="009A28FD">
      <w:pPr>
        <w:spacing w:before="0" w:after="80"/>
        <w:sectPr w:rsidR="009A28FD" w:rsidRPr="00FB69FD" w:rsidSect="001C0F51">
          <w:headerReference w:type="even" r:id="rId59"/>
          <w:headerReference w:type="default" r:id="rId60"/>
          <w:footerReference w:type="even" r:id="rId61"/>
          <w:footerReference w:type="default" r:id="rId62"/>
          <w:headerReference w:type="first" r:id="rId63"/>
          <w:footerReference w:type="first" r:id="rId64"/>
          <w:pgSz w:w="11906" w:h="16838"/>
          <w:pgMar w:top="1418" w:right="1134" w:bottom="1418" w:left="1134" w:header="709" w:footer="709" w:gutter="0"/>
          <w:cols w:space="708"/>
          <w:docGrid w:linePitch="360"/>
        </w:sectPr>
      </w:pPr>
    </w:p>
    <w:p w14:paraId="2451F55B" w14:textId="47FBB15F" w:rsidR="007D0516" w:rsidRDefault="009577B5" w:rsidP="007D0516">
      <w:pPr>
        <w:rPr>
          <w:highlight w:val="green"/>
        </w:rPr>
      </w:pPr>
      <w:r>
        <w:rPr>
          <w:rFonts w:cs="Arial"/>
          <w:noProof/>
        </w:rPr>
        <w:lastRenderedPageBreak/>
        <w:drawing>
          <wp:anchor distT="0" distB="0" distL="114300" distR="114300" simplePos="0" relativeHeight="251790336" behindDoc="1" locked="0" layoutInCell="1" allowOverlap="1" wp14:anchorId="1FF507CD" wp14:editId="5F9FB86F">
            <wp:simplePos x="0" y="0"/>
            <wp:positionH relativeFrom="margin">
              <wp:align>center</wp:align>
            </wp:positionH>
            <wp:positionV relativeFrom="paragraph">
              <wp:posOffset>-1096645</wp:posOffset>
            </wp:positionV>
            <wp:extent cx="7620635" cy="9004935"/>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65" cstate="print">
                      <a:duotone>
                        <a:schemeClr val="accent5">
                          <a:shade val="45000"/>
                          <a:satMod val="135000"/>
                        </a:schemeClr>
                        <a:prstClr val="white"/>
                      </a:duotone>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b="16394"/>
                    <a:stretch/>
                  </pic:blipFill>
                  <pic:spPr bwMode="auto">
                    <a:xfrm rot="10800000" flipH="1">
                      <a:off x="0" y="0"/>
                      <a:ext cx="7620635" cy="90049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D4D52" w14:textId="4CE7FA6F" w:rsidR="007D0516" w:rsidRDefault="007D0516" w:rsidP="007D0516">
      <w:pPr>
        <w:rPr>
          <w:highlight w:val="green"/>
        </w:rPr>
      </w:pPr>
    </w:p>
    <w:p w14:paraId="2FA7E281" w14:textId="388A234E" w:rsidR="007D0516" w:rsidRDefault="007D0516" w:rsidP="00A12B60"/>
    <w:p w14:paraId="34F2BA1D" w14:textId="523DD137" w:rsidR="007D0516" w:rsidRDefault="007D0516" w:rsidP="00A12B60"/>
    <w:p w14:paraId="12864F64" w14:textId="248EE534" w:rsidR="00C2051F" w:rsidRDefault="00C2051F" w:rsidP="00A12B60"/>
    <w:p w14:paraId="20386100" w14:textId="0311A8A7" w:rsidR="00C2051F" w:rsidRDefault="00C2051F" w:rsidP="00A12B60"/>
    <w:p w14:paraId="0D6BC42B" w14:textId="0225D454" w:rsidR="00C2051F" w:rsidRDefault="00C2051F" w:rsidP="00A12B60"/>
    <w:p w14:paraId="71E0FBB0" w14:textId="1A859B81" w:rsidR="00C2051F" w:rsidRDefault="00C2051F" w:rsidP="00A12B60"/>
    <w:p w14:paraId="65862B09" w14:textId="6C6A6042" w:rsidR="00C2051F" w:rsidRDefault="00C2051F" w:rsidP="00A12B60"/>
    <w:p w14:paraId="1E06B4C9" w14:textId="5660A760" w:rsidR="00C2051F" w:rsidRDefault="00C2051F" w:rsidP="00A12B60"/>
    <w:p w14:paraId="29239F3D" w14:textId="64E47A33" w:rsidR="00C2051F" w:rsidRDefault="00C2051F" w:rsidP="00A12B60"/>
    <w:p w14:paraId="055F7A15" w14:textId="38B5ED38" w:rsidR="007D0516" w:rsidRDefault="007D0516" w:rsidP="00A12B60"/>
    <w:p w14:paraId="05D213D2" w14:textId="5199BD35" w:rsidR="007D0516" w:rsidRDefault="007D0516" w:rsidP="00A12B60"/>
    <w:p w14:paraId="5E5C28B6" w14:textId="36A2EEDB" w:rsidR="007D0516" w:rsidRDefault="007D0516" w:rsidP="00A12B60"/>
    <w:p w14:paraId="401D505F" w14:textId="7F559590" w:rsidR="00C2051F" w:rsidRDefault="00C2051F" w:rsidP="00A12B60"/>
    <w:p w14:paraId="02AAAA42" w14:textId="1C40D76E" w:rsidR="007D0516" w:rsidRDefault="007D0516" w:rsidP="00A12B60"/>
    <w:p w14:paraId="7E954689" w14:textId="130A38BB" w:rsidR="00C2051F" w:rsidRDefault="00C2051F" w:rsidP="00A12B60"/>
    <w:p w14:paraId="0A2F27F7" w14:textId="4E1CF3E4" w:rsidR="00C2051F" w:rsidRDefault="00C2051F" w:rsidP="00A12B60"/>
    <w:p w14:paraId="47C53E68" w14:textId="74F7E7AE" w:rsidR="00C2051F" w:rsidRDefault="00C2051F" w:rsidP="00A12B60"/>
    <w:p w14:paraId="657FFE7C" w14:textId="7A52DA0C" w:rsidR="00C2051F" w:rsidRDefault="00C2051F" w:rsidP="00A12B60"/>
    <w:p w14:paraId="5783F9FD" w14:textId="77777777" w:rsidR="00C2051F" w:rsidRDefault="00C2051F" w:rsidP="00A12B60"/>
    <w:p w14:paraId="761D79BC" w14:textId="150738CB" w:rsidR="007D0516" w:rsidRDefault="007D0516" w:rsidP="00A12B60"/>
    <w:p w14:paraId="511A6E74" w14:textId="7E0C4682" w:rsidR="00C2051F" w:rsidRDefault="00C2051F" w:rsidP="00A12B60"/>
    <w:p w14:paraId="37F9D86C" w14:textId="06F06FFE" w:rsidR="00C2051F" w:rsidRDefault="00C2051F" w:rsidP="00A12B60"/>
    <w:p w14:paraId="5105250F" w14:textId="4D6B9CB8" w:rsidR="00C2051F" w:rsidRDefault="00C2051F" w:rsidP="00A12B60"/>
    <w:p w14:paraId="34682ABE" w14:textId="77777777" w:rsidR="00C2051F" w:rsidRDefault="00C2051F" w:rsidP="00A12B60"/>
    <w:p w14:paraId="3ACE20F9" w14:textId="11C170F5" w:rsidR="00C2051F" w:rsidRDefault="00C2051F" w:rsidP="00A12B60"/>
    <w:p w14:paraId="32152F57" w14:textId="5137A63C" w:rsidR="00C2051F" w:rsidRDefault="00C2051F" w:rsidP="00A12B60"/>
    <w:p w14:paraId="51A64F6E" w14:textId="4EE070FB" w:rsidR="00C2051F" w:rsidRDefault="00C2051F" w:rsidP="00A12B60">
      <w:r w:rsidRPr="007D0516">
        <w:rPr>
          <w:noProof/>
        </w:rPr>
        <w:drawing>
          <wp:inline distT="0" distB="0" distL="0" distR="0" wp14:anchorId="135B33D7" wp14:editId="2CE06CBD">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77EE13C" w14:textId="71C5F073" w:rsidR="00A12B60" w:rsidRPr="00B70655" w:rsidRDefault="00A12B60" w:rsidP="00A12B60">
      <w:r w:rsidRPr="00B70655">
        <w:t>Level 5, 255 Elizabeth Street, Sydney NSW 2000</w:t>
      </w:r>
      <w:r w:rsidRPr="00B70655">
        <w:br/>
        <w:t>GPO Box 5480, Sydney NSW 2001</w:t>
      </w:r>
    </w:p>
    <w:p w14:paraId="199381AF" w14:textId="57CE3163" w:rsidR="00A12B60" w:rsidRPr="00B70655" w:rsidRDefault="00A12B60" w:rsidP="00A12B60">
      <w:r w:rsidRPr="00B70655">
        <w:t>Phone: (02) 9126 3600</w:t>
      </w:r>
    </w:p>
    <w:p w14:paraId="4AE2C39B" w14:textId="597BCC4A" w:rsidR="00465AB0" w:rsidRDefault="00A12B60" w:rsidP="009374DD">
      <w:pPr>
        <w:rPr>
          <w:rStyle w:val="Hyperlink"/>
        </w:rPr>
      </w:pPr>
      <w:r w:rsidRPr="00B70655">
        <w:t xml:space="preserve">Email: </w:t>
      </w:r>
      <w:hyperlink r:id="rId68" w:history="1">
        <w:r w:rsidRPr="00196EAD">
          <w:rPr>
            <w:rStyle w:val="Hyperlink"/>
            <w:color w:val="005370"/>
          </w:rPr>
          <w:t>mail@safet</w:t>
        </w:r>
        <w:r w:rsidRPr="009727F9">
          <w:rPr>
            <w:rStyle w:val="Hyperlink"/>
            <w:color w:val="005370"/>
          </w:rPr>
          <w:t>yan</w:t>
        </w:r>
        <w:r w:rsidRPr="00196EAD">
          <w:rPr>
            <w:rStyle w:val="Hyperlink"/>
            <w:color w:val="005370"/>
          </w:rPr>
          <w:t>dquality.gov.au</w:t>
        </w:r>
      </w:hyperlink>
      <w:r w:rsidRPr="00196EAD">
        <w:rPr>
          <w:color w:val="005370"/>
        </w:rPr>
        <w:t xml:space="preserve"> </w:t>
      </w:r>
      <w:r w:rsidRPr="00B70655">
        <w:br/>
        <w:t>Website:</w:t>
      </w:r>
      <w:r w:rsidRPr="00196EAD">
        <w:rPr>
          <w:color w:val="005370"/>
        </w:rPr>
        <w:t xml:space="preserve"> </w:t>
      </w:r>
      <w:hyperlink r:id="rId69" w:history="1">
        <w:r w:rsidRPr="00196EAD">
          <w:rPr>
            <w:rStyle w:val="Hyperlink"/>
            <w:color w:val="005370"/>
          </w:rPr>
          <w:t>www.safetyandquality.gov.au</w:t>
        </w:r>
      </w:hyperlink>
    </w:p>
    <w:p w14:paraId="22053BF9" w14:textId="74A13F88" w:rsidR="00AD22CE" w:rsidRPr="00A869AB" w:rsidRDefault="00AD22CE" w:rsidP="009374DD">
      <w:pPr>
        <w:rPr>
          <w:rFonts w:cstheme="minorHAnsi"/>
        </w:rPr>
      </w:pPr>
    </w:p>
    <w:sectPr w:rsidR="00AD22CE" w:rsidRPr="00A869AB" w:rsidSect="0053231E">
      <w:footerReference w:type="default" r:id="rId70"/>
      <w:headerReference w:type="first" r:id="rId71"/>
      <w:footerReference w:type="first" r:id="rId72"/>
      <w:footnotePr>
        <w:numFmt w:val="chicago"/>
      </w:footnotePr>
      <w:pgSz w:w="11900" w:h="16840"/>
      <w:pgMar w:top="17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5B9D" w14:textId="77777777" w:rsidR="00E10839" w:rsidRDefault="00E10839" w:rsidP="000B0274">
      <w:r>
        <w:separator/>
      </w:r>
    </w:p>
    <w:p w14:paraId="51996B74" w14:textId="77777777" w:rsidR="00E10839" w:rsidRDefault="00E10839"/>
    <w:p w14:paraId="05BC1DAE" w14:textId="77777777" w:rsidR="00E10839" w:rsidRDefault="00E10839"/>
    <w:p w14:paraId="1CCB5C34" w14:textId="77777777" w:rsidR="00E10839" w:rsidRDefault="00E10839"/>
    <w:p w14:paraId="409CEF03" w14:textId="77777777" w:rsidR="00E10839" w:rsidRDefault="00E10839"/>
  </w:endnote>
  <w:endnote w:type="continuationSeparator" w:id="0">
    <w:p w14:paraId="513F9BE6" w14:textId="77777777" w:rsidR="00E10839" w:rsidRDefault="00E10839" w:rsidP="000B0274">
      <w:r>
        <w:continuationSeparator/>
      </w:r>
    </w:p>
    <w:p w14:paraId="104CAC03" w14:textId="77777777" w:rsidR="00E10839" w:rsidRDefault="00E10839"/>
    <w:p w14:paraId="686FA051" w14:textId="77777777" w:rsidR="00E10839" w:rsidRDefault="00E10839"/>
    <w:p w14:paraId="1D662A3B" w14:textId="77777777" w:rsidR="00E10839" w:rsidRDefault="00E10839"/>
    <w:p w14:paraId="736ED500" w14:textId="77777777" w:rsidR="00E10839" w:rsidRDefault="00E10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altName w:val="Calibri"/>
    <w:panose1 w:val="00000000000000000000"/>
    <w:charset w:val="00"/>
    <w:family w:val="auto"/>
    <w:notTrueType/>
    <w:pitch w:val="variable"/>
    <w:sig w:usb0="00000003" w:usb1="00000000" w:usb2="00000000" w:usb3="00000000" w:csb0="0000000B" w:csb1="00000000"/>
  </w:font>
  <w:font w:name="Lucida Grande">
    <w:altName w:val="Arial"/>
    <w:charset w:val="00"/>
    <w:family w:val="swiss"/>
    <w:pitch w:val="variable"/>
    <w:sig w:usb0="E1000AEF" w:usb1="5000A1FF" w:usb2="00000000" w:usb3="00000000" w:csb0="000001BF" w:csb1="00000000"/>
  </w:font>
  <w:font w:name="Adobe Devanagari">
    <w:panose1 w:val="02040503050201020203"/>
    <w:charset w:val="00"/>
    <w:family w:val="roman"/>
    <w:notTrueType/>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80F2" w14:textId="77777777" w:rsidR="00295887" w:rsidRDefault="00295887" w:rsidP="00D84622">
    <w:pPr>
      <w:pStyle w:val="Footer"/>
    </w:pPr>
  </w:p>
  <w:p w14:paraId="6967BB7F" w14:textId="77777777" w:rsidR="00295887" w:rsidRDefault="00295887"/>
  <w:p w14:paraId="4B90F371" w14:textId="77777777" w:rsidR="00295887" w:rsidRDefault="00295887"/>
  <w:p w14:paraId="12D81D01"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308B" w14:textId="77777777" w:rsidR="00A12B60" w:rsidRDefault="00A12B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396F" w14:textId="371B1D59" w:rsidR="00A12B60" w:rsidRDefault="0021143D">
    <w:pPr>
      <w:pStyle w:val="Footer"/>
    </w:pPr>
    <w:r w:rsidRPr="009A013D">
      <w:rPr>
        <w:rFonts w:asciiTheme="majorHAnsi" w:hAnsiTheme="majorHAnsi" w:cstheme="majorHAnsi"/>
      </w:rPr>
      <w:t>Antimicrobial use in the community</w:t>
    </w:r>
    <w:r>
      <w:rPr>
        <w:rFonts w:asciiTheme="majorHAnsi" w:hAnsiTheme="majorHAnsi" w:cstheme="majorHAnsi"/>
      </w:rPr>
      <w:t xml:space="preserve">: </w:t>
    </w:r>
    <w:r w:rsidRPr="009A013D">
      <w:rPr>
        <w:rFonts w:asciiTheme="majorHAnsi" w:hAnsiTheme="majorHAnsi" w:cstheme="majorHAnsi"/>
      </w:rPr>
      <w:t>20</w:t>
    </w:r>
    <w:r>
      <w:rPr>
        <w:rFonts w:asciiTheme="majorHAnsi" w:hAnsiTheme="majorHAnsi" w:cstheme="majorHAnsi"/>
      </w:rPr>
      <w:t>23</w:t>
    </w:r>
    <w:r w:rsidR="00A12B60" w:rsidRPr="00D84622">
      <w:tab/>
    </w:r>
    <w:r w:rsidR="00A12B60" w:rsidRPr="00D84622">
      <w:fldChar w:fldCharType="begin"/>
    </w:r>
    <w:r w:rsidR="00A12B60" w:rsidRPr="00D84622">
      <w:instrText xml:space="preserve"> PAGE   \* MERGEFORMAT </w:instrText>
    </w:r>
    <w:r w:rsidR="00A12B60" w:rsidRPr="00D84622">
      <w:fldChar w:fldCharType="separate"/>
    </w:r>
    <w:r w:rsidR="00A12B60" w:rsidRPr="00D84622">
      <w:t>4</w:t>
    </w:r>
    <w:r w:rsidR="00A12B60" w:rsidRPr="00D8462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84B4" w14:textId="77777777" w:rsidR="00A12B60" w:rsidRDefault="00A12B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CA9C" w14:textId="12896F7F" w:rsidR="002E4B35" w:rsidRDefault="002E4B35">
    <w:pPr>
      <w:pStyle w:val="Footer"/>
    </w:pPr>
    <w:r w:rsidRPr="00D84622">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40E7" w14:textId="77777777" w:rsidR="006D4CD4" w:rsidRPr="006D4CD4" w:rsidRDefault="006D4CD4" w:rsidP="006D4CD4">
    <w:pPr>
      <w:pStyle w:val="Footer"/>
    </w:pPr>
    <w:r>
      <w:t>Report name goes here</w:t>
    </w:r>
    <w:r w:rsidRPr="00D84622">
      <w:tab/>
    </w:r>
    <w:r w:rsidRPr="00D84622">
      <w:fldChar w:fldCharType="begin"/>
    </w:r>
    <w:r w:rsidRPr="00D84622">
      <w:instrText xml:space="preserve"> PAGE   \* MERGEFORMAT </w:instrText>
    </w:r>
    <w:r w:rsidRPr="00D84622">
      <w:fldChar w:fldCharType="separate"/>
    </w:r>
    <w:r>
      <w:t>2</w:t>
    </w:r>
    <w:r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BBF74" w14:textId="77777777" w:rsidR="00E10839" w:rsidRDefault="00E10839" w:rsidP="000B0274">
      <w:r>
        <w:separator/>
      </w:r>
    </w:p>
    <w:p w14:paraId="5A7C9B88" w14:textId="77777777" w:rsidR="00E10839" w:rsidRDefault="00E10839"/>
    <w:p w14:paraId="79679ACD" w14:textId="77777777" w:rsidR="00E10839" w:rsidRDefault="00E10839"/>
    <w:p w14:paraId="16AAA7FB" w14:textId="77777777" w:rsidR="00E10839" w:rsidRDefault="00E10839"/>
    <w:p w14:paraId="2BFB0540" w14:textId="77777777" w:rsidR="00E10839" w:rsidRDefault="00E10839"/>
  </w:footnote>
  <w:footnote w:type="continuationSeparator" w:id="0">
    <w:p w14:paraId="5CFBDB92" w14:textId="77777777" w:rsidR="00E10839" w:rsidRDefault="00E10839" w:rsidP="000B0274">
      <w:r>
        <w:continuationSeparator/>
      </w:r>
    </w:p>
    <w:p w14:paraId="452347DB" w14:textId="77777777" w:rsidR="00E10839" w:rsidRDefault="00E10839"/>
    <w:p w14:paraId="758871E6" w14:textId="77777777" w:rsidR="00E10839" w:rsidRDefault="00E10839"/>
    <w:p w14:paraId="0E86807D" w14:textId="77777777" w:rsidR="00E10839" w:rsidRDefault="00E10839"/>
    <w:p w14:paraId="58FBFFAB" w14:textId="77777777" w:rsidR="00E10839" w:rsidRDefault="00E10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13C3" w14:textId="77777777" w:rsidR="00295887" w:rsidRDefault="00295887"/>
  <w:p w14:paraId="0961FFE7" w14:textId="77777777" w:rsidR="00295887" w:rsidRDefault="00295887"/>
  <w:p w14:paraId="0FA2EF27" w14:textId="77777777" w:rsidR="00295887" w:rsidRDefault="00295887"/>
  <w:p w14:paraId="78BD616A"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FB74" w14:textId="71387BB4" w:rsidR="00295887" w:rsidRPr="002E4B35" w:rsidRDefault="00295887" w:rsidP="002E4B35">
    <w:pPr>
      <w:tabs>
        <w:tab w:val="left" w:pos="7062"/>
        <w:tab w:val="right" w:pos="9638"/>
      </w:tabs>
      <w:spacing w:before="0"/>
      <w:ind w:left="-142"/>
    </w:pPr>
    <w:r w:rsidRPr="00FB375B">
      <w:rPr>
        <w:rFonts w:eastAsiaTheme="majorEastAsia"/>
        <w:noProof/>
        <w:lang w:val="en-US" w:eastAsia="en-US"/>
      </w:rPr>
      <w:drawing>
        <wp:inline distT="0" distB="0" distL="0" distR="0" wp14:anchorId="1110A7B6" wp14:editId="46FEA9C3">
          <wp:extent cx="4307149" cy="543600"/>
          <wp:effectExtent l="0" t="0" r="0" b="2540"/>
          <wp:docPr id="11" name="Picture 1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00DA1F0A" w:rsidRPr="00F46944">
      <w:rPr>
        <w:rFonts w:asciiTheme="majorHAnsi" w:hAnsiTheme="majorHAnsi" w:cstheme="majorHAnsi"/>
        <w:noProof/>
      </w:rPr>
      <w:drawing>
        <wp:inline distT="0" distB="0" distL="0" distR="0" wp14:anchorId="2F9F3247" wp14:editId="09588E03">
          <wp:extent cx="1562100" cy="522605"/>
          <wp:effectExtent l="0" t="0" r="0" b="0"/>
          <wp:docPr id="2" name="Picture 2"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timicrobial Use and Resistance in Australia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2100" cy="522605"/>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BDC1" w14:textId="77777777" w:rsidR="00A12B60" w:rsidRDefault="00A12B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3D6A" w14:textId="77777777" w:rsidR="00A12B60" w:rsidRPr="00EB3985" w:rsidRDefault="00A12B60" w:rsidP="00EB39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136D" w14:textId="77777777" w:rsidR="00A12B60" w:rsidRDefault="00A12B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B479" w14:textId="77777777" w:rsidR="00EE552C" w:rsidRDefault="00EE552C">
    <w:pPr>
      <w:pStyle w:val="Header"/>
    </w:pPr>
    <w:r w:rsidRPr="00FB375B">
      <w:rPr>
        <w:rFonts w:eastAsiaTheme="majorEastAsia"/>
        <w:noProof/>
        <w:lang w:val="en-US" w:eastAsia="en-US"/>
      </w:rPr>
      <w:drawing>
        <wp:inline distT="0" distB="0" distL="0" distR="0" wp14:anchorId="32C383F8" wp14:editId="11AA8AAD">
          <wp:extent cx="4307149" cy="543600"/>
          <wp:effectExtent l="0" t="0" r="0" b="2540"/>
          <wp:docPr id="1" name="Picture 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AA100E"/>
    <w:multiLevelType w:val="hybridMultilevel"/>
    <w:tmpl w:val="6234E2D6"/>
    <w:lvl w:ilvl="0" w:tplc="C8867348">
      <w:start w:val="1"/>
      <w:numFmt w:val="decimal"/>
      <w:lvlText w:val="%1."/>
      <w:lvlJc w:val="left"/>
      <w:pPr>
        <w:ind w:left="720" w:hanging="360"/>
      </w:pPr>
      <w:rPr>
        <w:rFonts w:asciiTheme="minorHAnsi" w:hAnsiTheme="minorHAnsi" w:cstheme="minorHAnsi"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497B92"/>
    <w:multiLevelType w:val="hybridMultilevel"/>
    <w:tmpl w:val="B680C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5C65F1"/>
    <w:multiLevelType w:val="hybridMultilevel"/>
    <w:tmpl w:val="3228A3C4"/>
    <w:lvl w:ilvl="0" w:tplc="A54CDD74">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4585"/>
    <w:multiLevelType w:val="hybridMultilevel"/>
    <w:tmpl w:val="C3DA0A86"/>
    <w:lvl w:ilvl="0" w:tplc="F36611F8">
      <w:numFmt w:val="bullet"/>
      <w:pStyle w:val="BulletLas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B4569C"/>
    <w:multiLevelType w:val="hybridMultilevel"/>
    <w:tmpl w:val="E75C7B1A"/>
    <w:lvl w:ilvl="0" w:tplc="50AEA390">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46604EA"/>
    <w:multiLevelType w:val="hybridMultilevel"/>
    <w:tmpl w:val="0E9A8490"/>
    <w:lvl w:ilvl="0" w:tplc="249A988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FA5FFF"/>
    <w:multiLevelType w:val="hybridMultilevel"/>
    <w:tmpl w:val="095458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BE15AD"/>
    <w:multiLevelType w:val="hybridMultilevel"/>
    <w:tmpl w:val="775EB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CB6FA2"/>
    <w:multiLevelType w:val="hybridMultilevel"/>
    <w:tmpl w:val="EE666E90"/>
    <w:lvl w:ilvl="0" w:tplc="50AEA390">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D352E2"/>
    <w:multiLevelType w:val="hybridMultilevel"/>
    <w:tmpl w:val="1CD22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9E4E3E"/>
    <w:multiLevelType w:val="hybridMultilevel"/>
    <w:tmpl w:val="F2B48DF4"/>
    <w:lvl w:ilvl="0" w:tplc="0C09000F">
      <w:start w:val="1"/>
      <w:numFmt w:val="decimal"/>
      <w:lvlText w:val="%1."/>
      <w:lvlJc w:val="left"/>
      <w:pPr>
        <w:ind w:left="760" w:hanging="360"/>
      </w:p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1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0171A0"/>
    <w:multiLevelType w:val="hybridMultilevel"/>
    <w:tmpl w:val="C364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3A5E31"/>
    <w:multiLevelType w:val="hybridMultilevel"/>
    <w:tmpl w:val="84F05542"/>
    <w:lvl w:ilvl="0" w:tplc="A54CDD74">
      <w:start w:val="1"/>
      <w:numFmt w:val="decimal"/>
      <w:lvlText w:val="%1."/>
      <w:lvlJc w:val="left"/>
      <w:pPr>
        <w:ind w:left="761" w:hanging="360"/>
      </w:pPr>
      <w:rPr>
        <w:rFonts w:cstheme="minorHAnsi" w:hint="default"/>
      </w:rPr>
    </w:lvl>
    <w:lvl w:ilvl="1" w:tplc="0C090019" w:tentative="1">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17" w15:restartNumberingAfterBreak="0">
    <w:nsid w:val="57AE6621"/>
    <w:multiLevelType w:val="hybridMultilevel"/>
    <w:tmpl w:val="901AC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2B6E0B"/>
    <w:multiLevelType w:val="hybridMultilevel"/>
    <w:tmpl w:val="EAAEB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574596"/>
    <w:multiLevelType w:val="hybridMultilevel"/>
    <w:tmpl w:val="7EC0E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042C51"/>
    <w:multiLevelType w:val="hybridMultilevel"/>
    <w:tmpl w:val="776E4A38"/>
    <w:lvl w:ilvl="0" w:tplc="C414B4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877AE"/>
    <w:multiLevelType w:val="hybridMultilevel"/>
    <w:tmpl w:val="BB0AF032"/>
    <w:lvl w:ilvl="0" w:tplc="50AEA390">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D94241"/>
    <w:multiLevelType w:val="hybridMultilevel"/>
    <w:tmpl w:val="FB241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6D10F9"/>
    <w:multiLevelType w:val="hybridMultilevel"/>
    <w:tmpl w:val="9348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F23183"/>
    <w:multiLevelType w:val="hybridMultilevel"/>
    <w:tmpl w:val="41F23B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77C2F48"/>
    <w:multiLevelType w:val="hybridMultilevel"/>
    <w:tmpl w:val="3B929A20"/>
    <w:lvl w:ilvl="0" w:tplc="468AA1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7264671">
    <w:abstractNumId w:val="0"/>
  </w:num>
  <w:num w:numId="2" w16cid:durableId="151913477">
    <w:abstractNumId w:val="1"/>
  </w:num>
  <w:num w:numId="3" w16cid:durableId="348606052">
    <w:abstractNumId w:val="7"/>
  </w:num>
  <w:num w:numId="4" w16cid:durableId="1235355125">
    <w:abstractNumId w:val="14"/>
  </w:num>
  <w:num w:numId="5" w16cid:durableId="903493359">
    <w:abstractNumId w:val="5"/>
  </w:num>
  <w:num w:numId="6" w16cid:durableId="384916992">
    <w:abstractNumId w:val="19"/>
  </w:num>
  <w:num w:numId="7" w16cid:durableId="1950236691">
    <w:abstractNumId w:val="23"/>
  </w:num>
  <w:num w:numId="8" w16cid:durableId="689181323">
    <w:abstractNumId w:val="8"/>
  </w:num>
  <w:num w:numId="9" w16cid:durableId="1021932625">
    <w:abstractNumId w:val="3"/>
  </w:num>
  <w:num w:numId="10" w16cid:durableId="1146556275">
    <w:abstractNumId w:val="20"/>
  </w:num>
  <w:num w:numId="11" w16cid:durableId="1831367416">
    <w:abstractNumId w:val="25"/>
  </w:num>
  <w:num w:numId="12" w16cid:durableId="1913664346">
    <w:abstractNumId w:val="12"/>
  </w:num>
  <w:num w:numId="13" w16cid:durableId="1723166368">
    <w:abstractNumId w:val="15"/>
  </w:num>
  <w:num w:numId="14" w16cid:durableId="1337148564">
    <w:abstractNumId w:val="2"/>
  </w:num>
  <w:num w:numId="15" w16cid:durableId="1211650838">
    <w:abstractNumId w:val="11"/>
  </w:num>
  <w:num w:numId="16" w16cid:durableId="1353070018">
    <w:abstractNumId w:val="6"/>
  </w:num>
  <w:num w:numId="17" w16cid:durableId="991832088">
    <w:abstractNumId w:val="21"/>
  </w:num>
  <w:num w:numId="18" w16cid:durableId="1961840679">
    <w:abstractNumId w:val="10"/>
  </w:num>
  <w:num w:numId="19" w16cid:durableId="2006854306">
    <w:abstractNumId w:val="13"/>
  </w:num>
  <w:num w:numId="20" w16cid:durableId="75637196">
    <w:abstractNumId w:val="18"/>
  </w:num>
  <w:num w:numId="21" w16cid:durableId="571964583">
    <w:abstractNumId w:val="22"/>
  </w:num>
  <w:num w:numId="22" w16cid:durableId="1550261713">
    <w:abstractNumId w:val="24"/>
  </w:num>
  <w:num w:numId="23" w16cid:durableId="1240557072">
    <w:abstractNumId w:val="4"/>
  </w:num>
  <w:num w:numId="24" w16cid:durableId="176774568">
    <w:abstractNumId w:val="16"/>
  </w:num>
  <w:num w:numId="25" w16cid:durableId="1128207285">
    <w:abstractNumId w:val="9"/>
  </w:num>
  <w:num w:numId="26" w16cid:durableId="20504913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9sasvr7dwawyeva9qpw09xaap9erv5ad5e&quot;&gt;AURA Community Report 2023&lt;record-ids&gt;&lt;item&gt;3&lt;/item&gt;&lt;item&gt;4&lt;/item&gt;&lt;item&gt;14&lt;/item&gt;&lt;item&gt;15&lt;/item&gt;&lt;item&gt;17&lt;/item&gt;&lt;item&gt;18&lt;/item&gt;&lt;item&gt;19&lt;/item&gt;&lt;item&gt;20&lt;/item&gt;&lt;item&gt;64&lt;/item&gt;&lt;item&gt;66&lt;/item&gt;&lt;item&gt;67&lt;/item&gt;&lt;item&gt;68&lt;/item&gt;&lt;item&gt;73&lt;/item&gt;&lt;item&gt;74&lt;/item&gt;&lt;item&gt;83&lt;/item&gt;&lt;item&gt;84&lt;/item&gt;&lt;item&gt;85&lt;/item&gt;&lt;item&gt;86&lt;/item&gt;&lt;item&gt;95&lt;/item&gt;&lt;item&gt;97&lt;/item&gt;&lt;item&gt;98&lt;/item&gt;&lt;item&gt;99&lt;/item&gt;&lt;item&gt;100&lt;/item&gt;&lt;item&gt;101&lt;/item&gt;&lt;item&gt;102&lt;/item&gt;&lt;item&gt;103&lt;/item&gt;&lt;item&gt;106&lt;/item&gt;&lt;item&gt;108&lt;/item&gt;&lt;item&gt;296&lt;/item&gt;&lt;item&gt;327&lt;/item&gt;&lt;item&gt;353&lt;/item&gt;&lt;item&gt;407&lt;/item&gt;&lt;item&gt;417&lt;/item&gt;&lt;item&gt;436&lt;/item&gt;&lt;item&gt;471&lt;/item&gt;&lt;item&gt;485&lt;/item&gt;&lt;item&gt;514&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9&lt;/item&gt;&lt;item&gt;542&lt;/item&gt;&lt;item&gt;543&lt;/item&gt;&lt;item&gt;544&lt;/item&gt;&lt;item&gt;545&lt;/item&gt;&lt;item&gt;546&lt;/item&gt;&lt;item&gt;547&lt;/item&gt;&lt;item&gt;548&lt;/item&gt;&lt;item&gt;549&lt;/item&gt;&lt;/record-ids&gt;&lt;/item&gt;&lt;/Libraries&gt;"/>
  </w:docVars>
  <w:rsids>
    <w:rsidRoot w:val="007F55F0"/>
    <w:rsid w:val="0000019D"/>
    <w:rsid w:val="00000BE0"/>
    <w:rsid w:val="00001993"/>
    <w:rsid w:val="00002668"/>
    <w:rsid w:val="00002927"/>
    <w:rsid w:val="000029C2"/>
    <w:rsid w:val="00002D50"/>
    <w:rsid w:val="00003182"/>
    <w:rsid w:val="0000363B"/>
    <w:rsid w:val="00003743"/>
    <w:rsid w:val="00003BF4"/>
    <w:rsid w:val="00004200"/>
    <w:rsid w:val="000049C5"/>
    <w:rsid w:val="00005270"/>
    <w:rsid w:val="00005EA9"/>
    <w:rsid w:val="00006387"/>
    <w:rsid w:val="00006679"/>
    <w:rsid w:val="00006C17"/>
    <w:rsid w:val="00006F0B"/>
    <w:rsid w:val="00007731"/>
    <w:rsid w:val="000077FA"/>
    <w:rsid w:val="0001004C"/>
    <w:rsid w:val="0001050C"/>
    <w:rsid w:val="0001053B"/>
    <w:rsid w:val="00011159"/>
    <w:rsid w:val="00011CAD"/>
    <w:rsid w:val="00011D9D"/>
    <w:rsid w:val="00011EFE"/>
    <w:rsid w:val="00012782"/>
    <w:rsid w:val="000127BF"/>
    <w:rsid w:val="00012B78"/>
    <w:rsid w:val="0001417E"/>
    <w:rsid w:val="000160EB"/>
    <w:rsid w:val="00017011"/>
    <w:rsid w:val="000173EE"/>
    <w:rsid w:val="00020DBD"/>
    <w:rsid w:val="00021D0C"/>
    <w:rsid w:val="00021E5C"/>
    <w:rsid w:val="00025086"/>
    <w:rsid w:val="00025A92"/>
    <w:rsid w:val="00027299"/>
    <w:rsid w:val="00027F89"/>
    <w:rsid w:val="000308F5"/>
    <w:rsid w:val="0003162D"/>
    <w:rsid w:val="000321BD"/>
    <w:rsid w:val="000327F2"/>
    <w:rsid w:val="00032D8B"/>
    <w:rsid w:val="00034448"/>
    <w:rsid w:val="00034491"/>
    <w:rsid w:val="0003511C"/>
    <w:rsid w:val="00036AB8"/>
    <w:rsid w:val="00036F5E"/>
    <w:rsid w:val="00036F7B"/>
    <w:rsid w:val="00037419"/>
    <w:rsid w:val="000377AA"/>
    <w:rsid w:val="000406F8"/>
    <w:rsid w:val="00040A66"/>
    <w:rsid w:val="000413E5"/>
    <w:rsid w:val="000419ED"/>
    <w:rsid w:val="00041F28"/>
    <w:rsid w:val="00042BEF"/>
    <w:rsid w:val="00042C4F"/>
    <w:rsid w:val="00043671"/>
    <w:rsid w:val="00043898"/>
    <w:rsid w:val="00043E64"/>
    <w:rsid w:val="00043F4D"/>
    <w:rsid w:val="0004435C"/>
    <w:rsid w:val="000457F7"/>
    <w:rsid w:val="000460F9"/>
    <w:rsid w:val="00050775"/>
    <w:rsid w:val="00052438"/>
    <w:rsid w:val="00052BDB"/>
    <w:rsid w:val="00054B74"/>
    <w:rsid w:val="00054BDB"/>
    <w:rsid w:val="00054E14"/>
    <w:rsid w:val="00054FD2"/>
    <w:rsid w:val="00055F4D"/>
    <w:rsid w:val="00056B14"/>
    <w:rsid w:val="00057CD4"/>
    <w:rsid w:val="00060F82"/>
    <w:rsid w:val="000612E0"/>
    <w:rsid w:val="00061484"/>
    <w:rsid w:val="000623B4"/>
    <w:rsid w:val="00062FBE"/>
    <w:rsid w:val="000631C5"/>
    <w:rsid w:val="00063CB4"/>
    <w:rsid w:val="00063E4C"/>
    <w:rsid w:val="0006400F"/>
    <w:rsid w:val="000647F3"/>
    <w:rsid w:val="00066CD9"/>
    <w:rsid w:val="00067456"/>
    <w:rsid w:val="00067CE9"/>
    <w:rsid w:val="00070001"/>
    <w:rsid w:val="00070812"/>
    <w:rsid w:val="000713FC"/>
    <w:rsid w:val="000715CD"/>
    <w:rsid w:val="000720AA"/>
    <w:rsid w:val="000729BA"/>
    <w:rsid w:val="00073E5B"/>
    <w:rsid w:val="000740D6"/>
    <w:rsid w:val="00074553"/>
    <w:rsid w:val="00075215"/>
    <w:rsid w:val="00075E2B"/>
    <w:rsid w:val="00077DE4"/>
    <w:rsid w:val="0008065C"/>
    <w:rsid w:val="00080C76"/>
    <w:rsid w:val="00082DC9"/>
    <w:rsid w:val="00083CD1"/>
    <w:rsid w:val="000848E0"/>
    <w:rsid w:val="00086044"/>
    <w:rsid w:val="0008618A"/>
    <w:rsid w:val="00087A4F"/>
    <w:rsid w:val="00087F2D"/>
    <w:rsid w:val="00090A56"/>
    <w:rsid w:val="00090EFF"/>
    <w:rsid w:val="00091FC5"/>
    <w:rsid w:val="00092229"/>
    <w:rsid w:val="00092E65"/>
    <w:rsid w:val="000930B0"/>
    <w:rsid w:val="0009508C"/>
    <w:rsid w:val="000957C4"/>
    <w:rsid w:val="00095DA6"/>
    <w:rsid w:val="00095DC5"/>
    <w:rsid w:val="00096A81"/>
    <w:rsid w:val="000A0080"/>
    <w:rsid w:val="000A01F4"/>
    <w:rsid w:val="000A2278"/>
    <w:rsid w:val="000A3589"/>
    <w:rsid w:val="000A3F0D"/>
    <w:rsid w:val="000A4450"/>
    <w:rsid w:val="000A4C01"/>
    <w:rsid w:val="000A4E69"/>
    <w:rsid w:val="000A5615"/>
    <w:rsid w:val="000A6752"/>
    <w:rsid w:val="000A6EBD"/>
    <w:rsid w:val="000A6EDA"/>
    <w:rsid w:val="000B0274"/>
    <w:rsid w:val="000B0693"/>
    <w:rsid w:val="000B0BFE"/>
    <w:rsid w:val="000B17DD"/>
    <w:rsid w:val="000B1EA4"/>
    <w:rsid w:val="000B24F6"/>
    <w:rsid w:val="000B2C0C"/>
    <w:rsid w:val="000B2F0D"/>
    <w:rsid w:val="000B38E6"/>
    <w:rsid w:val="000B4610"/>
    <w:rsid w:val="000B4BFB"/>
    <w:rsid w:val="000B58A9"/>
    <w:rsid w:val="000B68F9"/>
    <w:rsid w:val="000B74E2"/>
    <w:rsid w:val="000B76CA"/>
    <w:rsid w:val="000B79BD"/>
    <w:rsid w:val="000B79D3"/>
    <w:rsid w:val="000C0064"/>
    <w:rsid w:val="000C0478"/>
    <w:rsid w:val="000C0522"/>
    <w:rsid w:val="000C052D"/>
    <w:rsid w:val="000C16C3"/>
    <w:rsid w:val="000C1722"/>
    <w:rsid w:val="000C1DD4"/>
    <w:rsid w:val="000C2AE0"/>
    <w:rsid w:val="000C331C"/>
    <w:rsid w:val="000C4436"/>
    <w:rsid w:val="000C5B0F"/>
    <w:rsid w:val="000C5FF8"/>
    <w:rsid w:val="000C6095"/>
    <w:rsid w:val="000C6C2A"/>
    <w:rsid w:val="000C794F"/>
    <w:rsid w:val="000C7A69"/>
    <w:rsid w:val="000C7E5C"/>
    <w:rsid w:val="000D017D"/>
    <w:rsid w:val="000D02E4"/>
    <w:rsid w:val="000D0737"/>
    <w:rsid w:val="000D08E8"/>
    <w:rsid w:val="000D0A49"/>
    <w:rsid w:val="000D0C0D"/>
    <w:rsid w:val="000D0E65"/>
    <w:rsid w:val="000D2751"/>
    <w:rsid w:val="000D296A"/>
    <w:rsid w:val="000D3493"/>
    <w:rsid w:val="000D35C0"/>
    <w:rsid w:val="000D3BA5"/>
    <w:rsid w:val="000D3FF5"/>
    <w:rsid w:val="000D4053"/>
    <w:rsid w:val="000D4EC3"/>
    <w:rsid w:val="000D6405"/>
    <w:rsid w:val="000D65A7"/>
    <w:rsid w:val="000D6840"/>
    <w:rsid w:val="000D68F9"/>
    <w:rsid w:val="000D73B1"/>
    <w:rsid w:val="000D7693"/>
    <w:rsid w:val="000D7FC9"/>
    <w:rsid w:val="000E07DF"/>
    <w:rsid w:val="000E15DA"/>
    <w:rsid w:val="000E2231"/>
    <w:rsid w:val="000E2F2E"/>
    <w:rsid w:val="000E38BF"/>
    <w:rsid w:val="000E3F19"/>
    <w:rsid w:val="000E42AA"/>
    <w:rsid w:val="000E49AF"/>
    <w:rsid w:val="000E52AE"/>
    <w:rsid w:val="000E5C0B"/>
    <w:rsid w:val="000E6557"/>
    <w:rsid w:val="000F0039"/>
    <w:rsid w:val="000F0D77"/>
    <w:rsid w:val="000F15C7"/>
    <w:rsid w:val="000F2211"/>
    <w:rsid w:val="000F29C7"/>
    <w:rsid w:val="000F38EE"/>
    <w:rsid w:val="000F3E49"/>
    <w:rsid w:val="000F3E92"/>
    <w:rsid w:val="000F3EE9"/>
    <w:rsid w:val="000F6B39"/>
    <w:rsid w:val="0010088A"/>
    <w:rsid w:val="001016F8"/>
    <w:rsid w:val="00103142"/>
    <w:rsid w:val="0010341A"/>
    <w:rsid w:val="0010380B"/>
    <w:rsid w:val="001038FF"/>
    <w:rsid w:val="0010436C"/>
    <w:rsid w:val="00104A3C"/>
    <w:rsid w:val="00104F90"/>
    <w:rsid w:val="00105DC5"/>
    <w:rsid w:val="00105EBD"/>
    <w:rsid w:val="0010631C"/>
    <w:rsid w:val="0010673D"/>
    <w:rsid w:val="00106CF5"/>
    <w:rsid w:val="00110ABF"/>
    <w:rsid w:val="00110EA2"/>
    <w:rsid w:val="00111DB3"/>
    <w:rsid w:val="00113762"/>
    <w:rsid w:val="0011456A"/>
    <w:rsid w:val="00114DCB"/>
    <w:rsid w:val="00115403"/>
    <w:rsid w:val="001158D7"/>
    <w:rsid w:val="001159EC"/>
    <w:rsid w:val="00115E61"/>
    <w:rsid w:val="00116101"/>
    <w:rsid w:val="00116811"/>
    <w:rsid w:val="00117D7E"/>
    <w:rsid w:val="00120A88"/>
    <w:rsid w:val="00120FCB"/>
    <w:rsid w:val="00121710"/>
    <w:rsid w:val="00121B7B"/>
    <w:rsid w:val="0012233F"/>
    <w:rsid w:val="001229CC"/>
    <w:rsid w:val="00126525"/>
    <w:rsid w:val="001269F0"/>
    <w:rsid w:val="00126D21"/>
    <w:rsid w:val="001276AA"/>
    <w:rsid w:val="00127C4B"/>
    <w:rsid w:val="00130977"/>
    <w:rsid w:val="00131E52"/>
    <w:rsid w:val="00133681"/>
    <w:rsid w:val="001338C2"/>
    <w:rsid w:val="001350A4"/>
    <w:rsid w:val="00135DD5"/>
    <w:rsid w:val="00135E14"/>
    <w:rsid w:val="00136715"/>
    <w:rsid w:val="0013688A"/>
    <w:rsid w:val="00137D2D"/>
    <w:rsid w:val="00140002"/>
    <w:rsid w:val="001406A1"/>
    <w:rsid w:val="0014119C"/>
    <w:rsid w:val="0014188D"/>
    <w:rsid w:val="0014193B"/>
    <w:rsid w:val="00142512"/>
    <w:rsid w:val="00142D5E"/>
    <w:rsid w:val="00143A76"/>
    <w:rsid w:val="00143B00"/>
    <w:rsid w:val="00143DA3"/>
    <w:rsid w:val="00144360"/>
    <w:rsid w:val="00144494"/>
    <w:rsid w:val="00144A39"/>
    <w:rsid w:val="0014506C"/>
    <w:rsid w:val="00145090"/>
    <w:rsid w:val="001450B9"/>
    <w:rsid w:val="00145BE3"/>
    <w:rsid w:val="00145C31"/>
    <w:rsid w:val="00146820"/>
    <w:rsid w:val="00146A66"/>
    <w:rsid w:val="00147228"/>
    <w:rsid w:val="001479E0"/>
    <w:rsid w:val="001507C6"/>
    <w:rsid w:val="00150A60"/>
    <w:rsid w:val="00151B18"/>
    <w:rsid w:val="001524D5"/>
    <w:rsid w:val="00153764"/>
    <w:rsid w:val="001539D3"/>
    <w:rsid w:val="00153DCB"/>
    <w:rsid w:val="001560D6"/>
    <w:rsid w:val="00157B31"/>
    <w:rsid w:val="0016010C"/>
    <w:rsid w:val="00160453"/>
    <w:rsid w:val="00160BFD"/>
    <w:rsid w:val="00161B53"/>
    <w:rsid w:val="00162754"/>
    <w:rsid w:val="001627E0"/>
    <w:rsid w:val="001628E4"/>
    <w:rsid w:val="001647E7"/>
    <w:rsid w:val="00164AA8"/>
    <w:rsid w:val="001652A9"/>
    <w:rsid w:val="00165FAF"/>
    <w:rsid w:val="00166B0B"/>
    <w:rsid w:val="00167779"/>
    <w:rsid w:val="0017034F"/>
    <w:rsid w:val="001710B8"/>
    <w:rsid w:val="001712DF"/>
    <w:rsid w:val="001737A0"/>
    <w:rsid w:val="00174141"/>
    <w:rsid w:val="00174535"/>
    <w:rsid w:val="0017471D"/>
    <w:rsid w:val="00175B5B"/>
    <w:rsid w:val="0017624E"/>
    <w:rsid w:val="0017675C"/>
    <w:rsid w:val="00176A55"/>
    <w:rsid w:val="00180190"/>
    <w:rsid w:val="00182C0F"/>
    <w:rsid w:val="001832C8"/>
    <w:rsid w:val="00183675"/>
    <w:rsid w:val="00184070"/>
    <w:rsid w:val="001841D8"/>
    <w:rsid w:val="001843A8"/>
    <w:rsid w:val="00184C86"/>
    <w:rsid w:val="001852DE"/>
    <w:rsid w:val="001856AF"/>
    <w:rsid w:val="001859B5"/>
    <w:rsid w:val="001860B2"/>
    <w:rsid w:val="00186EC6"/>
    <w:rsid w:val="00187187"/>
    <w:rsid w:val="001904E1"/>
    <w:rsid w:val="00190B6C"/>
    <w:rsid w:val="001918F7"/>
    <w:rsid w:val="001921ED"/>
    <w:rsid w:val="001927AB"/>
    <w:rsid w:val="001938FF"/>
    <w:rsid w:val="00193CFB"/>
    <w:rsid w:val="0019439C"/>
    <w:rsid w:val="00195458"/>
    <w:rsid w:val="00196045"/>
    <w:rsid w:val="001962DE"/>
    <w:rsid w:val="00196AC8"/>
    <w:rsid w:val="00196EAD"/>
    <w:rsid w:val="00196F6C"/>
    <w:rsid w:val="00196FFC"/>
    <w:rsid w:val="001A08BF"/>
    <w:rsid w:val="001A11A5"/>
    <w:rsid w:val="001A19E2"/>
    <w:rsid w:val="001A1EAD"/>
    <w:rsid w:val="001A1EBD"/>
    <w:rsid w:val="001A214C"/>
    <w:rsid w:val="001A2284"/>
    <w:rsid w:val="001A2DE3"/>
    <w:rsid w:val="001A2EB5"/>
    <w:rsid w:val="001A3A91"/>
    <w:rsid w:val="001A3ABC"/>
    <w:rsid w:val="001A4A68"/>
    <w:rsid w:val="001A4ACD"/>
    <w:rsid w:val="001A4FF0"/>
    <w:rsid w:val="001A5170"/>
    <w:rsid w:val="001A65AD"/>
    <w:rsid w:val="001A7882"/>
    <w:rsid w:val="001B03E0"/>
    <w:rsid w:val="001B060B"/>
    <w:rsid w:val="001B15D1"/>
    <w:rsid w:val="001B2F6A"/>
    <w:rsid w:val="001B3443"/>
    <w:rsid w:val="001B3597"/>
    <w:rsid w:val="001B385C"/>
    <w:rsid w:val="001B3917"/>
    <w:rsid w:val="001B397B"/>
    <w:rsid w:val="001B4C69"/>
    <w:rsid w:val="001B5BF9"/>
    <w:rsid w:val="001B644B"/>
    <w:rsid w:val="001B7C8B"/>
    <w:rsid w:val="001C01C8"/>
    <w:rsid w:val="001C0633"/>
    <w:rsid w:val="001C09B9"/>
    <w:rsid w:val="001C0F51"/>
    <w:rsid w:val="001C1C28"/>
    <w:rsid w:val="001C2A5F"/>
    <w:rsid w:val="001C2A62"/>
    <w:rsid w:val="001C3608"/>
    <w:rsid w:val="001C56CA"/>
    <w:rsid w:val="001C6AE3"/>
    <w:rsid w:val="001C6D42"/>
    <w:rsid w:val="001C6EA8"/>
    <w:rsid w:val="001C6EAC"/>
    <w:rsid w:val="001D05BF"/>
    <w:rsid w:val="001D0AA2"/>
    <w:rsid w:val="001D0D87"/>
    <w:rsid w:val="001D11A0"/>
    <w:rsid w:val="001D1579"/>
    <w:rsid w:val="001D171D"/>
    <w:rsid w:val="001D27EC"/>
    <w:rsid w:val="001D323F"/>
    <w:rsid w:val="001D3AE0"/>
    <w:rsid w:val="001D4783"/>
    <w:rsid w:val="001D4825"/>
    <w:rsid w:val="001D58BB"/>
    <w:rsid w:val="001D5DC5"/>
    <w:rsid w:val="001D66F8"/>
    <w:rsid w:val="001D6D92"/>
    <w:rsid w:val="001D6DBE"/>
    <w:rsid w:val="001D7233"/>
    <w:rsid w:val="001E0CDB"/>
    <w:rsid w:val="001E1042"/>
    <w:rsid w:val="001E1A26"/>
    <w:rsid w:val="001E2B20"/>
    <w:rsid w:val="001E2FD9"/>
    <w:rsid w:val="001E38B8"/>
    <w:rsid w:val="001E3EFB"/>
    <w:rsid w:val="001E41C3"/>
    <w:rsid w:val="001E5A1E"/>
    <w:rsid w:val="001E6634"/>
    <w:rsid w:val="001E6747"/>
    <w:rsid w:val="001E77C4"/>
    <w:rsid w:val="001E7A0B"/>
    <w:rsid w:val="001E7BDD"/>
    <w:rsid w:val="001F158C"/>
    <w:rsid w:val="001F3FA3"/>
    <w:rsid w:val="001F41C4"/>
    <w:rsid w:val="001F4227"/>
    <w:rsid w:val="001F5AD3"/>
    <w:rsid w:val="001F61F7"/>
    <w:rsid w:val="001F6886"/>
    <w:rsid w:val="001F68C6"/>
    <w:rsid w:val="001F6D10"/>
    <w:rsid w:val="002000EB"/>
    <w:rsid w:val="002008B4"/>
    <w:rsid w:val="002013E1"/>
    <w:rsid w:val="0020153F"/>
    <w:rsid w:val="0020164F"/>
    <w:rsid w:val="00201D88"/>
    <w:rsid w:val="00201E62"/>
    <w:rsid w:val="002020C6"/>
    <w:rsid w:val="00203435"/>
    <w:rsid w:val="00203763"/>
    <w:rsid w:val="002044BD"/>
    <w:rsid w:val="00204F84"/>
    <w:rsid w:val="00205F69"/>
    <w:rsid w:val="002061AF"/>
    <w:rsid w:val="00206926"/>
    <w:rsid w:val="00206B0C"/>
    <w:rsid w:val="00206ECB"/>
    <w:rsid w:val="00207D1D"/>
    <w:rsid w:val="00210008"/>
    <w:rsid w:val="0021026E"/>
    <w:rsid w:val="00210270"/>
    <w:rsid w:val="002103F9"/>
    <w:rsid w:val="0021143D"/>
    <w:rsid w:val="00211797"/>
    <w:rsid w:val="002120D4"/>
    <w:rsid w:val="00212FF3"/>
    <w:rsid w:val="002132AE"/>
    <w:rsid w:val="00213643"/>
    <w:rsid w:val="00213AEB"/>
    <w:rsid w:val="00214158"/>
    <w:rsid w:val="00214556"/>
    <w:rsid w:val="00214844"/>
    <w:rsid w:val="00215BD0"/>
    <w:rsid w:val="002166E4"/>
    <w:rsid w:val="00216914"/>
    <w:rsid w:val="00221C20"/>
    <w:rsid w:val="00222080"/>
    <w:rsid w:val="00223AF8"/>
    <w:rsid w:val="00223C90"/>
    <w:rsid w:val="00224026"/>
    <w:rsid w:val="00224B73"/>
    <w:rsid w:val="00225090"/>
    <w:rsid w:val="002250C9"/>
    <w:rsid w:val="0022550E"/>
    <w:rsid w:val="002255F7"/>
    <w:rsid w:val="00225934"/>
    <w:rsid w:val="00225E23"/>
    <w:rsid w:val="00230CFF"/>
    <w:rsid w:val="0023112B"/>
    <w:rsid w:val="0023231A"/>
    <w:rsid w:val="00232B1A"/>
    <w:rsid w:val="00234A0B"/>
    <w:rsid w:val="002350FC"/>
    <w:rsid w:val="00235252"/>
    <w:rsid w:val="00235994"/>
    <w:rsid w:val="00235CC6"/>
    <w:rsid w:val="00236519"/>
    <w:rsid w:val="00236D4F"/>
    <w:rsid w:val="00236FC3"/>
    <w:rsid w:val="00237ADF"/>
    <w:rsid w:val="00237F1B"/>
    <w:rsid w:val="0024125D"/>
    <w:rsid w:val="00241326"/>
    <w:rsid w:val="002414F7"/>
    <w:rsid w:val="00242388"/>
    <w:rsid w:val="0024559E"/>
    <w:rsid w:val="00245D81"/>
    <w:rsid w:val="00246686"/>
    <w:rsid w:val="00246B87"/>
    <w:rsid w:val="00246F39"/>
    <w:rsid w:val="00247647"/>
    <w:rsid w:val="0024767D"/>
    <w:rsid w:val="002477A9"/>
    <w:rsid w:val="00247B36"/>
    <w:rsid w:val="002503C3"/>
    <w:rsid w:val="00250E87"/>
    <w:rsid w:val="00250EE4"/>
    <w:rsid w:val="00251167"/>
    <w:rsid w:val="00251C00"/>
    <w:rsid w:val="00252E84"/>
    <w:rsid w:val="00253415"/>
    <w:rsid w:val="00254259"/>
    <w:rsid w:val="002547BF"/>
    <w:rsid w:val="002550A7"/>
    <w:rsid w:val="00255596"/>
    <w:rsid w:val="0025568D"/>
    <w:rsid w:val="002558C7"/>
    <w:rsid w:val="00255A9B"/>
    <w:rsid w:val="00255CA7"/>
    <w:rsid w:val="00255DCB"/>
    <w:rsid w:val="00255DEF"/>
    <w:rsid w:val="00257A76"/>
    <w:rsid w:val="00257FB7"/>
    <w:rsid w:val="00261A0F"/>
    <w:rsid w:val="00261DE7"/>
    <w:rsid w:val="00261F43"/>
    <w:rsid w:val="00262327"/>
    <w:rsid w:val="002625FB"/>
    <w:rsid w:val="00262D8F"/>
    <w:rsid w:val="0026363C"/>
    <w:rsid w:val="00263A63"/>
    <w:rsid w:val="00263EDF"/>
    <w:rsid w:val="0026435C"/>
    <w:rsid w:val="00264387"/>
    <w:rsid w:val="002645FA"/>
    <w:rsid w:val="00264A5A"/>
    <w:rsid w:val="00264B80"/>
    <w:rsid w:val="002653D6"/>
    <w:rsid w:val="00265609"/>
    <w:rsid w:val="002658B3"/>
    <w:rsid w:val="0026598E"/>
    <w:rsid w:val="00265C09"/>
    <w:rsid w:val="00265DDA"/>
    <w:rsid w:val="002662B4"/>
    <w:rsid w:val="002664C8"/>
    <w:rsid w:val="002666D5"/>
    <w:rsid w:val="0026675D"/>
    <w:rsid w:val="00266987"/>
    <w:rsid w:val="002674D8"/>
    <w:rsid w:val="00267599"/>
    <w:rsid w:val="00267635"/>
    <w:rsid w:val="00270198"/>
    <w:rsid w:val="00270CF1"/>
    <w:rsid w:val="0027107A"/>
    <w:rsid w:val="0027128A"/>
    <w:rsid w:val="00271ACA"/>
    <w:rsid w:val="00272C3E"/>
    <w:rsid w:val="002739C5"/>
    <w:rsid w:val="00274831"/>
    <w:rsid w:val="00275492"/>
    <w:rsid w:val="002759A3"/>
    <w:rsid w:val="002761B1"/>
    <w:rsid w:val="0027647E"/>
    <w:rsid w:val="00277269"/>
    <w:rsid w:val="0027726F"/>
    <w:rsid w:val="00277A59"/>
    <w:rsid w:val="00277EF7"/>
    <w:rsid w:val="002806CD"/>
    <w:rsid w:val="00280997"/>
    <w:rsid w:val="0028150E"/>
    <w:rsid w:val="00281E1F"/>
    <w:rsid w:val="00281FD4"/>
    <w:rsid w:val="00282577"/>
    <w:rsid w:val="00283078"/>
    <w:rsid w:val="0028336A"/>
    <w:rsid w:val="00283A6B"/>
    <w:rsid w:val="002851F2"/>
    <w:rsid w:val="002866A3"/>
    <w:rsid w:val="00291EBA"/>
    <w:rsid w:val="00291EBD"/>
    <w:rsid w:val="002926FC"/>
    <w:rsid w:val="00292CB9"/>
    <w:rsid w:val="00293CDE"/>
    <w:rsid w:val="00294322"/>
    <w:rsid w:val="00294509"/>
    <w:rsid w:val="00294E95"/>
    <w:rsid w:val="00295887"/>
    <w:rsid w:val="002960F1"/>
    <w:rsid w:val="00296EF3"/>
    <w:rsid w:val="00297782"/>
    <w:rsid w:val="00297C42"/>
    <w:rsid w:val="00297F88"/>
    <w:rsid w:val="002A0363"/>
    <w:rsid w:val="002A0477"/>
    <w:rsid w:val="002A26E2"/>
    <w:rsid w:val="002A309E"/>
    <w:rsid w:val="002A34A9"/>
    <w:rsid w:val="002A4FCD"/>
    <w:rsid w:val="002A4FF7"/>
    <w:rsid w:val="002A52E0"/>
    <w:rsid w:val="002A5442"/>
    <w:rsid w:val="002A589A"/>
    <w:rsid w:val="002A5BA8"/>
    <w:rsid w:val="002A63EA"/>
    <w:rsid w:val="002B0775"/>
    <w:rsid w:val="002B0915"/>
    <w:rsid w:val="002B156C"/>
    <w:rsid w:val="002B2540"/>
    <w:rsid w:val="002B35A5"/>
    <w:rsid w:val="002B5055"/>
    <w:rsid w:val="002B5B19"/>
    <w:rsid w:val="002B5BAC"/>
    <w:rsid w:val="002B5FAF"/>
    <w:rsid w:val="002B61A0"/>
    <w:rsid w:val="002B6DC1"/>
    <w:rsid w:val="002B77C8"/>
    <w:rsid w:val="002C06E3"/>
    <w:rsid w:val="002C0E06"/>
    <w:rsid w:val="002C0E44"/>
    <w:rsid w:val="002C1184"/>
    <w:rsid w:val="002C1CA0"/>
    <w:rsid w:val="002C2126"/>
    <w:rsid w:val="002C3C01"/>
    <w:rsid w:val="002C529B"/>
    <w:rsid w:val="002C5A54"/>
    <w:rsid w:val="002C5DE5"/>
    <w:rsid w:val="002C6AF0"/>
    <w:rsid w:val="002C6BFE"/>
    <w:rsid w:val="002C6E07"/>
    <w:rsid w:val="002C77CF"/>
    <w:rsid w:val="002D04E5"/>
    <w:rsid w:val="002D0B25"/>
    <w:rsid w:val="002D0EB0"/>
    <w:rsid w:val="002D191C"/>
    <w:rsid w:val="002D1964"/>
    <w:rsid w:val="002D247E"/>
    <w:rsid w:val="002D2720"/>
    <w:rsid w:val="002D377A"/>
    <w:rsid w:val="002D4062"/>
    <w:rsid w:val="002D6827"/>
    <w:rsid w:val="002D6875"/>
    <w:rsid w:val="002D6B59"/>
    <w:rsid w:val="002D7E5A"/>
    <w:rsid w:val="002E053E"/>
    <w:rsid w:val="002E0A36"/>
    <w:rsid w:val="002E0BAF"/>
    <w:rsid w:val="002E0BED"/>
    <w:rsid w:val="002E14DB"/>
    <w:rsid w:val="002E195D"/>
    <w:rsid w:val="002E1F27"/>
    <w:rsid w:val="002E2DBA"/>
    <w:rsid w:val="002E2E7A"/>
    <w:rsid w:val="002E3986"/>
    <w:rsid w:val="002E4B35"/>
    <w:rsid w:val="002E5132"/>
    <w:rsid w:val="002E5AD5"/>
    <w:rsid w:val="002E649E"/>
    <w:rsid w:val="002E64E5"/>
    <w:rsid w:val="002E6A48"/>
    <w:rsid w:val="002E6CB7"/>
    <w:rsid w:val="002E7082"/>
    <w:rsid w:val="002E76B0"/>
    <w:rsid w:val="002F186C"/>
    <w:rsid w:val="002F2C6B"/>
    <w:rsid w:val="002F2D22"/>
    <w:rsid w:val="002F2E0B"/>
    <w:rsid w:val="002F3AE3"/>
    <w:rsid w:val="002F56B7"/>
    <w:rsid w:val="002F5C73"/>
    <w:rsid w:val="002F6056"/>
    <w:rsid w:val="002F7290"/>
    <w:rsid w:val="002F7640"/>
    <w:rsid w:val="002F7883"/>
    <w:rsid w:val="002F7E6F"/>
    <w:rsid w:val="00302615"/>
    <w:rsid w:val="00302915"/>
    <w:rsid w:val="0030399F"/>
    <w:rsid w:val="0030613C"/>
    <w:rsid w:val="00306392"/>
    <w:rsid w:val="003065D6"/>
    <w:rsid w:val="0030786C"/>
    <w:rsid w:val="00307C1E"/>
    <w:rsid w:val="003116DD"/>
    <w:rsid w:val="00311F21"/>
    <w:rsid w:val="00312647"/>
    <w:rsid w:val="00312A2D"/>
    <w:rsid w:val="00312A62"/>
    <w:rsid w:val="00312CF9"/>
    <w:rsid w:val="0031460D"/>
    <w:rsid w:val="00314645"/>
    <w:rsid w:val="00316310"/>
    <w:rsid w:val="00316368"/>
    <w:rsid w:val="00316683"/>
    <w:rsid w:val="00316ED0"/>
    <w:rsid w:val="003213FF"/>
    <w:rsid w:val="00321607"/>
    <w:rsid w:val="00321976"/>
    <w:rsid w:val="00321A89"/>
    <w:rsid w:val="00321D20"/>
    <w:rsid w:val="00322517"/>
    <w:rsid w:val="0032253E"/>
    <w:rsid w:val="003229C1"/>
    <w:rsid w:val="00323482"/>
    <w:rsid w:val="003238AE"/>
    <w:rsid w:val="0032397B"/>
    <w:rsid w:val="00324690"/>
    <w:rsid w:val="00326214"/>
    <w:rsid w:val="00326E4B"/>
    <w:rsid w:val="003271B2"/>
    <w:rsid w:val="00327337"/>
    <w:rsid w:val="0033014F"/>
    <w:rsid w:val="003303B9"/>
    <w:rsid w:val="00330A89"/>
    <w:rsid w:val="00330C41"/>
    <w:rsid w:val="0033100D"/>
    <w:rsid w:val="00331724"/>
    <w:rsid w:val="00331F99"/>
    <w:rsid w:val="00332708"/>
    <w:rsid w:val="0033365E"/>
    <w:rsid w:val="0033378C"/>
    <w:rsid w:val="003340DC"/>
    <w:rsid w:val="0033462D"/>
    <w:rsid w:val="00335FDB"/>
    <w:rsid w:val="003361D4"/>
    <w:rsid w:val="00337158"/>
    <w:rsid w:val="0033773D"/>
    <w:rsid w:val="003402DD"/>
    <w:rsid w:val="0034055D"/>
    <w:rsid w:val="0034091A"/>
    <w:rsid w:val="00340C2A"/>
    <w:rsid w:val="00341871"/>
    <w:rsid w:val="00341A36"/>
    <w:rsid w:val="00341BEE"/>
    <w:rsid w:val="0034208B"/>
    <w:rsid w:val="0034214B"/>
    <w:rsid w:val="00342537"/>
    <w:rsid w:val="003425FD"/>
    <w:rsid w:val="003430CE"/>
    <w:rsid w:val="00343102"/>
    <w:rsid w:val="00343286"/>
    <w:rsid w:val="003432D4"/>
    <w:rsid w:val="003437BA"/>
    <w:rsid w:val="00343A86"/>
    <w:rsid w:val="00344AF7"/>
    <w:rsid w:val="00345490"/>
    <w:rsid w:val="0034578F"/>
    <w:rsid w:val="0034591D"/>
    <w:rsid w:val="0034606D"/>
    <w:rsid w:val="003464E9"/>
    <w:rsid w:val="0034680F"/>
    <w:rsid w:val="003468F6"/>
    <w:rsid w:val="00346D16"/>
    <w:rsid w:val="00347254"/>
    <w:rsid w:val="00347BF1"/>
    <w:rsid w:val="0035066E"/>
    <w:rsid w:val="00350B43"/>
    <w:rsid w:val="00350BE1"/>
    <w:rsid w:val="00351230"/>
    <w:rsid w:val="00351DE7"/>
    <w:rsid w:val="00352A4D"/>
    <w:rsid w:val="00353370"/>
    <w:rsid w:val="003536CC"/>
    <w:rsid w:val="00353C5D"/>
    <w:rsid w:val="00353F1C"/>
    <w:rsid w:val="0035486C"/>
    <w:rsid w:val="00354BCF"/>
    <w:rsid w:val="003559EA"/>
    <w:rsid w:val="003560A3"/>
    <w:rsid w:val="0035729E"/>
    <w:rsid w:val="00357B1D"/>
    <w:rsid w:val="00357C78"/>
    <w:rsid w:val="00360743"/>
    <w:rsid w:val="003610C7"/>
    <w:rsid w:val="00361BCB"/>
    <w:rsid w:val="00363B0C"/>
    <w:rsid w:val="0036462B"/>
    <w:rsid w:val="00364F59"/>
    <w:rsid w:val="003657DB"/>
    <w:rsid w:val="0036588B"/>
    <w:rsid w:val="00365A3B"/>
    <w:rsid w:val="00366963"/>
    <w:rsid w:val="00366C45"/>
    <w:rsid w:val="003675B0"/>
    <w:rsid w:val="00367A85"/>
    <w:rsid w:val="00370326"/>
    <w:rsid w:val="00371A0E"/>
    <w:rsid w:val="003725BA"/>
    <w:rsid w:val="00373C05"/>
    <w:rsid w:val="00373D4E"/>
    <w:rsid w:val="0037404B"/>
    <w:rsid w:val="0037408A"/>
    <w:rsid w:val="003745C5"/>
    <w:rsid w:val="0037486D"/>
    <w:rsid w:val="00376C0D"/>
    <w:rsid w:val="00377796"/>
    <w:rsid w:val="00377ACE"/>
    <w:rsid w:val="00380029"/>
    <w:rsid w:val="00380792"/>
    <w:rsid w:val="003808E4"/>
    <w:rsid w:val="003814D6"/>
    <w:rsid w:val="003823BA"/>
    <w:rsid w:val="0038248B"/>
    <w:rsid w:val="00382549"/>
    <w:rsid w:val="00382B2D"/>
    <w:rsid w:val="003831F3"/>
    <w:rsid w:val="003845A9"/>
    <w:rsid w:val="003853A0"/>
    <w:rsid w:val="00386467"/>
    <w:rsid w:val="00386683"/>
    <w:rsid w:val="00386765"/>
    <w:rsid w:val="00386A04"/>
    <w:rsid w:val="003873C6"/>
    <w:rsid w:val="003874F6"/>
    <w:rsid w:val="00387546"/>
    <w:rsid w:val="003906F5"/>
    <w:rsid w:val="00390852"/>
    <w:rsid w:val="00391D82"/>
    <w:rsid w:val="00392002"/>
    <w:rsid w:val="0039216A"/>
    <w:rsid w:val="00392A85"/>
    <w:rsid w:val="003938DF"/>
    <w:rsid w:val="00393BC8"/>
    <w:rsid w:val="003947EA"/>
    <w:rsid w:val="003957BD"/>
    <w:rsid w:val="00396AFB"/>
    <w:rsid w:val="003970FD"/>
    <w:rsid w:val="00397968"/>
    <w:rsid w:val="003A0787"/>
    <w:rsid w:val="003A08D7"/>
    <w:rsid w:val="003A1302"/>
    <w:rsid w:val="003A35F7"/>
    <w:rsid w:val="003A3E60"/>
    <w:rsid w:val="003A43F1"/>
    <w:rsid w:val="003A496D"/>
    <w:rsid w:val="003A4BEB"/>
    <w:rsid w:val="003A4E56"/>
    <w:rsid w:val="003A70CE"/>
    <w:rsid w:val="003A7311"/>
    <w:rsid w:val="003A773A"/>
    <w:rsid w:val="003B05FF"/>
    <w:rsid w:val="003B09D5"/>
    <w:rsid w:val="003B14C0"/>
    <w:rsid w:val="003B1FC8"/>
    <w:rsid w:val="003B24F6"/>
    <w:rsid w:val="003B250E"/>
    <w:rsid w:val="003B4980"/>
    <w:rsid w:val="003B5C37"/>
    <w:rsid w:val="003B5E5B"/>
    <w:rsid w:val="003C03B9"/>
    <w:rsid w:val="003C0E23"/>
    <w:rsid w:val="003C1091"/>
    <w:rsid w:val="003C1168"/>
    <w:rsid w:val="003C1BEE"/>
    <w:rsid w:val="003C1DBA"/>
    <w:rsid w:val="003C1F20"/>
    <w:rsid w:val="003C297A"/>
    <w:rsid w:val="003C2E9E"/>
    <w:rsid w:val="003C3E9B"/>
    <w:rsid w:val="003C4C75"/>
    <w:rsid w:val="003C540E"/>
    <w:rsid w:val="003C5E1D"/>
    <w:rsid w:val="003C5F0C"/>
    <w:rsid w:val="003C694B"/>
    <w:rsid w:val="003C6A7E"/>
    <w:rsid w:val="003C71C5"/>
    <w:rsid w:val="003D17F9"/>
    <w:rsid w:val="003D1BEE"/>
    <w:rsid w:val="003D2069"/>
    <w:rsid w:val="003D21B1"/>
    <w:rsid w:val="003D35CB"/>
    <w:rsid w:val="003D3806"/>
    <w:rsid w:val="003D4133"/>
    <w:rsid w:val="003D437B"/>
    <w:rsid w:val="003D4829"/>
    <w:rsid w:val="003D670F"/>
    <w:rsid w:val="003D6CBF"/>
    <w:rsid w:val="003D772B"/>
    <w:rsid w:val="003D7C04"/>
    <w:rsid w:val="003D7DD8"/>
    <w:rsid w:val="003E001E"/>
    <w:rsid w:val="003E0F38"/>
    <w:rsid w:val="003E1307"/>
    <w:rsid w:val="003E1685"/>
    <w:rsid w:val="003E197F"/>
    <w:rsid w:val="003E30BE"/>
    <w:rsid w:val="003E442B"/>
    <w:rsid w:val="003E57D3"/>
    <w:rsid w:val="003E5D15"/>
    <w:rsid w:val="003E6B70"/>
    <w:rsid w:val="003E6E73"/>
    <w:rsid w:val="003E71D7"/>
    <w:rsid w:val="003E735D"/>
    <w:rsid w:val="003E76C8"/>
    <w:rsid w:val="003E7A42"/>
    <w:rsid w:val="003F0308"/>
    <w:rsid w:val="003F0F69"/>
    <w:rsid w:val="003F1670"/>
    <w:rsid w:val="003F171D"/>
    <w:rsid w:val="003F3D7A"/>
    <w:rsid w:val="003F3F0B"/>
    <w:rsid w:val="003F490F"/>
    <w:rsid w:val="003F5217"/>
    <w:rsid w:val="003F567E"/>
    <w:rsid w:val="003F6645"/>
    <w:rsid w:val="003F7B7E"/>
    <w:rsid w:val="0040012A"/>
    <w:rsid w:val="0040152C"/>
    <w:rsid w:val="00402CBA"/>
    <w:rsid w:val="00403199"/>
    <w:rsid w:val="004039E0"/>
    <w:rsid w:val="004040CC"/>
    <w:rsid w:val="00405E43"/>
    <w:rsid w:val="00405ECF"/>
    <w:rsid w:val="00406197"/>
    <w:rsid w:val="0040629F"/>
    <w:rsid w:val="00406960"/>
    <w:rsid w:val="00411141"/>
    <w:rsid w:val="004117C5"/>
    <w:rsid w:val="00412E9D"/>
    <w:rsid w:val="00414952"/>
    <w:rsid w:val="00415233"/>
    <w:rsid w:val="004159DC"/>
    <w:rsid w:val="00415D4A"/>
    <w:rsid w:val="004220A5"/>
    <w:rsid w:val="004226FD"/>
    <w:rsid w:val="00423210"/>
    <w:rsid w:val="00423734"/>
    <w:rsid w:val="00424040"/>
    <w:rsid w:val="00425504"/>
    <w:rsid w:val="00425AEB"/>
    <w:rsid w:val="00426A36"/>
    <w:rsid w:val="0042727E"/>
    <w:rsid w:val="00427798"/>
    <w:rsid w:val="004277AF"/>
    <w:rsid w:val="004277F2"/>
    <w:rsid w:val="004279D2"/>
    <w:rsid w:val="00427E8E"/>
    <w:rsid w:val="004305D6"/>
    <w:rsid w:val="004323A1"/>
    <w:rsid w:val="004323D1"/>
    <w:rsid w:val="0043302E"/>
    <w:rsid w:val="00433242"/>
    <w:rsid w:val="0043350E"/>
    <w:rsid w:val="004342FE"/>
    <w:rsid w:val="00434F56"/>
    <w:rsid w:val="00435360"/>
    <w:rsid w:val="004377EE"/>
    <w:rsid w:val="00440CC0"/>
    <w:rsid w:val="00440D73"/>
    <w:rsid w:val="00441049"/>
    <w:rsid w:val="004415B3"/>
    <w:rsid w:val="004415F0"/>
    <w:rsid w:val="004421C3"/>
    <w:rsid w:val="00442E26"/>
    <w:rsid w:val="004430AB"/>
    <w:rsid w:val="00443736"/>
    <w:rsid w:val="004437F3"/>
    <w:rsid w:val="004442B0"/>
    <w:rsid w:val="00444AFE"/>
    <w:rsid w:val="00445847"/>
    <w:rsid w:val="0044628F"/>
    <w:rsid w:val="00447A46"/>
    <w:rsid w:val="00447D31"/>
    <w:rsid w:val="0045042A"/>
    <w:rsid w:val="00450BE6"/>
    <w:rsid w:val="004513F1"/>
    <w:rsid w:val="004516AD"/>
    <w:rsid w:val="00451D49"/>
    <w:rsid w:val="00451E27"/>
    <w:rsid w:val="004520D5"/>
    <w:rsid w:val="0045247D"/>
    <w:rsid w:val="00452849"/>
    <w:rsid w:val="00453464"/>
    <w:rsid w:val="00453A82"/>
    <w:rsid w:val="004543AA"/>
    <w:rsid w:val="00455560"/>
    <w:rsid w:val="00455B78"/>
    <w:rsid w:val="004562F2"/>
    <w:rsid w:val="00456385"/>
    <w:rsid w:val="00457259"/>
    <w:rsid w:val="004575D8"/>
    <w:rsid w:val="00461AC9"/>
    <w:rsid w:val="00462336"/>
    <w:rsid w:val="004624E4"/>
    <w:rsid w:val="004627E1"/>
    <w:rsid w:val="0046292E"/>
    <w:rsid w:val="00463780"/>
    <w:rsid w:val="00463CAC"/>
    <w:rsid w:val="00464048"/>
    <w:rsid w:val="0046405F"/>
    <w:rsid w:val="004659A2"/>
    <w:rsid w:val="00465AB0"/>
    <w:rsid w:val="004662B6"/>
    <w:rsid w:val="00466F8A"/>
    <w:rsid w:val="00470AB8"/>
    <w:rsid w:val="00470BAF"/>
    <w:rsid w:val="0047298C"/>
    <w:rsid w:val="00474A98"/>
    <w:rsid w:val="00474C81"/>
    <w:rsid w:val="004755E2"/>
    <w:rsid w:val="00477E9B"/>
    <w:rsid w:val="00481459"/>
    <w:rsid w:val="00481919"/>
    <w:rsid w:val="00482A5E"/>
    <w:rsid w:val="00482ECA"/>
    <w:rsid w:val="00482F04"/>
    <w:rsid w:val="0048399C"/>
    <w:rsid w:val="00484794"/>
    <w:rsid w:val="00485776"/>
    <w:rsid w:val="00485794"/>
    <w:rsid w:val="004867E2"/>
    <w:rsid w:val="00486826"/>
    <w:rsid w:val="0048693D"/>
    <w:rsid w:val="00487695"/>
    <w:rsid w:val="0048784D"/>
    <w:rsid w:val="00487DB8"/>
    <w:rsid w:val="00490415"/>
    <w:rsid w:val="0049116C"/>
    <w:rsid w:val="004919E4"/>
    <w:rsid w:val="004929DE"/>
    <w:rsid w:val="00492DB4"/>
    <w:rsid w:val="00492E2F"/>
    <w:rsid w:val="00493737"/>
    <w:rsid w:val="00493AA0"/>
    <w:rsid w:val="00493BCF"/>
    <w:rsid w:val="00494792"/>
    <w:rsid w:val="00494BC4"/>
    <w:rsid w:val="00495EBD"/>
    <w:rsid w:val="00496CD8"/>
    <w:rsid w:val="00497807"/>
    <w:rsid w:val="004979DF"/>
    <w:rsid w:val="004979EE"/>
    <w:rsid w:val="004A0670"/>
    <w:rsid w:val="004A085C"/>
    <w:rsid w:val="004A0D7A"/>
    <w:rsid w:val="004A1259"/>
    <w:rsid w:val="004A1A11"/>
    <w:rsid w:val="004A2567"/>
    <w:rsid w:val="004A299A"/>
    <w:rsid w:val="004A3251"/>
    <w:rsid w:val="004A3C52"/>
    <w:rsid w:val="004A414A"/>
    <w:rsid w:val="004A4851"/>
    <w:rsid w:val="004A4948"/>
    <w:rsid w:val="004A53F9"/>
    <w:rsid w:val="004A5C81"/>
    <w:rsid w:val="004A7328"/>
    <w:rsid w:val="004A7420"/>
    <w:rsid w:val="004A7EEF"/>
    <w:rsid w:val="004B0417"/>
    <w:rsid w:val="004B1541"/>
    <w:rsid w:val="004B1745"/>
    <w:rsid w:val="004B1BB5"/>
    <w:rsid w:val="004B2094"/>
    <w:rsid w:val="004B2999"/>
    <w:rsid w:val="004B348E"/>
    <w:rsid w:val="004B36F7"/>
    <w:rsid w:val="004B5F09"/>
    <w:rsid w:val="004B5F74"/>
    <w:rsid w:val="004B7ABA"/>
    <w:rsid w:val="004C04EB"/>
    <w:rsid w:val="004C1EC6"/>
    <w:rsid w:val="004C2053"/>
    <w:rsid w:val="004C210E"/>
    <w:rsid w:val="004C31E9"/>
    <w:rsid w:val="004C3664"/>
    <w:rsid w:val="004C3695"/>
    <w:rsid w:val="004C39D8"/>
    <w:rsid w:val="004C3B8E"/>
    <w:rsid w:val="004C4927"/>
    <w:rsid w:val="004C51DB"/>
    <w:rsid w:val="004C52E5"/>
    <w:rsid w:val="004C6631"/>
    <w:rsid w:val="004C6833"/>
    <w:rsid w:val="004D03FF"/>
    <w:rsid w:val="004D0413"/>
    <w:rsid w:val="004D1957"/>
    <w:rsid w:val="004D19BC"/>
    <w:rsid w:val="004D34FE"/>
    <w:rsid w:val="004D37A3"/>
    <w:rsid w:val="004D383F"/>
    <w:rsid w:val="004D3A9C"/>
    <w:rsid w:val="004D448C"/>
    <w:rsid w:val="004D6A79"/>
    <w:rsid w:val="004E067A"/>
    <w:rsid w:val="004E179B"/>
    <w:rsid w:val="004E2389"/>
    <w:rsid w:val="004E29AF"/>
    <w:rsid w:val="004E4DF3"/>
    <w:rsid w:val="004E50C2"/>
    <w:rsid w:val="004E58C1"/>
    <w:rsid w:val="004E6638"/>
    <w:rsid w:val="004E6742"/>
    <w:rsid w:val="004E6E72"/>
    <w:rsid w:val="004E784F"/>
    <w:rsid w:val="004F0F38"/>
    <w:rsid w:val="004F1185"/>
    <w:rsid w:val="004F11E2"/>
    <w:rsid w:val="004F2020"/>
    <w:rsid w:val="004F2CB6"/>
    <w:rsid w:val="004F3450"/>
    <w:rsid w:val="004F3FD2"/>
    <w:rsid w:val="004F412D"/>
    <w:rsid w:val="004F463B"/>
    <w:rsid w:val="004F5077"/>
    <w:rsid w:val="004F5EB7"/>
    <w:rsid w:val="004F6483"/>
    <w:rsid w:val="004F6899"/>
    <w:rsid w:val="004F6932"/>
    <w:rsid w:val="004F7375"/>
    <w:rsid w:val="004F7734"/>
    <w:rsid w:val="004F7B9D"/>
    <w:rsid w:val="00500094"/>
    <w:rsid w:val="005010BC"/>
    <w:rsid w:val="005038A9"/>
    <w:rsid w:val="0050447B"/>
    <w:rsid w:val="00505808"/>
    <w:rsid w:val="00505824"/>
    <w:rsid w:val="00505DF2"/>
    <w:rsid w:val="00506FCB"/>
    <w:rsid w:val="00507287"/>
    <w:rsid w:val="00507952"/>
    <w:rsid w:val="00510272"/>
    <w:rsid w:val="00510700"/>
    <w:rsid w:val="00510943"/>
    <w:rsid w:val="005113D5"/>
    <w:rsid w:val="00511D2F"/>
    <w:rsid w:val="00512511"/>
    <w:rsid w:val="005126C3"/>
    <w:rsid w:val="00513BAA"/>
    <w:rsid w:val="0051563D"/>
    <w:rsid w:val="00515D61"/>
    <w:rsid w:val="00516ABE"/>
    <w:rsid w:val="00516B0D"/>
    <w:rsid w:val="00517039"/>
    <w:rsid w:val="00517040"/>
    <w:rsid w:val="0051724C"/>
    <w:rsid w:val="0051744E"/>
    <w:rsid w:val="005175B6"/>
    <w:rsid w:val="0051775A"/>
    <w:rsid w:val="005179C7"/>
    <w:rsid w:val="00517DA8"/>
    <w:rsid w:val="0052107C"/>
    <w:rsid w:val="005221B7"/>
    <w:rsid w:val="00522F3D"/>
    <w:rsid w:val="005241D5"/>
    <w:rsid w:val="005246B5"/>
    <w:rsid w:val="005253C3"/>
    <w:rsid w:val="005257C4"/>
    <w:rsid w:val="00525C23"/>
    <w:rsid w:val="00526545"/>
    <w:rsid w:val="00526688"/>
    <w:rsid w:val="00527655"/>
    <w:rsid w:val="00527A63"/>
    <w:rsid w:val="0053006D"/>
    <w:rsid w:val="005300F7"/>
    <w:rsid w:val="00530100"/>
    <w:rsid w:val="005306A7"/>
    <w:rsid w:val="0053231E"/>
    <w:rsid w:val="00532802"/>
    <w:rsid w:val="0053414E"/>
    <w:rsid w:val="00534FC6"/>
    <w:rsid w:val="00536E0C"/>
    <w:rsid w:val="00536E8D"/>
    <w:rsid w:val="005375D0"/>
    <w:rsid w:val="005408C7"/>
    <w:rsid w:val="00541134"/>
    <w:rsid w:val="00541494"/>
    <w:rsid w:val="005422E7"/>
    <w:rsid w:val="00542D2C"/>
    <w:rsid w:val="005437FD"/>
    <w:rsid w:val="00544A4E"/>
    <w:rsid w:val="00544AAF"/>
    <w:rsid w:val="0054518C"/>
    <w:rsid w:val="0054543B"/>
    <w:rsid w:val="00546209"/>
    <w:rsid w:val="005464E3"/>
    <w:rsid w:val="005469C2"/>
    <w:rsid w:val="005500DC"/>
    <w:rsid w:val="0055041F"/>
    <w:rsid w:val="0055052B"/>
    <w:rsid w:val="0055202D"/>
    <w:rsid w:val="0055205D"/>
    <w:rsid w:val="00552D91"/>
    <w:rsid w:val="00552DA3"/>
    <w:rsid w:val="00552E99"/>
    <w:rsid w:val="00553E33"/>
    <w:rsid w:val="005541CC"/>
    <w:rsid w:val="00555C4C"/>
    <w:rsid w:val="00555D6E"/>
    <w:rsid w:val="00556E19"/>
    <w:rsid w:val="005571C2"/>
    <w:rsid w:val="005605FE"/>
    <w:rsid w:val="005611FC"/>
    <w:rsid w:val="00561559"/>
    <w:rsid w:val="0056239D"/>
    <w:rsid w:val="00562EEA"/>
    <w:rsid w:val="00562F72"/>
    <w:rsid w:val="0056304B"/>
    <w:rsid w:val="00563BD7"/>
    <w:rsid w:val="00565356"/>
    <w:rsid w:val="0056682B"/>
    <w:rsid w:val="00566B97"/>
    <w:rsid w:val="005672CB"/>
    <w:rsid w:val="005677AE"/>
    <w:rsid w:val="0057088C"/>
    <w:rsid w:val="00570C6C"/>
    <w:rsid w:val="005711DB"/>
    <w:rsid w:val="005717BE"/>
    <w:rsid w:val="0057191D"/>
    <w:rsid w:val="0057485E"/>
    <w:rsid w:val="00576B06"/>
    <w:rsid w:val="005773F2"/>
    <w:rsid w:val="005774D5"/>
    <w:rsid w:val="00577600"/>
    <w:rsid w:val="00577C74"/>
    <w:rsid w:val="00580448"/>
    <w:rsid w:val="00582238"/>
    <w:rsid w:val="00582482"/>
    <w:rsid w:val="005833ED"/>
    <w:rsid w:val="00583400"/>
    <w:rsid w:val="005842C9"/>
    <w:rsid w:val="00584334"/>
    <w:rsid w:val="005843D8"/>
    <w:rsid w:val="00585469"/>
    <w:rsid w:val="00585526"/>
    <w:rsid w:val="00586534"/>
    <w:rsid w:val="00590304"/>
    <w:rsid w:val="00591A14"/>
    <w:rsid w:val="00592104"/>
    <w:rsid w:val="00592775"/>
    <w:rsid w:val="005930F8"/>
    <w:rsid w:val="00593412"/>
    <w:rsid w:val="005934B7"/>
    <w:rsid w:val="0059380A"/>
    <w:rsid w:val="0059415C"/>
    <w:rsid w:val="005943CA"/>
    <w:rsid w:val="005950B8"/>
    <w:rsid w:val="005950D0"/>
    <w:rsid w:val="00595FD1"/>
    <w:rsid w:val="0059611B"/>
    <w:rsid w:val="0059724C"/>
    <w:rsid w:val="005A01A5"/>
    <w:rsid w:val="005A08E6"/>
    <w:rsid w:val="005A145A"/>
    <w:rsid w:val="005A1AA7"/>
    <w:rsid w:val="005A3EEC"/>
    <w:rsid w:val="005A40CF"/>
    <w:rsid w:val="005A42D6"/>
    <w:rsid w:val="005A46BF"/>
    <w:rsid w:val="005A4874"/>
    <w:rsid w:val="005A4D0B"/>
    <w:rsid w:val="005A5870"/>
    <w:rsid w:val="005A61B4"/>
    <w:rsid w:val="005A65E0"/>
    <w:rsid w:val="005A6DE8"/>
    <w:rsid w:val="005A6F08"/>
    <w:rsid w:val="005A735B"/>
    <w:rsid w:val="005A7C92"/>
    <w:rsid w:val="005B04D8"/>
    <w:rsid w:val="005B189C"/>
    <w:rsid w:val="005B19CE"/>
    <w:rsid w:val="005B37D6"/>
    <w:rsid w:val="005B54A2"/>
    <w:rsid w:val="005B5A7F"/>
    <w:rsid w:val="005B71D1"/>
    <w:rsid w:val="005B7E87"/>
    <w:rsid w:val="005C1496"/>
    <w:rsid w:val="005C22D5"/>
    <w:rsid w:val="005C294A"/>
    <w:rsid w:val="005C29F7"/>
    <w:rsid w:val="005C3443"/>
    <w:rsid w:val="005C3AEF"/>
    <w:rsid w:val="005C3E3F"/>
    <w:rsid w:val="005C4038"/>
    <w:rsid w:val="005C437C"/>
    <w:rsid w:val="005C46C8"/>
    <w:rsid w:val="005C5EF4"/>
    <w:rsid w:val="005C6AAE"/>
    <w:rsid w:val="005C6B93"/>
    <w:rsid w:val="005C6D76"/>
    <w:rsid w:val="005D1073"/>
    <w:rsid w:val="005D118D"/>
    <w:rsid w:val="005D1804"/>
    <w:rsid w:val="005D266C"/>
    <w:rsid w:val="005D2770"/>
    <w:rsid w:val="005D3300"/>
    <w:rsid w:val="005D3558"/>
    <w:rsid w:val="005D3615"/>
    <w:rsid w:val="005D45EB"/>
    <w:rsid w:val="005D48DD"/>
    <w:rsid w:val="005D49FB"/>
    <w:rsid w:val="005D4B3B"/>
    <w:rsid w:val="005D5D06"/>
    <w:rsid w:val="005D62B5"/>
    <w:rsid w:val="005D6D12"/>
    <w:rsid w:val="005D70E1"/>
    <w:rsid w:val="005D73D3"/>
    <w:rsid w:val="005D73FC"/>
    <w:rsid w:val="005D76DA"/>
    <w:rsid w:val="005D7B72"/>
    <w:rsid w:val="005E105D"/>
    <w:rsid w:val="005E13E6"/>
    <w:rsid w:val="005E2614"/>
    <w:rsid w:val="005E2695"/>
    <w:rsid w:val="005E52C5"/>
    <w:rsid w:val="005E5A8B"/>
    <w:rsid w:val="005E61A0"/>
    <w:rsid w:val="005E7144"/>
    <w:rsid w:val="005E7707"/>
    <w:rsid w:val="005F0482"/>
    <w:rsid w:val="005F128D"/>
    <w:rsid w:val="005F12D2"/>
    <w:rsid w:val="005F13AE"/>
    <w:rsid w:val="005F1428"/>
    <w:rsid w:val="005F1E4A"/>
    <w:rsid w:val="005F26CB"/>
    <w:rsid w:val="005F3989"/>
    <w:rsid w:val="005F3B91"/>
    <w:rsid w:val="005F42D3"/>
    <w:rsid w:val="005F56F9"/>
    <w:rsid w:val="005F6C04"/>
    <w:rsid w:val="005F6EB0"/>
    <w:rsid w:val="005F7210"/>
    <w:rsid w:val="00602862"/>
    <w:rsid w:val="00602FA5"/>
    <w:rsid w:val="006038A7"/>
    <w:rsid w:val="00603DDD"/>
    <w:rsid w:val="0060437B"/>
    <w:rsid w:val="0060581C"/>
    <w:rsid w:val="00606099"/>
    <w:rsid w:val="0060635C"/>
    <w:rsid w:val="006068DF"/>
    <w:rsid w:val="00607726"/>
    <w:rsid w:val="00607A1A"/>
    <w:rsid w:val="00607B0B"/>
    <w:rsid w:val="00610AC6"/>
    <w:rsid w:val="00611870"/>
    <w:rsid w:val="00611E03"/>
    <w:rsid w:val="00612C2F"/>
    <w:rsid w:val="00614782"/>
    <w:rsid w:val="00614E29"/>
    <w:rsid w:val="00614EC3"/>
    <w:rsid w:val="00616119"/>
    <w:rsid w:val="006162EE"/>
    <w:rsid w:val="006163FC"/>
    <w:rsid w:val="00616AC1"/>
    <w:rsid w:val="00617364"/>
    <w:rsid w:val="00620E49"/>
    <w:rsid w:val="00620EF1"/>
    <w:rsid w:val="0062216A"/>
    <w:rsid w:val="006221CE"/>
    <w:rsid w:val="006237FC"/>
    <w:rsid w:val="00624D37"/>
    <w:rsid w:val="0062531C"/>
    <w:rsid w:val="006253F9"/>
    <w:rsid w:val="00625634"/>
    <w:rsid w:val="00625CC5"/>
    <w:rsid w:val="00625E3D"/>
    <w:rsid w:val="00625EC1"/>
    <w:rsid w:val="00626366"/>
    <w:rsid w:val="006267D3"/>
    <w:rsid w:val="00626F7D"/>
    <w:rsid w:val="0062723E"/>
    <w:rsid w:val="00627713"/>
    <w:rsid w:val="00627B2F"/>
    <w:rsid w:val="00630199"/>
    <w:rsid w:val="00630689"/>
    <w:rsid w:val="00631133"/>
    <w:rsid w:val="006312CF"/>
    <w:rsid w:val="006317C9"/>
    <w:rsid w:val="00632292"/>
    <w:rsid w:val="00632295"/>
    <w:rsid w:val="00632475"/>
    <w:rsid w:val="00632C35"/>
    <w:rsid w:val="006340B0"/>
    <w:rsid w:val="0063450C"/>
    <w:rsid w:val="00635006"/>
    <w:rsid w:val="00635C66"/>
    <w:rsid w:val="00635FC7"/>
    <w:rsid w:val="00636395"/>
    <w:rsid w:val="006370E2"/>
    <w:rsid w:val="00640F12"/>
    <w:rsid w:val="00640FA1"/>
    <w:rsid w:val="006411A5"/>
    <w:rsid w:val="00641556"/>
    <w:rsid w:val="00641773"/>
    <w:rsid w:val="00641CB0"/>
    <w:rsid w:val="0064239F"/>
    <w:rsid w:val="00642FB6"/>
    <w:rsid w:val="00643389"/>
    <w:rsid w:val="00643D95"/>
    <w:rsid w:val="00644AB9"/>
    <w:rsid w:val="006456F1"/>
    <w:rsid w:val="006468AD"/>
    <w:rsid w:val="006501AE"/>
    <w:rsid w:val="00650BB2"/>
    <w:rsid w:val="00651F3A"/>
    <w:rsid w:val="0065257D"/>
    <w:rsid w:val="00652D12"/>
    <w:rsid w:val="00653E73"/>
    <w:rsid w:val="006547D4"/>
    <w:rsid w:val="00655D37"/>
    <w:rsid w:val="00656A90"/>
    <w:rsid w:val="00656D17"/>
    <w:rsid w:val="00656E9F"/>
    <w:rsid w:val="00657ACB"/>
    <w:rsid w:val="00657DD2"/>
    <w:rsid w:val="00657E7E"/>
    <w:rsid w:val="00661B1F"/>
    <w:rsid w:val="00661BFC"/>
    <w:rsid w:val="00662801"/>
    <w:rsid w:val="00662914"/>
    <w:rsid w:val="00662E5A"/>
    <w:rsid w:val="00663D5D"/>
    <w:rsid w:val="00664B6D"/>
    <w:rsid w:val="00664F67"/>
    <w:rsid w:val="00665297"/>
    <w:rsid w:val="006655E2"/>
    <w:rsid w:val="00666BBB"/>
    <w:rsid w:val="00667156"/>
    <w:rsid w:val="00667D68"/>
    <w:rsid w:val="00670086"/>
    <w:rsid w:val="00670249"/>
    <w:rsid w:val="006705E6"/>
    <w:rsid w:val="00670F54"/>
    <w:rsid w:val="00671553"/>
    <w:rsid w:val="006728F9"/>
    <w:rsid w:val="00674362"/>
    <w:rsid w:val="006746DA"/>
    <w:rsid w:val="00674C4D"/>
    <w:rsid w:val="00674DCF"/>
    <w:rsid w:val="00674DD1"/>
    <w:rsid w:val="006765C3"/>
    <w:rsid w:val="006767BC"/>
    <w:rsid w:val="00676A46"/>
    <w:rsid w:val="00677130"/>
    <w:rsid w:val="00677694"/>
    <w:rsid w:val="00677786"/>
    <w:rsid w:val="006779CE"/>
    <w:rsid w:val="00677C18"/>
    <w:rsid w:val="006803BA"/>
    <w:rsid w:val="0068097E"/>
    <w:rsid w:val="00680ABE"/>
    <w:rsid w:val="00681438"/>
    <w:rsid w:val="006828B3"/>
    <w:rsid w:val="00683935"/>
    <w:rsid w:val="006849C8"/>
    <w:rsid w:val="00684FB9"/>
    <w:rsid w:val="006851C6"/>
    <w:rsid w:val="006853E9"/>
    <w:rsid w:val="006869AF"/>
    <w:rsid w:val="00686B5C"/>
    <w:rsid w:val="006874C6"/>
    <w:rsid w:val="006902C5"/>
    <w:rsid w:val="006908DE"/>
    <w:rsid w:val="006922F5"/>
    <w:rsid w:val="006927E2"/>
    <w:rsid w:val="00692A4D"/>
    <w:rsid w:val="00692F82"/>
    <w:rsid w:val="006935DF"/>
    <w:rsid w:val="00694113"/>
    <w:rsid w:val="00694304"/>
    <w:rsid w:val="006947D9"/>
    <w:rsid w:val="006962A1"/>
    <w:rsid w:val="006963B9"/>
    <w:rsid w:val="00696E5E"/>
    <w:rsid w:val="006976F2"/>
    <w:rsid w:val="006A0370"/>
    <w:rsid w:val="006A0C0D"/>
    <w:rsid w:val="006A0D5F"/>
    <w:rsid w:val="006A1093"/>
    <w:rsid w:val="006A16DD"/>
    <w:rsid w:val="006A2587"/>
    <w:rsid w:val="006A2C1A"/>
    <w:rsid w:val="006A3287"/>
    <w:rsid w:val="006A33B8"/>
    <w:rsid w:val="006A3946"/>
    <w:rsid w:val="006A50CB"/>
    <w:rsid w:val="006A5346"/>
    <w:rsid w:val="006A58D7"/>
    <w:rsid w:val="006A641D"/>
    <w:rsid w:val="006A681F"/>
    <w:rsid w:val="006B06B5"/>
    <w:rsid w:val="006B1065"/>
    <w:rsid w:val="006B126A"/>
    <w:rsid w:val="006B20B8"/>
    <w:rsid w:val="006B2573"/>
    <w:rsid w:val="006B2EBD"/>
    <w:rsid w:val="006B2FD1"/>
    <w:rsid w:val="006B3CAF"/>
    <w:rsid w:val="006B3CFC"/>
    <w:rsid w:val="006B457D"/>
    <w:rsid w:val="006B57DD"/>
    <w:rsid w:val="006B79D4"/>
    <w:rsid w:val="006B7E71"/>
    <w:rsid w:val="006C0986"/>
    <w:rsid w:val="006C0CD8"/>
    <w:rsid w:val="006C22A1"/>
    <w:rsid w:val="006C276B"/>
    <w:rsid w:val="006C31AE"/>
    <w:rsid w:val="006C43C8"/>
    <w:rsid w:val="006C452E"/>
    <w:rsid w:val="006C45E7"/>
    <w:rsid w:val="006C522B"/>
    <w:rsid w:val="006C5AEE"/>
    <w:rsid w:val="006C5F30"/>
    <w:rsid w:val="006C679A"/>
    <w:rsid w:val="006C79B8"/>
    <w:rsid w:val="006D0186"/>
    <w:rsid w:val="006D09FE"/>
    <w:rsid w:val="006D0C40"/>
    <w:rsid w:val="006D13CB"/>
    <w:rsid w:val="006D15C1"/>
    <w:rsid w:val="006D201A"/>
    <w:rsid w:val="006D2279"/>
    <w:rsid w:val="006D23F8"/>
    <w:rsid w:val="006D24A4"/>
    <w:rsid w:val="006D2706"/>
    <w:rsid w:val="006D2783"/>
    <w:rsid w:val="006D3FEF"/>
    <w:rsid w:val="006D41FC"/>
    <w:rsid w:val="006D4400"/>
    <w:rsid w:val="006D48B2"/>
    <w:rsid w:val="006D4CD4"/>
    <w:rsid w:val="006D6DBF"/>
    <w:rsid w:val="006D732F"/>
    <w:rsid w:val="006D7340"/>
    <w:rsid w:val="006D767D"/>
    <w:rsid w:val="006D7AEF"/>
    <w:rsid w:val="006D7D28"/>
    <w:rsid w:val="006E06CA"/>
    <w:rsid w:val="006E0AC3"/>
    <w:rsid w:val="006E1033"/>
    <w:rsid w:val="006E110B"/>
    <w:rsid w:val="006E11E1"/>
    <w:rsid w:val="006E27DA"/>
    <w:rsid w:val="006E3CC2"/>
    <w:rsid w:val="006E4597"/>
    <w:rsid w:val="006E56EC"/>
    <w:rsid w:val="006E688D"/>
    <w:rsid w:val="006E6D75"/>
    <w:rsid w:val="006E76C4"/>
    <w:rsid w:val="006E77BE"/>
    <w:rsid w:val="006F0B59"/>
    <w:rsid w:val="006F106F"/>
    <w:rsid w:val="006F1432"/>
    <w:rsid w:val="006F2AF4"/>
    <w:rsid w:val="006F339B"/>
    <w:rsid w:val="006F4933"/>
    <w:rsid w:val="006F5640"/>
    <w:rsid w:val="006F5EE3"/>
    <w:rsid w:val="006F618A"/>
    <w:rsid w:val="006F62EA"/>
    <w:rsid w:val="006F693D"/>
    <w:rsid w:val="006F6FCD"/>
    <w:rsid w:val="006F745C"/>
    <w:rsid w:val="006F7964"/>
    <w:rsid w:val="007005B6"/>
    <w:rsid w:val="007019C0"/>
    <w:rsid w:val="00701A54"/>
    <w:rsid w:val="007023E2"/>
    <w:rsid w:val="007028EC"/>
    <w:rsid w:val="007035D8"/>
    <w:rsid w:val="00703BFA"/>
    <w:rsid w:val="007042F7"/>
    <w:rsid w:val="00705191"/>
    <w:rsid w:val="00705835"/>
    <w:rsid w:val="007064E3"/>
    <w:rsid w:val="0070703E"/>
    <w:rsid w:val="00707888"/>
    <w:rsid w:val="00707986"/>
    <w:rsid w:val="00707D22"/>
    <w:rsid w:val="007103BE"/>
    <w:rsid w:val="007107A0"/>
    <w:rsid w:val="00710E6F"/>
    <w:rsid w:val="00711D6C"/>
    <w:rsid w:val="00711E21"/>
    <w:rsid w:val="00711FB6"/>
    <w:rsid w:val="00712259"/>
    <w:rsid w:val="00712516"/>
    <w:rsid w:val="00712832"/>
    <w:rsid w:val="00712BD9"/>
    <w:rsid w:val="00713481"/>
    <w:rsid w:val="00713EB4"/>
    <w:rsid w:val="00713F05"/>
    <w:rsid w:val="007141CA"/>
    <w:rsid w:val="0071432A"/>
    <w:rsid w:val="0071471D"/>
    <w:rsid w:val="007147DB"/>
    <w:rsid w:val="00715168"/>
    <w:rsid w:val="00715665"/>
    <w:rsid w:val="007156B3"/>
    <w:rsid w:val="0071637F"/>
    <w:rsid w:val="00716597"/>
    <w:rsid w:val="00716DC6"/>
    <w:rsid w:val="00716FED"/>
    <w:rsid w:val="00717C50"/>
    <w:rsid w:val="00720F62"/>
    <w:rsid w:val="00720FA1"/>
    <w:rsid w:val="007217B9"/>
    <w:rsid w:val="00721E5D"/>
    <w:rsid w:val="007221C7"/>
    <w:rsid w:val="00722691"/>
    <w:rsid w:val="007238E8"/>
    <w:rsid w:val="00723EEC"/>
    <w:rsid w:val="0072413F"/>
    <w:rsid w:val="007242F7"/>
    <w:rsid w:val="00724C4F"/>
    <w:rsid w:val="00724DE0"/>
    <w:rsid w:val="00724F5D"/>
    <w:rsid w:val="0072511E"/>
    <w:rsid w:val="00725AE7"/>
    <w:rsid w:val="00725BBA"/>
    <w:rsid w:val="00725C92"/>
    <w:rsid w:val="00725FB9"/>
    <w:rsid w:val="007266DD"/>
    <w:rsid w:val="00726924"/>
    <w:rsid w:val="00730020"/>
    <w:rsid w:val="00730573"/>
    <w:rsid w:val="00730D62"/>
    <w:rsid w:val="0073200B"/>
    <w:rsid w:val="00732DEC"/>
    <w:rsid w:val="007333AD"/>
    <w:rsid w:val="00733815"/>
    <w:rsid w:val="007356CE"/>
    <w:rsid w:val="007360BF"/>
    <w:rsid w:val="007361B5"/>
    <w:rsid w:val="00736C0B"/>
    <w:rsid w:val="00736CBF"/>
    <w:rsid w:val="007375FB"/>
    <w:rsid w:val="00737D4D"/>
    <w:rsid w:val="007406E6"/>
    <w:rsid w:val="00741D3D"/>
    <w:rsid w:val="00742743"/>
    <w:rsid w:val="00742F16"/>
    <w:rsid w:val="007433D5"/>
    <w:rsid w:val="007453BE"/>
    <w:rsid w:val="00745C83"/>
    <w:rsid w:val="007468E5"/>
    <w:rsid w:val="00746CAC"/>
    <w:rsid w:val="00746CCD"/>
    <w:rsid w:val="007477F3"/>
    <w:rsid w:val="00747CE1"/>
    <w:rsid w:val="0075009C"/>
    <w:rsid w:val="007503C1"/>
    <w:rsid w:val="007517A6"/>
    <w:rsid w:val="00751D77"/>
    <w:rsid w:val="007532B7"/>
    <w:rsid w:val="00753AD9"/>
    <w:rsid w:val="007545C7"/>
    <w:rsid w:val="0075466E"/>
    <w:rsid w:val="007546E7"/>
    <w:rsid w:val="00755584"/>
    <w:rsid w:val="00756250"/>
    <w:rsid w:val="00757218"/>
    <w:rsid w:val="00757C8B"/>
    <w:rsid w:val="0076005C"/>
    <w:rsid w:val="00760422"/>
    <w:rsid w:val="0076074F"/>
    <w:rsid w:val="007607C5"/>
    <w:rsid w:val="0076111D"/>
    <w:rsid w:val="00761181"/>
    <w:rsid w:val="0076178E"/>
    <w:rsid w:val="00762046"/>
    <w:rsid w:val="007623C2"/>
    <w:rsid w:val="00762B2E"/>
    <w:rsid w:val="00763053"/>
    <w:rsid w:val="007635C1"/>
    <w:rsid w:val="00764296"/>
    <w:rsid w:val="0076578B"/>
    <w:rsid w:val="00765E0C"/>
    <w:rsid w:val="00766969"/>
    <w:rsid w:val="00766B42"/>
    <w:rsid w:val="0076731D"/>
    <w:rsid w:val="0076756E"/>
    <w:rsid w:val="00767650"/>
    <w:rsid w:val="0076795F"/>
    <w:rsid w:val="00767A90"/>
    <w:rsid w:val="00770588"/>
    <w:rsid w:val="00770DC7"/>
    <w:rsid w:val="00770EDE"/>
    <w:rsid w:val="00771825"/>
    <w:rsid w:val="00771C75"/>
    <w:rsid w:val="007727EC"/>
    <w:rsid w:val="00772813"/>
    <w:rsid w:val="00772E0E"/>
    <w:rsid w:val="00773975"/>
    <w:rsid w:val="0077397E"/>
    <w:rsid w:val="00773D40"/>
    <w:rsid w:val="00774080"/>
    <w:rsid w:val="0077409E"/>
    <w:rsid w:val="00774261"/>
    <w:rsid w:val="00775487"/>
    <w:rsid w:val="007760B9"/>
    <w:rsid w:val="007772CA"/>
    <w:rsid w:val="0077738D"/>
    <w:rsid w:val="007773CA"/>
    <w:rsid w:val="007800E4"/>
    <w:rsid w:val="0078014A"/>
    <w:rsid w:val="0078070C"/>
    <w:rsid w:val="00780B05"/>
    <w:rsid w:val="00780D7E"/>
    <w:rsid w:val="00781249"/>
    <w:rsid w:val="007813C9"/>
    <w:rsid w:val="0078265D"/>
    <w:rsid w:val="00784541"/>
    <w:rsid w:val="007857AC"/>
    <w:rsid w:val="00786462"/>
    <w:rsid w:val="00787790"/>
    <w:rsid w:val="007902B9"/>
    <w:rsid w:val="007910F7"/>
    <w:rsid w:val="007912AF"/>
    <w:rsid w:val="007938DE"/>
    <w:rsid w:val="0079449C"/>
    <w:rsid w:val="00794C85"/>
    <w:rsid w:val="00794DF2"/>
    <w:rsid w:val="007951D2"/>
    <w:rsid w:val="007968CC"/>
    <w:rsid w:val="00796FB7"/>
    <w:rsid w:val="0079708B"/>
    <w:rsid w:val="007979F3"/>
    <w:rsid w:val="007A09EB"/>
    <w:rsid w:val="007A0EA6"/>
    <w:rsid w:val="007A1535"/>
    <w:rsid w:val="007A1B84"/>
    <w:rsid w:val="007A2C41"/>
    <w:rsid w:val="007A469F"/>
    <w:rsid w:val="007A4FD1"/>
    <w:rsid w:val="007A5900"/>
    <w:rsid w:val="007A7578"/>
    <w:rsid w:val="007B01E0"/>
    <w:rsid w:val="007B04A9"/>
    <w:rsid w:val="007B16AC"/>
    <w:rsid w:val="007B1D5C"/>
    <w:rsid w:val="007B2009"/>
    <w:rsid w:val="007B3994"/>
    <w:rsid w:val="007B4792"/>
    <w:rsid w:val="007B54E0"/>
    <w:rsid w:val="007B5D05"/>
    <w:rsid w:val="007B5D1E"/>
    <w:rsid w:val="007B5E40"/>
    <w:rsid w:val="007B5FD5"/>
    <w:rsid w:val="007B6C04"/>
    <w:rsid w:val="007B7D54"/>
    <w:rsid w:val="007C0643"/>
    <w:rsid w:val="007C2217"/>
    <w:rsid w:val="007C299A"/>
    <w:rsid w:val="007C2A75"/>
    <w:rsid w:val="007C2E29"/>
    <w:rsid w:val="007C3AA3"/>
    <w:rsid w:val="007C3ADD"/>
    <w:rsid w:val="007C471C"/>
    <w:rsid w:val="007C5220"/>
    <w:rsid w:val="007C52D3"/>
    <w:rsid w:val="007C5360"/>
    <w:rsid w:val="007C6AFB"/>
    <w:rsid w:val="007C72D8"/>
    <w:rsid w:val="007D042B"/>
    <w:rsid w:val="007D0516"/>
    <w:rsid w:val="007D052E"/>
    <w:rsid w:val="007D16BA"/>
    <w:rsid w:val="007D1953"/>
    <w:rsid w:val="007D2B29"/>
    <w:rsid w:val="007D2E40"/>
    <w:rsid w:val="007D33EC"/>
    <w:rsid w:val="007D396C"/>
    <w:rsid w:val="007D3C23"/>
    <w:rsid w:val="007D4086"/>
    <w:rsid w:val="007D4258"/>
    <w:rsid w:val="007D4705"/>
    <w:rsid w:val="007D64C2"/>
    <w:rsid w:val="007E000D"/>
    <w:rsid w:val="007E07CC"/>
    <w:rsid w:val="007E175B"/>
    <w:rsid w:val="007E37B1"/>
    <w:rsid w:val="007E3EB5"/>
    <w:rsid w:val="007E3F8A"/>
    <w:rsid w:val="007E4923"/>
    <w:rsid w:val="007E51B2"/>
    <w:rsid w:val="007E57E4"/>
    <w:rsid w:val="007E6653"/>
    <w:rsid w:val="007E68B3"/>
    <w:rsid w:val="007E69DF"/>
    <w:rsid w:val="007E75AA"/>
    <w:rsid w:val="007E7D37"/>
    <w:rsid w:val="007F0538"/>
    <w:rsid w:val="007F0833"/>
    <w:rsid w:val="007F0C45"/>
    <w:rsid w:val="007F1217"/>
    <w:rsid w:val="007F1B49"/>
    <w:rsid w:val="007F3240"/>
    <w:rsid w:val="007F3645"/>
    <w:rsid w:val="007F46DE"/>
    <w:rsid w:val="007F4700"/>
    <w:rsid w:val="007F4CD1"/>
    <w:rsid w:val="007F55F0"/>
    <w:rsid w:val="007F58DD"/>
    <w:rsid w:val="007F6791"/>
    <w:rsid w:val="008008CA"/>
    <w:rsid w:val="00800F16"/>
    <w:rsid w:val="00800F72"/>
    <w:rsid w:val="008020C3"/>
    <w:rsid w:val="00802131"/>
    <w:rsid w:val="00802F19"/>
    <w:rsid w:val="008039DF"/>
    <w:rsid w:val="00803F61"/>
    <w:rsid w:val="008042F0"/>
    <w:rsid w:val="0080493D"/>
    <w:rsid w:val="00804ACC"/>
    <w:rsid w:val="00805E44"/>
    <w:rsid w:val="00806F6C"/>
    <w:rsid w:val="00807C8F"/>
    <w:rsid w:val="00807D71"/>
    <w:rsid w:val="00811279"/>
    <w:rsid w:val="00811C26"/>
    <w:rsid w:val="00812A44"/>
    <w:rsid w:val="008131CA"/>
    <w:rsid w:val="0081438B"/>
    <w:rsid w:val="00817ED9"/>
    <w:rsid w:val="00820059"/>
    <w:rsid w:val="008200AC"/>
    <w:rsid w:val="008220E8"/>
    <w:rsid w:val="00822488"/>
    <w:rsid w:val="00822960"/>
    <w:rsid w:val="00823382"/>
    <w:rsid w:val="008245C4"/>
    <w:rsid w:val="00824695"/>
    <w:rsid w:val="008246D4"/>
    <w:rsid w:val="008249AB"/>
    <w:rsid w:val="008263B6"/>
    <w:rsid w:val="008264EB"/>
    <w:rsid w:val="008268AC"/>
    <w:rsid w:val="00827262"/>
    <w:rsid w:val="00827924"/>
    <w:rsid w:val="00827FFB"/>
    <w:rsid w:val="00830756"/>
    <w:rsid w:val="00830ED3"/>
    <w:rsid w:val="0083159F"/>
    <w:rsid w:val="008358AC"/>
    <w:rsid w:val="00836727"/>
    <w:rsid w:val="008367FF"/>
    <w:rsid w:val="008370D4"/>
    <w:rsid w:val="008377B9"/>
    <w:rsid w:val="00837A90"/>
    <w:rsid w:val="00840541"/>
    <w:rsid w:val="00840E69"/>
    <w:rsid w:val="00842029"/>
    <w:rsid w:val="008429D8"/>
    <w:rsid w:val="0084391E"/>
    <w:rsid w:val="00843E25"/>
    <w:rsid w:val="00844925"/>
    <w:rsid w:val="0084624A"/>
    <w:rsid w:val="008462B0"/>
    <w:rsid w:val="00847E3A"/>
    <w:rsid w:val="0085094C"/>
    <w:rsid w:val="0085137D"/>
    <w:rsid w:val="00851D97"/>
    <w:rsid w:val="0085220D"/>
    <w:rsid w:val="00852614"/>
    <w:rsid w:val="00853998"/>
    <w:rsid w:val="00853BEE"/>
    <w:rsid w:val="00853C4A"/>
    <w:rsid w:val="00854682"/>
    <w:rsid w:val="00854A1A"/>
    <w:rsid w:val="00855A49"/>
    <w:rsid w:val="00855DBD"/>
    <w:rsid w:val="0085688E"/>
    <w:rsid w:val="00856DF5"/>
    <w:rsid w:val="00857424"/>
    <w:rsid w:val="008576A9"/>
    <w:rsid w:val="00857E76"/>
    <w:rsid w:val="0086059A"/>
    <w:rsid w:val="008608B1"/>
    <w:rsid w:val="00863871"/>
    <w:rsid w:val="00863FD6"/>
    <w:rsid w:val="00864B8D"/>
    <w:rsid w:val="008654E7"/>
    <w:rsid w:val="00865523"/>
    <w:rsid w:val="00865932"/>
    <w:rsid w:val="00865E97"/>
    <w:rsid w:val="00865F07"/>
    <w:rsid w:val="00866FAA"/>
    <w:rsid w:val="0086728D"/>
    <w:rsid w:val="00870129"/>
    <w:rsid w:val="0087021C"/>
    <w:rsid w:val="00872059"/>
    <w:rsid w:val="00872EDF"/>
    <w:rsid w:val="00873673"/>
    <w:rsid w:val="0087382B"/>
    <w:rsid w:val="008743A9"/>
    <w:rsid w:val="00875AAA"/>
    <w:rsid w:val="00875BAE"/>
    <w:rsid w:val="00875C5B"/>
    <w:rsid w:val="0087616B"/>
    <w:rsid w:val="008767D7"/>
    <w:rsid w:val="00876D78"/>
    <w:rsid w:val="008772B2"/>
    <w:rsid w:val="00877323"/>
    <w:rsid w:val="0088006B"/>
    <w:rsid w:val="008803A1"/>
    <w:rsid w:val="008805D2"/>
    <w:rsid w:val="008810E2"/>
    <w:rsid w:val="0088122A"/>
    <w:rsid w:val="00881F76"/>
    <w:rsid w:val="008820B6"/>
    <w:rsid w:val="00882D13"/>
    <w:rsid w:val="008839CD"/>
    <w:rsid w:val="00884AA6"/>
    <w:rsid w:val="008864E2"/>
    <w:rsid w:val="00886852"/>
    <w:rsid w:val="00886F35"/>
    <w:rsid w:val="00887E3D"/>
    <w:rsid w:val="0089278F"/>
    <w:rsid w:val="00892AC8"/>
    <w:rsid w:val="008949D3"/>
    <w:rsid w:val="008949DA"/>
    <w:rsid w:val="00895592"/>
    <w:rsid w:val="00897274"/>
    <w:rsid w:val="00897955"/>
    <w:rsid w:val="00897E5A"/>
    <w:rsid w:val="008A030F"/>
    <w:rsid w:val="008A07AF"/>
    <w:rsid w:val="008A0C2D"/>
    <w:rsid w:val="008A0DAB"/>
    <w:rsid w:val="008A2A0A"/>
    <w:rsid w:val="008A2C6B"/>
    <w:rsid w:val="008A3DC2"/>
    <w:rsid w:val="008A3EBB"/>
    <w:rsid w:val="008A4580"/>
    <w:rsid w:val="008A49FA"/>
    <w:rsid w:val="008A4AC8"/>
    <w:rsid w:val="008A4E8B"/>
    <w:rsid w:val="008A58F9"/>
    <w:rsid w:val="008A5E60"/>
    <w:rsid w:val="008A6ACE"/>
    <w:rsid w:val="008A7167"/>
    <w:rsid w:val="008A7502"/>
    <w:rsid w:val="008B014E"/>
    <w:rsid w:val="008B01F7"/>
    <w:rsid w:val="008B0B76"/>
    <w:rsid w:val="008B265C"/>
    <w:rsid w:val="008B2CD9"/>
    <w:rsid w:val="008B652F"/>
    <w:rsid w:val="008B65D4"/>
    <w:rsid w:val="008B68E7"/>
    <w:rsid w:val="008C0D64"/>
    <w:rsid w:val="008C1140"/>
    <w:rsid w:val="008C1853"/>
    <w:rsid w:val="008C2654"/>
    <w:rsid w:val="008C61E6"/>
    <w:rsid w:val="008C627F"/>
    <w:rsid w:val="008C6320"/>
    <w:rsid w:val="008C6AFF"/>
    <w:rsid w:val="008C76A2"/>
    <w:rsid w:val="008D007E"/>
    <w:rsid w:val="008D09DE"/>
    <w:rsid w:val="008D1AD5"/>
    <w:rsid w:val="008D2652"/>
    <w:rsid w:val="008D273B"/>
    <w:rsid w:val="008D29D5"/>
    <w:rsid w:val="008D2B74"/>
    <w:rsid w:val="008D2E2B"/>
    <w:rsid w:val="008D406A"/>
    <w:rsid w:val="008D5AFD"/>
    <w:rsid w:val="008D7939"/>
    <w:rsid w:val="008D7CEF"/>
    <w:rsid w:val="008E11E8"/>
    <w:rsid w:val="008E1301"/>
    <w:rsid w:val="008E1675"/>
    <w:rsid w:val="008E2174"/>
    <w:rsid w:val="008E35B3"/>
    <w:rsid w:val="008E3658"/>
    <w:rsid w:val="008E4028"/>
    <w:rsid w:val="008E59EB"/>
    <w:rsid w:val="008E5D6A"/>
    <w:rsid w:val="008E6232"/>
    <w:rsid w:val="008E6D69"/>
    <w:rsid w:val="008E7481"/>
    <w:rsid w:val="008E7950"/>
    <w:rsid w:val="008F0670"/>
    <w:rsid w:val="008F16F3"/>
    <w:rsid w:val="008F214D"/>
    <w:rsid w:val="008F26C0"/>
    <w:rsid w:val="008F270A"/>
    <w:rsid w:val="008F29DA"/>
    <w:rsid w:val="008F2F2E"/>
    <w:rsid w:val="008F363F"/>
    <w:rsid w:val="008F3E40"/>
    <w:rsid w:val="008F471E"/>
    <w:rsid w:val="008F4FB3"/>
    <w:rsid w:val="008F5476"/>
    <w:rsid w:val="008F5AB5"/>
    <w:rsid w:val="008F6723"/>
    <w:rsid w:val="008F6875"/>
    <w:rsid w:val="008F6BC9"/>
    <w:rsid w:val="008F733A"/>
    <w:rsid w:val="00901462"/>
    <w:rsid w:val="00901C58"/>
    <w:rsid w:val="00901D6C"/>
    <w:rsid w:val="00902A76"/>
    <w:rsid w:val="00902B86"/>
    <w:rsid w:val="00902DED"/>
    <w:rsid w:val="00904474"/>
    <w:rsid w:val="00904749"/>
    <w:rsid w:val="00904AF1"/>
    <w:rsid w:val="00904D1C"/>
    <w:rsid w:val="00905443"/>
    <w:rsid w:val="00906DEB"/>
    <w:rsid w:val="00907BFE"/>
    <w:rsid w:val="0091137C"/>
    <w:rsid w:val="00911CBC"/>
    <w:rsid w:val="00912844"/>
    <w:rsid w:val="0091343D"/>
    <w:rsid w:val="0091384C"/>
    <w:rsid w:val="0091438A"/>
    <w:rsid w:val="00916128"/>
    <w:rsid w:val="00916176"/>
    <w:rsid w:val="0091665D"/>
    <w:rsid w:val="009177AF"/>
    <w:rsid w:val="0091791A"/>
    <w:rsid w:val="00920923"/>
    <w:rsid w:val="009213F3"/>
    <w:rsid w:val="0092204C"/>
    <w:rsid w:val="00922DEE"/>
    <w:rsid w:val="009238AA"/>
    <w:rsid w:val="00923BBA"/>
    <w:rsid w:val="00923CD1"/>
    <w:rsid w:val="009242C5"/>
    <w:rsid w:val="009244B8"/>
    <w:rsid w:val="00925748"/>
    <w:rsid w:val="009258FE"/>
    <w:rsid w:val="00925F95"/>
    <w:rsid w:val="009260C6"/>
    <w:rsid w:val="00927BB3"/>
    <w:rsid w:val="00927CF2"/>
    <w:rsid w:val="00927FF6"/>
    <w:rsid w:val="009314D3"/>
    <w:rsid w:val="00932407"/>
    <w:rsid w:val="00933335"/>
    <w:rsid w:val="0093393C"/>
    <w:rsid w:val="00933B21"/>
    <w:rsid w:val="00933DAA"/>
    <w:rsid w:val="00933DF9"/>
    <w:rsid w:val="00933EC2"/>
    <w:rsid w:val="00935728"/>
    <w:rsid w:val="009374DD"/>
    <w:rsid w:val="00937ACC"/>
    <w:rsid w:val="00941048"/>
    <w:rsid w:val="009417FF"/>
    <w:rsid w:val="009424A5"/>
    <w:rsid w:val="00942FAA"/>
    <w:rsid w:val="00943BC0"/>
    <w:rsid w:val="00943D7D"/>
    <w:rsid w:val="00944187"/>
    <w:rsid w:val="00944403"/>
    <w:rsid w:val="0094493E"/>
    <w:rsid w:val="00947536"/>
    <w:rsid w:val="00950089"/>
    <w:rsid w:val="00950F3D"/>
    <w:rsid w:val="00952AB8"/>
    <w:rsid w:val="00952DF9"/>
    <w:rsid w:val="009540E2"/>
    <w:rsid w:val="00954887"/>
    <w:rsid w:val="0095539D"/>
    <w:rsid w:val="00957365"/>
    <w:rsid w:val="009577B5"/>
    <w:rsid w:val="00957E88"/>
    <w:rsid w:val="00961013"/>
    <w:rsid w:val="00961121"/>
    <w:rsid w:val="00961994"/>
    <w:rsid w:val="00961B39"/>
    <w:rsid w:val="00961FBE"/>
    <w:rsid w:val="0096273F"/>
    <w:rsid w:val="00962E1F"/>
    <w:rsid w:val="00964277"/>
    <w:rsid w:val="00964959"/>
    <w:rsid w:val="00965752"/>
    <w:rsid w:val="009670A3"/>
    <w:rsid w:val="009675B8"/>
    <w:rsid w:val="009701F9"/>
    <w:rsid w:val="009704C5"/>
    <w:rsid w:val="00971FED"/>
    <w:rsid w:val="009726DC"/>
    <w:rsid w:val="009727F9"/>
    <w:rsid w:val="00972F50"/>
    <w:rsid w:val="00973064"/>
    <w:rsid w:val="009739B0"/>
    <w:rsid w:val="00974D8A"/>
    <w:rsid w:val="0097515A"/>
    <w:rsid w:val="0097582E"/>
    <w:rsid w:val="00977A9F"/>
    <w:rsid w:val="00977D26"/>
    <w:rsid w:val="00977E26"/>
    <w:rsid w:val="009805EC"/>
    <w:rsid w:val="0098071E"/>
    <w:rsid w:val="00980EC4"/>
    <w:rsid w:val="00981707"/>
    <w:rsid w:val="00981CBC"/>
    <w:rsid w:val="00983265"/>
    <w:rsid w:val="00984227"/>
    <w:rsid w:val="00984F72"/>
    <w:rsid w:val="0098641A"/>
    <w:rsid w:val="00986B8D"/>
    <w:rsid w:val="0099012D"/>
    <w:rsid w:val="009904EA"/>
    <w:rsid w:val="0099092C"/>
    <w:rsid w:val="00991916"/>
    <w:rsid w:val="00991AF5"/>
    <w:rsid w:val="00992054"/>
    <w:rsid w:val="00992215"/>
    <w:rsid w:val="009931FE"/>
    <w:rsid w:val="0099343F"/>
    <w:rsid w:val="00993DE6"/>
    <w:rsid w:val="00994086"/>
    <w:rsid w:val="0099467D"/>
    <w:rsid w:val="00994BB6"/>
    <w:rsid w:val="00995094"/>
    <w:rsid w:val="00995245"/>
    <w:rsid w:val="0099552E"/>
    <w:rsid w:val="0099566B"/>
    <w:rsid w:val="00995DBD"/>
    <w:rsid w:val="009961BA"/>
    <w:rsid w:val="00997DB5"/>
    <w:rsid w:val="009A007B"/>
    <w:rsid w:val="009A0425"/>
    <w:rsid w:val="009A1CE7"/>
    <w:rsid w:val="009A263C"/>
    <w:rsid w:val="009A28FD"/>
    <w:rsid w:val="009A471F"/>
    <w:rsid w:val="009A5185"/>
    <w:rsid w:val="009A63A8"/>
    <w:rsid w:val="009A745A"/>
    <w:rsid w:val="009A769B"/>
    <w:rsid w:val="009A7E2C"/>
    <w:rsid w:val="009B053D"/>
    <w:rsid w:val="009B0877"/>
    <w:rsid w:val="009B1CB0"/>
    <w:rsid w:val="009B1FF6"/>
    <w:rsid w:val="009B2BC5"/>
    <w:rsid w:val="009B30F6"/>
    <w:rsid w:val="009B3683"/>
    <w:rsid w:val="009B3743"/>
    <w:rsid w:val="009B3E5D"/>
    <w:rsid w:val="009B5142"/>
    <w:rsid w:val="009B57A5"/>
    <w:rsid w:val="009B5D1B"/>
    <w:rsid w:val="009B60AC"/>
    <w:rsid w:val="009B64E3"/>
    <w:rsid w:val="009B7072"/>
    <w:rsid w:val="009B70A9"/>
    <w:rsid w:val="009C1F3D"/>
    <w:rsid w:val="009C3A24"/>
    <w:rsid w:val="009C3D7C"/>
    <w:rsid w:val="009C4F0D"/>
    <w:rsid w:val="009C5238"/>
    <w:rsid w:val="009C529C"/>
    <w:rsid w:val="009C5964"/>
    <w:rsid w:val="009C5F94"/>
    <w:rsid w:val="009C672E"/>
    <w:rsid w:val="009C6956"/>
    <w:rsid w:val="009C69F1"/>
    <w:rsid w:val="009C6A87"/>
    <w:rsid w:val="009C77A3"/>
    <w:rsid w:val="009D0766"/>
    <w:rsid w:val="009D0AF4"/>
    <w:rsid w:val="009D0B19"/>
    <w:rsid w:val="009D0B90"/>
    <w:rsid w:val="009D1237"/>
    <w:rsid w:val="009D1A6C"/>
    <w:rsid w:val="009D20AD"/>
    <w:rsid w:val="009D29A2"/>
    <w:rsid w:val="009D30F9"/>
    <w:rsid w:val="009D3475"/>
    <w:rsid w:val="009D3827"/>
    <w:rsid w:val="009D3D55"/>
    <w:rsid w:val="009D4668"/>
    <w:rsid w:val="009D4A95"/>
    <w:rsid w:val="009D6852"/>
    <w:rsid w:val="009D7162"/>
    <w:rsid w:val="009D7465"/>
    <w:rsid w:val="009D779F"/>
    <w:rsid w:val="009E0170"/>
    <w:rsid w:val="009E0725"/>
    <w:rsid w:val="009E0D48"/>
    <w:rsid w:val="009E1156"/>
    <w:rsid w:val="009E1885"/>
    <w:rsid w:val="009E1F38"/>
    <w:rsid w:val="009E2274"/>
    <w:rsid w:val="009E3352"/>
    <w:rsid w:val="009E3823"/>
    <w:rsid w:val="009E445C"/>
    <w:rsid w:val="009E45D5"/>
    <w:rsid w:val="009E47FF"/>
    <w:rsid w:val="009E4A7C"/>
    <w:rsid w:val="009E5D18"/>
    <w:rsid w:val="009E625B"/>
    <w:rsid w:val="009E6B78"/>
    <w:rsid w:val="009E6D37"/>
    <w:rsid w:val="009E729B"/>
    <w:rsid w:val="009E7D9A"/>
    <w:rsid w:val="009F017D"/>
    <w:rsid w:val="009F029B"/>
    <w:rsid w:val="009F1EC9"/>
    <w:rsid w:val="009F2855"/>
    <w:rsid w:val="009F286F"/>
    <w:rsid w:val="009F33F8"/>
    <w:rsid w:val="009F430A"/>
    <w:rsid w:val="009F4ACF"/>
    <w:rsid w:val="009F4AEC"/>
    <w:rsid w:val="009F524E"/>
    <w:rsid w:val="009F5557"/>
    <w:rsid w:val="009F566C"/>
    <w:rsid w:val="009F623E"/>
    <w:rsid w:val="009F7242"/>
    <w:rsid w:val="009F75CC"/>
    <w:rsid w:val="00A0027A"/>
    <w:rsid w:val="00A01686"/>
    <w:rsid w:val="00A02037"/>
    <w:rsid w:val="00A025CD"/>
    <w:rsid w:val="00A02BFF"/>
    <w:rsid w:val="00A03D2C"/>
    <w:rsid w:val="00A03E0A"/>
    <w:rsid w:val="00A047AA"/>
    <w:rsid w:val="00A0505D"/>
    <w:rsid w:val="00A050BF"/>
    <w:rsid w:val="00A0554C"/>
    <w:rsid w:val="00A1015B"/>
    <w:rsid w:val="00A12A3C"/>
    <w:rsid w:val="00A12B60"/>
    <w:rsid w:val="00A13963"/>
    <w:rsid w:val="00A1397E"/>
    <w:rsid w:val="00A139AB"/>
    <w:rsid w:val="00A13BBF"/>
    <w:rsid w:val="00A146CB"/>
    <w:rsid w:val="00A14828"/>
    <w:rsid w:val="00A15082"/>
    <w:rsid w:val="00A15133"/>
    <w:rsid w:val="00A154EF"/>
    <w:rsid w:val="00A16AEE"/>
    <w:rsid w:val="00A179C2"/>
    <w:rsid w:val="00A17C91"/>
    <w:rsid w:val="00A20217"/>
    <w:rsid w:val="00A204C3"/>
    <w:rsid w:val="00A21F82"/>
    <w:rsid w:val="00A22D7D"/>
    <w:rsid w:val="00A235B6"/>
    <w:rsid w:val="00A24A03"/>
    <w:rsid w:val="00A255A8"/>
    <w:rsid w:val="00A256A1"/>
    <w:rsid w:val="00A25AF1"/>
    <w:rsid w:val="00A25B94"/>
    <w:rsid w:val="00A26D46"/>
    <w:rsid w:val="00A2744B"/>
    <w:rsid w:val="00A27973"/>
    <w:rsid w:val="00A30A04"/>
    <w:rsid w:val="00A32FCE"/>
    <w:rsid w:val="00A33407"/>
    <w:rsid w:val="00A3471E"/>
    <w:rsid w:val="00A361EF"/>
    <w:rsid w:val="00A369E8"/>
    <w:rsid w:val="00A36C1F"/>
    <w:rsid w:val="00A37762"/>
    <w:rsid w:val="00A40CF1"/>
    <w:rsid w:val="00A410D7"/>
    <w:rsid w:val="00A4199A"/>
    <w:rsid w:val="00A4343F"/>
    <w:rsid w:val="00A44515"/>
    <w:rsid w:val="00A4486B"/>
    <w:rsid w:val="00A44FD5"/>
    <w:rsid w:val="00A4512D"/>
    <w:rsid w:val="00A469C6"/>
    <w:rsid w:val="00A46F37"/>
    <w:rsid w:val="00A47940"/>
    <w:rsid w:val="00A47A54"/>
    <w:rsid w:val="00A47F32"/>
    <w:rsid w:val="00A51189"/>
    <w:rsid w:val="00A516D3"/>
    <w:rsid w:val="00A53484"/>
    <w:rsid w:val="00A53889"/>
    <w:rsid w:val="00A53931"/>
    <w:rsid w:val="00A541E1"/>
    <w:rsid w:val="00A54775"/>
    <w:rsid w:val="00A5502C"/>
    <w:rsid w:val="00A55549"/>
    <w:rsid w:val="00A55599"/>
    <w:rsid w:val="00A559B1"/>
    <w:rsid w:val="00A5694A"/>
    <w:rsid w:val="00A56999"/>
    <w:rsid w:val="00A56E95"/>
    <w:rsid w:val="00A5736F"/>
    <w:rsid w:val="00A57E0B"/>
    <w:rsid w:val="00A57EBA"/>
    <w:rsid w:val="00A62B2E"/>
    <w:rsid w:val="00A634CD"/>
    <w:rsid w:val="00A63CF2"/>
    <w:rsid w:val="00A64086"/>
    <w:rsid w:val="00A651BC"/>
    <w:rsid w:val="00A65795"/>
    <w:rsid w:val="00A66001"/>
    <w:rsid w:val="00A6672E"/>
    <w:rsid w:val="00A705AF"/>
    <w:rsid w:val="00A7126D"/>
    <w:rsid w:val="00A713FF"/>
    <w:rsid w:val="00A716E1"/>
    <w:rsid w:val="00A7193D"/>
    <w:rsid w:val="00A71978"/>
    <w:rsid w:val="00A7261B"/>
    <w:rsid w:val="00A731BA"/>
    <w:rsid w:val="00A73C2F"/>
    <w:rsid w:val="00A74211"/>
    <w:rsid w:val="00A755C5"/>
    <w:rsid w:val="00A759A3"/>
    <w:rsid w:val="00A75B58"/>
    <w:rsid w:val="00A75C4D"/>
    <w:rsid w:val="00A77349"/>
    <w:rsid w:val="00A77530"/>
    <w:rsid w:val="00A800E8"/>
    <w:rsid w:val="00A80C7A"/>
    <w:rsid w:val="00A8154C"/>
    <w:rsid w:val="00A81D72"/>
    <w:rsid w:val="00A824AD"/>
    <w:rsid w:val="00A8295A"/>
    <w:rsid w:val="00A869AB"/>
    <w:rsid w:val="00A86AB0"/>
    <w:rsid w:val="00A87DEB"/>
    <w:rsid w:val="00A90D4E"/>
    <w:rsid w:val="00A92D63"/>
    <w:rsid w:val="00A931E2"/>
    <w:rsid w:val="00A9333D"/>
    <w:rsid w:val="00A93A18"/>
    <w:rsid w:val="00A942D1"/>
    <w:rsid w:val="00A94CDE"/>
    <w:rsid w:val="00A95DA3"/>
    <w:rsid w:val="00A963EF"/>
    <w:rsid w:val="00A964DB"/>
    <w:rsid w:val="00A96DED"/>
    <w:rsid w:val="00A97561"/>
    <w:rsid w:val="00AA0055"/>
    <w:rsid w:val="00AA0A90"/>
    <w:rsid w:val="00AA0E9A"/>
    <w:rsid w:val="00AA1F9E"/>
    <w:rsid w:val="00AA264D"/>
    <w:rsid w:val="00AA33A5"/>
    <w:rsid w:val="00AA3A3E"/>
    <w:rsid w:val="00AA4623"/>
    <w:rsid w:val="00AA603A"/>
    <w:rsid w:val="00AA6DC2"/>
    <w:rsid w:val="00AA6EE7"/>
    <w:rsid w:val="00AA7B58"/>
    <w:rsid w:val="00AB05F5"/>
    <w:rsid w:val="00AB0A6E"/>
    <w:rsid w:val="00AB40AB"/>
    <w:rsid w:val="00AB4D9A"/>
    <w:rsid w:val="00AB4E10"/>
    <w:rsid w:val="00AB530F"/>
    <w:rsid w:val="00AB53DE"/>
    <w:rsid w:val="00AB597A"/>
    <w:rsid w:val="00AB5F22"/>
    <w:rsid w:val="00AB6250"/>
    <w:rsid w:val="00AB64E5"/>
    <w:rsid w:val="00AB67C9"/>
    <w:rsid w:val="00AB6E76"/>
    <w:rsid w:val="00AB6ED9"/>
    <w:rsid w:val="00AB6F9B"/>
    <w:rsid w:val="00AB718B"/>
    <w:rsid w:val="00AC19F8"/>
    <w:rsid w:val="00AC25D3"/>
    <w:rsid w:val="00AC312A"/>
    <w:rsid w:val="00AC4722"/>
    <w:rsid w:val="00AC582A"/>
    <w:rsid w:val="00AC5CBE"/>
    <w:rsid w:val="00AC5D02"/>
    <w:rsid w:val="00AC5E7C"/>
    <w:rsid w:val="00AC606C"/>
    <w:rsid w:val="00AC6331"/>
    <w:rsid w:val="00AC637F"/>
    <w:rsid w:val="00AC702B"/>
    <w:rsid w:val="00AD01B4"/>
    <w:rsid w:val="00AD055C"/>
    <w:rsid w:val="00AD1863"/>
    <w:rsid w:val="00AD1D8F"/>
    <w:rsid w:val="00AD22CE"/>
    <w:rsid w:val="00AD297D"/>
    <w:rsid w:val="00AD2D9B"/>
    <w:rsid w:val="00AD3E6B"/>
    <w:rsid w:val="00AD48E9"/>
    <w:rsid w:val="00AD52A0"/>
    <w:rsid w:val="00AD5717"/>
    <w:rsid w:val="00AD5735"/>
    <w:rsid w:val="00AD60D4"/>
    <w:rsid w:val="00AE0247"/>
    <w:rsid w:val="00AE054D"/>
    <w:rsid w:val="00AE05BB"/>
    <w:rsid w:val="00AE0776"/>
    <w:rsid w:val="00AE0BA6"/>
    <w:rsid w:val="00AE1D18"/>
    <w:rsid w:val="00AE3267"/>
    <w:rsid w:val="00AE3EF7"/>
    <w:rsid w:val="00AE4E7F"/>
    <w:rsid w:val="00AF20BD"/>
    <w:rsid w:val="00AF24E6"/>
    <w:rsid w:val="00AF2570"/>
    <w:rsid w:val="00AF2E18"/>
    <w:rsid w:val="00AF39B6"/>
    <w:rsid w:val="00AF41B3"/>
    <w:rsid w:val="00AF4572"/>
    <w:rsid w:val="00AF5B84"/>
    <w:rsid w:val="00AF6154"/>
    <w:rsid w:val="00AF7077"/>
    <w:rsid w:val="00AF74E8"/>
    <w:rsid w:val="00AF7FDD"/>
    <w:rsid w:val="00B00182"/>
    <w:rsid w:val="00B004EB"/>
    <w:rsid w:val="00B01EA0"/>
    <w:rsid w:val="00B0247A"/>
    <w:rsid w:val="00B03509"/>
    <w:rsid w:val="00B03CEC"/>
    <w:rsid w:val="00B0410F"/>
    <w:rsid w:val="00B04820"/>
    <w:rsid w:val="00B057D1"/>
    <w:rsid w:val="00B063CB"/>
    <w:rsid w:val="00B06607"/>
    <w:rsid w:val="00B07615"/>
    <w:rsid w:val="00B07D58"/>
    <w:rsid w:val="00B113E5"/>
    <w:rsid w:val="00B13CB0"/>
    <w:rsid w:val="00B1414B"/>
    <w:rsid w:val="00B147B4"/>
    <w:rsid w:val="00B14BFA"/>
    <w:rsid w:val="00B15181"/>
    <w:rsid w:val="00B15AAC"/>
    <w:rsid w:val="00B15B0B"/>
    <w:rsid w:val="00B163F6"/>
    <w:rsid w:val="00B175E5"/>
    <w:rsid w:val="00B17FDF"/>
    <w:rsid w:val="00B20701"/>
    <w:rsid w:val="00B213FD"/>
    <w:rsid w:val="00B2179F"/>
    <w:rsid w:val="00B23174"/>
    <w:rsid w:val="00B232CC"/>
    <w:rsid w:val="00B2338E"/>
    <w:rsid w:val="00B23449"/>
    <w:rsid w:val="00B23889"/>
    <w:rsid w:val="00B23CF1"/>
    <w:rsid w:val="00B24788"/>
    <w:rsid w:val="00B24AB0"/>
    <w:rsid w:val="00B24C4D"/>
    <w:rsid w:val="00B24DF4"/>
    <w:rsid w:val="00B25178"/>
    <w:rsid w:val="00B2665E"/>
    <w:rsid w:val="00B26935"/>
    <w:rsid w:val="00B26FD1"/>
    <w:rsid w:val="00B30753"/>
    <w:rsid w:val="00B30AC7"/>
    <w:rsid w:val="00B31599"/>
    <w:rsid w:val="00B315BB"/>
    <w:rsid w:val="00B3161C"/>
    <w:rsid w:val="00B31B29"/>
    <w:rsid w:val="00B328AF"/>
    <w:rsid w:val="00B3299C"/>
    <w:rsid w:val="00B32DD1"/>
    <w:rsid w:val="00B33061"/>
    <w:rsid w:val="00B335DC"/>
    <w:rsid w:val="00B342A2"/>
    <w:rsid w:val="00B34615"/>
    <w:rsid w:val="00B34AFE"/>
    <w:rsid w:val="00B354E4"/>
    <w:rsid w:val="00B35B25"/>
    <w:rsid w:val="00B3620F"/>
    <w:rsid w:val="00B369FD"/>
    <w:rsid w:val="00B37148"/>
    <w:rsid w:val="00B3720C"/>
    <w:rsid w:val="00B37974"/>
    <w:rsid w:val="00B37F18"/>
    <w:rsid w:val="00B40569"/>
    <w:rsid w:val="00B41409"/>
    <w:rsid w:val="00B4178B"/>
    <w:rsid w:val="00B41BA3"/>
    <w:rsid w:val="00B41D48"/>
    <w:rsid w:val="00B42044"/>
    <w:rsid w:val="00B4251C"/>
    <w:rsid w:val="00B42851"/>
    <w:rsid w:val="00B42EA6"/>
    <w:rsid w:val="00B43755"/>
    <w:rsid w:val="00B43B83"/>
    <w:rsid w:val="00B456E0"/>
    <w:rsid w:val="00B459E9"/>
    <w:rsid w:val="00B46136"/>
    <w:rsid w:val="00B47076"/>
    <w:rsid w:val="00B477EB"/>
    <w:rsid w:val="00B50606"/>
    <w:rsid w:val="00B5113E"/>
    <w:rsid w:val="00B511BD"/>
    <w:rsid w:val="00B52CD0"/>
    <w:rsid w:val="00B530E7"/>
    <w:rsid w:val="00B53957"/>
    <w:rsid w:val="00B5451A"/>
    <w:rsid w:val="00B549E5"/>
    <w:rsid w:val="00B54B89"/>
    <w:rsid w:val="00B554C6"/>
    <w:rsid w:val="00B55F1E"/>
    <w:rsid w:val="00B55FCC"/>
    <w:rsid w:val="00B56B37"/>
    <w:rsid w:val="00B5701C"/>
    <w:rsid w:val="00B571E6"/>
    <w:rsid w:val="00B573F2"/>
    <w:rsid w:val="00B57759"/>
    <w:rsid w:val="00B60D44"/>
    <w:rsid w:val="00B60D86"/>
    <w:rsid w:val="00B612AD"/>
    <w:rsid w:val="00B62FAE"/>
    <w:rsid w:val="00B63154"/>
    <w:rsid w:val="00B651AA"/>
    <w:rsid w:val="00B653EE"/>
    <w:rsid w:val="00B66B84"/>
    <w:rsid w:val="00B700B2"/>
    <w:rsid w:val="00B70595"/>
    <w:rsid w:val="00B70EA9"/>
    <w:rsid w:val="00B71B45"/>
    <w:rsid w:val="00B71CED"/>
    <w:rsid w:val="00B72420"/>
    <w:rsid w:val="00B72607"/>
    <w:rsid w:val="00B72921"/>
    <w:rsid w:val="00B7573E"/>
    <w:rsid w:val="00B764BF"/>
    <w:rsid w:val="00B767CF"/>
    <w:rsid w:val="00B80F30"/>
    <w:rsid w:val="00B81249"/>
    <w:rsid w:val="00B817FC"/>
    <w:rsid w:val="00B8193B"/>
    <w:rsid w:val="00B830D1"/>
    <w:rsid w:val="00B83D10"/>
    <w:rsid w:val="00B83F50"/>
    <w:rsid w:val="00B83F83"/>
    <w:rsid w:val="00B84707"/>
    <w:rsid w:val="00B851CD"/>
    <w:rsid w:val="00B85304"/>
    <w:rsid w:val="00B85F65"/>
    <w:rsid w:val="00B86AB6"/>
    <w:rsid w:val="00B86E37"/>
    <w:rsid w:val="00B87B12"/>
    <w:rsid w:val="00B87C0E"/>
    <w:rsid w:val="00B904EC"/>
    <w:rsid w:val="00B90B9D"/>
    <w:rsid w:val="00B90F29"/>
    <w:rsid w:val="00B91269"/>
    <w:rsid w:val="00B91454"/>
    <w:rsid w:val="00B92971"/>
    <w:rsid w:val="00B929D9"/>
    <w:rsid w:val="00B93A31"/>
    <w:rsid w:val="00B93A45"/>
    <w:rsid w:val="00B93CD5"/>
    <w:rsid w:val="00B9432A"/>
    <w:rsid w:val="00B943B7"/>
    <w:rsid w:val="00B9463D"/>
    <w:rsid w:val="00B95A67"/>
    <w:rsid w:val="00B95B3D"/>
    <w:rsid w:val="00B960A1"/>
    <w:rsid w:val="00B96A84"/>
    <w:rsid w:val="00B972B9"/>
    <w:rsid w:val="00BA0015"/>
    <w:rsid w:val="00BA0A9A"/>
    <w:rsid w:val="00BA2309"/>
    <w:rsid w:val="00BA2A5D"/>
    <w:rsid w:val="00BA2DE8"/>
    <w:rsid w:val="00BA301B"/>
    <w:rsid w:val="00BA4AEE"/>
    <w:rsid w:val="00BB0640"/>
    <w:rsid w:val="00BB2D0A"/>
    <w:rsid w:val="00BB2ED4"/>
    <w:rsid w:val="00BB324B"/>
    <w:rsid w:val="00BB3B5D"/>
    <w:rsid w:val="00BB41EA"/>
    <w:rsid w:val="00BB482C"/>
    <w:rsid w:val="00BB59F3"/>
    <w:rsid w:val="00BB61AE"/>
    <w:rsid w:val="00BB68A3"/>
    <w:rsid w:val="00BB6A89"/>
    <w:rsid w:val="00BB7455"/>
    <w:rsid w:val="00BC04E2"/>
    <w:rsid w:val="00BC07E4"/>
    <w:rsid w:val="00BC0D54"/>
    <w:rsid w:val="00BC1588"/>
    <w:rsid w:val="00BC21F1"/>
    <w:rsid w:val="00BC270D"/>
    <w:rsid w:val="00BC3972"/>
    <w:rsid w:val="00BC3A15"/>
    <w:rsid w:val="00BC4293"/>
    <w:rsid w:val="00BC4B34"/>
    <w:rsid w:val="00BC4D09"/>
    <w:rsid w:val="00BC4EDF"/>
    <w:rsid w:val="00BC6BD8"/>
    <w:rsid w:val="00BC6EF0"/>
    <w:rsid w:val="00BD04C7"/>
    <w:rsid w:val="00BD07CE"/>
    <w:rsid w:val="00BD07EC"/>
    <w:rsid w:val="00BD0B22"/>
    <w:rsid w:val="00BD0B57"/>
    <w:rsid w:val="00BD1F1E"/>
    <w:rsid w:val="00BD26F4"/>
    <w:rsid w:val="00BD3F3B"/>
    <w:rsid w:val="00BD599B"/>
    <w:rsid w:val="00BD5F76"/>
    <w:rsid w:val="00BD649D"/>
    <w:rsid w:val="00BD675E"/>
    <w:rsid w:val="00BD6BD2"/>
    <w:rsid w:val="00BD741B"/>
    <w:rsid w:val="00BD7535"/>
    <w:rsid w:val="00BE0DE7"/>
    <w:rsid w:val="00BE2098"/>
    <w:rsid w:val="00BE20AC"/>
    <w:rsid w:val="00BE286E"/>
    <w:rsid w:val="00BE2F16"/>
    <w:rsid w:val="00BE46A3"/>
    <w:rsid w:val="00BE4914"/>
    <w:rsid w:val="00BE594F"/>
    <w:rsid w:val="00BE59BE"/>
    <w:rsid w:val="00BE5C89"/>
    <w:rsid w:val="00BE6302"/>
    <w:rsid w:val="00BE6832"/>
    <w:rsid w:val="00BE7BE4"/>
    <w:rsid w:val="00BE7E56"/>
    <w:rsid w:val="00BF014E"/>
    <w:rsid w:val="00BF06EC"/>
    <w:rsid w:val="00BF1630"/>
    <w:rsid w:val="00BF19D9"/>
    <w:rsid w:val="00BF2561"/>
    <w:rsid w:val="00BF31C3"/>
    <w:rsid w:val="00BF3807"/>
    <w:rsid w:val="00BF3C86"/>
    <w:rsid w:val="00BF518A"/>
    <w:rsid w:val="00BF53C2"/>
    <w:rsid w:val="00BF5905"/>
    <w:rsid w:val="00BF6152"/>
    <w:rsid w:val="00BF651D"/>
    <w:rsid w:val="00BF6591"/>
    <w:rsid w:val="00BF6CEF"/>
    <w:rsid w:val="00BF6DA2"/>
    <w:rsid w:val="00BF71C8"/>
    <w:rsid w:val="00C00B7F"/>
    <w:rsid w:val="00C01286"/>
    <w:rsid w:val="00C0138E"/>
    <w:rsid w:val="00C0244A"/>
    <w:rsid w:val="00C025A9"/>
    <w:rsid w:val="00C02909"/>
    <w:rsid w:val="00C03075"/>
    <w:rsid w:val="00C03B70"/>
    <w:rsid w:val="00C03ED8"/>
    <w:rsid w:val="00C06314"/>
    <w:rsid w:val="00C07F01"/>
    <w:rsid w:val="00C10135"/>
    <w:rsid w:val="00C10C1B"/>
    <w:rsid w:val="00C10F4D"/>
    <w:rsid w:val="00C122CF"/>
    <w:rsid w:val="00C123DF"/>
    <w:rsid w:val="00C12430"/>
    <w:rsid w:val="00C12AD5"/>
    <w:rsid w:val="00C12F48"/>
    <w:rsid w:val="00C13098"/>
    <w:rsid w:val="00C15064"/>
    <w:rsid w:val="00C150B5"/>
    <w:rsid w:val="00C15547"/>
    <w:rsid w:val="00C171BC"/>
    <w:rsid w:val="00C175D4"/>
    <w:rsid w:val="00C2051F"/>
    <w:rsid w:val="00C206EE"/>
    <w:rsid w:val="00C21114"/>
    <w:rsid w:val="00C21AE1"/>
    <w:rsid w:val="00C22084"/>
    <w:rsid w:val="00C23255"/>
    <w:rsid w:val="00C23604"/>
    <w:rsid w:val="00C246E2"/>
    <w:rsid w:val="00C24A39"/>
    <w:rsid w:val="00C24E3E"/>
    <w:rsid w:val="00C261EA"/>
    <w:rsid w:val="00C26254"/>
    <w:rsid w:val="00C2759C"/>
    <w:rsid w:val="00C305B0"/>
    <w:rsid w:val="00C308FA"/>
    <w:rsid w:val="00C316C7"/>
    <w:rsid w:val="00C31839"/>
    <w:rsid w:val="00C31A7F"/>
    <w:rsid w:val="00C32280"/>
    <w:rsid w:val="00C32C34"/>
    <w:rsid w:val="00C335CD"/>
    <w:rsid w:val="00C33872"/>
    <w:rsid w:val="00C33A38"/>
    <w:rsid w:val="00C33D29"/>
    <w:rsid w:val="00C34FD1"/>
    <w:rsid w:val="00C35287"/>
    <w:rsid w:val="00C35DEC"/>
    <w:rsid w:val="00C35F32"/>
    <w:rsid w:val="00C3626B"/>
    <w:rsid w:val="00C36B4C"/>
    <w:rsid w:val="00C4036C"/>
    <w:rsid w:val="00C40966"/>
    <w:rsid w:val="00C416C6"/>
    <w:rsid w:val="00C41980"/>
    <w:rsid w:val="00C41A9F"/>
    <w:rsid w:val="00C43515"/>
    <w:rsid w:val="00C436EE"/>
    <w:rsid w:val="00C43D56"/>
    <w:rsid w:val="00C44D4B"/>
    <w:rsid w:val="00C44DA6"/>
    <w:rsid w:val="00C45633"/>
    <w:rsid w:val="00C46A2A"/>
    <w:rsid w:val="00C477AC"/>
    <w:rsid w:val="00C478DC"/>
    <w:rsid w:val="00C51BE7"/>
    <w:rsid w:val="00C5204E"/>
    <w:rsid w:val="00C53C4B"/>
    <w:rsid w:val="00C53C65"/>
    <w:rsid w:val="00C54260"/>
    <w:rsid w:val="00C54588"/>
    <w:rsid w:val="00C55C08"/>
    <w:rsid w:val="00C565EF"/>
    <w:rsid w:val="00C56EAF"/>
    <w:rsid w:val="00C5727C"/>
    <w:rsid w:val="00C5741B"/>
    <w:rsid w:val="00C57614"/>
    <w:rsid w:val="00C57FA6"/>
    <w:rsid w:val="00C60FD3"/>
    <w:rsid w:val="00C618D7"/>
    <w:rsid w:val="00C623F2"/>
    <w:rsid w:val="00C62426"/>
    <w:rsid w:val="00C624CC"/>
    <w:rsid w:val="00C6340D"/>
    <w:rsid w:val="00C63431"/>
    <w:rsid w:val="00C638F3"/>
    <w:rsid w:val="00C63C14"/>
    <w:rsid w:val="00C64BBB"/>
    <w:rsid w:val="00C64D00"/>
    <w:rsid w:val="00C70753"/>
    <w:rsid w:val="00C722F1"/>
    <w:rsid w:val="00C72ECC"/>
    <w:rsid w:val="00C74935"/>
    <w:rsid w:val="00C75173"/>
    <w:rsid w:val="00C7543A"/>
    <w:rsid w:val="00C765AE"/>
    <w:rsid w:val="00C76A7B"/>
    <w:rsid w:val="00C815FF"/>
    <w:rsid w:val="00C820D3"/>
    <w:rsid w:val="00C8228D"/>
    <w:rsid w:val="00C82CD5"/>
    <w:rsid w:val="00C82DBA"/>
    <w:rsid w:val="00C83765"/>
    <w:rsid w:val="00C84B06"/>
    <w:rsid w:val="00C84C2C"/>
    <w:rsid w:val="00C85E91"/>
    <w:rsid w:val="00C86BB9"/>
    <w:rsid w:val="00C873C2"/>
    <w:rsid w:val="00C911AD"/>
    <w:rsid w:val="00C91E72"/>
    <w:rsid w:val="00C92375"/>
    <w:rsid w:val="00C929AD"/>
    <w:rsid w:val="00C92CDD"/>
    <w:rsid w:val="00C93640"/>
    <w:rsid w:val="00C9409D"/>
    <w:rsid w:val="00C941E3"/>
    <w:rsid w:val="00C944C2"/>
    <w:rsid w:val="00C9546C"/>
    <w:rsid w:val="00C95CB1"/>
    <w:rsid w:val="00C9697F"/>
    <w:rsid w:val="00C96FBC"/>
    <w:rsid w:val="00C971D6"/>
    <w:rsid w:val="00C97C24"/>
    <w:rsid w:val="00CA049C"/>
    <w:rsid w:val="00CA04C6"/>
    <w:rsid w:val="00CA0615"/>
    <w:rsid w:val="00CA0CD3"/>
    <w:rsid w:val="00CA1DFB"/>
    <w:rsid w:val="00CA40CA"/>
    <w:rsid w:val="00CA4319"/>
    <w:rsid w:val="00CA57D9"/>
    <w:rsid w:val="00CA6FB0"/>
    <w:rsid w:val="00CA7910"/>
    <w:rsid w:val="00CB043E"/>
    <w:rsid w:val="00CB0684"/>
    <w:rsid w:val="00CB09E5"/>
    <w:rsid w:val="00CB2190"/>
    <w:rsid w:val="00CB32F0"/>
    <w:rsid w:val="00CB35D4"/>
    <w:rsid w:val="00CB3CFC"/>
    <w:rsid w:val="00CB4158"/>
    <w:rsid w:val="00CB5024"/>
    <w:rsid w:val="00CB5999"/>
    <w:rsid w:val="00CB5B1A"/>
    <w:rsid w:val="00CB626E"/>
    <w:rsid w:val="00CB733F"/>
    <w:rsid w:val="00CC0B43"/>
    <w:rsid w:val="00CC166F"/>
    <w:rsid w:val="00CC1D2B"/>
    <w:rsid w:val="00CC2D8B"/>
    <w:rsid w:val="00CC36EF"/>
    <w:rsid w:val="00CC48D8"/>
    <w:rsid w:val="00CC48EA"/>
    <w:rsid w:val="00CC4B4F"/>
    <w:rsid w:val="00CC4B8E"/>
    <w:rsid w:val="00CC565B"/>
    <w:rsid w:val="00CC5CD8"/>
    <w:rsid w:val="00CC5FA0"/>
    <w:rsid w:val="00CC6681"/>
    <w:rsid w:val="00CC697B"/>
    <w:rsid w:val="00CC7207"/>
    <w:rsid w:val="00CC724B"/>
    <w:rsid w:val="00CD007E"/>
    <w:rsid w:val="00CD14FA"/>
    <w:rsid w:val="00CD2731"/>
    <w:rsid w:val="00CD3430"/>
    <w:rsid w:val="00CD432B"/>
    <w:rsid w:val="00CD5766"/>
    <w:rsid w:val="00CD6FEF"/>
    <w:rsid w:val="00CD7001"/>
    <w:rsid w:val="00CD7785"/>
    <w:rsid w:val="00CD7B1E"/>
    <w:rsid w:val="00CE0035"/>
    <w:rsid w:val="00CE02FB"/>
    <w:rsid w:val="00CE0C80"/>
    <w:rsid w:val="00CE16CC"/>
    <w:rsid w:val="00CE1712"/>
    <w:rsid w:val="00CE2760"/>
    <w:rsid w:val="00CE2FE7"/>
    <w:rsid w:val="00CE3049"/>
    <w:rsid w:val="00CE3387"/>
    <w:rsid w:val="00CE34FE"/>
    <w:rsid w:val="00CE3A39"/>
    <w:rsid w:val="00CE483B"/>
    <w:rsid w:val="00CE65A1"/>
    <w:rsid w:val="00CE6EA2"/>
    <w:rsid w:val="00CE71EE"/>
    <w:rsid w:val="00CE7355"/>
    <w:rsid w:val="00CF25AC"/>
    <w:rsid w:val="00CF34D6"/>
    <w:rsid w:val="00CF4118"/>
    <w:rsid w:val="00CF419C"/>
    <w:rsid w:val="00CF5253"/>
    <w:rsid w:val="00CF5AB8"/>
    <w:rsid w:val="00CF5B6A"/>
    <w:rsid w:val="00CF702F"/>
    <w:rsid w:val="00CF7FE1"/>
    <w:rsid w:val="00D004F9"/>
    <w:rsid w:val="00D007BE"/>
    <w:rsid w:val="00D01028"/>
    <w:rsid w:val="00D011BD"/>
    <w:rsid w:val="00D02873"/>
    <w:rsid w:val="00D032F0"/>
    <w:rsid w:val="00D04A1D"/>
    <w:rsid w:val="00D04ECE"/>
    <w:rsid w:val="00D057B4"/>
    <w:rsid w:val="00D05CB2"/>
    <w:rsid w:val="00D07C0D"/>
    <w:rsid w:val="00D104DF"/>
    <w:rsid w:val="00D109D0"/>
    <w:rsid w:val="00D10D90"/>
    <w:rsid w:val="00D10DC4"/>
    <w:rsid w:val="00D116AD"/>
    <w:rsid w:val="00D11823"/>
    <w:rsid w:val="00D11BDF"/>
    <w:rsid w:val="00D12577"/>
    <w:rsid w:val="00D137DF"/>
    <w:rsid w:val="00D13C42"/>
    <w:rsid w:val="00D142E7"/>
    <w:rsid w:val="00D146DD"/>
    <w:rsid w:val="00D14D10"/>
    <w:rsid w:val="00D1508D"/>
    <w:rsid w:val="00D15465"/>
    <w:rsid w:val="00D15A8B"/>
    <w:rsid w:val="00D15C7A"/>
    <w:rsid w:val="00D16B25"/>
    <w:rsid w:val="00D20AD1"/>
    <w:rsid w:val="00D213C3"/>
    <w:rsid w:val="00D2246F"/>
    <w:rsid w:val="00D22B73"/>
    <w:rsid w:val="00D22FAF"/>
    <w:rsid w:val="00D231AD"/>
    <w:rsid w:val="00D23EAD"/>
    <w:rsid w:val="00D24922"/>
    <w:rsid w:val="00D2587B"/>
    <w:rsid w:val="00D2660C"/>
    <w:rsid w:val="00D278EE"/>
    <w:rsid w:val="00D27A99"/>
    <w:rsid w:val="00D27FE5"/>
    <w:rsid w:val="00D301EA"/>
    <w:rsid w:val="00D3054A"/>
    <w:rsid w:val="00D30FC4"/>
    <w:rsid w:val="00D31CCA"/>
    <w:rsid w:val="00D31DC2"/>
    <w:rsid w:val="00D31ECF"/>
    <w:rsid w:val="00D320A9"/>
    <w:rsid w:val="00D320BB"/>
    <w:rsid w:val="00D322EA"/>
    <w:rsid w:val="00D325FD"/>
    <w:rsid w:val="00D35AC3"/>
    <w:rsid w:val="00D36A58"/>
    <w:rsid w:val="00D37D0B"/>
    <w:rsid w:val="00D37DF0"/>
    <w:rsid w:val="00D40C8D"/>
    <w:rsid w:val="00D41AE5"/>
    <w:rsid w:val="00D429E0"/>
    <w:rsid w:val="00D42B9A"/>
    <w:rsid w:val="00D42F22"/>
    <w:rsid w:val="00D430CF"/>
    <w:rsid w:val="00D43AD6"/>
    <w:rsid w:val="00D43DF4"/>
    <w:rsid w:val="00D44178"/>
    <w:rsid w:val="00D443A1"/>
    <w:rsid w:val="00D446AF"/>
    <w:rsid w:val="00D44AED"/>
    <w:rsid w:val="00D45298"/>
    <w:rsid w:val="00D45579"/>
    <w:rsid w:val="00D469E4"/>
    <w:rsid w:val="00D4728F"/>
    <w:rsid w:val="00D4732B"/>
    <w:rsid w:val="00D50BCB"/>
    <w:rsid w:val="00D50F47"/>
    <w:rsid w:val="00D519E8"/>
    <w:rsid w:val="00D52170"/>
    <w:rsid w:val="00D523A6"/>
    <w:rsid w:val="00D526CA"/>
    <w:rsid w:val="00D52B83"/>
    <w:rsid w:val="00D5354B"/>
    <w:rsid w:val="00D54274"/>
    <w:rsid w:val="00D54489"/>
    <w:rsid w:val="00D56397"/>
    <w:rsid w:val="00D563D0"/>
    <w:rsid w:val="00D56B55"/>
    <w:rsid w:val="00D56E06"/>
    <w:rsid w:val="00D5797E"/>
    <w:rsid w:val="00D6042F"/>
    <w:rsid w:val="00D60A77"/>
    <w:rsid w:val="00D61078"/>
    <w:rsid w:val="00D61352"/>
    <w:rsid w:val="00D615BD"/>
    <w:rsid w:val="00D61CD7"/>
    <w:rsid w:val="00D62329"/>
    <w:rsid w:val="00D62397"/>
    <w:rsid w:val="00D6274C"/>
    <w:rsid w:val="00D63722"/>
    <w:rsid w:val="00D6530B"/>
    <w:rsid w:val="00D662B5"/>
    <w:rsid w:val="00D66F12"/>
    <w:rsid w:val="00D67054"/>
    <w:rsid w:val="00D67B78"/>
    <w:rsid w:val="00D67E6C"/>
    <w:rsid w:val="00D71A92"/>
    <w:rsid w:val="00D72C4A"/>
    <w:rsid w:val="00D737EB"/>
    <w:rsid w:val="00D738DB"/>
    <w:rsid w:val="00D73FE2"/>
    <w:rsid w:val="00D7465B"/>
    <w:rsid w:val="00D75603"/>
    <w:rsid w:val="00D75B19"/>
    <w:rsid w:val="00D76B56"/>
    <w:rsid w:val="00D771F8"/>
    <w:rsid w:val="00D77741"/>
    <w:rsid w:val="00D77BA1"/>
    <w:rsid w:val="00D8069C"/>
    <w:rsid w:val="00D81026"/>
    <w:rsid w:val="00D812BD"/>
    <w:rsid w:val="00D8173D"/>
    <w:rsid w:val="00D82A1D"/>
    <w:rsid w:val="00D84622"/>
    <w:rsid w:val="00D84C32"/>
    <w:rsid w:val="00D85DD7"/>
    <w:rsid w:val="00D863CC"/>
    <w:rsid w:val="00D87955"/>
    <w:rsid w:val="00D87CBD"/>
    <w:rsid w:val="00D87F98"/>
    <w:rsid w:val="00D90495"/>
    <w:rsid w:val="00D90821"/>
    <w:rsid w:val="00D90CE5"/>
    <w:rsid w:val="00D91123"/>
    <w:rsid w:val="00D91164"/>
    <w:rsid w:val="00D91A0D"/>
    <w:rsid w:val="00D92253"/>
    <w:rsid w:val="00D922C1"/>
    <w:rsid w:val="00D9306A"/>
    <w:rsid w:val="00D93B87"/>
    <w:rsid w:val="00D944BF"/>
    <w:rsid w:val="00D950EE"/>
    <w:rsid w:val="00D95C44"/>
    <w:rsid w:val="00D96084"/>
    <w:rsid w:val="00D96327"/>
    <w:rsid w:val="00D97129"/>
    <w:rsid w:val="00D975CE"/>
    <w:rsid w:val="00D97A66"/>
    <w:rsid w:val="00DA0D62"/>
    <w:rsid w:val="00DA0F21"/>
    <w:rsid w:val="00DA1750"/>
    <w:rsid w:val="00DA1F0A"/>
    <w:rsid w:val="00DA2A20"/>
    <w:rsid w:val="00DA323D"/>
    <w:rsid w:val="00DA5DF3"/>
    <w:rsid w:val="00DA603F"/>
    <w:rsid w:val="00DA65F2"/>
    <w:rsid w:val="00DA66D0"/>
    <w:rsid w:val="00DA6E56"/>
    <w:rsid w:val="00DA7286"/>
    <w:rsid w:val="00DB03C8"/>
    <w:rsid w:val="00DB07A4"/>
    <w:rsid w:val="00DB0AE7"/>
    <w:rsid w:val="00DB1EE0"/>
    <w:rsid w:val="00DB23A6"/>
    <w:rsid w:val="00DB2E46"/>
    <w:rsid w:val="00DB313C"/>
    <w:rsid w:val="00DB32CA"/>
    <w:rsid w:val="00DB338F"/>
    <w:rsid w:val="00DB37EE"/>
    <w:rsid w:val="00DB52F3"/>
    <w:rsid w:val="00DB5454"/>
    <w:rsid w:val="00DB5911"/>
    <w:rsid w:val="00DC0477"/>
    <w:rsid w:val="00DC070F"/>
    <w:rsid w:val="00DC0D24"/>
    <w:rsid w:val="00DC0F55"/>
    <w:rsid w:val="00DC1E5A"/>
    <w:rsid w:val="00DC1F72"/>
    <w:rsid w:val="00DC2269"/>
    <w:rsid w:val="00DC394E"/>
    <w:rsid w:val="00DC3A8A"/>
    <w:rsid w:val="00DC434E"/>
    <w:rsid w:val="00DC5B6E"/>
    <w:rsid w:val="00DC5DC8"/>
    <w:rsid w:val="00DC5DCD"/>
    <w:rsid w:val="00DC706D"/>
    <w:rsid w:val="00DC71BB"/>
    <w:rsid w:val="00DC78D7"/>
    <w:rsid w:val="00DD047B"/>
    <w:rsid w:val="00DD11BA"/>
    <w:rsid w:val="00DD1680"/>
    <w:rsid w:val="00DD170A"/>
    <w:rsid w:val="00DD1A4D"/>
    <w:rsid w:val="00DD1D3B"/>
    <w:rsid w:val="00DD2E08"/>
    <w:rsid w:val="00DD30A0"/>
    <w:rsid w:val="00DD36D3"/>
    <w:rsid w:val="00DD36E6"/>
    <w:rsid w:val="00DD4401"/>
    <w:rsid w:val="00DD5D99"/>
    <w:rsid w:val="00DD5EC2"/>
    <w:rsid w:val="00DD62E7"/>
    <w:rsid w:val="00DD659E"/>
    <w:rsid w:val="00DD6F15"/>
    <w:rsid w:val="00DE0F73"/>
    <w:rsid w:val="00DE17B4"/>
    <w:rsid w:val="00DE18B0"/>
    <w:rsid w:val="00DE1B2A"/>
    <w:rsid w:val="00DE27C4"/>
    <w:rsid w:val="00DE3C4E"/>
    <w:rsid w:val="00DE3F2C"/>
    <w:rsid w:val="00DE4382"/>
    <w:rsid w:val="00DE5D9E"/>
    <w:rsid w:val="00DE683A"/>
    <w:rsid w:val="00DE6845"/>
    <w:rsid w:val="00DE75C2"/>
    <w:rsid w:val="00DE75D8"/>
    <w:rsid w:val="00DE7D5E"/>
    <w:rsid w:val="00DF0A07"/>
    <w:rsid w:val="00DF0B12"/>
    <w:rsid w:val="00DF12E1"/>
    <w:rsid w:val="00DF1E75"/>
    <w:rsid w:val="00DF1EDD"/>
    <w:rsid w:val="00DF27D3"/>
    <w:rsid w:val="00DF3751"/>
    <w:rsid w:val="00DF4FBA"/>
    <w:rsid w:val="00DF515C"/>
    <w:rsid w:val="00DF5695"/>
    <w:rsid w:val="00E004C5"/>
    <w:rsid w:val="00E015E6"/>
    <w:rsid w:val="00E01D60"/>
    <w:rsid w:val="00E02BEB"/>
    <w:rsid w:val="00E02CDA"/>
    <w:rsid w:val="00E0415B"/>
    <w:rsid w:val="00E05B44"/>
    <w:rsid w:val="00E05EEA"/>
    <w:rsid w:val="00E066B4"/>
    <w:rsid w:val="00E07658"/>
    <w:rsid w:val="00E079D0"/>
    <w:rsid w:val="00E07BD5"/>
    <w:rsid w:val="00E10539"/>
    <w:rsid w:val="00E10839"/>
    <w:rsid w:val="00E1094D"/>
    <w:rsid w:val="00E10B98"/>
    <w:rsid w:val="00E1177D"/>
    <w:rsid w:val="00E117FB"/>
    <w:rsid w:val="00E12EDC"/>
    <w:rsid w:val="00E13C5C"/>
    <w:rsid w:val="00E14BB4"/>
    <w:rsid w:val="00E17FB0"/>
    <w:rsid w:val="00E200AA"/>
    <w:rsid w:val="00E201A3"/>
    <w:rsid w:val="00E201E4"/>
    <w:rsid w:val="00E20878"/>
    <w:rsid w:val="00E209BF"/>
    <w:rsid w:val="00E20D27"/>
    <w:rsid w:val="00E21373"/>
    <w:rsid w:val="00E2144C"/>
    <w:rsid w:val="00E22AB6"/>
    <w:rsid w:val="00E22FB3"/>
    <w:rsid w:val="00E22FDE"/>
    <w:rsid w:val="00E236C6"/>
    <w:rsid w:val="00E25973"/>
    <w:rsid w:val="00E30266"/>
    <w:rsid w:val="00E3115C"/>
    <w:rsid w:val="00E311E9"/>
    <w:rsid w:val="00E31221"/>
    <w:rsid w:val="00E32D4C"/>
    <w:rsid w:val="00E32F0B"/>
    <w:rsid w:val="00E33868"/>
    <w:rsid w:val="00E34104"/>
    <w:rsid w:val="00E341E5"/>
    <w:rsid w:val="00E34538"/>
    <w:rsid w:val="00E34F33"/>
    <w:rsid w:val="00E35578"/>
    <w:rsid w:val="00E35CBB"/>
    <w:rsid w:val="00E35DC5"/>
    <w:rsid w:val="00E361D9"/>
    <w:rsid w:val="00E375CC"/>
    <w:rsid w:val="00E404DF"/>
    <w:rsid w:val="00E406FB"/>
    <w:rsid w:val="00E408AD"/>
    <w:rsid w:val="00E40E99"/>
    <w:rsid w:val="00E40F95"/>
    <w:rsid w:val="00E41CF8"/>
    <w:rsid w:val="00E4269D"/>
    <w:rsid w:val="00E4312B"/>
    <w:rsid w:val="00E4360F"/>
    <w:rsid w:val="00E43997"/>
    <w:rsid w:val="00E44961"/>
    <w:rsid w:val="00E45FD1"/>
    <w:rsid w:val="00E45FED"/>
    <w:rsid w:val="00E465E0"/>
    <w:rsid w:val="00E467BE"/>
    <w:rsid w:val="00E46D63"/>
    <w:rsid w:val="00E47B24"/>
    <w:rsid w:val="00E47CA8"/>
    <w:rsid w:val="00E5096A"/>
    <w:rsid w:val="00E51851"/>
    <w:rsid w:val="00E5222C"/>
    <w:rsid w:val="00E525D7"/>
    <w:rsid w:val="00E552B2"/>
    <w:rsid w:val="00E55853"/>
    <w:rsid w:val="00E55BA7"/>
    <w:rsid w:val="00E5687C"/>
    <w:rsid w:val="00E5732B"/>
    <w:rsid w:val="00E57576"/>
    <w:rsid w:val="00E57AC2"/>
    <w:rsid w:val="00E604B3"/>
    <w:rsid w:val="00E60650"/>
    <w:rsid w:val="00E60A18"/>
    <w:rsid w:val="00E60EE1"/>
    <w:rsid w:val="00E6109E"/>
    <w:rsid w:val="00E6145B"/>
    <w:rsid w:val="00E616AF"/>
    <w:rsid w:val="00E61E59"/>
    <w:rsid w:val="00E622EF"/>
    <w:rsid w:val="00E62712"/>
    <w:rsid w:val="00E62CB4"/>
    <w:rsid w:val="00E6389E"/>
    <w:rsid w:val="00E63BE9"/>
    <w:rsid w:val="00E6469C"/>
    <w:rsid w:val="00E64B23"/>
    <w:rsid w:val="00E65768"/>
    <w:rsid w:val="00E6712E"/>
    <w:rsid w:val="00E708F6"/>
    <w:rsid w:val="00E709C6"/>
    <w:rsid w:val="00E716B4"/>
    <w:rsid w:val="00E71A0F"/>
    <w:rsid w:val="00E7210E"/>
    <w:rsid w:val="00E72DE4"/>
    <w:rsid w:val="00E73B23"/>
    <w:rsid w:val="00E7443F"/>
    <w:rsid w:val="00E749FF"/>
    <w:rsid w:val="00E7508D"/>
    <w:rsid w:val="00E751BB"/>
    <w:rsid w:val="00E770C2"/>
    <w:rsid w:val="00E779C1"/>
    <w:rsid w:val="00E80C6A"/>
    <w:rsid w:val="00E8157B"/>
    <w:rsid w:val="00E81DF0"/>
    <w:rsid w:val="00E82218"/>
    <w:rsid w:val="00E82353"/>
    <w:rsid w:val="00E82554"/>
    <w:rsid w:val="00E82602"/>
    <w:rsid w:val="00E828B9"/>
    <w:rsid w:val="00E85477"/>
    <w:rsid w:val="00E85835"/>
    <w:rsid w:val="00E8591D"/>
    <w:rsid w:val="00E865E1"/>
    <w:rsid w:val="00E86B67"/>
    <w:rsid w:val="00E90212"/>
    <w:rsid w:val="00E906CB"/>
    <w:rsid w:val="00E921AD"/>
    <w:rsid w:val="00E9314D"/>
    <w:rsid w:val="00E932CE"/>
    <w:rsid w:val="00E9377B"/>
    <w:rsid w:val="00E93A6A"/>
    <w:rsid w:val="00E949CD"/>
    <w:rsid w:val="00E94A8E"/>
    <w:rsid w:val="00E952AC"/>
    <w:rsid w:val="00E952F6"/>
    <w:rsid w:val="00E95597"/>
    <w:rsid w:val="00E9572F"/>
    <w:rsid w:val="00E95DFC"/>
    <w:rsid w:val="00E96EEA"/>
    <w:rsid w:val="00E97B64"/>
    <w:rsid w:val="00E97F1F"/>
    <w:rsid w:val="00EA03D4"/>
    <w:rsid w:val="00EA0F84"/>
    <w:rsid w:val="00EA1247"/>
    <w:rsid w:val="00EA1A3B"/>
    <w:rsid w:val="00EA2C35"/>
    <w:rsid w:val="00EA33D5"/>
    <w:rsid w:val="00EA3BBB"/>
    <w:rsid w:val="00EA3C68"/>
    <w:rsid w:val="00EA49B9"/>
    <w:rsid w:val="00EA4F9A"/>
    <w:rsid w:val="00EA5C37"/>
    <w:rsid w:val="00EA5E02"/>
    <w:rsid w:val="00EA5FD0"/>
    <w:rsid w:val="00EA6076"/>
    <w:rsid w:val="00EA61FC"/>
    <w:rsid w:val="00EA63B1"/>
    <w:rsid w:val="00EA6B18"/>
    <w:rsid w:val="00EA7289"/>
    <w:rsid w:val="00EA780D"/>
    <w:rsid w:val="00EA7AAC"/>
    <w:rsid w:val="00EA7E8F"/>
    <w:rsid w:val="00EA7FDF"/>
    <w:rsid w:val="00EB0020"/>
    <w:rsid w:val="00EB0C85"/>
    <w:rsid w:val="00EB1029"/>
    <w:rsid w:val="00EB13AC"/>
    <w:rsid w:val="00EB1488"/>
    <w:rsid w:val="00EB1C53"/>
    <w:rsid w:val="00EB3985"/>
    <w:rsid w:val="00EB4059"/>
    <w:rsid w:val="00EB415F"/>
    <w:rsid w:val="00EB4549"/>
    <w:rsid w:val="00EB4EF4"/>
    <w:rsid w:val="00EB63F2"/>
    <w:rsid w:val="00EB6A36"/>
    <w:rsid w:val="00EC04C8"/>
    <w:rsid w:val="00EC103B"/>
    <w:rsid w:val="00EC1112"/>
    <w:rsid w:val="00EC1445"/>
    <w:rsid w:val="00EC16D7"/>
    <w:rsid w:val="00EC172D"/>
    <w:rsid w:val="00EC1E45"/>
    <w:rsid w:val="00EC5EAA"/>
    <w:rsid w:val="00EC687D"/>
    <w:rsid w:val="00EC6F39"/>
    <w:rsid w:val="00EC7453"/>
    <w:rsid w:val="00EC7D3F"/>
    <w:rsid w:val="00ED020C"/>
    <w:rsid w:val="00ED0468"/>
    <w:rsid w:val="00ED0963"/>
    <w:rsid w:val="00ED0DD3"/>
    <w:rsid w:val="00ED15C8"/>
    <w:rsid w:val="00ED25D2"/>
    <w:rsid w:val="00ED2A60"/>
    <w:rsid w:val="00ED42FC"/>
    <w:rsid w:val="00ED533F"/>
    <w:rsid w:val="00ED548B"/>
    <w:rsid w:val="00ED54A0"/>
    <w:rsid w:val="00ED5814"/>
    <w:rsid w:val="00ED648B"/>
    <w:rsid w:val="00ED6DAB"/>
    <w:rsid w:val="00ED6F62"/>
    <w:rsid w:val="00EE088B"/>
    <w:rsid w:val="00EE0A5F"/>
    <w:rsid w:val="00EE16DD"/>
    <w:rsid w:val="00EE179A"/>
    <w:rsid w:val="00EE1A6D"/>
    <w:rsid w:val="00EE2AE5"/>
    <w:rsid w:val="00EE2B6C"/>
    <w:rsid w:val="00EE31B0"/>
    <w:rsid w:val="00EE356F"/>
    <w:rsid w:val="00EE397E"/>
    <w:rsid w:val="00EE4489"/>
    <w:rsid w:val="00EE4C6E"/>
    <w:rsid w:val="00EE552C"/>
    <w:rsid w:val="00EE5721"/>
    <w:rsid w:val="00EE58AC"/>
    <w:rsid w:val="00EE5945"/>
    <w:rsid w:val="00EE5C33"/>
    <w:rsid w:val="00EE61A6"/>
    <w:rsid w:val="00EE61BE"/>
    <w:rsid w:val="00EE65B1"/>
    <w:rsid w:val="00EE682F"/>
    <w:rsid w:val="00EE6A54"/>
    <w:rsid w:val="00EE7AA8"/>
    <w:rsid w:val="00EE7AF0"/>
    <w:rsid w:val="00EF0147"/>
    <w:rsid w:val="00EF0B3A"/>
    <w:rsid w:val="00EF1C55"/>
    <w:rsid w:val="00EF1C95"/>
    <w:rsid w:val="00EF23C0"/>
    <w:rsid w:val="00EF2774"/>
    <w:rsid w:val="00EF3206"/>
    <w:rsid w:val="00EF4059"/>
    <w:rsid w:val="00EF4CB1"/>
    <w:rsid w:val="00EF5011"/>
    <w:rsid w:val="00EF5586"/>
    <w:rsid w:val="00EF6097"/>
    <w:rsid w:val="00EF7000"/>
    <w:rsid w:val="00EF73D3"/>
    <w:rsid w:val="00F00403"/>
    <w:rsid w:val="00F00A6D"/>
    <w:rsid w:val="00F01F51"/>
    <w:rsid w:val="00F040D9"/>
    <w:rsid w:val="00F043C3"/>
    <w:rsid w:val="00F0512D"/>
    <w:rsid w:val="00F0554E"/>
    <w:rsid w:val="00F05F4F"/>
    <w:rsid w:val="00F067A6"/>
    <w:rsid w:val="00F07031"/>
    <w:rsid w:val="00F071E4"/>
    <w:rsid w:val="00F078B7"/>
    <w:rsid w:val="00F07B77"/>
    <w:rsid w:val="00F07CB2"/>
    <w:rsid w:val="00F07F86"/>
    <w:rsid w:val="00F100D6"/>
    <w:rsid w:val="00F104F4"/>
    <w:rsid w:val="00F1075A"/>
    <w:rsid w:val="00F10F4E"/>
    <w:rsid w:val="00F11916"/>
    <w:rsid w:val="00F126D6"/>
    <w:rsid w:val="00F1278D"/>
    <w:rsid w:val="00F134BD"/>
    <w:rsid w:val="00F1459B"/>
    <w:rsid w:val="00F14BFD"/>
    <w:rsid w:val="00F15271"/>
    <w:rsid w:val="00F154F7"/>
    <w:rsid w:val="00F15A69"/>
    <w:rsid w:val="00F174CC"/>
    <w:rsid w:val="00F17566"/>
    <w:rsid w:val="00F20F84"/>
    <w:rsid w:val="00F211A9"/>
    <w:rsid w:val="00F219D2"/>
    <w:rsid w:val="00F23486"/>
    <w:rsid w:val="00F238F2"/>
    <w:rsid w:val="00F23FE9"/>
    <w:rsid w:val="00F25C03"/>
    <w:rsid w:val="00F26461"/>
    <w:rsid w:val="00F265A3"/>
    <w:rsid w:val="00F30B77"/>
    <w:rsid w:val="00F31D79"/>
    <w:rsid w:val="00F31FA9"/>
    <w:rsid w:val="00F3222C"/>
    <w:rsid w:val="00F322F8"/>
    <w:rsid w:val="00F3275C"/>
    <w:rsid w:val="00F332B3"/>
    <w:rsid w:val="00F34B8E"/>
    <w:rsid w:val="00F34D63"/>
    <w:rsid w:val="00F35ABF"/>
    <w:rsid w:val="00F35C28"/>
    <w:rsid w:val="00F35F7A"/>
    <w:rsid w:val="00F36593"/>
    <w:rsid w:val="00F36697"/>
    <w:rsid w:val="00F36720"/>
    <w:rsid w:val="00F36CCA"/>
    <w:rsid w:val="00F36D70"/>
    <w:rsid w:val="00F400FD"/>
    <w:rsid w:val="00F4019E"/>
    <w:rsid w:val="00F40D74"/>
    <w:rsid w:val="00F4166C"/>
    <w:rsid w:val="00F41C35"/>
    <w:rsid w:val="00F41E23"/>
    <w:rsid w:val="00F42321"/>
    <w:rsid w:val="00F42A3E"/>
    <w:rsid w:val="00F44217"/>
    <w:rsid w:val="00F4438C"/>
    <w:rsid w:val="00F44D03"/>
    <w:rsid w:val="00F4542B"/>
    <w:rsid w:val="00F45652"/>
    <w:rsid w:val="00F45F78"/>
    <w:rsid w:val="00F45FBA"/>
    <w:rsid w:val="00F463D4"/>
    <w:rsid w:val="00F46596"/>
    <w:rsid w:val="00F465E7"/>
    <w:rsid w:val="00F46ED7"/>
    <w:rsid w:val="00F50ACD"/>
    <w:rsid w:val="00F50C85"/>
    <w:rsid w:val="00F53744"/>
    <w:rsid w:val="00F53E59"/>
    <w:rsid w:val="00F549D7"/>
    <w:rsid w:val="00F54C51"/>
    <w:rsid w:val="00F550EA"/>
    <w:rsid w:val="00F556DB"/>
    <w:rsid w:val="00F5595F"/>
    <w:rsid w:val="00F55D88"/>
    <w:rsid w:val="00F55EF4"/>
    <w:rsid w:val="00F560D5"/>
    <w:rsid w:val="00F56325"/>
    <w:rsid w:val="00F5687E"/>
    <w:rsid w:val="00F57EAA"/>
    <w:rsid w:val="00F60922"/>
    <w:rsid w:val="00F61F44"/>
    <w:rsid w:val="00F6238E"/>
    <w:rsid w:val="00F62894"/>
    <w:rsid w:val="00F62C3F"/>
    <w:rsid w:val="00F62E85"/>
    <w:rsid w:val="00F63686"/>
    <w:rsid w:val="00F65470"/>
    <w:rsid w:val="00F65E74"/>
    <w:rsid w:val="00F661CC"/>
    <w:rsid w:val="00F66E42"/>
    <w:rsid w:val="00F71DCF"/>
    <w:rsid w:val="00F72EA9"/>
    <w:rsid w:val="00F731B4"/>
    <w:rsid w:val="00F73D95"/>
    <w:rsid w:val="00F7441E"/>
    <w:rsid w:val="00F746F9"/>
    <w:rsid w:val="00F756CE"/>
    <w:rsid w:val="00F75BB7"/>
    <w:rsid w:val="00F76882"/>
    <w:rsid w:val="00F769D6"/>
    <w:rsid w:val="00F76F55"/>
    <w:rsid w:val="00F77044"/>
    <w:rsid w:val="00F776F9"/>
    <w:rsid w:val="00F77A45"/>
    <w:rsid w:val="00F8012A"/>
    <w:rsid w:val="00F8015E"/>
    <w:rsid w:val="00F821F4"/>
    <w:rsid w:val="00F82D12"/>
    <w:rsid w:val="00F83598"/>
    <w:rsid w:val="00F8482E"/>
    <w:rsid w:val="00F85766"/>
    <w:rsid w:val="00F85A50"/>
    <w:rsid w:val="00F86382"/>
    <w:rsid w:val="00F866FA"/>
    <w:rsid w:val="00F87338"/>
    <w:rsid w:val="00F87AD4"/>
    <w:rsid w:val="00F91869"/>
    <w:rsid w:val="00F918B3"/>
    <w:rsid w:val="00F91CCA"/>
    <w:rsid w:val="00F92A57"/>
    <w:rsid w:val="00F931D3"/>
    <w:rsid w:val="00F93E47"/>
    <w:rsid w:val="00F9423C"/>
    <w:rsid w:val="00F9524F"/>
    <w:rsid w:val="00F95769"/>
    <w:rsid w:val="00F95A17"/>
    <w:rsid w:val="00F95F1E"/>
    <w:rsid w:val="00F95F89"/>
    <w:rsid w:val="00F96E82"/>
    <w:rsid w:val="00F973C1"/>
    <w:rsid w:val="00FA0954"/>
    <w:rsid w:val="00FA281F"/>
    <w:rsid w:val="00FA289A"/>
    <w:rsid w:val="00FA2D35"/>
    <w:rsid w:val="00FA3460"/>
    <w:rsid w:val="00FA3C5E"/>
    <w:rsid w:val="00FA4197"/>
    <w:rsid w:val="00FA5797"/>
    <w:rsid w:val="00FA5F10"/>
    <w:rsid w:val="00FA6CA0"/>
    <w:rsid w:val="00FB375B"/>
    <w:rsid w:val="00FB3BCF"/>
    <w:rsid w:val="00FB4D00"/>
    <w:rsid w:val="00FB4EFB"/>
    <w:rsid w:val="00FB4F9D"/>
    <w:rsid w:val="00FB52C9"/>
    <w:rsid w:val="00FB63BF"/>
    <w:rsid w:val="00FB6425"/>
    <w:rsid w:val="00FB69FD"/>
    <w:rsid w:val="00FB6D46"/>
    <w:rsid w:val="00FB722E"/>
    <w:rsid w:val="00FB77A7"/>
    <w:rsid w:val="00FB7DA3"/>
    <w:rsid w:val="00FB7EFE"/>
    <w:rsid w:val="00FC0E2F"/>
    <w:rsid w:val="00FC118D"/>
    <w:rsid w:val="00FC3620"/>
    <w:rsid w:val="00FC3B5C"/>
    <w:rsid w:val="00FC3BB9"/>
    <w:rsid w:val="00FC3CB2"/>
    <w:rsid w:val="00FC4661"/>
    <w:rsid w:val="00FC60AA"/>
    <w:rsid w:val="00FC62C9"/>
    <w:rsid w:val="00FC6C66"/>
    <w:rsid w:val="00FC7260"/>
    <w:rsid w:val="00FC7F5D"/>
    <w:rsid w:val="00FD0E22"/>
    <w:rsid w:val="00FD1BBF"/>
    <w:rsid w:val="00FD1BC7"/>
    <w:rsid w:val="00FD1D84"/>
    <w:rsid w:val="00FD4E9C"/>
    <w:rsid w:val="00FD50A4"/>
    <w:rsid w:val="00FD744A"/>
    <w:rsid w:val="00FD7D4E"/>
    <w:rsid w:val="00FE09CF"/>
    <w:rsid w:val="00FE0FF8"/>
    <w:rsid w:val="00FE1107"/>
    <w:rsid w:val="00FE44CB"/>
    <w:rsid w:val="00FE463D"/>
    <w:rsid w:val="00FE5201"/>
    <w:rsid w:val="00FE58D5"/>
    <w:rsid w:val="00FE59B5"/>
    <w:rsid w:val="00FE5CA3"/>
    <w:rsid w:val="00FE624C"/>
    <w:rsid w:val="00FE6332"/>
    <w:rsid w:val="00FE6CF4"/>
    <w:rsid w:val="00FE757B"/>
    <w:rsid w:val="00FF017B"/>
    <w:rsid w:val="00FF08C3"/>
    <w:rsid w:val="00FF1794"/>
    <w:rsid w:val="00FF2183"/>
    <w:rsid w:val="00FF2743"/>
    <w:rsid w:val="00FF2ED6"/>
    <w:rsid w:val="00FF368A"/>
    <w:rsid w:val="00FF3971"/>
    <w:rsid w:val="00FF53E0"/>
    <w:rsid w:val="00FF61D6"/>
    <w:rsid w:val="00FF64AD"/>
    <w:rsid w:val="00FF7950"/>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BE340"/>
  <w15:docId w15:val="{19041912-22C6-4FC9-8A3D-76835B99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2" w:uiPriority="42"/>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97F88"/>
    <w:pPr>
      <w:spacing w:before="120" w:after="120"/>
    </w:pPr>
  </w:style>
  <w:style w:type="paragraph" w:styleId="Heading1">
    <w:name w:val="heading 1"/>
    <w:basedOn w:val="Normal"/>
    <w:next w:val="Normal"/>
    <w:qFormat/>
    <w:rsid w:val="002A0477"/>
    <w:pPr>
      <w:spacing w:before="480" w:after="240"/>
      <w:outlineLvl w:val="0"/>
    </w:pPr>
    <w:rPr>
      <w:rFonts w:cs="Arial"/>
      <w:b/>
      <w:bCs/>
      <w:color w:val="595959" w:themeColor="text1" w:themeTint="A6"/>
      <w:kern w:val="28"/>
      <w:sz w:val="40"/>
      <w:szCs w:val="32"/>
    </w:rPr>
  </w:style>
  <w:style w:type="paragraph" w:styleId="Heading2">
    <w:name w:val="heading 2"/>
    <w:basedOn w:val="Heading1"/>
    <w:next w:val="Normal"/>
    <w:qFormat/>
    <w:rsid w:val="002A5442"/>
    <w:pPr>
      <w:spacing w:before="360"/>
      <w:outlineLvl w:val="1"/>
    </w:pPr>
    <w:rPr>
      <w:bCs w:val="0"/>
      <w:iCs/>
      <w:sz w:val="32"/>
      <w:szCs w:val="28"/>
    </w:rPr>
  </w:style>
  <w:style w:type="paragraph" w:styleId="Heading3">
    <w:name w:val="heading 3"/>
    <w:basedOn w:val="Heading2"/>
    <w:next w:val="Normal"/>
    <w:link w:val="Heading3Char"/>
    <w:qFormat/>
    <w:rsid w:val="00944403"/>
    <w:pPr>
      <w:spacing w:before="300" w:after="180"/>
      <w:outlineLvl w:val="2"/>
    </w:pPr>
    <w:rPr>
      <w:bCs/>
      <w:color w:val="DC5827"/>
      <w:sz w:val="28"/>
      <w:szCs w:val="26"/>
    </w:rPr>
  </w:style>
  <w:style w:type="paragraph" w:styleId="Heading4">
    <w:name w:val="heading 4"/>
    <w:basedOn w:val="Normal"/>
    <w:next w:val="Normal"/>
    <w:link w:val="Heading4Char"/>
    <w:qFormat/>
    <w:rsid w:val="0033365E"/>
    <w:pPr>
      <w:keepNext/>
      <w:spacing w:before="240"/>
      <w:outlineLvl w:val="3"/>
    </w:pPr>
    <w:rPr>
      <w:b/>
      <w:bCs/>
      <w:color w:val="404040" w:themeColor="text1" w:themeTint="BF"/>
      <w:sz w:val="26"/>
      <w:szCs w:val="26"/>
    </w:rPr>
  </w:style>
  <w:style w:type="paragraph" w:styleId="Heading5">
    <w:name w:val="heading 5"/>
    <w:basedOn w:val="Normal"/>
    <w:next w:val="Normal"/>
    <w:link w:val="Heading5Char"/>
    <w:qFormat/>
    <w:rsid w:val="009E3352"/>
    <w:pPr>
      <w:keepNext/>
      <w:spacing w:before="240"/>
      <w:outlineLvl w:val="4"/>
    </w:pPr>
    <w:rPr>
      <w:b/>
      <w:bCs/>
      <w:iCs/>
      <w:color w:val="404040" w:themeColor="text1" w:themeTint="BF"/>
      <w:sz w:val="24"/>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DDDDDD"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DDDDDD" w:themeColor="background2"/>
      <w:sz w:val="40"/>
    </w:rPr>
  </w:style>
  <w:style w:type="paragraph" w:styleId="Title">
    <w:name w:val="Title"/>
    <w:basedOn w:val="Normal"/>
    <w:next w:val="Normal"/>
    <w:link w:val="TitleChar"/>
    <w:uiPriority w:val="1"/>
    <w:qFormat/>
    <w:rsid w:val="004A53F9"/>
    <w:pPr>
      <w:spacing w:before="480" w:after="240"/>
      <w:contextualSpacing/>
    </w:pPr>
    <w:rPr>
      <w:rFonts w:asciiTheme="majorHAnsi" w:eastAsiaTheme="majorEastAsia" w:hAnsiTheme="majorHAnsi" w:cs="Times New Roman (Headings CS)"/>
      <w:b/>
      <w:spacing w:val="-6"/>
      <w:kern w:val="28"/>
      <w:sz w:val="56"/>
      <w:szCs w:val="56"/>
    </w:rPr>
  </w:style>
  <w:style w:type="character" w:customStyle="1" w:styleId="TitleChar">
    <w:name w:val="Title Char"/>
    <w:basedOn w:val="DefaultParagraphFont"/>
    <w:link w:val="Title"/>
    <w:uiPriority w:val="1"/>
    <w:rsid w:val="004A53F9"/>
    <w:rPr>
      <w:rFonts w:asciiTheme="majorHAnsi" w:eastAsiaTheme="majorEastAsia" w:hAnsiTheme="majorHAnsi" w:cs="Times New Roman (Headings CS)"/>
      <w:b/>
      <w:spacing w:val="-6"/>
      <w:kern w:val="28"/>
      <w:sz w:val="56"/>
      <w:szCs w:val="56"/>
    </w:rPr>
  </w:style>
  <w:style w:type="paragraph" w:customStyle="1" w:styleId="PulloutTextHead">
    <w:name w:val="Pullout Text Head"/>
    <w:basedOn w:val="Heading3"/>
    <w:qFormat/>
    <w:rsid w:val="00036AB8"/>
    <w:pPr>
      <w:pBdr>
        <w:left w:val="single" w:sz="48" w:space="8" w:color="DDDDDD" w:themeColor="background2"/>
      </w:pBdr>
      <w:spacing w:before="180" w:after="120"/>
      <w:ind w:left="284"/>
    </w:pPr>
    <w:rPr>
      <w:caps/>
      <w:sz w:val="22"/>
      <w:lang w:val="en-GB"/>
    </w:rPr>
  </w:style>
  <w:style w:type="paragraph" w:styleId="TOC1">
    <w:name w:val="toc 1"/>
    <w:basedOn w:val="Normal"/>
    <w:next w:val="Normal"/>
    <w:autoRedefine/>
    <w:uiPriority w:val="39"/>
    <w:qFormat/>
    <w:rsid w:val="00003182"/>
    <w:pPr>
      <w:tabs>
        <w:tab w:val="right" w:leader="dot" w:pos="9015"/>
      </w:tabs>
    </w:pPr>
    <w:rPr>
      <w:rFonts w:cstheme="minorHAnsi"/>
      <w:b/>
      <w:bCs/>
      <w:noProof/>
      <w:sz w:val="24"/>
      <w:szCs w:val="20"/>
      <w:lang w:val="en-GB"/>
    </w:rPr>
  </w:style>
  <w:style w:type="paragraph" w:styleId="TOC2">
    <w:name w:val="toc 2"/>
    <w:basedOn w:val="Normal"/>
    <w:next w:val="Normal"/>
    <w:autoRedefine/>
    <w:uiPriority w:val="39"/>
    <w:qFormat/>
    <w:rsid w:val="008220E8"/>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7532B7"/>
    <w:pPr>
      <w:tabs>
        <w:tab w:val="right" w:leader="dot" w:pos="9015"/>
      </w:tabs>
      <w:spacing w:after="0"/>
      <w:ind w:left="442" w:right="707"/>
    </w:pPr>
    <w:rPr>
      <w:rFonts w:cs="Arial (Body)"/>
      <w:b/>
      <w:iCs/>
      <w:noProof/>
      <w:color w:val="5E5E5E" w:themeColor="text2"/>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aliases w:val="Table Footnote Text"/>
    <w:basedOn w:val="Normal"/>
    <w:link w:val="FootnoteTextChar"/>
    <w:rsid w:val="006765C3"/>
    <w:pPr>
      <w:spacing w:before="180" w:after="180"/>
      <w:contextualSpacing/>
    </w:pPr>
    <w:rPr>
      <w:sz w:val="18"/>
      <w:szCs w:val="20"/>
    </w:rPr>
  </w:style>
  <w:style w:type="character" w:customStyle="1" w:styleId="FootnoteTextChar">
    <w:name w:val="Footnote Text Char"/>
    <w:aliases w:val="Table 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Commission"/>
    <w:basedOn w:val="TableNormal"/>
    <w:uiPriority w:val="59"/>
    <w:locked/>
    <w:rsid w:val="00FB722E"/>
    <w:pPr>
      <w:spacing w:before="60" w:after="60"/>
    </w:pPr>
    <w:rPr>
      <w:color w:val="000000" w:themeColor="text1"/>
      <w:sz w:val="20"/>
    </w:rPr>
    <w:tblPr>
      <w:tblBorders>
        <w:top w:val="single" w:sz="4" w:space="0" w:color="5E5E5E" w:themeColor="text2"/>
        <w:left w:val="single" w:sz="4" w:space="0" w:color="5E5E5E" w:themeColor="text2"/>
        <w:bottom w:val="single" w:sz="4" w:space="0" w:color="5E5E5E" w:themeColor="text2"/>
        <w:right w:val="single" w:sz="4" w:space="0" w:color="5E5E5E" w:themeColor="text2"/>
        <w:insideH w:val="single" w:sz="4" w:space="0" w:color="5E5E5E" w:themeColor="text2"/>
        <w:insideV w:val="single" w:sz="4" w:space="0" w:color="5E5E5E"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A6B727"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5E5E5E"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DDDDDD" w:themeColor="background2"/>
      <w:u w:val="single"/>
    </w:rPr>
  </w:style>
  <w:style w:type="paragraph" w:styleId="TOCHeading">
    <w:name w:val="TOC Heading"/>
    <w:basedOn w:val="Heading1"/>
    <w:next w:val="Normal"/>
    <w:uiPriority w:val="39"/>
    <w:unhideWhenUsed/>
    <w:qFormat/>
    <w:rsid w:val="008A6ACE"/>
    <w:pPr>
      <w:spacing w:after="0" w:line="276" w:lineRule="auto"/>
      <w:outlineLvl w:val="9"/>
    </w:pPr>
    <w:rPr>
      <w:rFonts w:asciiTheme="majorHAnsi" w:eastAsiaTheme="majorEastAsia" w:hAnsiTheme="majorHAnsi" w:cstheme="majorBidi"/>
      <w:kern w:val="0"/>
      <w:szCs w:val="28"/>
      <w:lang w:val="en-US" w:eastAsia="ja-JP"/>
    </w:rPr>
  </w:style>
  <w:style w:type="paragraph" w:customStyle="1" w:styleId="Captions">
    <w:name w:val="Captions"/>
    <w:basedOn w:val="Normal"/>
    <w:link w:val="CaptionsChar"/>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3A43F1"/>
    <w:pPr>
      <w:spacing w:before="480" w:after="0"/>
    </w:pPr>
    <w:rPr>
      <w:sz w:val="32"/>
      <w:szCs w:val="40"/>
    </w:rPr>
  </w:style>
  <w:style w:type="character" w:customStyle="1" w:styleId="PublicationDateChar">
    <w:name w:val="Publication Date Char"/>
    <w:basedOn w:val="DefaultParagraphFont"/>
    <w:link w:val="PublicationDate"/>
    <w:uiPriority w:val="99"/>
    <w:rsid w:val="003A43F1"/>
    <w:rPr>
      <w:sz w:val="32"/>
      <w:szCs w:val="40"/>
    </w:rPr>
  </w:style>
  <w:style w:type="paragraph" w:customStyle="1" w:styleId="Redtext">
    <w:name w:val="Red text"/>
    <w:basedOn w:val="Normal"/>
    <w:qFormat/>
    <w:rsid w:val="00F866FA"/>
    <w:pPr>
      <w:spacing w:after="80"/>
    </w:pPr>
    <w:rPr>
      <w:color w:val="DF5327"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DDDDDD" w:themeColor="background2"/>
        <w:left w:val="single" w:sz="4" w:space="0" w:color="DDDDDD" w:themeColor="background2"/>
        <w:bottom w:val="single" w:sz="4" w:space="0" w:color="DDDDDD" w:themeColor="background2"/>
        <w:right w:val="single" w:sz="4" w:space="0" w:color="DDDDDD" w:themeColor="background2"/>
        <w:insideH w:val="single" w:sz="4" w:space="0" w:color="DDDDDD" w:themeColor="background2"/>
        <w:insideV w:val="single" w:sz="4" w:space="0" w:color="DDDDDD" w:themeColor="background2"/>
      </w:tblBorders>
    </w:tblPr>
    <w:tblStylePr w:type="firstRow">
      <w:pPr>
        <w:jc w:val="left"/>
      </w:pPr>
      <w:rPr>
        <w:b/>
        <w:color w:val="FFFFFF" w:themeColor="background1"/>
      </w:rPr>
      <w:tblPr/>
      <w:tcPr>
        <w:shd w:val="clear" w:color="auto" w:fill="DDDDDD"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DDDDDD" w:themeColor="background2"/>
        <w:left w:val="single" w:sz="4" w:space="0" w:color="DDDDDD" w:themeColor="background2"/>
        <w:bottom w:val="single" w:sz="4" w:space="0" w:color="DDDDDD" w:themeColor="background2"/>
        <w:right w:val="single" w:sz="4" w:space="0" w:color="DDDDDD" w:themeColor="background2"/>
        <w:insideH w:val="single" w:sz="4" w:space="0" w:color="DDDDDD" w:themeColor="background2"/>
        <w:insideV w:val="single" w:sz="4" w:space="0" w:color="DDDDDD" w:themeColor="background2"/>
      </w:tblBorders>
    </w:tblPr>
    <w:tblStylePr w:type="firstRow">
      <w:rPr>
        <w:rFonts w:asciiTheme="minorHAnsi" w:hAnsiTheme="minorHAnsi"/>
        <w:b/>
        <w:color w:val="FFFFFF"/>
        <w:sz w:val="20"/>
      </w:rPr>
      <w:tblPr/>
      <w:tcPr>
        <w:shd w:val="clear" w:color="auto" w:fill="DDDDDD"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5E5E5E" w:themeColor="text2"/>
        <w:left w:val="single" w:sz="4" w:space="0" w:color="5E5E5E" w:themeColor="text2"/>
        <w:bottom w:val="single" w:sz="4" w:space="0" w:color="5E5E5E" w:themeColor="text2"/>
        <w:right w:val="single" w:sz="4" w:space="0" w:color="5E5E5E" w:themeColor="text2"/>
        <w:insideH w:val="single" w:sz="4" w:space="0" w:color="5E5E5E" w:themeColor="text2"/>
        <w:insideV w:val="single" w:sz="4" w:space="0" w:color="5E5E5E" w:themeColor="text2"/>
      </w:tblBorders>
    </w:tblPr>
    <w:tblStylePr w:type="firstRow">
      <w:rPr>
        <w:rFonts w:asciiTheme="minorHAnsi" w:hAnsiTheme="minorHAnsi"/>
        <w:b/>
        <w:color w:val="000000" w:themeColor="text1"/>
      </w:rPr>
      <w:tblPr/>
      <w:tcPr>
        <w:shd w:val="clear" w:color="auto" w:fill="A6B727"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A6B727"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DDDDDD"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DDDDDD" w:themeFill="background2"/>
      </w:tcPr>
    </w:tblStylePr>
    <w:tblStylePr w:type="firstCol">
      <w:rPr>
        <w:b/>
      </w:rPr>
      <w:tblPr/>
      <w:tcPr>
        <w:shd w:val="clear" w:color="auto" w:fill="A6B727"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styleId="Caption">
    <w:name w:val="caption"/>
    <w:basedOn w:val="Normal"/>
    <w:next w:val="Normal"/>
    <w:uiPriority w:val="98"/>
    <w:unhideWhenUsed/>
    <w:qFormat/>
    <w:locked/>
    <w:rsid w:val="003116DD"/>
    <w:pPr>
      <w:spacing w:before="0" w:after="200"/>
    </w:pPr>
    <w:rPr>
      <w:i/>
      <w:iCs/>
      <w:color w:val="5E5E5E" w:themeColor="text2"/>
      <w:sz w:val="18"/>
      <w:szCs w:val="18"/>
    </w:rPr>
  </w:style>
  <w:style w:type="paragraph" w:styleId="TableofFigures">
    <w:name w:val="table of figures"/>
    <w:basedOn w:val="Normal"/>
    <w:next w:val="Normal"/>
    <w:uiPriority w:val="99"/>
    <w:unhideWhenUsed/>
    <w:locked/>
    <w:rsid w:val="00CD3430"/>
    <w:pPr>
      <w:spacing w:after="0"/>
    </w:pPr>
  </w:style>
  <w:style w:type="character" w:customStyle="1" w:styleId="Heading4Char">
    <w:name w:val="Heading 4 Char"/>
    <w:basedOn w:val="DefaultParagraphFont"/>
    <w:link w:val="Heading4"/>
    <w:rsid w:val="0033365E"/>
    <w:rPr>
      <w:b/>
      <w:bCs/>
      <w:color w:val="404040" w:themeColor="text1" w:themeTint="BF"/>
      <w:sz w:val="26"/>
      <w:szCs w:val="26"/>
    </w:rPr>
  </w:style>
  <w:style w:type="character" w:styleId="CommentReference">
    <w:name w:val="annotation reference"/>
    <w:basedOn w:val="DefaultParagraphFont"/>
    <w:uiPriority w:val="99"/>
    <w:unhideWhenUsed/>
    <w:locked/>
    <w:rsid w:val="00087A4F"/>
    <w:rPr>
      <w:sz w:val="16"/>
      <w:szCs w:val="16"/>
    </w:rPr>
  </w:style>
  <w:style w:type="paragraph" w:styleId="CommentText">
    <w:name w:val="annotation text"/>
    <w:basedOn w:val="Normal"/>
    <w:link w:val="CommentTextChar"/>
    <w:unhideWhenUsed/>
    <w:locked/>
    <w:rsid w:val="00087A4F"/>
    <w:rPr>
      <w:sz w:val="20"/>
      <w:szCs w:val="20"/>
    </w:rPr>
  </w:style>
  <w:style w:type="character" w:customStyle="1" w:styleId="CommentTextChar">
    <w:name w:val="Comment Text Char"/>
    <w:basedOn w:val="DefaultParagraphFont"/>
    <w:link w:val="CommentText"/>
    <w:rsid w:val="00087A4F"/>
    <w:rPr>
      <w:sz w:val="20"/>
      <w:szCs w:val="20"/>
    </w:rPr>
  </w:style>
  <w:style w:type="paragraph" w:styleId="CommentSubject">
    <w:name w:val="annotation subject"/>
    <w:basedOn w:val="CommentText"/>
    <w:next w:val="CommentText"/>
    <w:link w:val="CommentSubjectChar"/>
    <w:uiPriority w:val="98"/>
    <w:semiHidden/>
    <w:unhideWhenUsed/>
    <w:locked/>
    <w:rsid w:val="00087A4F"/>
    <w:rPr>
      <w:b/>
      <w:bCs/>
    </w:rPr>
  </w:style>
  <w:style w:type="character" w:customStyle="1" w:styleId="CommentSubjectChar">
    <w:name w:val="Comment Subject Char"/>
    <w:basedOn w:val="CommentTextChar"/>
    <w:link w:val="CommentSubject"/>
    <w:uiPriority w:val="98"/>
    <w:semiHidden/>
    <w:rsid w:val="00087A4F"/>
    <w:rPr>
      <w:b/>
      <w:bCs/>
      <w:sz w:val="20"/>
      <w:szCs w:val="20"/>
    </w:rPr>
  </w:style>
  <w:style w:type="table" w:customStyle="1" w:styleId="Commission1">
    <w:name w:val="Commission1"/>
    <w:basedOn w:val="TableNormal"/>
    <w:next w:val="TableGrid"/>
    <w:uiPriority w:val="59"/>
    <w:rsid w:val="006F5640"/>
    <w:pPr>
      <w:spacing w:after="0"/>
    </w:pPr>
    <w:rPr>
      <w:rFonts w:ascii="Arial" w:hAnsi="Arial"/>
      <w:color w:val="000000"/>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dobe Devanagari" w:hAnsi="Adobe Devanagari"/>
        <w:b/>
        <w:color w:val="000000"/>
        <w:sz w:val="18"/>
      </w:rPr>
      <w:tblPr/>
      <w:tcPr>
        <w:shd w:val="clear" w:color="auto" w:fill="86D3F2"/>
      </w:tcPr>
    </w:tblStylePr>
  </w:style>
  <w:style w:type="table" w:customStyle="1" w:styleId="PlainTable21">
    <w:name w:val="Plain Table 21"/>
    <w:basedOn w:val="TableNormal"/>
    <w:next w:val="PlainTable2"/>
    <w:uiPriority w:val="42"/>
    <w:rsid w:val="007D2E40"/>
    <w:pPr>
      <w:spacing w:after="0"/>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locked/>
    <w:rsid w:val="007D2E4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ast">
    <w:name w:val="BulletLast"/>
    <w:qFormat/>
    <w:rsid w:val="0033365E"/>
    <w:pPr>
      <w:numPr>
        <w:numId w:val="5"/>
      </w:numPr>
      <w:spacing w:after="240"/>
    </w:pPr>
    <w:rPr>
      <w:rFonts w:ascii="Times New Roman" w:hAnsi="Times New Roman"/>
      <w:color w:val="000000"/>
      <w:sz w:val="24"/>
    </w:rPr>
  </w:style>
  <w:style w:type="paragraph" w:customStyle="1" w:styleId="Tablecaption">
    <w:name w:val="Table caption"/>
    <w:basedOn w:val="Normal"/>
    <w:link w:val="TablecaptionChar"/>
    <w:rsid w:val="0033365E"/>
    <w:pPr>
      <w:spacing w:before="60" w:after="60"/>
    </w:pPr>
    <w:rPr>
      <w:rFonts w:eastAsiaTheme="minorEastAsia" w:cstheme="minorBidi"/>
      <w:sz w:val="20"/>
      <w:szCs w:val="20"/>
      <w:lang w:eastAsia="en-US"/>
    </w:rPr>
  </w:style>
  <w:style w:type="character" w:customStyle="1" w:styleId="TablecaptionChar">
    <w:name w:val="Table caption Char"/>
    <w:basedOn w:val="DefaultParagraphFont"/>
    <w:link w:val="Tablecaption"/>
    <w:rsid w:val="0033365E"/>
    <w:rPr>
      <w:rFonts w:eastAsiaTheme="minorEastAsia" w:cstheme="minorBidi"/>
      <w:sz w:val="20"/>
      <w:szCs w:val="20"/>
      <w:lang w:eastAsia="en-US"/>
    </w:rPr>
  </w:style>
  <w:style w:type="paragraph" w:customStyle="1" w:styleId="EndNoteBibliographyTitle">
    <w:name w:val="EndNote Bibliography Title"/>
    <w:basedOn w:val="Normal"/>
    <w:link w:val="EndNoteBibliographyTitleChar"/>
    <w:rsid w:val="00A869AB"/>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A869AB"/>
    <w:rPr>
      <w:rFonts w:ascii="Arial" w:hAnsi="Arial" w:cs="Arial"/>
      <w:noProof/>
    </w:rPr>
  </w:style>
  <w:style w:type="paragraph" w:customStyle="1" w:styleId="EndNoteBibliography">
    <w:name w:val="EndNote Bibliography"/>
    <w:basedOn w:val="Normal"/>
    <w:link w:val="EndNoteBibliographyChar"/>
    <w:rsid w:val="00A869AB"/>
    <w:rPr>
      <w:rFonts w:ascii="Arial" w:hAnsi="Arial" w:cs="Arial"/>
      <w:noProof/>
    </w:rPr>
  </w:style>
  <w:style w:type="character" w:customStyle="1" w:styleId="EndNoteBibliographyChar">
    <w:name w:val="EndNote Bibliography Char"/>
    <w:basedOn w:val="DefaultParagraphFont"/>
    <w:link w:val="EndNoteBibliography"/>
    <w:rsid w:val="00A869AB"/>
    <w:rPr>
      <w:rFonts w:ascii="Arial" w:hAnsi="Arial" w:cs="Arial"/>
      <w:noProof/>
    </w:rPr>
  </w:style>
  <w:style w:type="paragraph" w:customStyle="1" w:styleId="Normal-beforebullets">
    <w:name w:val="Normal - before bullets"/>
    <w:basedOn w:val="Normal"/>
    <w:qFormat/>
    <w:rsid w:val="008429D8"/>
    <w:pPr>
      <w:spacing w:before="0" w:after="0"/>
    </w:pPr>
  </w:style>
  <w:style w:type="character" w:customStyle="1" w:styleId="figurenumber">
    <w:name w:val="figurenumber"/>
    <w:basedOn w:val="DefaultParagraphFont"/>
    <w:rsid w:val="0001417E"/>
    <w:rPr>
      <w:rFonts w:ascii="Arial" w:hAnsi="Arial" w:cs="Arial" w:hint="default"/>
      <w:b w:val="0"/>
      <w:bCs w:val="0"/>
      <w:i w:val="0"/>
      <w:iCs w:val="0"/>
    </w:rPr>
  </w:style>
  <w:style w:type="paragraph" w:customStyle="1" w:styleId="Commissionbody">
    <w:name w:val="Commission body"/>
    <w:basedOn w:val="Normal"/>
    <w:link w:val="CommissionbodyChar"/>
    <w:rsid w:val="00E9377B"/>
    <w:pPr>
      <w:widowControl w:val="0"/>
      <w:spacing w:before="0" w:after="200" w:line="276" w:lineRule="auto"/>
    </w:pPr>
    <w:rPr>
      <w:rFonts w:ascii="Arial" w:eastAsiaTheme="minorHAnsi" w:hAnsi="Arial" w:cs="Arial"/>
      <w:lang w:eastAsia="en-US"/>
    </w:rPr>
  </w:style>
  <w:style w:type="character" w:customStyle="1" w:styleId="CommissionbodyChar">
    <w:name w:val="Commission body Char"/>
    <w:basedOn w:val="DefaultParagraphFont"/>
    <w:link w:val="Commissionbody"/>
    <w:rsid w:val="00E9377B"/>
    <w:rPr>
      <w:rFonts w:ascii="Arial" w:eastAsiaTheme="minorHAnsi" w:hAnsi="Arial" w:cs="Arial"/>
      <w:lang w:eastAsia="en-US"/>
    </w:rPr>
  </w:style>
  <w:style w:type="paragraph" w:customStyle="1" w:styleId="FigureTablefootnote">
    <w:name w:val="Figure/Table footnote"/>
    <w:basedOn w:val="Normal"/>
    <w:link w:val="FigureTablefootnoteChar"/>
    <w:qFormat/>
    <w:rsid w:val="00BB59F3"/>
    <w:pPr>
      <w:tabs>
        <w:tab w:val="left" w:pos="142"/>
      </w:tabs>
      <w:spacing w:before="0" w:after="0"/>
    </w:pPr>
    <w:rPr>
      <w:rFonts w:cstheme="minorHAnsi"/>
      <w:sz w:val="16"/>
      <w:szCs w:val="16"/>
    </w:rPr>
  </w:style>
  <w:style w:type="character" w:customStyle="1" w:styleId="FigureTablefootnoteChar">
    <w:name w:val="Figure/Table footnote Char"/>
    <w:basedOn w:val="DefaultParagraphFont"/>
    <w:link w:val="FigureTablefootnote"/>
    <w:rsid w:val="00BB59F3"/>
    <w:rPr>
      <w:rFonts w:cstheme="minorHAnsi"/>
      <w:sz w:val="16"/>
      <w:szCs w:val="16"/>
    </w:rPr>
  </w:style>
  <w:style w:type="character" w:customStyle="1" w:styleId="Heading3Char">
    <w:name w:val="Heading 3 Char"/>
    <w:basedOn w:val="DefaultParagraphFont"/>
    <w:link w:val="Heading3"/>
    <w:rsid w:val="00505808"/>
    <w:rPr>
      <w:rFonts w:cs="Arial"/>
      <w:b/>
      <w:bCs/>
      <w:iCs/>
      <w:color w:val="DC5827"/>
      <w:kern w:val="28"/>
      <w:sz w:val="28"/>
      <w:szCs w:val="26"/>
    </w:rPr>
  </w:style>
  <w:style w:type="paragraph" w:customStyle="1" w:styleId="Numberedlists">
    <w:name w:val="Numbered lists"/>
    <w:basedOn w:val="Normal"/>
    <w:link w:val="NumberedlistsChar"/>
    <w:qFormat/>
    <w:rsid w:val="009C6956"/>
    <w:pPr>
      <w:spacing w:after="200"/>
      <w:ind w:left="360" w:hanging="360"/>
      <w:contextualSpacing/>
    </w:pPr>
  </w:style>
  <w:style w:type="character" w:customStyle="1" w:styleId="NumberedlistsChar">
    <w:name w:val="Numbered lists Char"/>
    <w:basedOn w:val="DefaultParagraphFont"/>
    <w:link w:val="Numberedlists"/>
    <w:rsid w:val="009C6956"/>
  </w:style>
  <w:style w:type="character" w:customStyle="1" w:styleId="Heading5Char">
    <w:name w:val="Heading 5 Char"/>
    <w:basedOn w:val="DefaultParagraphFont"/>
    <w:link w:val="Heading5"/>
    <w:rsid w:val="00EA1A3B"/>
    <w:rPr>
      <w:b/>
      <w:bCs/>
      <w:iCs/>
      <w:color w:val="404040" w:themeColor="text1" w:themeTint="BF"/>
      <w:sz w:val="24"/>
    </w:rPr>
  </w:style>
  <w:style w:type="character" w:customStyle="1" w:styleId="Blue">
    <w:name w:val="Blue"/>
    <w:basedOn w:val="DefaultParagraphFont"/>
    <w:uiPriority w:val="1"/>
    <w:qFormat/>
    <w:rsid w:val="00EA1A3B"/>
    <w:rPr>
      <w:color w:val="002060"/>
    </w:rPr>
  </w:style>
  <w:style w:type="paragraph" w:styleId="NormalWeb">
    <w:name w:val="Normal (Web)"/>
    <w:basedOn w:val="Normal"/>
    <w:uiPriority w:val="99"/>
    <w:unhideWhenUsed/>
    <w:locked/>
    <w:rsid w:val="00494BC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78864287">
      <w:bodyDiv w:val="1"/>
      <w:marLeft w:val="0"/>
      <w:marRight w:val="0"/>
      <w:marTop w:val="0"/>
      <w:marBottom w:val="0"/>
      <w:divBdr>
        <w:top w:val="none" w:sz="0" w:space="0" w:color="auto"/>
        <w:left w:val="none" w:sz="0" w:space="0" w:color="auto"/>
        <w:bottom w:val="none" w:sz="0" w:space="0" w:color="auto"/>
        <w:right w:val="none" w:sz="0" w:space="0" w:color="auto"/>
      </w:divBdr>
    </w:div>
    <w:div w:id="565071563">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247375023">
      <w:bodyDiv w:val="1"/>
      <w:marLeft w:val="0"/>
      <w:marRight w:val="0"/>
      <w:marTop w:val="0"/>
      <w:marBottom w:val="0"/>
      <w:divBdr>
        <w:top w:val="none" w:sz="0" w:space="0" w:color="auto"/>
        <w:left w:val="none" w:sz="0" w:space="0" w:color="auto"/>
        <w:bottom w:val="none" w:sz="0" w:space="0" w:color="auto"/>
        <w:right w:val="none" w:sz="0" w:space="0" w:color="auto"/>
      </w:divBdr>
    </w:div>
    <w:div w:id="1274633621">
      <w:bodyDiv w:val="1"/>
      <w:marLeft w:val="0"/>
      <w:marRight w:val="0"/>
      <w:marTop w:val="0"/>
      <w:marBottom w:val="0"/>
      <w:divBdr>
        <w:top w:val="none" w:sz="0" w:space="0" w:color="auto"/>
        <w:left w:val="none" w:sz="0" w:space="0" w:color="auto"/>
        <w:bottom w:val="none" w:sz="0" w:space="0" w:color="auto"/>
        <w:right w:val="none" w:sz="0" w:space="0" w:color="auto"/>
      </w:divBdr>
    </w:div>
    <w:div w:id="1283078082">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61303340">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1794670460">
      <w:bodyDiv w:val="1"/>
      <w:marLeft w:val="0"/>
      <w:marRight w:val="0"/>
      <w:marTop w:val="0"/>
      <w:marBottom w:val="0"/>
      <w:divBdr>
        <w:top w:val="none" w:sz="0" w:space="0" w:color="auto"/>
        <w:left w:val="none" w:sz="0" w:space="0" w:color="auto"/>
        <w:bottom w:val="none" w:sz="0" w:space="0" w:color="auto"/>
        <w:right w:val="none" w:sz="0" w:space="0" w:color="auto"/>
      </w:divBdr>
    </w:div>
    <w:div w:id="1822235491">
      <w:bodyDiv w:val="1"/>
      <w:marLeft w:val="0"/>
      <w:marRight w:val="0"/>
      <w:marTop w:val="0"/>
      <w:marBottom w:val="0"/>
      <w:divBdr>
        <w:top w:val="none" w:sz="0" w:space="0" w:color="auto"/>
        <w:left w:val="none" w:sz="0" w:space="0" w:color="auto"/>
        <w:bottom w:val="none" w:sz="0" w:space="0" w:color="auto"/>
        <w:right w:val="none" w:sz="0" w:space="0" w:color="auto"/>
      </w:divBdr>
    </w:div>
    <w:div w:id="18470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nd/4.0/" TargetMode="External"/><Relationship Id="rId26" Type="http://schemas.openxmlformats.org/officeDocument/2006/relationships/image" Target="media/image9.png"/><Relationship Id="rId39" Type="http://schemas.openxmlformats.org/officeDocument/2006/relationships/hyperlink" Target="https://www.agedcarequality.gov.au/providers/quality-standards/stronger-standards-better-aged-care-program" TargetMode="External"/><Relationship Id="rId21" Type="http://schemas.openxmlformats.org/officeDocument/2006/relationships/hyperlink" Target="mailto:AURA@safetyandquality.gov.au" TargetMode="External"/><Relationship Id="rId34" Type="http://schemas.openxmlformats.org/officeDocument/2006/relationships/image" Target="media/image17.png"/><Relationship Id="rId42" Type="http://schemas.openxmlformats.org/officeDocument/2006/relationships/hyperlink" Target="https://parlinfo.aph.gov.au/parlInfo/download/media/pressrel/7234737/upload_binary/7234737.PDF;fileType=application%2Fpdf" TargetMode="External"/><Relationship Id="rId47" Type="http://schemas.openxmlformats.org/officeDocument/2006/relationships/hyperlink" Target="https://www.who.int/news-room/fact-sheets/detail/antimicrobial-resistance" TargetMode="External"/><Relationship Id="rId50" Type="http://schemas.openxmlformats.org/officeDocument/2006/relationships/hyperlink" Target="https://www.ecdc.europa.eu/en/publications-data/antimicrobial-resistance-eueea-one-health-response" TargetMode="External"/><Relationship Id="rId55" Type="http://schemas.openxmlformats.org/officeDocument/2006/relationships/hyperlink" Target="https://www.health.gov.au/our-work/phn" TargetMode="External"/><Relationship Id="rId63" Type="http://schemas.openxmlformats.org/officeDocument/2006/relationships/header" Target="header5.xml"/><Relationship Id="rId68" Type="http://schemas.openxmlformats.org/officeDocument/2006/relationships/hyperlink" Target="mailto:mail@safetyandquality.gov.au" TargetMode="Externa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mail@safetyandquality.gov.au"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https://www.tg.org.au/" TargetMode="External"/><Relationship Id="rId45" Type="http://schemas.openxmlformats.org/officeDocument/2006/relationships/hyperlink" Target="https://www.pbs.gov.au/news/2020/03/files/Antibiotics-factsheet-2020.pdf" TargetMode="External"/><Relationship Id="rId53" Type="http://schemas.openxmlformats.org/officeDocument/2006/relationships/hyperlink" Target="https://www.aihw.gov.au/reports/older-people/older-australians/contents/aged-care" TargetMode="External"/><Relationship Id="rId58" Type="http://schemas.openxmlformats.org/officeDocument/2006/relationships/hyperlink" Target="https://safetyandquality.gov.au/community-antimicrobial-use-2023" TargetMode="External"/><Relationship Id="rId66" Type="http://schemas.microsoft.com/office/2007/relationships/hdphoto" Target="media/hdphoto2.wdp"/><Relationship Id="rId74"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whocc.no/atc_ddd_alterations__cumulative/ddd_alterations/" TargetMode="External"/><Relationship Id="rId57" Type="http://schemas.openxmlformats.org/officeDocument/2006/relationships/hyperlink" Target="http://www.pbs.gov.au/pbs/home"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https://www.abs.gov.au/articles/population-and-covid-19" TargetMode="External"/><Relationship Id="rId52" Type="http://schemas.openxmlformats.org/officeDocument/2006/relationships/hyperlink" Target="https://www.dva.gov.au/health-and-treatment/help-cover-healthcare-costs/manage-medicine-and-keep-costs-down/concessional" TargetMode="External"/><Relationship Id="rId60" Type="http://schemas.openxmlformats.org/officeDocument/2006/relationships/header" Target="header4.xml"/><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formerministers.dss.gov.au/19287/prime-minister-joint-media-release-1-1-billion-to-support-more-mental-health-medicare-and-domestic-violence-services/" TargetMode="External"/><Relationship Id="rId48" Type="http://schemas.openxmlformats.org/officeDocument/2006/relationships/hyperlink" Target="http://www.pbs.gov.au/info/industry/listing/participants/public-release-docs/antibiotics/antibiotics-oct-14-feb-15" TargetMode="External"/><Relationship Id="rId56" Type="http://schemas.openxmlformats.org/officeDocument/2006/relationships/hyperlink" Target="https://www.abs.gov.au/statistics/people/aboriginal-and-torres-strait-islander-peoples/estimates-aboriginal-and-torres-strait-islander-australians/latest-release" TargetMode="External"/><Relationship Id="rId64" Type="http://schemas.openxmlformats.org/officeDocument/2006/relationships/footer" Target="footer4.xml"/><Relationship Id="rId69" Type="http://schemas.openxmlformats.org/officeDocument/2006/relationships/hyperlink" Target="http://www.safetyandquality.gov.au/" TargetMode="External"/><Relationship Id="rId8" Type="http://schemas.openxmlformats.org/officeDocument/2006/relationships/webSettings" Target="webSettings.xml"/><Relationship Id="rId51" Type="http://schemas.openxmlformats.org/officeDocument/2006/relationships/hyperlink" Target="https://www.pbs.gov.au/info/about-the-pbs" TargetMode="Externa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afetyandquality.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agedcarequality.gov.au/providers/quality-standards" TargetMode="External"/><Relationship Id="rId46" Type="http://schemas.openxmlformats.org/officeDocument/2006/relationships/hyperlink" Target="https://www.tga.gov.au/safety/shortages/information-about-major-medicine-shortages/about-antibiotics-shortage-2022-2023" TargetMode="External"/><Relationship Id="rId59" Type="http://schemas.openxmlformats.org/officeDocument/2006/relationships/header" Target="header3.xml"/><Relationship Id="rId67" Type="http://schemas.openxmlformats.org/officeDocument/2006/relationships/image" Target="media/image22.jpeg"/><Relationship Id="rId20" Type="http://schemas.openxmlformats.org/officeDocument/2006/relationships/hyperlink" Target="mailto:communications@safetyandquality.gov.au?subject=Enquiry" TargetMode="External"/><Relationship Id="rId41" Type="http://schemas.openxmlformats.org/officeDocument/2006/relationships/hyperlink" Target="https://www.who.int/director-general/speeches/detail/who-director-general-s-opening-remarks-at-the-media-briefing-on-covid-19---11-march-2020" TargetMode="External"/><Relationship Id="rId54" Type="http://schemas.openxmlformats.org/officeDocument/2006/relationships/hyperlink" Target="https://www.abs.gov.au/statistics/standards/australian-statistical-geography-standard-asgs-edition-3/jul2021-jun2026/main-structure-and-greater-capital-city-statistical-areas" TargetMode="External"/><Relationship Id="rId62" Type="http://schemas.openxmlformats.org/officeDocument/2006/relationships/footer" Target="footer3.xm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ode\AppData\Local\Hewlett-Packard\HP%20TRIM\TEMP\HPTRIM.5680\D22-40120%20%20TEMPLATE%20-%20Accessible%20Word%20-%20ACSQHC%20Long%20Form%20Document%20-%201%20September%202022.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A968CD84-916F-405B-B1B8-49EDDD3F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D22-40120  TEMPLATE - Accessible Word - ACSQHC Long Form Document - 1 September 2022.DOTX</Template>
  <TotalTime>73</TotalTime>
  <Pages>42</Pages>
  <Words>23473</Words>
  <Characters>133798</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Antimicrobial use in the community: 2023</vt:lpstr>
    </vt:vector>
  </TitlesOfParts>
  <Manager/>
  <Company>Australian Commission on Safety and Quality in Health Care</Company>
  <LinksUpToDate>false</LinksUpToDate>
  <CharactersWithSpaces>156958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use in the community: 2023</dc:title>
  <dc:subject/>
  <dc:creator>ZHAO, Denise</dc:creator>
  <cp:keywords/>
  <dc:description/>
  <cp:lastModifiedBy>ZHAO, Denise</cp:lastModifiedBy>
  <cp:revision>20</cp:revision>
  <cp:lastPrinted>2024-06-19T07:58:00Z</cp:lastPrinted>
  <dcterms:created xsi:type="dcterms:W3CDTF">2024-08-05T06:03:00Z</dcterms:created>
  <dcterms:modified xsi:type="dcterms:W3CDTF">2024-08-06T01:05:00Z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