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DCA14" w14:textId="0B19A8B0" w:rsidR="00555D2E" w:rsidRDefault="00826B2A" w:rsidP="00295887">
      <w:pPr>
        <w:pStyle w:val="PublicationDate"/>
        <w:jc w:val="both"/>
      </w:pPr>
      <w:r>
        <w:rPr>
          <w:noProof/>
        </w:rPr>
        <w:drawing>
          <wp:anchor distT="0" distB="0" distL="114300" distR="114300" simplePos="0" relativeHeight="251658240" behindDoc="1" locked="0" layoutInCell="1" allowOverlap="1" wp14:anchorId="72690FA6" wp14:editId="7AA6002A">
            <wp:simplePos x="0" y="0"/>
            <wp:positionH relativeFrom="column">
              <wp:posOffset>-710854</wp:posOffset>
            </wp:positionH>
            <wp:positionV relativeFrom="paragraph">
              <wp:posOffset>-574098</wp:posOffset>
            </wp:positionV>
            <wp:extent cx="7555346" cy="8161310"/>
            <wp:effectExtent l="0" t="0" r="1270" b="5080"/>
            <wp:wrapNone/>
            <wp:docPr id="1860686905" name="Picture 2" descr="A blue curved objec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86905" name="Picture 2" descr="A blue curved object on a white background&#10;&#10;Description automatically generated"/>
                    <pic:cNvPicPr/>
                  </pic:nvPicPr>
                  <pic:blipFill>
                    <a:blip r:embed="rId11"/>
                    <a:stretch>
                      <a:fillRect/>
                    </a:stretch>
                  </pic:blipFill>
                  <pic:spPr>
                    <a:xfrm>
                      <a:off x="0" y="0"/>
                      <a:ext cx="7591790" cy="8200677"/>
                    </a:xfrm>
                    <a:prstGeom prst="rect">
                      <a:avLst/>
                    </a:prstGeom>
                  </pic:spPr>
                </pic:pic>
              </a:graphicData>
            </a:graphic>
            <wp14:sizeRelH relativeFrom="page">
              <wp14:pctWidth>0</wp14:pctWidth>
            </wp14:sizeRelH>
            <wp14:sizeRelV relativeFrom="page">
              <wp14:pctHeight>0</wp14:pctHeight>
            </wp14:sizeRelV>
          </wp:anchor>
        </w:drawing>
      </w:r>
    </w:p>
    <w:p w14:paraId="1471C8C6" w14:textId="494123AC" w:rsidR="00195A6B" w:rsidRDefault="00195A6B" w:rsidP="00295887">
      <w:pPr>
        <w:pStyle w:val="PublicationDate"/>
        <w:jc w:val="both"/>
      </w:pPr>
    </w:p>
    <w:p w14:paraId="2A000F60" w14:textId="77777777" w:rsidR="00826B2A" w:rsidRDefault="00826B2A" w:rsidP="00295887">
      <w:pPr>
        <w:pStyle w:val="PublicationDate"/>
        <w:jc w:val="both"/>
      </w:pPr>
    </w:p>
    <w:p w14:paraId="328D0E40" w14:textId="77777777" w:rsidR="00826B2A" w:rsidRDefault="00826B2A" w:rsidP="00295887">
      <w:pPr>
        <w:pStyle w:val="PublicationDate"/>
        <w:jc w:val="both"/>
      </w:pPr>
    </w:p>
    <w:p w14:paraId="0DFC248E" w14:textId="77777777" w:rsidR="00826B2A" w:rsidRDefault="00826B2A" w:rsidP="00295887">
      <w:pPr>
        <w:pStyle w:val="PublicationDate"/>
        <w:jc w:val="both"/>
      </w:pPr>
    </w:p>
    <w:p w14:paraId="00DC377A" w14:textId="77777777" w:rsidR="00826B2A" w:rsidRDefault="00826B2A" w:rsidP="00295887">
      <w:pPr>
        <w:pStyle w:val="PublicationDate"/>
        <w:jc w:val="both"/>
      </w:pPr>
    </w:p>
    <w:p w14:paraId="5A5314B8" w14:textId="77777777" w:rsidR="00826B2A" w:rsidRDefault="00826B2A" w:rsidP="00295887">
      <w:pPr>
        <w:pStyle w:val="PublicationDate"/>
        <w:jc w:val="both"/>
      </w:pPr>
    </w:p>
    <w:p w14:paraId="28624E40" w14:textId="77777777" w:rsidR="00826B2A" w:rsidRDefault="00826B2A" w:rsidP="00295887">
      <w:pPr>
        <w:pStyle w:val="PublicationDate"/>
        <w:jc w:val="both"/>
      </w:pPr>
    </w:p>
    <w:p w14:paraId="418BF17C" w14:textId="77777777" w:rsidR="00826B2A" w:rsidRDefault="00826B2A" w:rsidP="00295887">
      <w:pPr>
        <w:pStyle w:val="PublicationDate"/>
        <w:jc w:val="both"/>
      </w:pPr>
    </w:p>
    <w:p w14:paraId="36E62333" w14:textId="77777777" w:rsidR="00826B2A" w:rsidRDefault="00826B2A" w:rsidP="00295887">
      <w:pPr>
        <w:pStyle w:val="PublicationDate"/>
        <w:jc w:val="both"/>
      </w:pPr>
    </w:p>
    <w:p w14:paraId="18343214" w14:textId="77777777" w:rsidR="00826B2A" w:rsidRDefault="00826B2A" w:rsidP="00295887">
      <w:pPr>
        <w:pStyle w:val="PublicationDate"/>
        <w:jc w:val="both"/>
      </w:pPr>
    </w:p>
    <w:p w14:paraId="01E21C4F" w14:textId="35E11D77" w:rsidR="00295887" w:rsidRDefault="00195A6B" w:rsidP="00295887">
      <w:pPr>
        <w:pStyle w:val="PublicationDate"/>
        <w:jc w:val="both"/>
      </w:pPr>
      <w:r>
        <w:t>August</w:t>
      </w:r>
      <w:r w:rsidR="0025572C">
        <w:t xml:space="preserve"> 2024</w:t>
      </w:r>
      <w:r w:rsidR="00295887">
        <w:t xml:space="preserve"> </w:t>
      </w:r>
    </w:p>
    <w:p w14:paraId="007C73B5" w14:textId="77777777" w:rsidR="0025572C" w:rsidRPr="006F6AC1" w:rsidRDefault="0025572C" w:rsidP="0025572C">
      <w:pPr>
        <w:pStyle w:val="Title"/>
      </w:pPr>
      <w:r w:rsidRPr="006F6AC1">
        <w:t>Australian Framework for National Clinical Quality Registries 2024</w:t>
      </w:r>
    </w:p>
    <w:p w14:paraId="5C9AB7F1" w14:textId="77777777" w:rsidR="0025572C" w:rsidRDefault="0025572C" w:rsidP="0025572C">
      <w:pPr>
        <w:pStyle w:val="Subtitle"/>
      </w:pPr>
      <w:r w:rsidRPr="006F6AC1">
        <w:t xml:space="preserve">Attachment </w:t>
      </w:r>
      <w:r>
        <w:t>1</w:t>
      </w:r>
      <w:r w:rsidRPr="006F6AC1">
        <w:t xml:space="preserve">: </w:t>
      </w:r>
      <w:r>
        <w:t>Australian CQR Logical Design and Infrastructure</w:t>
      </w:r>
      <w:r w:rsidRPr="006F6AC1">
        <w:t xml:space="preserve"> guideline </w:t>
      </w:r>
    </w:p>
    <w:p w14:paraId="4868B423" w14:textId="026905FC" w:rsidR="00295887" w:rsidRDefault="00295887" w:rsidP="00295887">
      <w:pPr>
        <w:spacing w:before="1200"/>
        <w:sectPr w:rsidR="00295887" w:rsidSect="00A028AC">
          <w:headerReference w:type="even" r:id="rId12"/>
          <w:headerReference w:type="default" r:id="rId13"/>
          <w:footerReference w:type="even" r:id="rId14"/>
          <w:pgSz w:w="11906" w:h="16838"/>
          <w:pgMar w:top="2475" w:right="1134" w:bottom="851" w:left="1134" w:header="709" w:footer="567" w:gutter="0"/>
          <w:cols w:space="708"/>
          <w:docGrid w:linePitch="360"/>
        </w:sectPr>
      </w:pPr>
    </w:p>
    <w:p w14:paraId="12C5CC1D" w14:textId="77777777" w:rsidR="00295887" w:rsidRPr="000F6B39" w:rsidRDefault="00295887" w:rsidP="00295887">
      <w:pPr>
        <w:pStyle w:val="ImprintText"/>
      </w:pPr>
      <w:r w:rsidRPr="000F6B39">
        <w:lastRenderedPageBreak/>
        <w:t>Published by the Australian Commission on Safety and Quality in Health Care</w:t>
      </w:r>
    </w:p>
    <w:p w14:paraId="4934423C" w14:textId="77777777" w:rsidR="00295887" w:rsidRDefault="00295887" w:rsidP="00295887">
      <w:pPr>
        <w:pStyle w:val="ImprintText"/>
      </w:pPr>
      <w:r>
        <w:t>Level 5, 255 Elizabeth Street, Sydney NSW 2000</w:t>
      </w:r>
      <w:r>
        <w:br/>
        <w:t>Phone: (02) 9126 3600</w:t>
      </w:r>
      <w:r w:rsidRPr="0054718D">
        <w:t> </w:t>
      </w:r>
      <w:r>
        <w:br/>
        <w:t xml:space="preserve">Email: </w:t>
      </w:r>
      <w:hyperlink r:id="rId15" w:history="1">
        <w:r w:rsidRPr="00985F55">
          <w:rPr>
            <w:rStyle w:val="Hyperlink"/>
          </w:rPr>
          <w:t>mail@safetyandquality.gov.au</w:t>
        </w:r>
      </w:hyperlink>
      <w:r>
        <w:t xml:space="preserve"> </w:t>
      </w:r>
      <w:r>
        <w:br/>
        <w:t xml:space="preserve">Website: </w:t>
      </w:r>
      <w:hyperlink r:id="rId16" w:history="1">
        <w:r w:rsidRPr="00985F55">
          <w:rPr>
            <w:rStyle w:val="Hyperlink"/>
          </w:rPr>
          <w:t>www.safetyandquality.gov.au</w:t>
        </w:r>
      </w:hyperlink>
      <w:r>
        <w:t xml:space="preserve"> </w:t>
      </w:r>
    </w:p>
    <w:p w14:paraId="74DDDF7F" w14:textId="6B2F2DBC" w:rsidR="00295887" w:rsidRPr="00192720" w:rsidRDefault="00295887" w:rsidP="00192720">
      <w:pPr>
        <w:pStyle w:val="ImprintText"/>
      </w:pPr>
      <w:r w:rsidRPr="00192720">
        <w:t xml:space="preserve">ISBN: </w:t>
      </w:r>
      <w:r w:rsidR="00192720" w:rsidRPr="00192720">
        <w:t>978-1-922880-88-8</w:t>
      </w:r>
    </w:p>
    <w:p w14:paraId="7ED3F3F5" w14:textId="4631E8BE" w:rsidR="00295887" w:rsidRPr="00192720" w:rsidRDefault="00295887" w:rsidP="00295887">
      <w:pPr>
        <w:pStyle w:val="ImprintText"/>
        <w:rPr>
          <w:color w:val="000000" w:themeColor="text1"/>
        </w:rPr>
      </w:pPr>
      <w:r w:rsidRPr="00192720">
        <w:rPr>
          <w:color w:val="000000" w:themeColor="text1"/>
        </w:rPr>
        <w:t xml:space="preserve">© Australian Commission on Safety and Quality in Health Care </w:t>
      </w:r>
      <w:r w:rsidRPr="00192720">
        <w:rPr>
          <w:rStyle w:val="DraftingNotesChar"/>
          <w:color w:val="000000" w:themeColor="text1"/>
        </w:rPr>
        <w:t>202</w:t>
      </w:r>
      <w:r w:rsidR="00192720" w:rsidRPr="00192720">
        <w:rPr>
          <w:rStyle w:val="DraftingNotesChar"/>
          <w:color w:val="000000" w:themeColor="text1"/>
        </w:rPr>
        <w:t>4</w:t>
      </w:r>
    </w:p>
    <w:p w14:paraId="244302B4" w14:textId="77777777" w:rsidR="00295887" w:rsidRDefault="00295887" w:rsidP="00295887">
      <w:pPr>
        <w:pStyle w:val="ImprintText"/>
      </w:pPr>
      <w:r>
        <w:t>All material and work produced by the Australian Commission on Safety and Quality in Health Care is protected by copyright. The Commission reserves the right to set out the terms and conditions for the use of such material.</w:t>
      </w:r>
      <w:r w:rsidRPr="0054718D">
        <w:t> </w:t>
      </w:r>
    </w:p>
    <w:p w14:paraId="39CB813E" w14:textId="77777777" w:rsidR="00295887" w:rsidRDefault="00295887" w:rsidP="00295887">
      <w:pPr>
        <w:pStyle w:val="ImprintText"/>
      </w:pPr>
      <w: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14:paraId="4F29F6CC" w14:textId="096757CF" w:rsidR="00295887" w:rsidRDefault="00295887" w:rsidP="00295887">
      <w:pPr>
        <w:pStyle w:val="ImprintText"/>
      </w:pPr>
      <w:r>
        <w:t xml:space="preserve">With the exception of any material protected by a trademark, any content provided by third parties, and where otherwise noted, all material presented in this publication is licensed under a </w:t>
      </w:r>
      <w:hyperlink r:id="rId17" w:tooltip="Attribution-NonCommercial-NoDerivatives 4.0 International - Creative Commons" w:history="1">
        <w:r w:rsidRPr="007705C5">
          <w:rPr>
            <w:rStyle w:val="Hyperlink"/>
          </w:rPr>
          <w:t>Creative Commons Attribution-NonCommercial-NoDerivatives 4.0 International licence</w:t>
        </w:r>
      </w:hyperlink>
      <w:r>
        <w:t>.</w:t>
      </w:r>
    </w:p>
    <w:p w14:paraId="17EDD0B2" w14:textId="77777777" w:rsidR="00295887" w:rsidRDefault="00295887" w:rsidP="00295887">
      <w:pPr>
        <w:pStyle w:val="ImprintText"/>
      </w:pPr>
      <w:r w:rsidRPr="00B56D4D">
        <w:rPr>
          <w:noProof/>
        </w:rPr>
        <w:drawing>
          <wp:inline distT="0" distB="0" distL="0" distR="0" wp14:anchorId="191FBA9A" wp14:editId="714653A6">
            <wp:extent cx="765810" cy="267335"/>
            <wp:effectExtent l="0" t="0" r="0" b="0"/>
            <wp:docPr id="8" name="Picture 8" descr="Creative Comm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Creative Common logo"/>
                    <pic:cNvPicPr>
                      <a:picLocks/>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765810" cy="267335"/>
                    </a:xfrm>
                    <a:prstGeom prst="rect">
                      <a:avLst/>
                    </a:prstGeom>
                    <a:noFill/>
                    <a:ln>
                      <a:noFill/>
                    </a:ln>
                  </pic:spPr>
                </pic:pic>
              </a:graphicData>
            </a:graphic>
          </wp:inline>
        </w:drawing>
      </w:r>
    </w:p>
    <w:p w14:paraId="196BF550" w14:textId="77777777" w:rsidR="00295887" w:rsidRDefault="00295887" w:rsidP="00295887">
      <w:pPr>
        <w:pStyle w:val="ImprintText"/>
      </w:pPr>
      <w:r>
        <w:t xml:space="preserve">Enquiries about the licence and any use of this publication are welcome and can be sent to </w:t>
      </w:r>
      <w:hyperlink r:id="rId19" w:tooltip="Send an email to the Commission" w:history="1">
        <w:r w:rsidRPr="00963018">
          <w:rPr>
            <w:rStyle w:val="Hyperlink"/>
          </w:rPr>
          <w:t>communications@safetyandquality.gov.au</w:t>
        </w:r>
      </w:hyperlink>
      <w:r>
        <w:t>.</w:t>
      </w:r>
    </w:p>
    <w:p w14:paraId="5DAEBDD3" w14:textId="77777777" w:rsidR="00295887" w:rsidRDefault="00295887" w:rsidP="00295887">
      <w:pPr>
        <w:pStyle w:val="ImprintText"/>
      </w:pPr>
      <w:r>
        <w:t>The Commission’s preference is that you attribute this publication (and any material sourced from it) using the following citation:</w:t>
      </w:r>
      <w:r w:rsidRPr="0054718D">
        <w:t> </w:t>
      </w:r>
    </w:p>
    <w:p w14:paraId="13B53799" w14:textId="153C8D7C" w:rsidR="00295887" w:rsidRPr="00192720" w:rsidRDefault="00295887" w:rsidP="00295887">
      <w:pPr>
        <w:pStyle w:val="ImprintText"/>
        <w:rPr>
          <w:color w:val="000000" w:themeColor="text1"/>
        </w:rPr>
      </w:pPr>
      <w:r w:rsidRPr="00192720">
        <w:rPr>
          <w:rStyle w:val="DraftingNotesChar"/>
          <w:color w:val="000000" w:themeColor="text1"/>
        </w:rPr>
        <w:t xml:space="preserve">Australian Commission on Safety and Quality in Health Care. </w:t>
      </w:r>
      <w:r w:rsidR="0023760D">
        <w:rPr>
          <w:rStyle w:val="DraftingNotesChar"/>
          <w:color w:val="000000" w:themeColor="text1"/>
        </w:rPr>
        <w:t xml:space="preserve">Australian Framework for National </w:t>
      </w:r>
      <w:r w:rsidR="007363CE">
        <w:rPr>
          <w:rStyle w:val="DraftingNotesChar"/>
          <w:color w:val="000000" w:themeColor="text1"/>
        </w:rPr>
        <w:t>C</w:t>
      </w:r>
      <w:r w:rsidR="0023760D">
        <w:rPr>
          <w:rStyle w:val="DraftingNotesChar"/>
          <w:color w:val="000000" w:themeColor="text1"/>
        </w:rPr>
        <w:t xml:space="preserve">linical </w:t>
      </w:r>
      <w:r w:rsidR="007363CE">
        <w:rPr>
          <w:rStyle w:val="DraftingNotesChar"/>
          <w:color w:val="000000" w:themeColor="text1"/>
        </w:rPr>
        <w:t>Q</w:t>
      </w:r>
      <w:r w:rsidR="0023760D">
        <w:rPr>
          <w:rStyle w:val="DraftingNotesChar"/>
          <w:color w:val="000000" w:themeColor="text1"/>
        </w:rPr>
        <w:t xml:space="preserve">uality </w:t>
      </w:r>
      <w:r w:rsidR="007363CE">
        <w:rPr>
          <w:rStyle w:val="DraftingNotesChar"/>
          <w:color w:val="000000" w:themeColor="text1"/>
        </w:rPr>
        <w:t>R</w:t>
      </w:r>
      <w:r w:rsidR="0023760D">
        <w:rPr>
          <w:rStyle w:val="DraftingNotesChar"/>
          <w:color w:val="000000" w:themeColor="text1"/>
        </w:rPr>
        <w:t>egistries. Attachment 1 Australian CQR logical design and infrastruture guideline</w:t>
      </w:r>
      <w:r w:rsidRPr="00192720">
        <w:rPr>
          <w:rStyle w:val="DraftingNotesChar"/>
          <w:color w:val="000000" w:themeColor="text1"/>
        </w:rPr>
        <w:t>. Sydney; ACSQHC, 202</w:t>
      </w:r>
      <w:r w:rsidR="00192720" w:rsidRPr="00192720">
        <w:rPr>
          <w:rStyle w:val="DraftingNotesChar"/>
          <w:color w:val="000000" w:themeColor="text1"/>
        </w:rPr>
        <w:t>4</w:t>
      </w:r>
      <w:r w:rsidRPr="00192720">
        <w:rPr>
          <w:color w:val="000000" w:themeColor="text1"/>
        </w:rPr>
        <w:t>.</w:t>
      </w:r>
    </w:p>
    <w:p w14:paraId="2A22AA4C" w14:textId="77777777" w:rsidR="00295887" w:rsidRPr="002E617C" w:rsidRDefault="00295887" w:rsidP="00295887">
      <w:pPr>
        <w:pStyle w:val="ImprintText"/>
        <w:rPr>
          <w:rStyle w:val="Strong"/>
        </w:rPr>
      </w:pPr>
      <w:r w:rsidRPr="002E617C">
        <w:rPr>
          <w:rStyle w:val="Strong"/>
        </w:rPr>
        <w:t>Disclaimer</w:t>
      </w:r>
    </w:p>
    <w:p w14:paraId="792548F9" w14:textId="77777777" w:rsidR="00B120EA" w:rsidRDefault="00295887" w:rsidP="00192720">
      <w:pPr>
        <w:pStyle w:val="ImprintText"/>
      </w:pPr>
      <w:r>
        <w:t>The content of this document is published in good faith by the Australian Commission on Safety and Quality in Health Care for information purposes. The document is not intended to provide guidance on particular healthcare choices. You should contact your healthcare provider on particular healthcare choices.</w:t>
      </w:r>
      <w:r w:rsidRPr="0054718D">
        <w:t> </w:t>
      </w:r>
    </w:p>
    <w:p w14:paraId="501F980D" w14:textId="4649A74C" w:rsidR="00295887" w:rsidRPr="00B120EA" w:rsidRDefault="00B120EA" w:rsidP="00B120EA">
      <w:pPr>
        <w:rPr>
          <w:rStyle w:val="DraftingNotesChar"/>
          <w:rFonts w:asciiTheme="minorHAnsi" w:hAnsiTheme="minorHAnsi"/>
          <w:noProof w:val="0"/>
          <w:color w:val="auto"/>
        </w:rPr>
      </w:pPr>
      <w:r w:rsidRPr="007E6C25">
        <w:t>The Commission does not accept any legal liability for any injury, loss or damage incurred by the use of, or reliance on, this document.</w:t>
      </w:r>
      <w:r w:rsidR="00295887">
        <w:rPr>
          <w:rStyle w:val="DraftingNotesChar"/>
        </w:rPr>
        <w:br w:type="page"/>
      </w:r>
    </w:p>
    <w:p w14:paraId="67191B30" w14:textId="77777777" w:rsidR="00295887" w:rsidRDefault="00295887" w:rsidP="0033606D">
      <w:pPr>
        <w:pStyle w:val="Heading1"/>
      </w:pPr>
      <w:bookmarkStart w:id="0" w:name="_Toc170048251"/>
      <w:bookmarkStart w:id="1" w:name="_Toc173963787"/>
      <w:bookmarkStart w:id="2" w:name="_Toc175550324"/>
      <w:r>
        <w:lastRenderedPageBreak/>
        <w:t>Contents</w:t>
      </w:r>
      <w:bookmarkEnd w:id="0"/>
      <w:bookmarkEnd w:id="1"/>
      <w:bookmarkEnd w:id="2"/>
    </w:p>
    <w:p w14:paraId="1D7CB49B" w14:textId="47F00963" w:rsidR="00D1577E" w:rsidRDefault="00295887">
      <w:pPr>
        <w:pStyle w:val="TOC1"/>
        <w:rPr>
          <w:rFonts w:eastAsiaTheme="minorEastAsia" w:cstheme="minorBidi"/>
          <w:b w:val="0"/>
          <w:bCs w:val="0"/>
          <w:noProof/>
          <w:color w:val="auto"/>
          <w:kern w:val="2"/>
          <w:szCs w:val="24"/>
          <w:lang w:eastAsia="en-GB"/>
          <w14:ligatures w14:val="standardContextual"/>
        </w:rPr>
      </w:pPr>
      <w:r>
        <w:fldChar w:fldCharType="begin"/>
      </w:r>
      <w:r>
        <w:instrText xml:space="preserve"> TOC \o "1-3" \t "SectionTitle,1" </w:instrText>
      </w:r>
      <w:r>
        <w:fldChar w:fldCharType="separate"/>
      </w:r>
      <w:r w:rsidR="00D1577E">
        <w:rPr>
          <w:noProof/>
        </w:rPr>
        <w:t>Contents</w:t>
      </w:r>
      <w:r w:rsidR="00D1577E">
        <w:rPr>
          <w:noProof/>
        </w:rPr>
        <w:tab/>
      </w:r>
      <w:r w:rsidR="00D1577E">
        <w:rPr>
          <w:noProof/>
        </w:rPr>
        <w:fldChar w:fldCharType="begin"/>
      </w:r>
      <w:r w:rsidR="00D1577E">
        <w:rPr>
          <w:noProof/>
        </w:rPr>
        <w:instrText xml:space="preserve"> PAGEREF _Toc175550324 \h </w:instrText>
      </w:r>
      <w:r w:rsidR="00D1577E">
        <w:rPr>
          <w:noProof/>
        </w:rPr>
      </w:r>
      <w:r w:rsidR="00D1577E">
        <w:rPr>
          <w:noProof/>
        </w:rPr>
        <w:fldChar w:fldCharType="separate"/>
      </w:r>
      <w:r w:rsidR="00DE5429">
        <w:rPr>
          <w:noProof/>
        </w:rPr>
        <w:t>3</w:t>
      </w:r>
      <w:r w:rsidR="00D1577E">
        <w:rPr>
          <w:noProof/>
        </w:rPr>
        <w:fldChar w:fldCharType="end"/>
      </w:r>
    </w:p>
    <w:p w14:paraId="54296D5B" w14:textId="795BD3FD" w:rsidR="00D1577E" w:rsidRDefault="00D1577E">
      <w:pPr>
        <w:pStyle w:val="TOC1"/>
        <w:rPr>
          <w:rFonts w:eastAsiaTheme="minorEastAsia" w:cstheme="minorBidi"/>
          <w:b w:val="0"/>
          <w:bCs w:val="0"/>
          <w:noProof/>
          <w:color w:val="auto"/>
          <w:kern w:val="2"/>
          <w:szCs w:val="24"/>
          <w:lang w:eastAsia="en-GB"/>
          <w14:ligatures w14:val="standardContextual"/>
        </w:rPr>
      </w:pPr>
      <w:r w:rsidRPr="00F01AEC">
        <w:rPr>
          <w:noProof/>
          <w:lang w:val="en-US"/>
        </w:rPr>
        <w:t>1. Introduction</w:t>
      </w:r>
      <w:r>
        <w:rPr>
          <w:noProof/>
        </w:rPr>
        <w:tab/>
      </w:r>
      <w:r>
        <w:rPr>
          <w:noProof/>
        </w:rPr>
        <w:fldChar w:fldCharType="begin"/>
      </w:r>
      <w:r>
        <w:rPr>
          <w:noProof/>
        </w:rPr>
        <w:instrText xml:space="preserve"> PAGEREF _Toc175550325 \h </w:instrText>
      </w:r>
      <w:r>
        <w:rPr>
          <w:noProof/>
        </w:rPr>
      </w:r>
      <w:r>
        <w:rPr>
          <w:noProof/>
        </w:rPr>
        <w:fldChar w:fldCharType="separate"/>
      </w:r>
      <w:r w:rsidR="00DE5429">
        <w:rPr>
          <w:noProof/>
        </w:rPr>
        <w:t>6</w:t>
      </w:r>
      <w:r>
        <w:rPr>
          <w:noProof/>
        </w:rPr>
        <w:fldChar w:fldCharType="end"/>
      </w:r>
    </w:p>
    <w:p w14:paraId="54552E19" w14:textId="09A23483" w:rsidR="00D1577E" w:rsidRDefault="00D1577E">
      <w:pPr>
        <w:pStyle w:val="TOC2"/>
        <w:tabs>
          <w:tab w:val="left" w:pos="960"/>
        </w:tabs>
        <w:rPr>
          <w:rFonts w:eastAsiaTheme="minorEastAsia" w:cstheme="minorBidi"/>
          <w:kern w:val="2"/>
          <w:sz w:val="24"/>
          <w:szCs w:val="24"/>
          <w:lang w:eastAsia="en-GB"/>
          <w14:ligatures w14:val="standardContextual"/>
        </w:rPr>
      </w:pPr>
      <w:r>
        <w:t>1.1</w:t>
      </w:r>
      <w:r>
        <w:rPr>
          <w:rFonts w:eastAsiaTheme="minorEastAsia" w:cstheme="minorBidi"/>
          <w:kern w:val="2"/>
          <w:sz w:val="24"/>
          <w:szCs w:val="24"/>
          <w:lang w:eastAsia="en-GB"/>
          <w14:ligatures w14:val="standardContextual"/>
        </w:rPr>
        <w:tab/>
      </w:r>
      <w:r>
        <w:t>Purpose</w:t>
      </w:r>
      <w:r>
        <w:tab/>
      </w:r>
      <w:r>
        <w:fldChar w:fldCharType="begin"/>
      </w:r>
      <w:r>
        <w:instrText xml:space="preserve"> PAGEREF _Toc175550326 \h </w:instrText>
      </w:r>
      <w:r>
        <w:fldChar w:fldCharType="separate"/>
      </w:r>
      <w:r w:rsidR="00DE5429">
        <w:t>6</w:t>
      </w:r>
      <w:r>
        <w:fldChar w:fldCharType="end"/>
      </w:r>
    </w:p>
    <w:p w14:paraId="62D66074" w14:textId="61BD553B" w:rsidR="00D1577E" w:rsidRDefault="00D1577E">
      <w:pPr>
        <w:pStyle w:val="TOC2"/>
        <w:tabs>
          <w:tab w:val="left" w:pos="960"/>
        </w:tabs>
        <w:rPr>
          <w:rFonts w:eastAsiaTheme="minorEastAsia" w:cstheme="minorBidi"/>
          <w:kern w:val="2"/>
          <w:sz w:val="24"/>
          <w:szCs w:val="24"/>
          <w:lang w:eastAsia="en-GB"/>
          <w14:ligatures w14:val="standardContextual"/>
        </w:rPr>
      </w:pPr>
      <w:r>
        <w:t>1.2</w:t>
      </w:r>
      <w:r>
        <w:rPr>
          <w:rFonts w:eastAsiaTheme="minorEastAsia" w:cstheme="minorBidi"/>
          <w:kern w:val="2"/>
          <w:sz w:val="24"/>
          <w:szCs w:val="24"/>
          <w:lang w:eastAsia="en-GB"/>
          <w14:ligatures w14:val="standardContextual"/>
        </w:rPr>
        <w:tab/>
      </w:r>
      <w:r>
        <w:t>Software industry standards</w:t>
      </w:r>
      <w:r>
        <w:tab/>
      </w:r>
      <w:r>
        <w:fldChar w:fldCharType="begin"/>
      </w:r>
      <w:r>
        <w:instrText xml:space="preserve"> PAGEREF _Toc175550327 \h </w:instrText>
      </w:r>
      <w:r>
        <w:fldChar w:fldCharType="separate"/>
      </w:r>
      <w:r w:rsidR="00DE5429">
        <w:t>6</w:t>
      </w:r>
      <w:r>
        <w:fldChar w:fldCharType="end"/>
      </w:r>
    </w:p>
    <w:p w14:paraId="553F2725" w14:textId="1CE35F5E" w:rsidR="00D1577E" w:rsidRDefault="00D1577E">
      <w:pPr>
        <w:pStyle w:val="TOC2"/>
        <w:tabs>
          <w:tab w:val="left" w:pos="960"/>
        </w:tabs>
        <w:rPr>
          <w:rFonts w:eastAsiaTheme="minorEastAsia" w:cstheme="minorBidi"/>
          <w:kern w:val="2"/>
          <w:sz w:val="24"/>
          <w:szCs w:val="24"/>
          <w:lang w:eastAsia="en-GB"/>
          <w14:ligatures w14:val="standardContextual"/>
        </w:rPr>
      </w:pPr>
      <w:r>
        <w:t>1.3</w:t>
      </w:r>
      <w:r>
        <w:rPr>
          <w:rFonts w:eastAsiaTheme="minorEastAsia" w:cstheme="minorBidi"/>
          <w:kern w:val="2"/>
          <w:sz w:val="24"/>
          <w:szCs w:val="24"/>
          <w:lang w:eastAsia="en-GB"/>
          <w14:ligatures w14:val="standardContextual"/>
        </w:rPr>
        <w:tab/>
      </w:r>
      <w:r>
        <w:t>Implementation</w:t>
      </w:r>
      <w:r>
        <w:tab/>
      </w:r>
      <w:r>
        <w:fldChar w:fldCharType="begin"/>
      </w:r>
      <w:r>
        <w:instrText xml:space="preserve"> PAGEREF _Toc175550328 \h </w:instrText>
      </w:r>
      <w:r>
        <w:fldChar w:fldCharType="separate"/>
      </w:r>
      <w:r w:rsidR="00DE5429">
        <w:t>7</w:t>
      </w:r>
      <w:r>
        <w:fldChar w:fldCharType="end"/>
      </w:r>
    </w:p>
    <w:p w14:paraId="72CD8A95" w14:textId="5DE21F51" w:rsidR="00D1577E" w:rsidRDefault="00D1577E">
      <w:pPr>
        <w:pStyle w:val="TOC2"/>
        <w:tabs>
          <w:tab w:val="left" w:pos="960"/>
        </w:tabs>
        <w:rPr>
          <w:rFonts w:eastAsiaTheme="minorEastAsia" w:cstheme="minorBidi"/>
          <w:kern w:val="2"/>
          <w:sz w:val="24"/>
          <w:szCs w:val="24"/>
          <w:lang w:eastAsia="en-GB"/>
          <w14:ligatures w14:val="standardContextual"/>
        </w:rPr>
      </w:pPr>
      <w:r>
        <w:t>1.4</w:t>
      </w:r>
      <w:r>
        <w:rPr>
          <w:rFonts w:eastAsiaTheme="minorEastAsia" w:cstheme="minorBidi"/>
          <w:kern w:val="2"/>
          <w:sz w:val="24"/>
          <w:szCs w:val="24"/>
          <w:lang w:eastAsia="en-GB"/>
          <w14:ligatures w14:val="standardContextual"/>
        </w:rPr>
        <w:tab/>
      </w:r>
      <w:r>
        <w:t>Document scope</w:t>
      </w:r>
      <w:r>
        <w:tab/>
      </w:r>
      <w:r>
        <w:fldChar w:fldCharType="begin"/>
      </w:r>
      <w:r>
        <w:instrText xml:space="preserve"> PAGEREF _Toc175550329 \h </w:instrText>
      </w:r>
      <w:r>
        <w:fldChar w:fldCharType="separate"/>
      </w:r>
      <w:r w:rsidR="00DE5429">
        <w:t>7</w:t>
      </w:r>
      <w:r>
        <w:fldChar w:fldCharType="end"/>
      </w:r>
    </w:p>
    <w:p w14:paraId="524A75A8" w14:textId="733FCA30" w:rsidR="00D1577E" w:rsidRDefault="00D1577E">
      <w:pPr>
        <w:pStyle w:val="TOC1"/>
        <w:tabs>
          <w:tab w:val="left" w:pos="442"/>
        </w:tabs>
        <w:rPr>
          <w:rFonts w:eastAsiaTheme="minorEastAsia" w:cstheme="minorBidi"/>
          <w:b w:val="0"/>
          <w:bCs w:val="0"/>
          <w:noProof/>
          <w:color w:val="auto"/>
          <w:kern w:val="2"/>
          <w:szCs w:val="24"/>
          <w:lang w:eastAsia="en-GB"/>
          <w14:ligatures w14:val="standardContextual"/>
        </w:rPr>
      </w:pPr>
      <w:r w:rsidRPr="00F01AEC">
        <w:rPr>
          <w:noProof/>
          <w:lang w:val="en-GB"/>
        </w:rPr>
        <w:t>2.</w:t>
      </w:r>
      <w:r>
        <w:rPr>
          <w:rFonts w:eastAsiaTheme="minorEastAsia" w:cstheme="minorBidi"/>
          <w:b w:val="0"/>
          <w:bCs w:val="0"/>
          <w:noProof/>
          <w:color w:val="auto"/>
          <w:kern w:val="2"/>
          <w:szCs w:val="24"/>
          <w:lang w:eastAsia="en-GB"/>
          <w14:ligatures w14:val="standardContextual"/>
        </w:rPr>
        <w:tab/>
      </w:r>
      <w:r w:rsidRPr="00F01AEC">
        <w:rPr>
          <w:noProof/>
          <w:lang w:val="en-GB"/>
        </w:rPr>
        <w:t>CQR system and process recommendation</w:t>
      </w:r>
      <w:r>
        <w:rPr>
          <w:noProof/>
        </w:rPr>
        <w:tab/>
      </w:r>
      <w:r>
        <w:rPr>
          <w:noProof/>
        </w:rPr>
        <w:fldChar w:fldCharType="begin"/>
      </w:r>
      <w:r>
        <w:rPr>
          <w:noProof/>
        </w:rPr>
        <w:instrText xml:space="preserve"> PAGEREF _Toc175550330 \h </w:instrText>
      </w:r>
      <w:r>
        <w:rPr>
          <w:noProof/>
        </w:rPr>
      </w:r>
      <w:r>
        <w:rPr>
          <w:noProof/>
        </w:rPr>
        <w:fldChar w:fldCharType="separate"/>
      </w:r>
      <w:r w:rsidR="00DE5429">
        <w:rPr>
          <w:noProof/>
        </w:rPr>
        <w:t>8</w:t>
      </w:r>
      <w:r>
        <w:rPr>
          <w:noProof/>
        </w:rPr>
        <w:fldChar w:fldCharType="end"/>
      </w:r>
    </w:p>
    <w:p w14:paraId="0D908DB8" w14:textId="3B6632D9" w:rsidR="00D1577E" w:rsidRDefault="00D1577E">
      <w:pPr>
        <w:pStyle w:val="TOC2"/>
        <w:tabs>
          <w:tab w:val="left" w:pos="960"/>
        </w:tabs>
        <w:rPr>
          <w:rFonts w:eastAsiaTheme="minorEastAsia" w:cstheme="minorBidi"/>
          <w:kern w:val="2"/>
          <w:sz w:val="24"/>
          <w:szCs w:val="24"/>
          <w:lang w:eastAsia="en-GB"/>
          <w14:ligatures w14:val="standardContextual"/>
        </w:rPr>
      </w:pPr>
      <w:r>
        <w:t>2.1</w:t>
      </w:r>
      <w:r>
        <w:rPr>
          <w:rFonts w:eastAsiaTheme="minorEastAsia" w:cstheme="minorBidi"/>
          <w:kern w:val="2"/>
          <w:sz w:val="24"/>
          <w:szCs w:val="24"/>
          <w:lang w:eastAsia="en-GB"/>
          <w14:ligatures w14:val="standardContextual"/>
        </w:rPr>
        <w:tab/>
      </w:r>
      <w:r>
        <w:t>Data custodianship</w:t>
      </w:r>
      <w:r>
        <w:tab/>
      </w:r>
      <w:r>
        <w:fldChar w:fldCharType="begin"/>
      </w:r>
      <w:r>
        <w:instrText xml:space="preserve"> PAGEREF _Toc175550331 \h </w:instrText>
      </w:r>
      <w:r>
        <w:fldChar w:fldCharType="separate"/>
      </w:r>
      <w:r w:rsidR="00DE5429">
        <w:t>8</w:t>
      </w:r>
      <w:r>
        <w:fldChar w:fldCharType="end"/>
      </w:r>
    </w:p>
    <w:p w14:paraId="7D997D98" w14:textId="17AF2356" w:rsidR="00D1577E" w:rsidRDefault="00D1577E">
      <w:pPr>
        <w:pStyle w:val="TOC3"/>
        <w:tabs>
          <w:tab w:val="left" w:pos="1200"/>
        </w:tabs>
        <w:rPr>
          <w:rFonts w:eastAsiaTheme="minorEastAsia" w:cstheme="minorBidi"/>
          <w:iCs w:val="0"/>
          <w:kern w:val="2"/>
          <w:sz w:val="24"/>
          <w:szCs w:val="24"/>
          <w:lang w:eastAsia="en-GB"/>
          <w14:ligatures w14:val="standardContextual"/>
        </w:rPr>
      </w:pPr>
      <w:r>
        <w:t>2.1.1</w:t>
      </w:r>
      <w:r>
        <w:rPr>
          <w:rFonts w:eastAsiaTheme="minorEastAsia" w:cstheme="minorBidi"/>
          <w:iCs w:val="0"/>
          <w:kern w:val="2"/>
          <w:sz w:val="24"/>
          <w:szCs w:val="24"/>
          <w:lang w:eastAsia="en-GB"/>
          <w14:ligatures w14:val="standardContextual"/>
        </w:rPr>
        <w:tab/>
      </w:r>
      <w:r>
        <w:t>Define purpose</w:t>
      </w:r>
      <w:r>
        <w:tab/>
      </w:r>
      <w:r>
        <w:fldChar w:fldCharType="begin"/>
      </w:r>
      <w:r>
        <w:instrText xml:space="preserve"> PAGEREF _Toc175550332 \h </w:instrText>
      </w:r>
      <w:r>
        <w:fldChar w:fldCharType="separate"/>
      </w:r>
      <w:r w:rsidR="00DE5429">
        <w:t>9</w:t>
      </w:r>
      <w:r>
        <w:fldChar w:fldCharType="end"/>
      </w:r>
    </w:p>
    <w:p w14:paraId="04742170" w14:textId="43420FCF" w:rsidR="00D1577E" w:rsidRDefault="00D1577E">
      <w:pPr>
        <w:pStyle w:val="TOC3"/>
        <w:tabs>
          <w:tab w:val="left" w:pos="1200"/>
        </w:tabs>
        <w:rPr>
          <w:rFonts w:eastAsiaTheme="minorEastAsia" w:cstheme="minorBidi"/>
          <w:iCs w:val="0"/>
          <w:kern w:val="2"/>
          <w:sz w:val="24"/>
          <w:szCs w:val="24"/>
          <w:lang w:eastAsia="en-GB"/>
          <w14:ligatures w14:val="standardContextual"/>
        </w:rPr>
      </w:pPr>
      <w:r>
        <w:t>2.1.2</w:t>
      </w:r>
      <w:r>
        <w:rPr>
          <w:rFonts w:eastAsiaTheme="minorEastAsia" w:cstheme="minorBidi"/>
          <w:iCs w:val="0"/>
          <w:kern w:val="2"/>
          <w:sz w:val="24"/>
          <w:szCs w:val="24"/>
          <w:lang w:eastAsia="en-GB"/>
          <w14:ligatures w14:val="standardContextual"/>
        </w:rPr>
        <w:tab/>
      </w:r>
      <w:r>
        <w:t>Define scope</w:t>
      </w:r>
      <w:r>
        <w:tab/>
      </w:r>
      <w:r>
        <w:fldChar w:fldCharType="begin"/>
      </w:r>
      <w:r>
        <w:instrText xml:space="preserve"> PAGEREF _Toc175550333 \h </w:instrText>
      </w:r>
      <w:r>
        <w:fldChar w:fldCharType="separate"/>
      </w:r>
      <w:r w:rsidR="00DE5429">
        <w:t>9</w:t>
      </w:r>
      <w:r>
        <w:fldChar w:fldCharType="end"/>
      </w:r>
    </w:p>
    <w:p w14:paraId="76338AD8" w14:textId="3FBEB5B0" w:rsidR="00D1577E" w:rsidRDefault="00D1577E">
      <w:pPr>
        <w:pStyle w:val="TOC3"/>
        <w:tabs>
          <w:tab w:val="left" w:pos="1200"/>
        </w:tabs>
        <w:rPr>
          <w:rFonts w:eastAsiaTheme="minorEastAsia" w:cstheme="minorBidi"/>
          <w:iCs w:val="0"/>
          <w:kern w:val="2"/>
          <w:sz w:val="24"/>
          <w:szCs w:val="24"/>
          <w:lang w:eastAsia="en-GB"/>
          <w14:ligatures w14:val="standardContextual"/>
        </w:rPr>
      </w:pPr>
      <w:r>
        <w:t>2.1.3</w:t>
      </w:r>
      <w:r>
        <w:rPr>
          <w:rFonts w:eastAsiaTheme="minorEastAsia" w:cstheme="minorBidi"/>
          <w:iCs w:val="0"/>
          <w:kern w:val="2"/>
          <w:sz w:val="24"/>
          <w:szCs w:val="24"/>
          <w:lang w:eastAsia="en-GB"/>
          <w14:ligatures w14:val="standardContextual"/>
        </w:rPr>
        <w:tab/>
      </w:r>
      <w:r>
        <w:t>Define minimum dataset</w:t>
      </w:r>
      <w:r>
        <w:tab/>
      </w:r>
      <w:r>
        <w:fldChar w:fldCharType="begin"/>
      </w:r>
      <w:r>
        <w:instrText xml:space="preserve"> PAGEREF _Toc175550334 \h </w:instrText>
      </w:r>
      <w:r>
        <w:fldChar w:fldCharType="separate"/>
      </w:r>
      <w:r w:rsidR="00DE5429">
        <w:t>10</w:t>
      </w:r>
      <w:r>
        <w:fldChar w:fldCharType="end"/>
      </w:r>
    </w:p>
    <w:p w14:paraId="32627369" w14:textId="2DADBC6F" w:rsidR="00D1577E" w:rsidRDefault="00D1577E">
      <w:pPr>
        <w:pStyle w:val="TOC3"/>
        <w:tabs>
          <w:tab w:val="left" w:pos="1200"/>
        </w:tabs>
        <w:rPr>
          <w:rFonts w:eastAsiaTheme="minorEastAsia" w:cstheme="minorBidi"/>
          <w:iCs w:val="0"/>
          <w:kern w:val="2"/>
          <w:sz w:val="24"/>
          <w:szCs w:val="24"/>
          <w:lang w:eastAsia="en-GB"/>
          <w14:ligatures w14:val="standardContextual"/>
        </w:rPr>
      </w:pPr>
      <w:r>
        <w:t>2.1.4</w:t>
      </w:r>
      <w:r>
        <w:rPr>
          <w:rFonts w:eastAsiaTheme="minorEastAsia" w:cstheme="minorBidi"/>
          <w:iCs w:val="0"/>
          <w:kern w:val="2"/>
          <w:sz w:val="24"/>
          <w:szCs w:val="24"/>
          <w:lang w:eastAsia="en-GB"/>
          <w14:ligatures w14:val="standardContextual"/>
        </w:rPr>
        <w:tab/>
      </w:r>
      <w:r>
        <w:t>Define use</w:t>
      </w:r>
      <w:r>
        <w:tab/>
      </w:r>
      <w:r>
        <w:fldChar w:fldCharType="begin"/>
      </w:r>
      <w:r>
        <w:instrText xml:space="preserve"> PAGEREF _Toc175550335 \h </w:instrText>
      </w:r>
      <w:r>
        <w:fldChar w:fldCharType="separate"/>
      </w:r>
      <w:r w:rsidR="00DE5429">
        <w:t>10</w:t>
      </w:r>
      <w:r>
        <w:fldChar w:fldCharType="end"/>
      </w:r>
    </w:p>
    <w:p w14:paraId="05F24F0D" w14:textId="36B6EF59" w:rsidR="00D1577E" w:rsidRDefault="00D1577E">
      <w:pPr>
        <w:pStyle w:val="TOC3"/>
        <w:tabs>
          <w:tab w:val="left" w:pos="1200"/>
        </w:tabs>
        <w:rPr>
          <w:rFonts w:eastAsiaTheme="minorEastAsia" w:cstheme="minorBidi"/>
          <w:iCs w:val="0"/>
          <w:kern w:val="2"/>
          <w:sz w:val="24"/>
          <w:szCs w:val="24"/>
          <w:lang w:eastAsia="en-GB"/>
          <w14:ligatures w14:val="standardContextual"/>
        </w:rPr>
      </w:pPr>
      <w:r>
        <w:t>2.1.5</w:t>
      </w:r>
      <w:r>
        <w:rPr>
          <w:rFonts w:eastAsiaTheme="minorEastAsia" w:cstheme="minorBidi"/>
          <w:iCs w:val="0"/>
          <w:kern w:val="2"/>
          <w:sz w:val="24"/>
          <w:szCs w:val="24"/>
          <w:lang w:eastAsia="en-GB"/>
          <w14:ligatures w14:val="standardContextual"/>
        </w:rPr>
        <w:tab/>
      </w:r>
      <w:r>
        <w:t>Define business processes</w:t>
      </w:r>
      <w:r>
        <w:tab/>
      </w:r>
      <w:r>
        <w:fldChar w:fldCharType="begin"/>
      </w:r>
      <w:r>
        <w:instrText xml:space="preserve"> PAGEREF _Toc175550336 \h </w:instrText>
      </w:r>
      <w:r>
        <w:fldChar w:fldCharType="separate"/>
      </w:r>
      <w:r w:rsidR="00DE5429">
        <w:t>11</w:t>
      </w:r>
      <w:r>
        <w:fldChar w:fldCharType="end"/>
      </w:r>
    </w:p>
    <w:p w14:paraId="3BCF5946" w14:textId="2D1331EA" w:rsidR="00D1577E" w:rsidRDefault="00D1577E">
      <w:pPr>
        <w:pStyle w:val="TOC3"/>
        <w:tabs>
          <w:tab w:val="left" w:pos="1200"/>
        </w:tabs>
        <w:rPr>
          <w:rFonts w:eastAsiaTheme="minorEastAsia" w:cstheme="minorBidi"/>
          <w:iCs w:val="0"/>
          <w:kern w:val="2"/>
          <w:sz w:val="24"/>
          <w:szCs w:val="24"/>
          <w:lang w:eastAsia="en-GB"/>
          <w14:ligatures w14:val="standardContextual"/>
        </w:rPr>
      </w:pPr>
      <w:r>
        <w:t>2.1.6</w:t>
      </w:r>
      <w:r>
        <w:rPr>
          <w:rFonts w:eastAsiaTheme="minorEastAsia" w:cstheme="minorBidi"/>
          <w:iCs w:val="0"/>
          <w:kern w:val="2"/>
          <w:sz w:val="24"/>
          <w:szCs w:val="24"/>
          <w:lang w:eastAsia="en-GB"/>
          <w14:ligatures w14:val="standardContextual"/>
        </w:rPr>
        <w:tab/>
      </w:r>
      <w:r>
        <w:t>Comply with legislation and standards</w:t>
      </w:r>
      <w:r>
        <w:tab/>
      </w:r>
      <w:r>
        <w:fldChar w:fldCharType="begin"/>
      </w:r>
      <w:r>
        <w:instrText xml:space="preserve"> PAGEREF _Toc175550337 \h </w:instrText>
      </w:r>
      <w:r>
        <w:fldChar w:fldCharType="separate"/>
      </w:r>
      <w:r w:rsidR="00DE5429">
        <w:t>11</w:t>
      </w:r>
      <w:r>
        <w:fldChar w:fldCharType="end"/>
      </w:r>
    </w:p>
    <w:p w14:paraId="1CA0AB13" w14:textId="35146293" w:rsidR="00D1577E" w:rsidRDefault="00D1577E">
      <w:pPr>
        <w:pStyle w:val="TOC2"/>
        <w:tabs>
          <w:tab w:val="left" w:pos="960"/>
        </w:tabs>
        <w:rPr>
          <w:rFonts w:eastAsiaTheme="minorEastAsia" w:cstheme="minorBidi"/>
          <w:kern w:val="2"/>
          <w:sz w:val="24"/>
          <w:szCs w:val="24"/>
          <w:lang w:eastAsia="en-GB"/>
          <w14:ligatures w14:val="standardContextual"/>
        </w:rPr>
      </w:pPr>
      <w:r>
        <w:t>2.2</w:t>
      </w:r>
      <w:r>
        <w:rPr>
          <w:rFonts w:eastAsiaTheme="minorEastAsia" w:cstheme="minorBidi"/>
          <w:kern w:val="2"/>
          <w:sz w:val="24"/>
          <w:szCs w:val="24"/>
          <w:lang w:eastAsia="en-GB"/>
          <w14:ligatures w14:val="standardContextual"/>
        </w:rPr>
        <w:tab/>
      </w:r>
      <w:r>
        <w:t>Provider enrolment</w:t>
      </w:r>
      <w:r>
        <w:tab/>
      </w:r>
      <w:r>
        <w:fldChar w:fldCharType="begin"/>
      </w:r>
      <w:r>
        <w:instrText xml:space="preserve"> PAGEREF _Toc175550338 \h </w:instrText>
      </w:r>
      <w:r>
        <w:fldChar w:fldCharType="separate"/>
      </w:r>
      <w:r w:rsidR="00DE5429">
        <w:t>11</w:t>
      </w:r>
      <w:r>
        <w:fldChar w:fldCharType="end"/>
      </w:r>
    </w:p>
    <w:p w14:paraId="5ACFA6CE" w14:textId="7C7A0012" w:rsidR="00D1577E" w:rsidRDefault="00D1577E">
      <w:pPr>
        <w:pStyle w:val="TOC3"/>
        <w:tabs>
          <w:tab w:val="left" w:pos="1200"/>
        </w:tabs>
        <w:rPr>
          <w:rFonts w:eastAsiaTheme="minorEastAsia" w:cstheme="minorBidi"/>
          <w:iCs w:val="0"/>
          <w:kern w:val="2"/>
          <w:sz w:val="24"/>
          <w:szCs w:val="24"/>
          <w:lang w:eastAsia="en-GB"/>
          <w14:ligatures w14:val="standardContextual"/>
        </w:rPr>
      </w:pPr>
      <w:r>
        <w:t>2.2.1</w:t>
      </w:r>
      <w:r>
        <w:rPr>
          <w:rFonts w:eastAsiaTheme="minorEastAsia" w:cstheme="minorBidi"/>
          <w:iCs w:val="0"/>
          <w:kern w:val="2"/>
          <w:sz w:val="24"/>
          <w:szCs w:val="24"/>
          <w:lang w:eastAsia="en-GB"/>
          <w14:ligatures w14:val="standardContextual"/>
        </w:rPr>
        <w:tab/>
      </w:r>
      <w:r>
        <w:t>Publish eligibility</w:t>
      </w:r>
      <w:r>
        <w:tab/>
      </w:r>
      <w:r>
        <w:fldChar w:fldCharType="begin"/>
      </w:r>
      <w:r>
        <w:instrText xml:space="preserve"> PAGEREF _Toc175550339 \h </w:instrText>
      </w:r>
      <w:r>
        <w:fldChar w:fldCharType="separate"/>
      </w:r>
      <w:r w:rsidR="00DE5429">
        <w:t>12</w:t>
      </w:r>
      <w:r>
        <w:fldChar w:fldCharType="end"/>
      </w:r>
    </w:p>
    <w:p w14:paraId="6B3F21CC" w14:textId="10A30554" w:rsidR="00D1577E" w:rsidRDefault="00D1577E">
      <w:pPr>
        <w:pStyle w:val="TOC3"/>
        <w:tabs>
          <w:tab w:val="left" w:pos="1200"/>
        </w:tabs>
        <w:rPr>
          <w:rFonts w:eastAsiaTheme="minorEastAsia" w:cstheme="minorBidi"/>
          <w:iCs w:val="0"/>
          <w:kern w:val="2"/>
          <w:sz w:val="24"/>
          <w:szCs w:val="24"/>
          <w:lang w:eastAsia="en-GB"/>
          <w14:ligatures w14:val="standardContextual"/>
        </w:rPr>
      </w:pPr>
      <w:r>
        <w:t>2.2.2</w:t>
      </w:r>
      <w:r>
        <w:rPr>
          <w:rFonts w:eastAsiaTheme="minorEastAsia" w:cstheme="minorBidi"/>
          <w:iCs w:val="0"/>
          <w:kern w:val="2"/>
          <w:sz w:val="24"/>
          <w:szCs w:val="24"/>
          <w:lang w:eastAsia="en-GB"/>
          <w14:ligatures w14:val="standardContextual"/>
        </w:rPr>
        <w:tab/>
      </w:r>
      <w:r>
        <w:t>Enrol providers</w:t>
      </w:r>
      <w:r>
        <w:tab/>
      </w:r>
      <w:r>
        <w:fldChar w:fldCharType="begin"/>
      </w:r>
      <w:r>
        <w:instrText xml:space="preserve"> PAGEREF _Toc175550340 \h </w:instrText>
      </w:r>
      <w:r>
        <w:fldChar w:fldCharType="separate"/>
      </w:r>
      <w:r w:rsidR="00DE5429">
        <w:t>12</w:t>
      </w:r>
      <w:r>
        <w:fldChar w:fldCharType="end"/>
      </w:r>
    </w:p>
    <w:p w14:paraId="70007DB3" w14:textId="5975591E" w:rsidR="00D1577E" w:rsidRDefault="00D1577E">
      <w:pPr>
        <w:pStyle w:val="TOC2"/>
        <w:tabs>
          <w:tab w:val="left" w:pos="960"/>
        </w:tabs>
        <w:rPr>
          <w:rFonts w:eastAsiaTheme="minorEastAsia" w:cstheme="minorBidi"/>
          <w:kern w:val="2"/>
          <w:sz w:val="24"/>
          <w:szCs w:val="24"/>
          <w:lang w:eastAsia="en-GB"/>
          <w14:ligatures w14:val="standardContextual"/>
        </w:rPr>
      </w:pPr>
      <w:r>
        <w:t>2.3</w:t>
      </w:r>
      <w:r>
        <w:rPr>
          <w:rFonts w:eastAsiaTheme="minorEastAsia" w:cstheme="minorBidi"/>
          <w:kern w:val="2"/>
          <w:sz w:val="24"/>
          <w:szCs w:val="24"/>
          <w:lang w:eastAsia="en-GB"/>
          <w14:ligatures w14:val="standardContextual"/>
        </w:rPr>
        <w:tab/>
      </w:r>
      <w:r>
        <w:t>Data collection</w:t>
      </w:r>
      <w:r>
        <w:tab/>
      </w:r>
      <w:r>
        <w:fldChar w:fldCharType="begin"/>
      </w:r>
      <w:r>
        <w:instrText xml:space="preserve"> PAGEREF _Toc175550341 \h </w:instrText>
      </w:r>
      <w:r>
        <w:fldChar w:fldCharType="separate"/>
      </w:r>
      <w:r w:rsidR="00DE5429">
        <w:t>12</w:t>
      </w:r>
      <w:r>
        <w:fldChar w:fldCharType="end"/>
      </w:r>
    </w:p>
    <w:p w14:paraId="5DE34020" w14:textId="4C01AA73" w:rsidR="00D1577E" w:rsidRDefault="00D1577E">
      <w:pPr>
        <w:pStyle w:val="TOC3"/>
        <w:tabs>
          <w:tab w:val="left" w:pos="1200"/>
        </w:tabs>
        <w:rPr>
          <w:rFonts w:eastAsiaTheme="minorEastAsia" w:cstheme="minorBidi"/>
          <w:iCs w:val="0"/>
          <w:kern w:val="2"/>
          <w:sz w:val="24"/>
          <w:szCs w:val="24"/>
          <w:lang w:eastAsia="en-GB"/>
          <w14:ligatures w14:val="standardContextual"/>
        </w:rPr>
      </w:pPr>
      <w:r>
        <w:t>2.3.1</w:t>
      </w:r>
      <w:r>
        <w:rPr>
          <w:rFonts w:eastAsiaTheme="minorEastAsia" w:cstheme="minorBidi"/>
          <w:iCs w:val="0"/>
          <w:kern w:val="2"/>
          <w:sz w:val="24"/>
          <w:szCs w:val="24"/>
          <w:lang w:eastAsia="en-GB"/>
          <w14:ligatures w14:val="standardContextual"/>
        </w:rPr>
        <w:tab/>
      </w:r>
      <w:r>
        <w:t>Capture data</w:t>
      </w:r>
      <w:r>
        <w:tab/>
      </w:r>
      <w:r>
        <w:fldChar w:fldCharType="begin"/>
      </w:r>
      <w:r>
        <w:instrText xml:space="preserve"> PAGEREF _Toc175550342 \h </w:instrText>
      </w:r>
      <w:r>
        <w:fldChar w:fldCharType="separate"/>
      </w:r>
      <w:r w:rsidR="00DE5429">
        <w:t>13</w:t>
      </w:r>
      <w:r>
        <w:fldChar w:fldCharType="end"/>
      </w:r>
    </w:p>
    <w:p w14:paraId="721FEE74" w14:textId="2BC105E6" w:rsidR="00D1577E" w:rsidRDefault="00D1577E">
      <w:pPr>
        <w:pStyle w:val="TOC3"/>
        <w:tabs>
          <w:tab w:val="left" w:pos="1200"/>
        </w:tabs>
        <w:rPr>
          <w:rFonts w:eastAsiaTheme="minorEastAsia" w:cstheme="minorBidi"/>
          <w:iCs w:val="0"/>
          <w:kern w:val="2"/>
          <w:sz w:val="24"/>
          <w:szCs w:val="24"/>
          <w:lang w:eastAsia="en-GB"/>
          <w14:ligatures w14:val="standardContextual"/>
        </w:rPr>
      </w:pPr>
      <w:r>
        <w:t>2.3.2</w:t>
      </w:r>
      <w:r>
        <w:rPr>
          <w:rFonts w:eastAsiaTheme="minorEastAsia" w:cstheme="minorBidi"/>
          <w:iCs w:val="0"/>
          <w:kern w:val="2"/>
          <w:sz w:val="24"/>
          <w:szCs w:val="24"/>
          <w:lang w:eastAsia="en-GB"/>
          <w14:ligatures w14:val="standardContextual"/>
        </w:rPr>
        <w:tab/>
      </w:r>
      <w:r>
        <w:t>Perform data linkage</w:t>
      </w:r>
      <w:r>
        <w:tab/>
      </w:r>
      <w:r>
        <w:fldChar w:fldCharType="begin"/>
      </w:r>
      <w:r>
        <w:instrText xml:space="preserve"> PAGEREF _Toc175550343 \h </w:instrText>
      </w:r>
      <w:r>
        <w:fldChar w:fldCharType="separate"/>
      </w:r>
      <w:r w:rsidR="00DE5429">
        <w:t>14</w:t>
      </w:r>
      <w:r>
        <w:fldChar w:fldCharType="end"/>
      </w:r>
    </w:p>
    <w:p w14:paraId="4E0BC862" w14:textId="1323C152" w:rsidR="00D1577E" w:rsidRDefault="00D1577E">
      <w:pPr>
        <w:pStyle w:val="TOC3"/>
        <w:tabs>
          <w:tab w:val="left" w:pos="1200"/>
        </w:tabs>
        <w:rPr>
          <w:rFonts w:eastAsiaTheme="minorEastAsia" w:cstheme="minorBidi"/>
          <w:iCs w:val="0"/>
          <w:kern w:val="2"/>
          <w:sz w:val="24"/>
          <w:szCs w:val="24"/>
          <w:lang w:eastAsia="en-GB"/>
          <w14:ligatures w14:val="standardContextual"/>
        </w:rPr>
      </w:pPr>
      <w:r>
        <w:t>2.3.3</w:t>
      </w:r>
      <w:r>
        <w:rPr>
          <w:rFonts w:eastAsiaTheme="minorEastAsia" w:cstheme="minorBidi"/>
          <w:iCs w:val="0"/>
          <w:kern w:val="2"/>
          <w:sz w:val="24"/>
          <w:szCs w:val="24"/>
          <w:lang w:eastAsia="en-GB"/>
          <w14:ligatures w14:val="standardContextual"/>
        </w:rPr>
        <w:tab/>
      </w:r>
      <w:r>
        <w:t>Identifying patients requiring follow-up</w:t>
      </w:r>
      <w:r>
        <w:tab/>
      </w:r>
      <w:r>
        <w:fldChar w:fldCharType="begin"/>
      </w:r>
      <w:r>
        <w:instrText xml:space="preserve"> PAGEREF _Toc175550344 \h </w:instrText>
      </w:r>
      <w:r>
        <w:fldChar w:fldCharType="separate"/>
      </w:r>
      <w:r w:rsidR="00DE5429">
        <w:t>15</w:t>
      </w:r>
      <w:r>
        <w:fldChar w:fldCharType="end"/>
      </w:r>
    </w:p>
    <w:p w14:paraId="35133530" w14:textId="16145FB0" w:rsidR="00D1577E" w:rsidRDefault="00D1577E">
      <w:pPr>
        <w:pStyle w:val="TOC3"/>
        <w:tabs>
          <w:tab w:val="left" w:pos="1200"/>
        </w:tabs>
        <w:rPr>
          <w:rFonts w:eastAsiaTheme="minorEastAsia" w:cstheme="minorBidi"/>
          <w:iCs w:val="0"/>
          <w:kern w:val="2"/>
          <w:sz w:val="24"/>
          <w:szCs w:val="24"/>
          <w:lang w:eastAsia="en-GB"/>
          <w14:ligatures w14:val="standardContextual"/>
        </w:rPr>
      </w:pPr>
      <w:r>
        <w:t>2.3.4</w:t>
      </w:r>
      <w:r>
        <w:rPr>
          <w:rFonts w:eastAsiaTheme="minorEastAsia" w:cstheme="minorBidi"/>
          <w:iCs w:val="0"/>
          <w:kern w:val="2"/>
          <w:sz w:val="24"/>
          <w:szCs w:val="24"/>
          <w:lang w:eastAsia="en-GB"/>
          <w14:ligatures w14:val="standardContextual"/>
        </w:rPr>
        <w:tab/>
      </w:r>
      <w:r>
        <w:t>Add follow-up information</w:t>
      </w:r>
      <w:r>
        <w:tab/>
      </w:r>
      <w:r>
        <w:fldChar w:fldCharType="begin"/>
      </w:r>
      <w:r>
        <w:instrText xml:space="preserve"> PAGEREF _Toc175550345 \h </w:instrText>
      </w:r>
      <w:r>
        <w:fldChar w:fldCharType="separate"/>
      </w:r>
      <w:r w:rsidR="00DE5429">
        <w:t>15</w:t>
      </w:r>
      <w:r>
        <w:fldChar w:fldCharType="end"/>
      </w:r>
    </w:p>
    <w:p w14:paraId="3CEC4742" w14:textId="051CFF60" w:rsidR="00D1577E" w:rsidRDefault="00D1577E">
      <w:pPr>
        <w:pStyle w:val="TOC3"/>
        <w:tabs>
          <w:tab w:val="left" w:pos="1200"/>
        </w:tabs>
        <w:rPr>
          <w:rFonts w:eastAsiaTheme="minorEastAsia" w:cstheme="minorBidi"/>
          <w:iCs w:val="0"/>
          <w:kern w:val="2"/>
          <w:sz w:val="24"/>
          <w:szCs w:val="24"/>
          <w:lang w:eastAsia="en-GB"/>
          <w14:ligatures w14:val="standardContextual"/>
        </w:rPr>
      </w:pPr>
      <w:r>
        <w:t>2.3.5</w:t>
      </w:r>
      <w:r>
        <w:rPr>
          <w:rFonts w:eastAsiaTheme="minorEastAsia" w:cstheme="minorBidi"/>
          <w:iCs w:val="0"/>
          <w:kern w:val="2"/>
          <w:sz w:val="24"/>
          <w:szCs w:val="24"/>
          <w:lang w:eastAsia="en-GB"/>
          <w14:ligatures w14:val="standardContextual"/>
        </w:rPr>
        <w:tab/>
      </w:r>
      <w:r>
        <w:t>Manage data capture conditions and metadata requirements</w:t>
      </w:r>
      <w:r>
        <w:tab/>
      </w:r>
      <w:r>
        <w:fldChar w:fldCharType="begin"/>
      </w:r>
      <w:r>
        <w:instrText xml:space="preserve"> PAGEREF _Toc175550346 \h </w:instrText>
      </w:r>
      <w:r>
        <w:fldChar w:fldCharType="separate"/>
      </w:r>
      <w:r w:rsidR="00DE5429">
        <w:t>16</w:t>
      </w:r>
      <w:r>
        <w:fldChar w:fldCharType="end"/>
      </w:r>
    </w:p>
    <w:p w14:paraId="4F767A21" w14:textId="25EC06FD" w:rsidR="00D1577E" w:rsidRDefault="00D1577E">
      <w:pPr>
        <w:pStyle w:val="TOC2"/>
        <w:tabs>
          <w:tab w:val="left" w:pos="960"/>
        </w:tabs>
        <w:rPr>
          <w:rFonts w:eastAsiaTheme="minorEastAsia" w:cstheme="minorBidi"/>
          <w:kern w:val="2"/>
          <w:sz w:val="24"/>
          <w:szCs w:val="24"/>
          <w:lang w:eastAsia="en-GB"/>
          <w14:ligatures w14:val="standardContextual"/>
        </w:rPr>
      </w:pPr>
      <w:r>
        <w:t>2.4</w:t>
      </w:r>
      <w:r>
        <w:rPr>
          <w:rFonts w:eastAsiaTheme="minorEastAsia" w:cstheme="minorBidi"/>
          <w:kern w:val="2"/>
          <w:sz w:val="24"/>
          <w:szCs w:val="24"/>
          <w:lang w:eastAsia="en-GB"/>
          <w14:ligatures w14:val="standardContextual"/>
        </w:rPr>
        <w:tab/>
      </w:r>
      <w:r>
        <w:t>Data quality management</w:t>
      </w:r>
      <w:r>
        <w:tab/>
      </w:r>
      <w:r>
        <w:fldChar w:fldCharType="begin"/>
      </w:r>
      <w:r>
        <w:instrText xml:space="preserve"> PAGEREF _Toc175550347 \h </w:instrText>
      </w:r>
      <w:r>
        <w:fldChar w:fldCharType="separate"/>
      </w:r>
      <w:r w:rsidR="00DE5429">
        <w:t>16</w:t>
      </w:r>
      <w:r>
        <w:fldChar w:fldCharType="end"/>
      </w:r>
    </w:p>
    <w:p w14:paraId="0F3824F3" w14:textId="064564AF" w:rsidR="00D1577E" w:rsidRDefault="00D1577E">
      <w:pPr>
        <w:pStyle w:val="TOC3"/>
        <w:tabs>
          <w:tab w:val="left" w:pos="1200"/>
        </w:tabs>
        <w:rPr>
          <w:rFonts w:eastAsiaTheme="minorEastAsia" w:cstheme="minorBidi"/>
          <w:iCs w:val="0"/>
          <w:kern w:val="2"/>
          <w:sz w:val="24"/>
          <w:szCs w:val="24"/>
          <w:lang w:eastAsia="en-GB"/>
          <w14:ligatures w14:val="standardContextual"/>
        </w:rPr>
      </w:pPr>
      <w:r>
        <w:t>2.4.1</w:t>
      </w:r>
      <w:r>
        <w:rPr>
          <w:rFonts w:eastAsiaTheme="minorEastAsia" w:cstheme="minorBidi"/>
          <w:iCs w:val="0"/>
          <w:kern w:val="2"/>
          <w:sz w:val="24"/>
          <w:szCs w:val="24"/>
          <w:lang w:eastAsia="en-GB"/>
          <w14:ligatures w14:val="standardContextual"/>
        </w:rPr>
        <w:tab/>
      </w:r>
      <w:r>
        <w:t>Identify inaccurate/incomplete data</w:t>
      </w:r>
      <w:r>
        <w:tab/>
      </w:r>
      <w:r>
        <w:fldChar w:fldCharType="begin"/>
      </w:r>
      <w:r>
        <w:instrText xml:space="preserve"> PAGEREF _Toc175550348 \h </w:instrText>
      </w:r>
      <w:r>
        <w:fldChar w:fldCharType="separate"/>
      </w:r>
      <w:r w:rsidR="00DE5429">
        <w:t>17</w:t>
      </w:r>
      <w:r>
        <w:fldChar w:fldCharType="end"/>
      </w:r>
    </w:p>
    <w:p w14:paraId="77EE3366" w14:textId="03DB53F3" w:rsidR="00D1577E" w:rsidRDefault="00D1577E">
      <w:pPr>
        <w:pStyle w:val="TOC3"/>
        <w:tabs>
          <w:tab w:val="left" w:pos="1200"/>
        </w:tabs>
        <w:rPr>
          <w:rFonts w:eastAsiaTheme="minorEastAsia" w:cstheme="minorBidi"/>
          <w:iCs w:val="0"/>
          <w:kern w:val="2"/>
          <w:sz w:val="24"/>
          <w:szCs w:val="24"/>
          <w:lang w:eastAsia="en-GB"/>
          <w14:ligatures w14:val="standardContextual"/>
        </w:rPr>
      </w:pPr>
      <w:r>
        <w:t>2.4.2</w:t>
      </w:r>
      <w:r>
        <w:rPr>
          <w:rFonts w:eastAsiaTheme="minorEastAsia" w:cstheme="minorBidi"/>
          <w:iCs w:val="0"/>
          <w:kern w:val="2"/>
          <w:sz w:val="24"/>
          <w:szCs w:val="24"/>
          <w:lang w:eastAsia="en-GB"/>
          <w14:ligatures w14:val="standardContextual"/>
        </w:rPr>
        <w:tab/>
      </w:r>
      <w:r>
        <w:t>Amend data</w:t>
      </w:r>
      <w:r>
        <w:tab/>
      </w:r>
      <w:r>
        <w:fldChar w:fldCharType="begin"/>
      </w:r>
      <w:r>
        <w:instrText xml:space="preserve"> PAGEREF _Toc175550349 \h </w:instrText>
      </w:r>
      <w:r>
        <w:fldChar w:fldCharType="separate"/>
      </w:r>
      <w:r w:rsidR="00DE5429">
        <w:t>17</w:t>
      </w:r>
      <w:r>
        <w:fldChar w:fldCharType="end"/>
      </w:r>
    </w:p>
    <w:p w14:paraId="0836C7F2" w14:textId="25BC3DF2" w:rsidR="00D1577E" w:rsidRDefault="00D1577E">
      <w:pPr>
        <w:pStyle w:val="TOC3"/>
        <w:tabs>
          <w:tab w:val="left" w:pos="1200"/>
        </w:tabs>
        <w:rPr>
          <w:rFonts w:eastAsiaTheme="minorEastAsia" w:cstheme="minorBidi"/>
          <w:iCs w:val="0"/>
          <w:kern w:val="2"/>
          <w:sz w:val="24"/>
          <w:szCs w:val="24"/>
          <w:lang w:eastAsia="en-GB"/>
          <w14:ligatures w14:val="standardContextual"/>
        </w:rPr>
      </w:pPr>
      <w:r>
        <w:t>2.4.3</w:t>
      </w:r>
      <w:r>
        <w:rPr>
          <w:rFonts w:eastAsiaTheme="minorEastAsia" w:cstheme="minorBidi"/>
          <w:iCs w:val="0"/>
          <w:kern w:val="2"/>
          <w:sz w:val="24"/>
          <w:szCs w:val="24"/>
          <w:lang w:eastAsia="en-GB"/>
          <w14:ligatures w14:val="standardContextual"/>
        </w:rPr>
        <w:tab/>
      </w:r>
      <w:r>
        <w:t>Perform checks against other data sources</w:t>
      </w:r>
      <w:r>
        <w:tab/>
      </w:r>
      <w:r>
        <w:fldChar w:fldCharType="begin"/>
      </w:r>
      <w:r>
        <w:instrText xml:space="preserve"> PAGEREF _Toc175550350 \h </w:instrText>
      </w:r>
      <w:r>
        <w:fldChar w:fldCharType="separate"/>
      </w:r>
      <w:r w:rsidR="00DE5429">
        <w:t>18</w:t>
      </w:r>
      <w:r>
        <w:fldChar w:fldCharType="end"/>
      </w:r>
    </w:p>
    <w:p w14:paraId="38A13401" w14:textId="5DE2E84F" w:rsidR="00D1577E" w:rsidRDefault="00D1577E">
      <w:pPr>
        <w:pStyle w:val="TOC3"/>
        <w:tabs>
          <w:tab w:val="left" w:pos="1200"/>
        </w:tabs>
        <w:rPr>
          <w:rFonts w:eastAsiaTheme="minorEastAsia" w:cstheme="minorBidi"/>
          <w:iCs w:val="0"/>
          <w:kern w:val="2"/>
          <w:sz w:val="24"/>
          <w:szCs w:val="24"/>
          <w:lang w:eastAsia="en-GB"/>
          <w14:ligatures w14:val="standardContextual"/>
        </w:rPr>
      </w:pPr>
      <w:r>
        <w:t>2.4.4</w:t>
      </w:r>
      <w:r>
        <w:rPr>
          <w:rFonts w:eastAsiaTheme="minorEastAsia" w:cstheme="minorBidi"/>
          <w:iCs w:val="0"/>
          <w:kern w:val="2"/>
          <w:sz w:val="24"/>
          <w:szCs w:val="24"/>
          <w:lang w:eastAsia="en-GB"/>
          <w14:ligatures w14:val="standardContextual"/>
        </w:rPr>
        <w:tab/>
      </w:r>
      <w:r>
        <w:t>Maintain searchability and data quality</w:t>
      </w:r>
      <w:r>
        <w:tab/>
      </w:r>
      <w:r>
        <w:fldChar w:fldCharType="begin"/>
      </w:r>
      <w:r>
        <w:instrText xml:space="preserve"> PAGEREF _Toc175550351 \h </w:instrText>
      </w:r>
      <w:r>
        <w:fldChar w:fldCharType="separate"/>
      </w:r>
      <w:r w:rsidR="00DE5429">
        <w:t>18</w:t>
      </w:r>
      <w:r>
        <w:fldChar w:fldCharType="end"/>
      </w:r>
    </w:p>
    <w:p w14:paraId="1B54E0D5" w14:textId="732AC679" w:rsidR="00D1577E" w:rsidRDefault="00D1577E">
      <w:pPr>
        <w:pStyle w:val="TOC2"/>
        <w:tabs>
          <w:tab w:val="left" w:pos="960"/>
        </w:tabs>
        <w:rPr>
          <w:rFonts w:eastAsiaTheme="minorEastAsia" w:cstheme="minorBidi"/>
          <w:kern w:val="2"/>
          <w:sz w:val="24"/>
          <w:szCs w:val="24"/>
          <w:lang w:eastAsia="en-GB"/>
          <w14:ligatures w14:val="standardContextual"/>
        </w:rPr>
      </w:pPr>
      <w:r>
        <w:t>2.5</w:t>
      </w:r>
      <w:r>
        <w:rPr>
          <w:rFonts w:eastAsiaTheme="minorEastAsia" w:cstheme="minorBidi"/>
          <w:kern w:val="2"/>
          <w:sz w:val="24"/>
          <w:szCs w:val="24"/>
          <w:lang w:eastAsia="en-GB"/>
          <w14:ligatures w14:val="standardContextual"/>
        </w:rPr>
        <w:tab/>
      </w:r>
      <w:r>
        <w:t>Data analysis and outcome reporting</w:t>
      </w:r>
      <w:r>
        <w:tab/>
      </w:r>
      <w:r>
        <w:fldChar w:fldCharType="begin"/>
      </w:r>
      <w:r>
        <w:instrText xml:space="preserve"> PAGEREF _Toc175550352 \h </w:instrText>
      </w:r>
      <w:r>
        <w:fldChar w:fldCharType="separate"/>
      </w:r>
      <w:r w:rsidR="00DE5429">
        <w:t>18</w:t>
      </w:r>
      <w:r>
        <w:fldChar w:fldCharType="end"/>
      </w:r>
    </w:p>
    <w:p w14:paraId="22421662" w14:textId="4CDBE18A" w:rsidR="00D1577E" w:rsidRDefault="00D1577E">
      <w:pPr>
        <w:pStyle w:val="TOC3"/>
        <w:tabs>
          <w:tab w:val="left" w:pos="1200"/>
        </w:tabs>
        <w:rPr>
          <w:rFonts w:eastAsiaTheme="minorEastAsia" w:cstheme="minorBidi"/>
          <w:iCs w:val="0"/>
          <w:kern w:val="2"/>
          <w:sz w:val="24"/>
          <w:szCs w:val="24"/>
          <w:lang w:eastAsia="en-GB"/>
          <w14:ligatures w14:val="standardContextual"/>
        </w:rPr>
      </w:pPr>
      <w:r>
        <w:t>2.5.1</w:t>
      </w:r>
      <w:r>
        <w:rPr>
          <w:rFonts w:eastAsiaTheme="minorEastAsia" w:cstheme="minorBidi"/>
          <w:iCs w:val="0"/>
          <w:kern w:val="2"/>
          <w:sz w:val="24"/>
          <w:szCs w:val="24"/>
          <w:lang w:eastAsia="en-GB"/>
          <w14:ligatures w14:val="standardContextual"/>
        </w:rPr>
        <w:tab/>
      </w:r>
      <w:r>
        <w:t>Risk adjustment</w:t>
      </w:r>
      <w:r>
        <w:tab/>
      </w:r>
      <w:r>
        <w:fldChar w:fldCharType="begin"/>
      </w:r>
      <w:r>
        <w:instrText xml:space="preserve"> PAGEREF _Toc175550353 \h </w:instrText>
      </w:r>
      <w:r>
        <w:fldChar w:fldCharType="separate"/>
      </w:r>
      <w:r w:rsidR="00DE5429">
        <w:t>19</w:t>
      </w:r>
      <w:r>
        <w:fldChar w:fldCharType="end"/>
      </w:r>
    </w:p>
    <w:p w14:paraId="5C61809F" w14:textId="001ED41F" w:rsidR="00D1577E" w:rsidRDefault="00D1577E">
      <w:pPr>
        <w:pStyle w:val="TOC3"/>
        <w:tabs>
          <w:tab w:val="left" w:pos="1200"/>
        </w:tabs>
        <w:rPr>
          <w:rFonts w:eastAsiaTheme="minorEastAsia" w:cstheme="minorBidi"/>
          <w:iCs w:val="0"/>
          <w:kern w:val="2"/>
          <w:sz w:val="24"/>
          <w:szCs w:val="24"/>
          <w:lang w:eastAsia="en-GB"/>
          <w14:ligatures w14:val="standardContextual"/>
        </w:rPr>
      </w:pPr>
      <w:r>
        <w:t>2.5.2</w:t>
      </w:r>
      <w:r>
        <w:rPr>
          <w:rFonts w:eastAsiaTheme="minorEastAsia" w:cstheme="minorBidi"/>
          <w:iCs w:val="0"/>
          <w:kern w:val="2"/>
          <w:sz w:val="24"/>
          <w:szCs w:val="24"/>
          <w:lang w:eastAsia="en-GB"/>
          <w14:ligatures w14:val="standardContextual"/>
        </w:rPr>
        <w:tab/>
      </w:r>
      <w:r>
        <w:t>Manage identifiable information</w:t>
      </w:r>
      <w:r>
        <w:tab/>
      </w:r>
      <w:r>
        <w:fldChar w:fldCharType="begin"/>
      </w:r>
      <w:r>
        <w:instrText xml:space="preserve"> PAGEREF _Toc175550354 \h </w:instrText>
      </w:r>
      <w:r>
        <w:fldChar w:fldCharType="separate"/>
      </w:r>
      <w:r w:rsidR="00DE5429">
        <w:t>19</w:t>
      </w:r>
      <w:r>
        <w:fldChar w:fldCharType="end"/>
      </w:r>
    </w:p>
    <w:p w14:paraId="2390377E" w14:textId="08BA81CC" w:rsidR="00D1577E" w:rsidRDefault="00D1577E">
      <w:pPr>
        <w:pStyle w:val="TOC3"/>
        <w:tabs>
          <w:tab w:val="left" w:pos="1200"/>
        </w:tabs>
        <w:rPr>
          <w:rFonts w:eastAsiaTheme="minorEastAsia" w:cstheme="minorBidi"/>
          <w:iCs w:val="0"/>
          <w:kern w:val="2"/>
          <w:sz w:val="24"/>
          <w:szCs w:val="24"/>
          <w:lang w:eastAsia="en-GB"/>
          <w14:ligatures w14:val="standardContextual"/>
        </w:rPr>
      </w:pPr>
      <w:r>
        <w:t>2.5.3</w:t>
      </w:r>
      <w:r>
        <w:rPr>
          <w:rFonts w:eastAsiaTheme="minorEastAsia" w:cstheme="minorBidi"/>
          <w:iCs w:val="0"/>
          <w:kern w:val="2"/>
          <w:sz w:val="24"/>
          <w:szCs w:val="24"/>
          <w:lang w:eastAsia="en-GB"/>
          <w14:ligatures w14:val="standardContextual"/>
        </w:rPr>
        <w:tab/>
      </w:r>
      <w:r>
        <w:t>Reporting</w:t>
      </w:r>
      <w:r>
        <w:tab/>
      </w:r>
      <w:r>
        <w:fldChar w:fldCharType="begin"/>
      </w:r>
      <w:r>
        <w:instrText xml:space="preserve"> PAGEREF _Toc175550355 \h </w:instrText>
      </w:r>
      <w:r>
        <w:fldChar w:fldCharType="separate"/>
      </w:r>
      <w:r w:rsidR="00DE5429">
        <w:t>19</w:t>
      </w:r>
      <w:r>
        <w:fldChar w:fldCharType="end"/>
      </w:r>
    </w:p>
    <w:p w14:paraId="6EADAD8B" w14:textId="2FFF4F17" w:rsidR="00D1577E" w:rsidRDefault="00D1577E">
      <w:pPr>
        <w:pStyle w:val="TOC1"/>
        <w:tabs>
          <w:tab w:val="left" w:pos="442"/>
        </w:tabs>
        <w:rPr>
          <w:rFonts w:eastAsiaTheme="minorEastAsia" w:cstheme="minorBidi"/>
          <w:b w:val="0"/>
          <w:bCs w:val="0"/>
          <w:noProof/>
          <w:color w:val="auto"/>
          <w:kern w:val="2"/>
          <w:szCs w:val="24"/>
          <w:lang w:eastAsia="en-GB"/>
          <w14:ligatures w14:val="standardContextual"/>
        </w:rPr>
      </w:pPr>
      <w:r>
        <w:rPr>
          <w:noProof/>
        </w:rPr>
        <w:t>3.</w:t>
      </w:r>
      <w:r>
        <w:rPr>
          <w:rFonts w:eastAsiaTheme="minorEastAsia" w:cstheme="minorBidi"/>
          <w:b w:val="0"/>
          <w:bCs w:val="0"/>
          <w:noProof/>
          <w:color w:val="auto"/>
          <w:kern w:val="2"/>
          <w:szCs w:val="24"/>
          <w:lang w:eastAsia="en-GB"/>
          <w14:ligatures w14:val="standardContextual"/>
        </w:rPr>
        <w:tab/>
      </w:r>
      <w:r>
        <w:rPr>
          <w:noProof/>
        </w:rPr>
        <w:t>CQR solution design</w:t>
      </w:r>
      <w:r>
        <w:rPr>
          <w:noProof/>
        </w:rPr>
        <w:tab/>
      </w:r>
      <w:r>
        <w:rPr>
          <w:noProof/>
        </w:rPr>
        <w:fldChar w:fldCharType="begin"/>
      </w:r>
      <w:r>
        <w:rPr>
          <w:noProof/>
        </w:rPr>
        <w:instrText xml:space="preserve"> PAGEREF _Toc175550356 \h </w:instrText>
      </w:r>
      <w:r>
        <w:rPr>
          <w:noProof/>
        </w:rPr>
      </w:r>
      <w:r>
        <w:rPr>
          <w:noProof/>
        </w:rPr>
        <w:fldChar w:fldCharType="separate"/>
      </w:r>
      <w:r w:rsidR="00DE5429">
        <w:rPr>
          <w:noProof/>
        </w:rPr>
        <w:t>21</w:t>
      </w:r>
      <w:r>
        <w:rPr>
          <w:noProof/>
        </w:rPr>
        <w:fldChar w:fldCharType="end"/>
      </w:r>
    </w:p>
    <w:p w14:paraId="17E7A65C" w14:textId="75A05A68" w:rsidR="00D1577E" w:rsidRDefault="00D1577E">
      <w:pPr>
        <w:pStyle w:val="TOC2"/>
        <w:tabs>
          <w:tab w:val="left" w:pos="960"/>
        </w:tabs>
        <w:rPr>
          <w:rFonts w:eastAsiaTheme="minorEastAsia" w:cstheme="minorBidi"/>
          <w:kern w:val="2"/>
          <w:sz w:val="24"/>
          <w:szCs w:val="24"/>
          <w:lang w:eastAsia="en-GB"/>
          <w14:ligatures w14:val="standardContextual"/>
        </w:rPr>
      </w:pPr>
      <w:r>
        <w:t>3.1</w:t>
      </w:r>
      <w:r>
        <w:rPr>
          <w:rFonts w:eastAsiaTheme="minorEastAsia" w:cstheme="minorBidi"/>
          <w:kern w:val="2"/>
          <w:sz w:val="24"/>
          <w:szCs w:val="24"/>
          <w:lang w:eastAsia="en-GB"/>
          <w14:ligatures w14:val="standardContextual"/>
        </w:rPr>
        <w:tab/>
      </w:r>
      <w:r>
        <w:t>Background</w:t>
      </w:r>
      <w:r>
        <w:tab/>
      </w:r>
      <w:r>
        <w:fldChar w:fldCharType="begin"/>
      </w:r>
      <w:r>
        <w:instrText xml:space="preserve"> PAGEREF _Toc175550357 \h </w:instrText>
      </w:r>
      <w:r>
        <w:fldChar w:fldCharType="separate"/>
      </w:r>
      <w:r w:rsidR="00DE5429">
        <w:t>21</w:t>
      </w:r>
      <w:r>
        <w:fldChar w:fldCharType="end"/>
      </w:r>
    </w:p>
    <w:p w14:paraId="2CE5CA73" w14:textId="153C699C" w:rsidR="00D1577E" w:rsidRDefault="00D1577E">
      <w:pPr>
        <w:pStyle w:val="TOC2"/>
        <w:tabs>
          <w:tab w:val="left" w:pos="960"/>
        </w:tabs>
        <w:rPr>
          <w:rFonts w:eastAsiaTheme="minorEastAsia" w:cstheme="minorBidi"/>
          <w:kern w:val="2"/>
          <w:sz w:val="24"/>
          <w:szCs w:val="24"/>
          <w:lang w:eastAsia="en-GB"/>
          <w14:ligatures w14:val="standardContextual"/>
        </w:rPr>
      </w:pPr>
      <w:r>
        <w:t>3.2</w:t>
      </w:r>
      <w:r>
        <w:rPr>
          <w:rFonts w:eastAsiaTheme="minorEastAsia" w:cstheme="minorBidi"/>
          <w:kern w:val="2"/>
          <w:sz w:val="24"/>
          <w:szCs w:val="24"/>
          <w:lang w:eastAsia="en-GB"/>
          <w14:ligatures w14:val="standardContextual"/>
        </w:rPr>
        <w:tab/>
      </w:r>
      <w:r>
        <w:t>CQR architecture</w:t>
      </w:r>
      <w:r>
        <w:tab/>
      </w:r>
      <w:r>
        <w:fldChar w:fldCharType="begin"/>
      </w:r>
      <w:r>
        <w:instrText xml:space="preserve"> PAGEREF _Toc175550358 \h </w:instrText>
      </w:r>
      <w:r>
        <w:fldChar w:fldCharType="separate"/>
      </w:r>
      <w:r w:rsidR="00DE5429">
        <w:t>21</w:t>
      </w:r>
      <w:r>
        <w:fldChar w:fldCharType="end"/>
      </w:r>
    </w:p>
    <w:p w14:paraId="06946C02" w14:textId="6E8C5ED0" w:rsidR="00D1577E" w:rsidRDefault="00D1577E">
      <w:pPr>
        <w:pStyle w:val="TOC2"/>
        <w:tabs>
          <w:tab w:val="left" w:pos="960"/>
        </w:tabs>
        <w:rPr>
          <w:rFonts w:eastAsiaTheme="minorEastAsia" w:cstheme="minorBidi"/>
          <w:kern w:val="2"/>
          <w:sz w:val="24"/>
          <w:szCs w:val="24"/>
          <w:lang w:eastAsia="en-GB"/>
          <w14:ligatures w14:val="standardContextual"/>
        </w:rPr>
      </w:pPr>
      <w:r>
        <w:lastRenderedPageBreak/>
        <w:t>3.3</w:t>
      </w:r>
      <w:r>
        <w:rPr>
          <w:rFonts w:eastAsiaTheme="minorEastAsia" w:cstheme="minorBidi"/>
          <w:kern w:val="2"/>
          <w:sz w:val="24"/>
          <w:szCs w:val="24"/>
          <w:lang w:eastAsia="en-GB"/>
          <w14:ligatures w14:val="standardContextual"/>
        </w:rPr>
        <w:tab/>
      </w:r>
      <w:r>
        <w:t>CQR key system usage scenarios</w:t>
      </w:r>
      <w:r>
        <w:tab/>
      </w:r>
      <w:r>
        <w:fldChar w:fldCharType="begin"/>
      </w:r>
      <w:r>
        <w:instrText xml:space="preserve"> PAGEREF _Toc175550359 \h </w:instrText>
      </w:r>
      <w:r>
        <w:fldChar w:fldCharType="separate"/>
      </w:r>
      <w:r w:rsidR="00DE5429">
        <w:t>25</w:t>
      </w:r>
      <w:r>
        <w:fldChar w:fldCharType="end"/>
      </w:r>
    </w:p>
    <w:p w14:paraId="07002E1F" w14:textId="13E6AF69" w:rsidR="00D1577E" w:rsidRDefault="00D1577E">
      <w:pPr>
        <w:pStyle w:val="TOC3"/>
        <w:tabs>
          <w:tab w:val="left" w:pos="1200"/>
        </w:tabs>
        <w:rPr>
          <w:rFonts w:eastAsiaTheme="minorEastAsia" w:cstheme="minorBidi"/>
          <w:iCs w:val="0"/>
          <w:kern w:val="2"/>
          <w:sz w:val="24"/>
          <w:szCs w:val="24"/>
          <w:lang w:eastAsia="en-GB"/>
          <w14:ligatures w14:val="standardContextual"/>
        </w:rPr>
      </w:pPr>
      <w:r>
        <w:t>3.3.1</w:t>
      </w:r>
      <w:r>
        <w:rPr>
          <w:rFonts w:eastAsiaTheme="minorEastAsia" w:cstheme="minorBidi"/>
          <w:iCs w:val="0"/>
          <w:kern w:val="2"/>
          <w:sz w:val="24"/>
          <w:szCs w:val="24"/>
          <w:lang w:eastAsia="en-GB"/>
          <w14:ligatures w14:val="standardContextual"/>
        </w:rPr>
        <w:tab/>
      </w:r>
      <w:r>
        <w:t>Source system adds data into CQR</w:t>
      </w:r>
      <w:r>
        <w:tab/>
      </w:r>
      <w:r>
        <w:fldChar w:fldCharType="begin"/>
      </w:r>
      <w:r>
        <w:instrText xml:space="preserve"> PAGEREF _Toc175550360 \h </w:instrText>
      </w:r>
      <w:r>
        <w:fldChar w:fldCharType="separate"/>
      </w:r>
      <w:r w:rsidR="00DE5429">
        <w:t>25</w:t>
      </w:r>
      <w:r>
        <w:fldChar w:fldCharType="end"/>
      </w:r>
    </w:p>
    <w:p w14:paraId="2CF600E1" w14:textId="2E05F6C5" w:rsidR="00D1577E" w:rsidRDefault="00D1577E">
      <w:pPr>
        <w:pStyle w:val="TOC3"/>
        <w:tabs>
          <w:tab w:val="left" w:pos="1200"/>
        </w:tabs>
        <w:rPr>
          <w:rFonts w:eastAsiaTheme="minorEastAsia" w:cstheme="minorBidi"/>
          <w:iCs w:val="0"/>
          <w:kern w:val="2"/>
          <w:sz w:val="24"/>
          <w:szCs w:val="24"/>
          <w:lang w:eastAsia="en-GB"/>
          <w14:ligatures w14:val="standardContextual"/>
        </w:rPr>
      </w:pPr>
      <w:r>
        <w:t>3.3.2</w:t>
      </w:r>
      <w:r>
        <w:rPr>
          <w:rFonts w:eastAsiaTheme="minorEastAsia" w:cstheme="minorBidi"/>
          <w:iCs w:val="0"/>
          <w:kern w:val="2"/>
          <w:sz w:val="24"/>
          <w:szCs w:val="24"/>
          <w:lang w:eastAsia="en-GB"/>
          <w14:ligatures w14:val="standardContextual"/>
        </w:rPr>
        <w:tab/>
      </w:r>
      <w:r>
        <w:t>Clinical care quality team view reports from CQR</w:t>
      </w:r>
      <w:r>
        <w:tab/>
      </w:r>
      <w:r>
        <w:fldChar w:fldCharType="begin"/>
      </w:r>
      <w:r>
        <w:instrText xml:space="preserve"> PAGEREF _Toc175550361 \h </w:instrText>
      </w:r>
      <w:r>
        <w:fldChar w:fldCharType="separate"/>
      </w:r>
      <w:r w:rsidR="00DE5429">
        <w:t>27</w:t>
      </w:r>
      <w:r>
        <w:fldChar w:fldCharType="end"/>
      </w:r>
    </w:p>
    <w:p w14:paraId="748C7241" w14:textId="55B37E4A" w:rsidR="00D1577E" w:rsidRDefault="00D1577E">
      <w:pPr>
        <w:pStyle w:val="TOC3"/>
        <w:tabs>
          <w:tab w:val="left" w:pos="1200"/>
        </w:tabs>
        <w:rPr>
          <w:rFonts w:eastAsiaTheme="minorEastAsia" w:cstheme="minorBidi"/>
          <w:iCs w:val="0"/>
          <w:kern w:val="2"/>
          <w:sz w:val="24"/>
          <w:szCs w:val="24"/>
          <w:lang w:eastAsia="en-GB"/>
          <w14:ligatures w14:val="standardContextual"/>
        </w:rPr>
      </w:pPr>
      <w:r>
        <w:t>3.3.3</w:t>
      </w:r>
      <w:r>
        <w:rPr>
          <w:rFonts w:eastAsiaTheme="minorEastAsia" w:cstheme="minorBidi"/>
          <w:iCs w:val="0"/>
          <w:kern w:val="2"/>
          <w:sz w:val="24"/>
          <w:szCs w:val="24"/>
          <w:lang w:eastAsia="en-GB"/>
          <w14:ligatures w14:val="standardContextual"/>
        </w:rPr>
        <w:tab/>
      </w:r>
      <w:r>
        <w:t>CQR sends data to other authorised CQRs</w:t>
      </w:r>
      <w:r>
        <w:tab/>
      </w:r>
      <w:r>
        <w:fldChar w:fldCharType="begin"/>
      </w:r>
      <w:r>
        <w:instrText xml:space="preserve"> PAGEREF _Toc175550362 \h </w:instrText>
      </w:r>
      <w:r>
        <w:fldChar w:fldCharType="separate"/>
      </w:r>
      <w:r w:rsidR="00DE5429">
        <w:t>28</w:t>
      </w:r>
      <w:r>
        <w:fldChar w:fldCharType="end"/>
      </w:r>
    </w:p>
    <w:p w14:paraId="4B08227F" w14:textId="5334A8EF" w:rsidR="00D1577E" w:rsidRDefault="00D1577E">
      <w:pPr>
        <w:pStyle w:val="TOC1"/>
        <w:tabs>
          <w:tab w:val="left" w:pos="442"/>
        </w:tabs>
        <w:rPr>
          <w:rFonts w:eastAsiaTheme="minorEastAsia" w:cstheme="minorBidi"/>
          <w:b w:val="0"/>
          <w:bCs w:val="0"/>
          <w:noProof/>
          <w:color w:val="auto"/>
          <w:kern w:val="2"/>
          <w:szCs w:val="24"/>
          <w:lang w:eastAsia="en-GB"/>
          <w14:ligatures w14:val="standardContextual"/>
        </w:rPr>
      </w:pPr>
      <w:r>
        <w:rPr>
          <w:noProof/>
        </w:rPr>
        <w:t>4.</w:t>
      </w:r>
      <w:r>
        <w:rPr>
          <w:rFonts w:eastAsiaTheme="minorEastAsia" w:cstheme="minorBidi"/>
          <w:b w:val="0"/>
          <w:bCs w:val="0"/>
          <w:noProof/>
          <w:color w:val="auto"/>
          <w:kern w:val="2"/>
          <w:szCs w:val="24"/>
          <w:lang w:eastAsia="en-GB"/>
          <w14:ligatures w14:val="standardContextual"/>
        </w:rPr>
        <w:tab/>
      </w:r>
      <w:r>
        <w:rPr>
          <w:noProof/>
        </w:rPr>
        <w:t>Information design</w:t>
      </w:r>
      <w:r>
        <w:rPr>
          <w:noProof/>
        </w:rPr>
        <w:tab/>
      </w:r>
      <w:r>
        <w:rPr>
          <w:noProof/>
        </w:rPr>
        <w:fldChar w:fldCharType="begin"/>
      </w:r>
      <w:r>
        <w:rPr>
          <w:noProof/>
        </w:rPr>
        <w:instrText xml:space="preserve"> PAGEREF _Toc175550363 \h </w:instrText>
      </w:r>
      <w:r>
        <w:rPr>
          <w:noProof/>
        </w:rPr>
      </w:r>
      <w:r>
        <w:rPr>
          <w:noProof/>
        </w:rPr>
        <w:fldChar w:fldCharType="separate"/>
      </w:r>
      <w:r w:rsidR="00DE5429">
        <w:rPr>
          <w:noProof/>
        </w:rPr>
        <w:t>30</w:t>
      </w:r>
      <w:r>
        <w:rPr>
          <w:noProof/>
        </w:rPr>
        <w:fldChar w:fldCharType="end"/>
      </w:r>
    </w:p>
    <w:p w14:paraId="122037C8" w14:textId="440DB74C" w:rsidR="00D1577E" w:rsidRDefault="00D1577E">
      <w:pPr>
        <w:pStyle w:val="TOC2"/>
        <w:tabs>
          <w:tab w:val="left" w:pos="960"/>
        </w:tabs>
        <w:rPr>
          <w:rFonts w:eastAsiaTheme="minorEastAsia" w:cstheme="minorBidi"/>
          <w:kern w:val="2"/>
          <w:sz w:val="24"/>
          <w:szCs w:val="24"/>
          <w:lang w:eastAsia="en-GB"/>
          <w14:ligatures w14:val="standardContextual"/>
        </w:rPr>
      </w:pPr>
      <w:r>
        <w:t>4.1</w:t>
      </w:r>
      <w:r>
        <w:rPr>
          <w:rFonts w:eastAsiaTheme="minorEastAsia" w:cstheme="minorBidi"/>
          <w:kern w:val="2"/>
          <w:sz w:val="24"/>
          <w:szCs w:val="24"/>
          <w:lang w:eastAsia="en-GB"/>
          <w14:ligatures w14:val="standardContextual"/>
        </w:rPr>
        <w:tab/>
      </w:r>
      <w:r>
        <w:t>Information data flow view</w:t>
      </w:r>
      <w:r>
        <w:tab/>
      </w:r>
      <w:r>
        <w:fldChar w:fldCharType="begin"/>
      </w:r>
      <w:r>
        <w:instrText xml:space="preserve"> PAGEREF _Toc175550364 \h </w:instrText>
      </w:r>
      <w:r>
        <w:fldChar w:fldCharType="separate"/>
      </w:r>
      <w:r w:rsidR="00DE5429">
        <w:t>30</w:t>
      </w:r>
      <w:r>
        <w:fldChar w:fldCharType="end"/>
      </w:r>
    </w:p>
    <w:p w14:paraId="7908BEBB" w14:textId="239D882B" w:rsidR="00D1577E" w:rsidRDefault="00D1577E">
      <w:pPr>
        <w:pStyle w:val="TOC2"/>
        <w:tabs>
          <w:tab w:val="left" w:pos="960"/>
        </w:tabs>
        <w:rPr>
          <w:rFonts w:eastAsiaTheme="minorEastAsia" w:cstheme="minorBidi"/>
          <w:kern w:val="2"/>
          <w:sz w:val="24"/>
          <w:szCs w:val="24"/>
          <w:lang w:eastAsia="en-GB"/>
          <w14:ligatures w14:val="standardContextual"/>
        </w:rPr>
      </w:pPr>
      <w:r>
        <w:t>4.2</w:t>
      </w:r>
      <w:r>
        <w:rPr>
          <w:rFonts w:eastAsiaTheme="minorEastAsia" w:cstheme="minorBidi"/>
          <w:kern w:val="2"/>
          <w:sz w:val="24"/>
          <w:szCs w:val="24"/>
          <w:lang w:eastAsia="en-GB"/>
          <w14:ligatures w14:val="standardContextual"/>
        </w:rPr>
        <w:tab/>
      </w:r>
      <w:r>
        <w:t>Conceptual representation of the core data</w:t>
      </w:r>
      <w:r>
        <w:tab/>
      </w:r>
      <w:r>
        <w:fldChar w:fldCharType="begin"/>
      </w:r>
      <w:r>
        <w:instrText xml:space="preserve"> PAGEREF _Toc175550365 \h </w:instrText>
      </w:r>
      <w:r>
        <w:fldChar w:fldCharType="separate"/>
      </w:r>
      <w:r w:rsidR="00DE5429">
        <w:t>34</w:t>
      </w:r>
      <w:r>
        <w:fldChar w:fldCharType="end"/>
      </w:r>
    </w:p>
    <w:p w14:paraId="5F8A0C49" w14:textId="06021998" w:rsidR="00D1577E" w:rsidRDefault="00D1577E">
      <w:pPr>
        <w:pStyle w:val="TOC3"/>
        <w:tabs>
          <w:tab w:val="left" w:pos="1200"/>
        </w:tabs>
        <w:rPr>
          <w:rFonts w:eastAsiaTheme="minorEastAsia" w:cstheme="minorBidi"/>
          <w:iCs w:val="0"/>
          <w:kern w:val="2"/>
          <w:sz w:val="24"/>
          <w:szCs w:val="24"/>
          <w:lang w:eastAsia="en-GB"/>
          <w14:ligatures w14:val="standardContextual"/>
        </w:rPr>
      </w:pPr>
      <w:r>
        <w:t>4.2.1</w:t>
      </w:r>
      <w:r>
        <w:rPr>
          <w:rFonts w:eastAsiaTheme="minorEastAsia" w:cstheme="minorBidi"/>
          <w:iCs w:val="0"/>
          <w:kern w:val="2"/>
          <w:sz w:val="24"/>
          <w:szCs w:val="24"/>
          <w:lang w:eastAsia="en-GB"/>
          <w14:ligatures w14:val="standardContextual"/>
        </w:rPr>
        <w:tab/>
      </w:r>
      <w:r>
        <w:t>Person</w:t>
      </w:r>
      <w:r>
        <w:tab/>
      </w:r>
      <w:r>
        <w:fldChar w:fldCharType="begin"/>
      </w:r>
      <w:r>
        <w:instrText xml:space="preserve"> PAGEREF _Toc175550366 \h </w:instrText>
      </w:r>
      <w:r>
        <w:fldChar w:fldCharType="separate"/>
      </w:r>
      <w:r w:rsidR="00DE5429">
        <w:t>36</w:t>
      </w:r>
      <w:r>
        <w:fldChar w:fldCharType="end"/>
      </w:r>
    </w:p>
    <w:p w14:paraId="4E062C34" w14:textId="23BD8E4F" w:rsidR="00D1577E" w:rsidRDefault="00D1577E">
      <w:pPr>
        <w:pStyle w:val="TOC3"/>
        <w:tabs>
          <w:tab w:val="left" w:pos="1200"/>
        </w:tabs>
        <w:rPr>
          <w:rFonts w:eastAsiaTheme="minorEastAsia" w:cstheme="minorBidi"/>
          <w:iCs w:val="0"/>
          <w:kern w:val="2"/>
          <w:sz w:val="24"/>
          <w:szCs w:val="24"/>
          <w:lang w:eastAsia="en-GB"/>
          <w14:ligatures w14:val="standardContextual"/>
        </w:rPr>
      </w:pPr>
      <w:r>
        <w:t>4.2.2</w:t>
      </w:r>
      <w:r>
        <w:rPr>
          <w:rFonts w:eastAsiaTheme="minorEastAsia" w:cstheme="minorBidi"/>
          <w:iCs w:val="0"/>
          <w:kern w:val="2"/>
          <w:sz w:val="24"/>
          <w:szCs w:val="24"/>
          <w:lang w:eastAsia="en-GB"/>
          <w14:ligatures w14:val="standardContextual"/>
        </w:rPr>
        <w:tab/>
      </w:r>
      <w:r>
        <w:t>Service provider organisation</w:t>
      </w:r>
      <w:r>
        <w:tab/>
      </w:r>
      <w:r>
        <w:fldChar w:fldCharType="begin"/>
      </w:r>
      <w:r>
        <w:instrText xml:space="preserve"> PAGEREF _Toc175550367 \h </w:instrText>
      </w:r>
      <w:r>
        <w:fldChar w:fldCharType="separate"/>
      </w:r>
      <w:r w:rsidR="00DE5429">
        <w:t>36</w:t>
      </w:r>
      <w:r>
        <w:fldChar w:fldCharType="end"/>
      </w:r>
    </w:p>
    <w:p w14:paraId="5DDA9F01" w14:textId="0B6EECA9" w:rsidR="00D1577E" w:rsidRDefault="00D1577E">
      <w:pPr>
        <w:pStyle w:val="TOC3"/>
        <w:tabs>
          <w:tab w:val="left" w:pos="1200"/>
        </w:tabs>
        <w:rPr>
          <w:rFonts w:eastAsiaTheme="minorEastAsia" w:cstheme="minorBidi"/>
          <w:iCs w:val="0"/>
          <w:kern w:val="2"/>
          <w:sz w:val="24"/>
          <w:szCs w:val="24"/>
          <w:lang w:eastAsia="en-GB"/>
          <w14:ligatures w14:val="standardContextual"/>
        </w:rPr>
      </w:pPr>
      <w:r>
        <w:t>4.2.3</w:t>
      </w:r>
      <w:r>
        <w:rPr>
          <w:rFonts w:eastAsiaTheme="minorEastAsia" w:cstheme="minorBidi"/>
          <w:iCs w:val="0"/>
          <w:kern w:val="2"/>
          <w:sz w:val="24"/>
          <w:szCs w:val="24"/>
          <w:lang w:eastAsia="en-GB"/>
          <w14:ligatures w14:val="standardContextual"/>
        </w:rPr>
        <w:tab/>
      </w:r>
      <w:r>
        <w:t>Health service event</w:t>
      </w:r>
      <w:r>
        <w:tab/>
      </w:r>
      <w:r>
        <w:fldChar w:fldCharType="begin"/>
      </w:r>
      <w:r>
        <w:instrText xml:space="preserve"> PAGEREF _Toc175550368 \h </w:instrText>
      </w:r>
      <w:r>
        <w:fldChar w:fldCharType="separate"/>
      </w:r>
      <w:r w:rsidR="00DE5429">
        <w:t>36</w:t>
      </w:r>
      <w:r>
        <w:fldChar w:fldCharType="end"/>
      </w:r>
    </w:p>
    <w:p w14:paraId="2712DA95" w14:textId="105529C1" w:rsidR="00D1577E" w:rsidRDefault="00D1577E">
      <w:pPr>
        <w:pStyle w:val="TOC3"/>
        <w:tabs>
          <w:tab w:val="left" w:pos="1200"/>
        </w:tabs>
        <w:rPr>
          <w:rFonts w:eastAsiaTheme="minorEastAsia" w:cstheme="minorBidi"/>
          <w:iCs w:val="0"/>
          <w:kern w:val="2"/>
          <w:sz w:val="24"/>
          <w:szCs w:val="24"/>
          <w:lang w:eastAsia="en-GB"/>
          <w14:ligatures w14:val="standardContextual"/>
        </w:rPr>
      </w:pPr>
      <w:r>
        <w:t>4.2.4</w:t>
      </w:r>
      <w:r>
        <w:rPr>
          <w:rFonts w:eastAsiaTheme="minorEastAsia" w:cstheme="minorBidi"/>
          <w:iCs w:val="0"/>
          <w:kern w:val="2"/>
          <w:sz w:val="24"/>
          <w:szCs w:val="24"/>
          <w:lang w:eastAsia="en-GB"/>
          <w14:ligatures w14:val="standardContextual"/>
        </w:rPr>
        <w:tab/>
      </w:r>
      <w:r>
        <w:t>Registry episode</w:t>
      </w:r>
      <w:r>
        <w:tab/>
      </w:r>
      <w:r>
        <w:fldChar w:fldCharType="begin"/>
      </w:r>
      <w:r>
        <w:instrText xml:space="preserve"> PAGEREF _Toc175550369 \h </w:instrText>
      </w:r>
      <w:r>
        <w:fldChar w:fldCharType="separate"/>
      </w:r>
      <w:r w:rsidR="00DE5429">
        <w:t>36</w:t>
      </w:r>
      <w:r>
        <w:fldChar w:fldCharType="end"/>
      </w:r>
    </w:p>
    <w:p w14:paraId="19584B37" w14:textId="7168963B" w:rsidR="00D1577E" w:rsidRDefault="00D1577E">
      <w:pPr>
        <w:pStyle w:val="TOC3"/>
        <w:tabs>
          <w:tab w:val="left" w:pos="1200"/>
        </w:tabs>
        <w:rPr>
          <w:rFonts w:eastAsiaTheme="minorEastAsia" w:cstheme="minorBidi"/>
          <w:iCs w:val="0"/>
          <w:kern w:val="2"/>
          <w:sz w:val="24"/>
          <w:szCs w:val="24"/>
          <w:lang w:eastAsia="en-GB"/>
          <w14:ligatures w14:val="standardContextual"/>
        </w:rPr>
      </w:pPr>
      <w:r>
        <w:t>4.2.5</w:t>
      </w:r>
      <w:r>
        <w:rPr>
          <w:rFonts w:eastAsiaTheme="minorEastAsia" w:cstheme="minorBidi"/>
          <w:iCs w:val="0"/>
          <w:kern w:val="2"/>
          <w:sz w:val="24"/>
          <w:szCs w:val="24"/>
          <w:lang w:eastAsia="en-GB"/>
          <w14:ligatures w14:val="standardContextual"/>
        </w:rPr>
        <w:tab/>
      </w:r>
      <w:r>
        <w:t>Follow-up event</w:t>
      </w:r>
      <w:r>
        <w:tab/>
      </w:r>
      <w:r>
        <w:fldChar w:fldCharType="begin"/>
      </w:r>
      <w:r>
        <w:instrText xml:space="preserve"> PAGEREF _Toc175550370 \h </w:instrText>
      </w:r>
      <w:r>
        <w:fldChar w:fldCharType="separate"/>
      </w:r>
      <w:r w:rsidR="00DE5429">
        <w:t>36</w:t>
      </w:r>
      <w:r>
        <w:fldChar w:fldCharType="end"/>
      </w:r>
    </w:p>
    <w:p w14:paraId="6B4A4296" w14:textId="58B5442C" w:rsidR="00D1577E" w:rsidRDefault="00D1577E">
      <w:pPr>
        <w:pStyle w:val="TOC3"/>
        <w:tabs>
          <w:tab w:val="left" w:pos="1200"/>
        </w:tabs>
        <w:rPr>
          <w:rFonts w:eastAsiaTheme="minorEastAsia" w:cstheme="minorBidi"/>
          <w:iCs w:val="0"/>
          <w:kern w:val="2"/>
          <w:sz w:val="24"/>
          <w:szCs w:val="24"/>
          <w:lang w:eastAsia="en-GB"/>
          <w14:ligatures w14:val="standardContextual"/>
        </w:rPr>
      </w:pPr>
      <w:r>
        <w:t>4.2.6</w:t>
      </w:r>
      <w:r>
        <w:rPr>
          <w:rFonts w:eastAsiaTheme="minorEastAsia" w:cstheme="minorBidi"/>
          <w:iCs w:val="0"/>
          <w:kern w:val="2"/>
          <w:sz w:val="24"/>
          <w:szCs w:val="24"/>
          <w:lang w:eastAsia="en-GB"/>
          <w14:ligatures w14:val="standardContextual"/>
        </w:rPr>
        <w:tab/>
      </w:r>
      <w:r>
        <w:t>CQR data subset</w:t>
      </w:r>
      <w:r>
        <w:tab/>
      </w:r>
      <w:r>
        <w:fldChar w:fldCharType="begin"/>
      </w:r>
      <w:r>
        <w:instrText xml:space="preserve"> PAGEREF _Toc175550371 \h </w:instrText>
      </w:r>
      <w:r>
        <w:fldChar w:fldCharType="separate"/>
      </w:r>
      <w:r w:rsidR="00DE5429">
        <w:t>36</w:t>
      </w:r>
      <w:r>
        <w:fldChar w:fldCharType="end"/>
      </w:r>
    </w:p>
    <w:p w14:paraId="1AE96AE2" w14:textId="0AF5F0E7" w:rsidR="00D1577E" w:rsidRDefault="00D1577E">
      <w:pPr>
        <w:pStyle w:val="TOC2"/>
        <w:tabs>
          <w:tab w:val="left" w:pos="960"/>
        </w:tabs>
        <w:rPr>
          <w:rFonts w:eastAsiaTheme="minorEastAsia" w:cstheme="minorBidi"/>
          <w:kern w:val="2"/>
          <w:sz w:val="24"/>
          <w:szCs w:val="24"/>
          <w:lang w:eastAsia="en-GB"/>
          <w14:ligatures w14:val="standardContextual"/>
        </w:rPr>
      </w:pPr>
      <w:r>
        <w:t>4.3</w:t>
      </w:r>
      <w:r>
        <w:rPr>
          <w:rFonts w:eastAsiaTheme="minorEastAsia" w:cstheme="minorBidi"/>
          <w:kern w:val="2"/>
          <w:sz w:val="24"/>
          <w:szCs w:val="24"/>
          <w:lang w:eastAsia="en-GB"/>
          <w14:ligatures w14:val="standardContextual"/>
        </w:rPr>
        <w:tab/>
      </w:r>
      <w:r>
        <w:t>Design guidelines for condition-specific data</w:t>
      </w:r>
      <w:r>
        <w:tab/>
      </w:r>
      <w:r>
        <w:fldChar w:fldCharType="begin"/>
      </w:r>
      <w:r>
        <w:instrText xml:space="preserve"> PAGEREF _Toc175550372 \h </w:instrText>
      </w:r>
      <w:r>
        <w:fldChar w:fldCharType="separate"/>
      </w:r>
      <w:r w:rsidR="00DE5429">
        <w:t>37</w:t>
      </w:r>
      <w:r>
        <w:fldChar w:fldCharType="end"/>
      </w:r>
    </w:p>
    <w:p w14:paraId="07B61348" w14:textId="40989A79" w:rsidR="00D1577E" w:rsidRDefault="00D1577E">
      <w:pPr>
        <w:pStyle w:val="TOC3"/>
        <w:tabs>
          <w:tab w:val="left" w:pos="1200"/>
        </w:tabs>
        <w:rPr>
          <w:rFonts w:eastAsiaTheme="minorEastAsia" w:cstheme="minorBidi"/>
          <w:iCs w:val="0"/>
          <w:kern w:val="2"/>
          <w:sz w:val="24"/>
          <w:szCs w:val="24"/>
          <w:lang w:eastAsia="en-GB"/>
          <w14:ligatures w14:val="standardContextual"/>
        </w:rPr>
      </w:pPr>
      <w:r>
        <w:t>4.3.1</w:t>
      </w:r>
      <w:r>
        <w:rPr>
          <w:rFonts w:eastAsiaTheme="minorEastAsia" w:cstheme="minorBidi"/>
          <w:iCs w:val="0"/>
          <w:kern w:val="2"/>
          <w:sz w:val="24"/>
          <w:szCs w:val="24"/>
          <w:lang w:eastAsia="en-GB"/>
          <w14:ligatures w14:val="standardContextual"/>
        </w:rPr>
        <w:tab/>
      </w:r>
      <w:r>
        <w:t>Logically categorising condition-specific data elements</w:t>
      </w:r>
      <w:r>
        <w:tab/>
      </w:r>
      <w:r>
        <w:fldChar w:fldCharType="begin"/>
      </w:r>
      <w:r>
        <w:instrText xml:space="preserve"> PAGEREF _Toc175550373 \h </w:instrText>
      </w:r>
      <w:r>
        <w:fldChar w:fldCharType="separate"/>
      </w:r>
      <w:r w:rsidR="00DE5429">
        <w:t>37</w:t>
      </w:r>
      <w:r>
        <w:fldChar w:fldCharType="end"/>
      </w:r>
    </w:p>
    <w:p w14:paraId="6F0E66F4" w14:textId="560C1E76" w:rsidR="00D1577E" w:rsidRDefault="00D1577E">
      <w:pPr>
        <w:pStyle w:val="TOC3"/>
        <w:tabs>
          <w:tab w:val="left" w:pos="1200"/>
        </w:tabs>
        <w:rPr>
          <w:rFonts w:eastAsiaTheme="minorEastAsia" w:cstheme="minorBidi"/>
          <w:iCs w:val="0"/>
          <w:kern w:val="2"/>
          <w:sz w:val="24"/>
          <w:szCs w:val="24"/>
          <w:lang w:eastAsia="en-GB"/>
          <w14:ligatures w14:val="standardContextual"/>
        </w:rPr>
      </w:pPr>
      <w:r>
        <w:t>4.3.2</w:t>
      </w:r>
      <w:r>
        <w:rPr>
          <w:rFonts w:eastAsiaTheme="minorEastAsia" w:cstheme="minorBidi"/>
          <w:iCs w:val="0"/>
          <w:kern w:val="2"/>
          <w:sz w:val="24"/>
          <w:szCs w:val="24"/>
          <w:lang w:eastAsia="en-GB"/>
          <w14:ligatures w14:val="standardContextual"/>
        </w:rPr>
        <w:tab/>
      </w:r>
      <w:r>
        <w:t>Linking condition-specific data elements to the core model</w:t>
      </w:r>
      <w:r>
        <w:tab/>
      </w:r>
      <w:r>
        <w:fldChar w:fldCharType="begin"/>
      </w:r>
      <w:r>
        <w:instrText xml:space="preserve"> PAGEREF _Toc175550374 \h </w:instrText>
      </w:r>
      <w:r>
        <w:fldChar w:fldCharType="separate"/>
      </w:r>
      <w:r w:rsidR="00DE5429">
        <w:t>37</w:t>
      </w:r>
      <w:r>
        <w:fldChar w:fldCharType="end"/>
      </w:r>
    </w:p>
    <w:p w14:paraId="16908884" w14:textId="634F2DF2" w:rsidR="00D1577E" w:rsidRDefault="00D1577E">
      <w:pPr>
        <w:pStyle w:val="TOC3"/>
        <w:tabs>
          <w:tab w:val="left" w:pos="1200"/>
        </w:tabs>
        <w:rPr>
          <w:rFonts w:eastAsiaTheme="minorEastAsia" w:cstheme="minorBidi"/>
          <w:iCs w:val="0"/>
          <w:kern w:val="2"/>
          <w:sz w:val="24"/>
          <w:szCs w:val="24"/>
          <w:lang w:eastAsia="en-GB"/>
          <w14:ligatures w14:val="standardContextual"/>
        </w:rPr>
      </w:pPr>
      <w:r>
        <w:t>4.3.3</w:t>
      </w:r>
      <w:r>
        <w:rPr>
          <w:rFonts w:eastAsiaTheme="minorEastAsia" w:cstheme="minorBidi"/>
          <w:iCs w:val="0"/>
          <w:kern w:val="2"/>
          <w:sz w:val="24"/>
          <w:szCs w:val="24"/>
          <w:lang w:eastAsia="en-GB"/>
          <w14:ligatures w14:val="standardContextual"/>
        </w:rPr>
        <w:tab/>
      </w:r>
      <w:r>
        <w:t>Modelling reference sets</w:t>
      </w:r>
      <w:r>
        <w:tab/>
      </w:r>
      <w:r>
        <w:fldChar w:fldCharType="begin"/>
      </w:r>
      <w:r>
        <w:instrText xml:space="preserve"> PAGEREF _Toc175550375 \h </w:instrText>
      </w:r>
      <w:r>
        <w:fldChar w:fldCharType="separate"/>
      </w:r>
      <w:r w:rsidR="00DE5429">
        <w:t>38</w:t>
      </w:r>
      <w:r>
        <w:fldChar w:fldCharType="end"/>
      </w:r>
    </w:p>
    <w:p w14:paraId="41D1FCC1" w14:textId="4B728514" w:rsidR="00D1577E" w:rsidRDefault="00D1577E">
      <w:pPr>
        <w:pStyle w:val="TOC3"/>
        <w:tabs>
          <w:tab w:val="left" w:pos="1200"/>
        </w:tabs>
        <w:rPr>
          <w:rFonts w:eastAsiaTheme="minorEastAsia" w:cstheme="minorBidi"/>
          <w:iCs w:val="0"/>
          <w:kern w:val="2"/>
          <w:sz w:val="24"/>
          <w:szCs w:val="24"/>
          <w:lang w:eastAsia="en-GB"/>
          <w14:ligatures w14:val="standardContextual"/>
        </w:rPr>
      </w:pPr>
      <w:r>
        <w:t>4.3.4</w:t>
      </w:r>
      <w:r>
        <w:rPr>
          <w:rFonts w:eastAsiaTheme="minorEastAsia" w:cstheme="minorBidi"/>
          <w:iCs w:val="0"/>
          <w:kern w:val="2"/>
          <w:sz w:val="24"/>
          <w:szCs w:val="24"/>
          <w:lang w:eastAsia="en-GB"/>
          <w14:ligatures w14:val="standardContextual"/>
        </w:rPr>
        <w:tab/>
      </w:r>
      <w:r>
        <w:t>Defining data subsets</w:t>
      </w:r>
      <w:r>
        <w:tab/>
      </w:r>
      <w:r>
        <w:fldChar w:fldCharType="begin"/>
      </w:r>
      <w:r>
        <w:instrText xml:space="preserve"> PAGEREF _Toc175550376 \h </w:instrText>
      </w:r>
      <w:r>
        <w:fldChar w:fldCharType="separate"/>
      </w:r>
      <w:r w:rsidR="00DE5429">
        <w:t>38</w:t>
      </w:r>
      <w:r>
        <w:fldChar w:fldCharType="end"/>
      </w:r>
    </w:p>
    <w:p w14:paraId="2FDA58EC" w14:textId="514EBB03" w:rsidR="00D1577E" w:rsidRDefault="00D1577E">
      <w:pPr>
        <w:pStyle w:val="TOC3"/>
        <w:tabs>
          <w:tab w:val="left" w:pos="1200"/>
        </w:tabs>
        <w:rPr>
          <w:rFonts w:eastAsiaTheme="minorEastAsia" w:cstheme="minorBidi"/>
          <w:iCs w:val="0"/>
          <w:kern w:val="2"/>
          <w:sz w:val="24"/>
          <w:szCs w:val="24"/>
          <w:lang w:eastAsia="en-GB"/>
          <w14:ligatures w14:val="standardContextual"/>
        </w:rPr>
      </w:pPr>
      <w:r>
        <w:t>4.3.5</w:t>
      </w:r>
      <w:r>
        <w:rPr>
          <w:rFonts w:eastAsiaTheme="minorEastAsia" w:cstheme="minorBidi"/>
          <w:iCs w:val="0"/>
          <w:kern w:val="2"/>
          <w:sz w:val="24"/>
          <w:szCs w:val="24"/>
          <w:lang w:eastAsia="en-GB"/>
          <w14:ligatures w14:val="standardContextual"/>
        </w:rPr>
        <w:tab/>
      </w:r>
      <w:r>
        <w:t>Formalising a data dictionary</w:t>
      </w:r>
      <w:r>
        <w:tab/>
      </w:r>
      <w:r>
        <w:fldChar w:fldCharType="begin"/>
      </w:r>
      <w:r>
        <w:instrText xml:space="preserve"> PAGEREF _Toc175550377 \h </w:instrText>
      </w:r>
      <w:r>
        <w:fldChar w:fldCharType="separate"/>
      </w:r>
      <w:r w:rsidR="00DE5429">
        <w:t>38</w:t>
      </w:r>
      <w:r>
        <w:fldChar w:fldCharType="end"/>
      </w:r>
    </w:p>
    <w:p w14:paraId="66922348" w14:textId="626C7F4E" w:rsidR="00D1577E" w:rsidRDefault="00D1577E">
      <w:pPr>
        <w:pStyle w:val="TOC1"/>
        <w:tabs>
          <w:tab w:val="left" w:pos="442"/>
        </w:tabs>
        <w:rPr>
          <w:rFonts w:eastAsiaTheme="minorEastAsia" w:cstheme="minorBidi"/>
          <w:b w:val="0"/>
          <w:bCs w:val="0"/>
          <w:noProof/>
          <w:color w:val="auto"/>
          <w:kern w:val="2"/>
          <w:szCs w:val="24"/>
          <w:lang w:eastAsia="en-GB"/>
          <w14:ligatures w14:val="standardContextual"/>
        </w:rPr>
      </w:pPr>
      <w:r>
        <w:rPr>
          <w:noProof/>
        </w:rPr>
        <w:t>5.</w:t>
      </w:r>
      <w:r>
        <w:rPr>
          <w:rFonts w:eastAsiaTheme="minorEastAsia" w:cstheme="minorBidi"/>
          <w:b w:val="0"/>
          <w:bCs w:val="0"/>
          <w:noProof/>
          <w:color w:val="auto"/>
          <w:kern w:val="2"/>
          <w:szCs w:val="24"/>
          <w:lang w:eastAsia="en-GB"/>
          <w14:ligatures w14:val="standardContextual"/>
        </w:rPr>
        <w:tab/>
      </w:r>
      <w:r>
        <w:rPr>
          <w:noProof/>
        </w:rPr>
        <w:t>Definitions, acronyms and abbreviations</w:t>
      </w:r>
      <w:r>
        <w:rPr>
          <w:noProof/>
        </w:rPr>
        <w:tab/>
      </w:r>
      <w:r>
        <w:rPr>
          <w:noProof/>
        </w:rPr>
        <w:fldChar w:fldCharType="begin"/>
      </w:r>
      <w:r>
        <w:rPr>
          <w:noProof/>
        </w:rPr>
        <w:instrText xml:space="preserve"> PAGEREF _Toc175550378 \h </w:instrText>
      </w:r>
      <w:r>
        <w:rPr>
          <w:noProof/>
        </w:rPr>
      </w:r>
      <w:r>
        <w:rPr>
          <w:noProof/>
        </w:rPr>
        <w:fldChar w:fldCharType="separate"/>
      </w:r>
      <w:r w:rsidR="00DE5429">
        <w:rPr>
          <w:noProof/>
        </w:rPr>
        <w:t>39</w:t>
      </w:r>
      <w:r>
        <w:rPr>
          <w:noProof/>
        </w:rPr>
        <w:fldChar w:fldCharType="end"/>
      </w:r>
    </w:p>
    <w:p w14:paraId="0F608149" w14:textId="3DB6779E" w:rsidR="00D1577E" w:rsidRDefault="00D1577E">
      <w:pPr>
        <w:pStyle w:val="TOC1"/>
        <w:tabs>
          <w:tab w:val="left" w:pos="442"/>
        </w:tabs>
        <w:rPr>
          <w:rFonts w:eastAsiaTheme="minorEastAsia" w:cstheme="minorBidi"/>
          <w:b w:val="0"/>
          <w:bCs w:val="0"/>
          <w:noProof/>
          <w:color w:val="auto"/>
          <w:kern w:val="2"/>
          <w:szCs w:val="24"/>
          <w:lang w:eastAsia="en-GB"/>
          <w14:ligatures w14:val="standardContextual"/>
        </w:rPr>
      </w:pPr>
      <w:r>
        <w:rPr>
          <w:noProof/>
        </w:rPr>
        <w:t>6.</w:t>
      </w:r>
      <w:r>
        <w:rPr>
          <w:rFonts w:eastAsiaTheme="minorEastAsia" w:cstheme="minorBidi"/>
          <w:b w:val="0"/>
          <w:bCs w:val="0"/>
          <w:noProof/>
          <w:color w:val="auto"/>
          <w:kern w:val="2"/>
          <w:szCs w:val="24"/>
          <w:lang w:eastAsia="en-GB"/>
          <w14:ligatures w14:val="standardContextual"/>
        </w:rPr>
        <w:tab/>
      </w:r>
      <w:r>
        <w:rPr>
          <w:noProof/>
        </w:rPr>
        <w:t>Software industry standards and common information model</w:t>
      </w:r>
      <w:r>
        <w:rPr>
          <w:noProof/>
        </w:rPr>
        <w:tab/>
      </w:r>
      <w:r>
        <w:rPr>
          <w:noProof/>
        </w:rPr>
        <w:fldChar w:fldCharType="begin"/>
      </w:r>
      <w:r>
        <w:rPr>
          <w:noProof/>
        </w:rPr>
        <w:instrText xml:space="preserve"> PAGEREF _Toc175550379 \h </w:instrText>
      </w:r>
      <w:r>
        <w:rPr>
          <w:noProof/>
        </w:rPr>
      </w:r>
      <w:r>
        <w:rPr>
          <w:noProof/>
        </w:rPr>
        <w:fldChar w:fldCharType="separate"/>
      </w:r>
      <w:r w:rsidR="00DE5429">
        <w:rPr>
          <w:noProof/>
        </w:rPr>
        <w:t>43</w:t>
      </w:r>
      <w:r>
        <w:rPr>
          <w:noProof/>
        </w:rPr>
        <w:fldChar w:fldCharType="end"/>
      </w:r>
    </w:p>
    <w:p w14:paraId="044C983A" w14:textId="563E72EF" w:rsidR="00D1577E" w:rsidRDefault="00D1577E">
      <w:pPr>
        <w:pStyle w:val="TOC2"/>
        <w:tabs>
          <w:tab w:val="left" w:pos="960"/>
        </w:tabs>
        <w:rPr>
          <w:rFonts w:eastAsiaTheme="minorEastAsia" w:cstheme="minorBidi"/>
          <w:kern w:val="2"/>
          <w:sz w:val="24"/>
          <w:szCs w:val="24"/>
          <w:lang w:eastAsia="en-GB"/>
          <w14:ligatures w14:val="standardContextual"/>
        </w:rPr>
      </w:pPr>
      <w:r>
        <w:t>6.1</w:t>
      </w:r>
      <w:r>
        <w:rPr>
          <w:rFonts w:eastAsiaTheme="minorEastAsia" w:cstheme="minorBidi"/>
          <w:kern w:val="2"/>
          <w:sz w:val="24"/>
          <w:szCs w:val="24"/>
          <w:lang w:eastAsia="en-GB"/>
          <w14:ligatures w14:val="standardContextual"/>
        </w:rPr>
        <w:tab/>
      </w:r>
      <w:r>
        <w:t>Standards</w:t>
      </w:r>
      <w:r>
        <w:tab/>
      </w:r>
      <w:r>
        <w:fldChar w:fldCharType="begin"/>
      </w:r>
      <w:r>
        <w:instrText xml:space="preserve"> PAGEREF _Toc175550380 \h </w:instrText>
      </w:r>
      <w:r>
        <w:fldChar w:fldCharType="separate"/>
      </w:r>
      <w:r w:rsidR="00DE5429">
        <w:t>43</w:t>
      </w:r>
      <w:r>
        <w:fldChar w:fldCharType="end"/>
      </w:r>
    </w:p>
    <w:p w14:paraId="0978A039" w14:textId="178329EE" w:rsidR="00D1577E" w:rsidRDefault="00D1577E">
      <w:pPr>
        <w:pStyle w:val="TOC3"/>
        <w:tabs>
          <w:tab w:val="left" w:pos="1200"/>
        </w:tabs>
        <w:rPr>
          <w:rFonts w:eastAsiaTheme="minorEastAsia" w:cstheme="minorBidi"/>
          <w:iCs w:val="0"/>
          <w:kern w:val="2"/>
          <w:sz w:val="24"/>
          <w:szCs w:val="24"/>
          <w:lang w:eastAsia="en-GB"/>
          <w14:ligatures w14:val="standardContextual"/>
        </w:rPr>
      </w:pPr>
      <w:r>
        <w:t>6.1.1</w:t>
      </w:r>
      <w:r>
        <w:rPr>
          <w:rFonts w:eastAsiaTheme="minorEastAsia" w:cstheme="minorBidi"/>
          <w:iCs w:val="0"/>
          <w:kern w:val="2"/>
          <w:sz w:val="24"/>
          <w:szCs w:val="24"/>
          <w:lang w:eastAsia="en-GB"/>
          <w14:ligatures w14:val="standardContextual"/>
        </w:rPr>
        <w:tab/>
      </w:r>
      <w:r>
        <w:t>Interoperability and Clinical Communications</w:t>
      </w:r>
      <w:r>
        <w:tab/>
      </w:r>
      <w:r>
        <w:fldChar w:fldCharType="begin"/>
      </w:r>
      <w:r>
        <w:instrText xml:space="preserve"> PAGEREF _Toc175550381 \h </w:instrText>
      </w:r>
      <w:r>
        <w:fldChar w:fldCharType="separate"/>
      </w:r>
      <w:r w:rsidR="00DE5429">
        <w:t>43</w:t>
      </w:r>
      <w:r>
        <w:fldChar w:fldCharType="end"/>
      </w:r>
    </w:p>
    <w:p w14:paraId="73A75231" w14:textId="0ADF4DBA" w:rsidR="00D1577E" w:rsidRDefault="00D1577E">
      <w:pPr>
        <w:pStyle w:val="TOC3"/>
        <w:tabs>
          <w:tab w:val="left" w:pos="1200"/>
        </w:tabs>
        <w:rPr>
          <w:rFonts w:eastAsiaTheme="minorEastAsia" w:cstheme="minorBidi"/>
          <w:iCs w:val="0"/>
          <w:kern w:val="2"/>
          <w:sz w:val="24"/>
          <w:szCs w:val="24"/>
          <w:lang w:eastAsia="en-GB"/>
          <w14:ligatures w14:val="standardContextual"/>
        </w:rPr>
      </w:pPr>
      <w:r>
        <w:t>6.1.2</w:t>
      </w:r>
      <w:r>
        <w:rPr>
          <w:rFonts w:eastAsiaTheme="minorEastAsia" w:cstheme="minorBidi"/>
          <w:iCs w:val="0"/>
          <w:kern w:val="2"/>
          <w:sz w:val="24"/>
          <w:szCs w:val="24"/>
          <w:lang w:eastAsia="en-GB"/>
          <w14:ligatures w14:val="standardContextual"/>
        </w:rPr>
        <w:tab/>
      </w:r>
      <w:r>
        <w:t>Unique Healthcare Identifiers</w:t>
      </w:r>
      <w:r>
        <w:tab/>
      </w:r>
      <w:r>
        <w:fldChar w:fldCharType="begin"/>
      </w:r>
      <w:r>
        <w:instrText xml:space="preserve"> PAGEREF _Toc175550382 \h </w:instrText>
      </w:r>
      <w:r>
        <w:fldChar w:fldCharType="separate"/>
      </w:r>
      <w:r w:rsidR="00DE5429">
        <w:t>43</w:t>
      </w:r>
      <w:r>
        <w:fldChar w:fldCharType="end"/>
      </w:r>
    </w:p>
    <w:p w14:paraId="7509176F" w14:textId="56DBB941" w:rsidR="00D1577E" w:rsidRDefault="00D1577E">
      <w:pPr>
        <w:pStyle w:val="TOC3"/>
        <w:tabs>
          <w:tab w:val="left" w:pos="1200"/>
        </w:tabs>
        <w:rPr>
          <w:rFonts w:eastAsiaTheme="minorEastAsia" w:cstheme="minorBidi"/>
          <w:iCs w:val="0"/>
          <w:kern w:val="2"/>
          <w:sz w:val="24"/>
          <w:szCs w:val="24"/>
          <w:lang w:eastAsia="en-GB"/>
          <w14:ligatures w14:val="standardContextual"/>
        </w:rPr>
      </w:pPr>
      <w:r>
        <w:t>6.1.3</w:t>
      </w:r>
      <w:r>
        <w:rPr>
          <w:rFonts w:eastAsiaTheme="minorEastAsia" w:cstheme="minorBidi"/>
          <w:iCs w:val="0"/>
          <w:kern w:val="2"/>
          <w:sz w:val="24"/>
          <w:szCs w:val="24"/>
          <w:lang w:eastAsia="en-GB"/>
          <w14:ligatures w14:val="standardContextual"/>
        </w:rPr>
        <w:tab/>
      </w:r>
      <w:r>
        <w:t>Identity management</w:t>
      </w:r>
      <w:r>
        <w:tab/>
      </w:r>
      <w:r>
        <w:fldChar w:fldCharType="begin"/>
      </w:r>
      <w:r>
        <w:instrText xml:space="preserve"> PAGEREF _Toc175550383 \h </w:instrText>
      </w:r>
      <w:r>
        <w:fldChar w:fldCharType="separate"/>
      </w:r>
      <w:r w:rsidR="00DE5429">
        <w:t>44</w:t>
      </w:r>
      <w:r>
        <w:fldChar w:fldCharType="end"/>
      </w:r>
    </w:p>
    <w:p w14:paraId="78D50444" w14:textId="3FD0390D" w:rsidR="00D1577E" w:rsidRDefault="00D1577E">
      <w:pPr>
        <w:pStyle w:val="TOC3"/>
        <w:tabs>
          <w:tab w:val="left" w:pos="1200"/>
        </w:tabs>
        <w:rPr>
          <w:rFonts w:eastAsiaTheme="minorEastAsia" w:cstheme="minorBidi"/>
          <w:iCs w:val="0"/>
          <w:kern w:val="2"/>
          <w:sz w:val="24"/>
          <w:szCs w:val="24"/>
          <w:lang w:eastAsia="en-GB"/>
          <w14:ligatures w14:val="standardContextual"/>
        </w:rPr>
      </w:pPr>
      <w:r>
        <w:t>6.1.4</w:t>
      </w:r>
      <w:r>
        <w:rPr>
          <w:rFonts w:eastAsiaTheme="minorEastAsia" w:cstheme="minorBidi"/>
          <w:iCs w:val="0"/>
          <w:kern w:val="2"/>
          <w:sz w:val="24"/>
          <w:szCs w:val="24"/>
          <w:lang w:eastAsia="en-GB"/>
          <w14:ligatures w14:val="standardContextual"/>
        </w:rPr>
        <w:tab/>
      </w:r>
      <w:r>
        <w:t>Secure messaging</w:t>
      </w:r>
      <w:r>
        <w:tab/>
      </w:r>
      <w:r>
        <w:fldChar w:fldCharType="begin"/>
      </w:r>
      <w:r>
        <w:instrText xml:space="preserve"> PAGEREF _Toc175550384 \h </w:instrText>
      </w:r>
      <w:r>
        <w:fldChar w:fldCharType="separate"/>
      </w:r>
      <w:r w:rsidR="00DE5429">
        <w:t>44</w:t>
      </w:r>
      <w:r>
        <w:fldChar w:fldCharType="end"/>
      </w:r>
    </w:p>
    <w:p w14:paraId="1F11AA27" w14:textId="7DD4FD8D" w:rsidR="00D1577E" w:rsidRDefault="00D1577E">
      <w:pPr>
        <w:pStyle w:val="TOC2"/>
        <w:tabs>
          <w:tab w:val="left" w:pos="960"/>
        </w:tabs>
        <w:rPr>
          <w:rFonts w:eastAsiaTheme="minorEastAsia" w:cstheme="minorBidi"/>
          <w:kern w:val="2"/>
          <w:sz w:val="24"/>
          <w:szCs w:val="24"/>
          <w:lang w:eastAsia="en-GB"/>
          <w14:ligatures w14:val="standardContextual"/>
        </w:rPr>
      </w:pPr>
      <w:r>
        <w:t>6.2</w:t>
      </w:r>
      <w:r>
        <w:rPr>
          <w:rFonts w:eastAsiaTheme="minorEastAsia" w:cstheme="minorBidi"/>
          <w:kern w:val="2"/>
          <w:sz w:val="24"/>
          <w:szCs w:val="24"/>
          <w:lang w:eastAsia="en-GB"/>
          <w14:ligatures w14:val="standardContextual"/>
        </w:rPr>
        <w:tab/>
      </w:r>
      <w:r>
        <w:t>Core information model data dictionary</w:t>
      </w:r>
      <w:r>
        <w:tab/>
      </w:r>
      <w:r>
        <w:fldChar w:fldCharType="begin"/>
      </w:r>
      <w:r>
        <w:instrText xml:space="preserve"> PAGEREF _Toc175550385 \h </w:instrText>
      </w:r>
      <w:r>
        <w:fldChar w:fldCharType="separate"/>
      </w:r>
      <w:r w:rsidR="00DE5429">
        <w:t>44</w:t>
      </w:r>
      <w:r>
        <w:fldChar w:fldCharType="end"/>
      </w:r>
    </w:p>
    <w:p w14:paraId="03B960FB" w14:textId="526A6C01" w:rsidR="00D1577E" w:rsidRDefault="00D1577E">
      <w:pPr>
        <w:pStyle w:val="TOC3"/>
        <w:tabs>
          <w:tab w:val="left" w:pos="1200"/>
        </w:tabs>
        <w:rPr>
          <w:rFonts w:eastAsiaTheme="minorEastAsia" w:cstheme="minorBidi"/>
          <w:iCs w:val="0"/>
          <w:kern w:val="2"/>
          <w:sz w:val="24"/>
          <w:szCs w:val="24"/>
          <w:lang w:eastAsia="en-GB"/>
          <w14:ligatures w14:val="standardContextual"/>
        </w:rPr>
      </w:pPr>
      <w:r>
        <w:t>6.2.1</w:t>
      </w:r>
      <w:r>
        <w:rPr>
          <w:rFonts w:eastAsiaTheme="minorEastAsia" w:cstheme="minorBidi"/>
          <w:iCs w:val="0"/>
          <w:kern w:val="2"/>
          <w:sz w:val="24"/>
          <w:szCs w:val="24"/>
          <w:lang w:eastAsia="en-GB"/>
          <w14:ligatures w14:val="standardContextual"/>
        </w:rPr>
        <w:tab/>
      </w:r>
      <w:r>
        <w:t>Data item index</w:t>
      </w:r>
      <w:r>
        <w:tab/>
      </w:r>
      <w:r>
        <w:fldChar w:fldCharType="begin"/>
      </w:r>
      <w:r>
        <w:instrText xml:space="preserve"> PAGEREF _Toc175550386 \h </w:instrText>
      </w:r>
      <w:r>
        <w:fldChar w:fldCharType="separate"/>
      </w:r>
      <w:r w:rsidR="00DE5429">
        <w:t>44</w:t>
      </w:r>
      <w:r>
        <w:fldChar w:fldCharType="end"/>
      </w:r>
    </w:p>
    <w:p w14:paraId="79CA233E" w14:textId="37DEEB26" w:rsidR="00D1577E" w:rsidRDefault="00D1577E">
      <w:pPr>
        <w:pStyle w:val="TOC2"/>
        <w:tabs>
          <w:tab w:val="left" w:pos="960"/>
        </w:tabs>
        <w:rPr>
          <w:rFonts w:eastAsiaTheme="minorEastAsia" w:cstheme="minorBidi"/>
          <w:kern w:val="2"/>
          <w:sz w:val="24"/>
          <w:szCs w:val="24"/>
          <w:lang w:eastAsia="en-GB"/>
          <w14:ligatures w14:val="standardContextual"/>
        </w:rPr>
      </w:pPr>
      <w:r>
        <w:t>6.3</w:t>
      </w:r>
      <w:r>
        <w:rPr>
          <w:rFonts w:eastAsiaTheme="minorEastAsia" w:cstheme="minorBidi"/>
          <w:kern w:val="2"/>
          <w:sz w:val="24"/>
          <w:szCs w:val="24"/>
          <w:lang w:eastAsia="en-GB"/>
          <w14:ligatures w14:val="standardContextual"/>
        </w:rPr>
        <w:tab/>
      </w:r>
      <w:r>
        <w:t>Data dictionary</w:t>
      </w:r>
      <w:r>
        <w:tab/>
      </w:r>
      <w:r>
        <w:fldChar w:fldCharType="begin"/>
      </w:r>
      <w:r>
        <w:instrText xml:space="preserve"> PAGEREF _Toc175550387 \h </w:instrText>
      </w:r>
      <w:r>
        <w:fldChar w:fldCharType="separate"/>
      </w:r>
      <w:r w:rsidR="00DE5429">
        <w:t>46</w:t>
      </w:r>
      <w:r>
        <w:fldChar w:fldCharType="end"/>
      </w:r>
    </w:p>
    <w:p w14:paraId="5AB70C37" w14:textId="78D2C48F" w:rsidR="00D1577E" w:rsidRDefault="00D1577E">
      <w:pPr>
        <w:pStyle w:val="TOC3"/>
        <w:tabs>
          <w:tab w:val="left" w:pos="1200"/>
        </w:tabs>
        <w:rPr>
          <w:rFonts w:eastAsiaTheme="minorEastAsia" w:cstheme="minorBidi"/>
          <w:iCs w:val="0"/>
          <w:kern w:val="2"/>
          <w:sz w:val="24"/>
          <w:szCs w:val="24"/>
          <w:lang w:eastAsia="en-GB"/>
          <w14:ligatures w14:val="standardContextual"/>
        </w:rPr>
      </w:pPr>
      <w:r>
        <w:t>6.3.1</w:t>
      </w:r>
      <w:r>
        <w:rPr>
          <w:rFonts w:eastAsiaTheme="minorEastAsia" w:cstheme="minorBidi"/>
          <w:iCs w:val="0"/>
          <w:kern w:val="2"/>
          <w:sz w:val="24"/>
          <w:szCs w:val="24"/>
          <w:lang w:eastAsia="en-GB"/>
          <w14:ligatures w14:val="standardContextual"/>
        </w:rPr>
        <w:tab/>
      </w:r>
      <w:r>
        <w:t>CQR data subset instance</w:t>
      </w:r>
      <w:r>
        <w:tab/>
      </w:r>
      <w:r>
        <w:fldChar w:fldCharType="begin"/>
      </w:r>
      <w:r>
        <w:instrText xml:space="preserve"> PAGEREF _Toc175550388 \h </w:instrText>
      </w:r>
      <w:r>
        <w:fldChar w:fldCharType="separate"/>
      </w:r>
      <w:r w:rsidR="00DE5429">
        <w:t>46</w:t>
      </w:r>
      <w:r>
        <w:fldChar w:fldCharType="end"/>
      </w:r>
    </w:p>
    <w:p w14:paraId="3B5C7C36" w14:textId="440AA717" w:rsidR="00D1577E" w:rsidRDefault="00D1577E">
      <w:pPr>
        <w:pStyle w:val="TOC3"/>
        <w:tabs>
          <w:tab w:val="left" w:pos="1200"/>
        </w:tabs>
        <w:rPr>
          <w:rFonts w:eastAsiaTheme="minorEastAsia" w:cstheme="minorBidi"/>
          <w:iCs w:val="0"/>
          <w:kern w:val="2"/>
          <w:sz w:val="24"/>
          <w:szCs w:val="24"/>
          <w:lang w:eastAsia="en-GB"/>
          <w14:ligatures w14:val="standardContextual"/>
        </w:rPr>
      </w:pPr>
      <w:r>
        <w:t>6.3.2</w:t>
      </w:r>
      <w:r>
        <w:rPr>
          <w:rFonts w:eastAsiaTheme="minorEastAsia" w:cstheme="minorBidi"/>
          <w:iCs w:val="0"/>
          <w:kern w:val="2"/>
          <w:sz w:val="24"/>
          <w:szCs w:val="24"/>
          <w:lang w:eastAsia="en-GB"/>
          <w14:ligatures w14:val="standardContextual"/>
        </w:rPr>
        <w:tab/>
      </w:r>
      <w:r>
        <w:t>CQR data subset instance – completion date</w:t>
      </w:r>
      <w:r>
        <w:tab/>
      </w:r>
      <w:r>
        <w:fldChar w:fldCharType="begin"/>
      </w:r>
      <w:r>
        <w:instrText xml:space="preserve"> PAGEREF _Toc175550389 \h </w:instrText>
      </w:r>
      <w:r>
        <w:fldChar w:fldCharType="separate"/>
      </w:r>
      <w:r w:rsidR="00DE5429">
        <w:t>46</w:t>
      </w:r>
      <w:r>
        <w:fldChar w:fldCharType="end"/>
      </w:r>
    </w:p>
    <w:p w14:paraId="66160279" w14:textId="402C111A" w:rsidR="00D1577E" w:rsidRDefault="00D1577E">
      <w:pPr>
        <w:pStyle w:val="TOC3"/>
        <w:tabs>
          <w:tab w:val="left" w:pos="1200"/>
        </w:tabs>
        <w:rPr>
          <w:rFonts w:eastAsiaTheme="minorEastAsia" w:cstheme="minorBidi"/>
          <w:iCs w:val="0"/>
          <w:kern w:val="2"/>
          <w:sz w:val="24"/>
          <w:szCs w:val="24"/>
          <w:lang w:eastAsia="en-GB"/>
          <w14:ligatures w14:val="standardContextual"/>
        </w:rPr>
      </w:pPr>
      <w:r>
        <w:t>6.3.3</w:t>
      </w:r>
      <w:r>
        <w:rPr>
          <w:rFonts w:eastAsiaTheme="minorEastAsia" w:cstheme="minorBidi"/>
          <w:iCs w:val="0"/>
          <w:kern w:val="2"/>
          <w:sz w:val="24"/>
          <w:szCs w:val="24"/>
          <w:lang w:eastAsia="en-GB"/>
          <w14:ligatures w14:val="standardContextual"/>
        </w:rPr>
        <w:tab/>
      </w:r>
      <w:r>
        <w:t>CQR data subset instance – completed by</w:t>
      </w:r>
      <w:r>
        <w:tab/>
      </w:r>
      <w:r>
        <w:fldChar w:fldCharType="begin"/>
      </w:r>
      <w:r>
        <w:instrText xml:space="preserve"> PAGEREF _Toc175550390 \h </w:instrText>
      </w:r>
      <w:r>
        <w:fldChar w:fldCharType="separate"/>
      </w:r>
      <w:r w:rsidR="00DE5429">
        <w:t>46</w:t>
      </w:r>
      <w:r>
        <w:fldChar w:fldCharType="end"/>
      </w:r>
    </w:p>
    <w:p w14:paraId="7569DA82" w14:textId="047177EE" w:rsidR="00D1577E" w:rsidRDefault="00D1577E">
      <w:pPr>
        <w:pStyle w:val="TOC3"/>
        <w:tabs>
          <w:tab w:val="left" w:pos="1200"/>
        </w:tabs>
        <w:rPr>
          <w:rFonts w:eastAsiaTheme="minorEastAsia" w:cstheme="minorBidi"/>
          <w:iCs w:val="0"/>
          <w:kern w:val="2"/>
          <w:sz w:val="24"/>
          <w:szCs w:val="24"/>
          <w:lang w:eastAsia="en-GB"/>
          <w14:ligatures w14:val="standardContextual"/>
        </w:rPr>
      </w:pPr>
      <w:r>
        <w:t>6.3.4</w:t>
      </w:r>
      <w:r>
        <w:rPr>
          <w:rFonts w:eastAsiaTheme="minorEastAsia" w:cstheme="minorBidi"/>
          <w:iCs w:val="0"/>
          <w:kern w:val="2"/>
          <w:sz w:val="24"/>
          <w:szCs w:val="24"/>
          <w:lang w:eastAsia="en-GB"/>
          <w14:ligatures w14:val="standardContextual"/>
        </w:rPr>
        <w:tab/>
      </w:r>
      <w:r>
        <w:t>Follow-up event</w:t>
      </w:r>
      <w:r>
        <w:tab/>
      </w:r>
      <w:r>
        <w:fldChar w:fldCharType="begin"/>
      </w:r>
      <w:r>
        <w:instrText xml:space="preserve"> PAGEREF _Toc175550391 \h </w:instrText>
      </w:r>
      <w:r>
        <w:fldChar w:fldCharType="separate"/>
      </w:r>
      <w:r w:rsidR="00DE5429">
        <w:t>47</w:t>
      </w:r>
      <w:r>
        <w:fldChar w:fldCharType="end"/>
      </w:r>
    </w:p>
    <w:p w14:paraId="78F0A569" w14:textId="369E688C" w:rsidR="00D1577E" w:rsidRDefault="00D1577E">
      <w:pPr>
        <w:pStyle w:val="TOC3"/>
        <w:tabs>
          <w:tab w:val="left" w:pos="1200"/>
        </w:tabs>
        <w:rPr>
          <w:rFonts w:eastAsiaTheme="minorEastAsia" w:cstheme="minorBidi"/>
          <w:iCs w:val="0"/>
          <w:kern w:val="2"/>
          <w:sz w:val="24"/>
          <w:szCs w:val="24"/>
          <w:lang w:eastAsia="en-GB"/>
          <w14:ligatures w14:val="standardContextual"/>
        </w:rPr>
      </w:pPr>
      <w:r>
        <w:t>6.3.5</w:t>
      </w:r>
      <w:r>
        <w:rPr>
          <w:rFonts w:eastAsiaTheme="minorEastAsia" w:cstheme="minorBidi"/>
          <w:iCs w:val="0"/>
          <w:kern w:val="2"/>
          <w:sz w:val="24"/>
          <w:szCs w:val="24"/>
          <w:lang w:eastAsia="en-GB"/>
          <w14:ligatures w14:val="standardContextual"/>
        </w:rPr>
        <w:tab/>
      </w:r>
      <w:r>
        <w:t>Follow-up event – date</w:t>
      </w:r>
      <w:r>
        <w:tab/>
      </w:r>
      <w:r>
        <w:fldChar w:fldCharType="begin"/>
      </w:r>
      <w:r>
        <w:instrText xml:space="preserve"> PAGEREF _Toc175550392 \h </w:instrText>
      </w:r>
      <w:r>
        <w:fldChar w:fldCharType="separate"/>
      </w:r>
      <w:r w:rsidR="00DE5429">
        <w:t>47</w:t>
      </w:r>
      <w:r>
        <w:fldChar w:fldCharType="end"/>
      </w:r>
    </w:p>
    <w:p w14:paraId="43069479" w14:textId="67E09E68" w:rsidR="00D1577E" w:rsidRDefault="00D1577E">
      <w:pPr>
        <w:pStyle w:val="TOC3"/>
        <w:tabs>
          <w:tab w:val="left" w:pos="1200"/>
        </w:tabs>
        <w:rPr>
          <w:rFonts w:eastAsiaTheme="minorEastAsia" w:cstheme="minorBidi"/>
          <w:iCs w:val="0"/>
          <w:kern w:val="2"/>
          <w:sz w:val="24"/>
          <w:szCs w:val="24"/>
          <w:lang w:eastAsia="en-GB"/>
          <w14:ligatures w14:val="standardContextual"/>
        </w:rPr>
      </w:pPr>
      <w:r>
        <w:t>6.3.6</w:t>
      </w:r>
      <w:r>
        <w:rPr>
          <w:rFonts w:eastAsiaTheme="minorEastAsia" w:cstheme="minorBidi"/>
          <w:iCs w:val="0"/>
          <w:kern w:val="2"/>
          <w:sz w:val="24"/>
          <w:szCs w:val="24"/>
          <w:lang w:eastAsia="en-GB"/>
          <w14:ligatures w14:val="standardContextual"/>
        </w:rPr>
        <w:tab/>
      </w:r>
      <w:r>
        <w:t>Follow-up event – record completion status</w:t>
      </w:r>
      <w:r>
        <w:tab/>
      </w:r>
      <w:r>
        <w:fldChar w:fldCharType="begin"/>
      </w:r>
      <w:r>
        <w:instrText xml:space="preserve"> PAGEREF _Toc175550393 \h </w:instrText>
      </w:r>
      <w:r>
        <w:fldChar w:fldCharType="separate"/>
      </w:r>
      <w:r w:rsidR="00DE5429">
        <w:t>48</w:t>
      </w:r>
      <w:r>
        <w:fldChar w:fldCharType="end"/>
      </w:r>
    </w:p>
    <w:p w14:paraId="6E7AAC03" w14:textId="751CED9A" w:rsidR="00D1577E" w:rsidRDefault="00D1577E">
      <w:pPr>
        <w:pStyle w:val="TOC3"/>
        <w:tabs>
          <w:tab w:val="left" w:pos="1200"/>
        </w:tabs>
        <w:rPr>
          <w:rFonts w:eastAsiaTheme="minorEastAsia" w:cstheme="minorBidi"/>
          <w:iCs w:val="0"/>
          <w:kern w:val="2"/>
          <w:sz w:val="24"/>
          <w:szCs w:val="24"/>
          <w:lang w:eastAsia="en-GB"/>
          <w14:ligatures w14:val="standardContextual"/>
        </w:rPr>
      </w:pPr>
      <w:r>
        <w:t>6.3.7</w:t>
      </w:r>
      <w:r>
        <w:rPr>
          <w:rFonts w:eastAsiaTheme="minorEastAsia" w:cstheme="minorBidi"/>
          <w:iCs w:val="0"/>
          <w:kern w:val="2"/>
          <w:sz w:val="24"/>
          <w:szCs w:val="24"/>
          <w:lang w:eastAsia="en-GB"/>
          <w14:ligatures w14:val="standardContextual"/>
        </w:rPr>
        <w:tab/>
      </w:r>
      <w:r>
        <w:t>Health service event</w:t>
      </w:r>
      <w:r>
        <w:tab/>
      </w:r>
      <w:r>
        <w:fldChar w:fldCharType="begin"/>
      </w:r>
      <w:r>
        <w:instrText xml:space="preserve"> PAGEREF _Toc175550394 \h </w:instrText>
      </w:r>
      <w:r>
        <w:fldChar w:fldCharType="separate"/>
      </w:r>
      <w:r w:rsidR="00DE5429">
        <w:t>48</w:t>
      </w:r>
      <w:r>
        <w:fldChar w:fldCharType="end"/>
      </w:r>
    </w:p>
    <w:p w14:paraId="7325E8EC" w14:textId="702BC6B6" w:rsidR="00D1577E" w:rsidRDefault="00D1577E">
      <w:pPr>
        <w:pStyle w:val="TOC3"/>
        <w:tabs>
          <w:tab w:val="left" w:pos="1200"/>
        </w:tabs>
        <w:rPr>
          <w:rFonts w:eastAsiaTheme="minorEastAsia" w:cstheme="minorBidi"/>
          <w:iCs w:val="0"/>
          <w:kern w:val="2"/>
          <w:sz w:val="24"/>
          <w:szCs w:val="24"/>
          <w:lang w:eastAsia="en-GB"/>
          <w14:ligatures w14:val="standardContextual"/>
        </w:rPr>
      </w:pPr>
      <w:r>
        <w:t>6.3.8</w:t>
      </w:r>
      <w:r>
        <w:rPr>
          <w:rFonts w:eastAsiaTheme="minorEastAsia" w:cstheme="minorBidi"/>
          <w:iCs w:val="0"/>
          <w:kern w:val="2"/>
          <w:sz w:val="24"/>
          <w:szCs w:val="24"/>
          <w:lang w:eastAsia="en-GB"/>
          <w14:ligatures w14:val="standardContextual"/>
        </w:rPr>
        <w:tab/>
      </w:r>
      <w:r>
        <w:t>Health service event – presentation date</w:t>
      </w:r>
      <w:r>
        <w:tab/>
      </w:r>
      <w:r>
        <w:fldChar w:fldCharType="begin"/>
      </w:r>
      <w:r>
        <w:instrText xml:space="preserve"> PAGEREF _Toc175550395 \h </w:instrText>
      </w:r>
      <w:r>
        <w:fldChar w:fldCharType="separate"/>
      </w:r>
      <w:r w:rsidR="00DE5429">
        <w:t>48</w:t>
      </w:r>
      <w:r>
        <w:fldChar w:fldCharType="end"/>
      </w:r>
    </w:p>
    <w:p w14:paraId="10658CEA" w14:textId="0C04F515" w:rsidR="00D1577E" w:rsidRDefault="00D1577E">
      <w:pPr>
        <w:pStyle w:val="TOC3"/>
        <w:tabs>
          <w:tab w:val="left" w:pos="1200"/>
        </w:tabs>
        <w:rPr>
          <w:rFonts w:eastAsiaTheme="minorEastAsia" w:cstheme="minorBidi"/>
          <w:iCs w:val="0"/>
          <w:kern w:val="2"/>
          <w:sz w:val="24"/>
          <w:szCs w:val="24"/>
          <w:lang w:eastAsia="en-GB"/>
          <w14:ligatures w14:val="standardContextual"/>
        </w:rPr>
      </w:pPr>
      <w:r>
        <w:lastRenderedPageBreak/>
        <w:t>6.3.9</w:t>
      </w:r>
      <w:r>
        <w:rPr>
          <w:rFonts w:eastAsiaTheme="minorEastAsia" w:cstheme="minorBidi"/>
          <w:iCs w:val="0"/>
          <w:kern w:val="2"/>
          <w:sz w:val="24"/>
          <w:szCs w:val="24"/>
          <w:lang w:eastAsia="en-GB"/>
          <w14:ligatures w14:val="standardContextual"/>
        </w:rPr>
        <w:tab/>
      </w:r>
      <w:r>
        <w:t>Health service event – record completion status</w:t>
      </w:r>
      <w:r>
        <w:tab/>
      </w:r>
      <w:r>
        <w:fldChar w:fldCharType="begin"/>
      </w:r>
      <w:r>
        <w:instrText xml:space="preserve"> PAGEREF _Toc175550396 \h </w:instrText>
      </w:r>
      <w:r>
        <w:fldChar w:fldCharType="separate"/>
      </w:r>
      <w:r w:rsidR="00DE5429">
        <w:t>48</w:t>
      </w:r>
      <w:r>
        <w:fldChar w:fldCharType="end"/>
      </w:r>
    </w:p>
    <w:p w14:paraId="22DBA522" w14:textId="2BC00726" w:rsidR="00D1577E" w:rsidRDefault="00D1577E">
      <w:pPr>
        <w:pStyle w:val="TOC3"/>
        <w:rPr>
          <w:rFonts w:eastAsiaTheme="minorEastAsia" w:cstheme="minorBidi"/>
          <w:iCs w:val="0"/>
          <w:kern w:val="2"/>
          <w:sz w:val="24"/>
          <w:szCs w:val="24"/>
          <w:lang w:eastAsia="en-GB"/>
          <w14:ligatures w14:val="standardContextual"/>
        </w:rPr>
      </w:pPr>
      <w:r>
        <w:t>6.3.10 Patient</w:t>
      </w:r>
      <w:r>
        <w:tab/>
      </w:r>
      <w:r>
        <w:fldChar w:fldCharType="begin"/>
      </w:r>
      <w:r>
        <w:instrText xml:space="preserve"> PAGEREF _Toc175550397 \h </w:instrText>
      </w:r>
      <w:r>
        <w:fldChar w:fldCharType="separate"/>
      </w:r>
      <w:r w:rsidR="00DE5429">
        <w:t>49</w:t>
      </w:r>
      <w:r>
        <w:fldChar w:fldCharType="end"/>
      </w:r>
    </w:p>
    <w:p w14:paraId="5F5ABEB3" w14:textId="076C4106" w:rsidR="00D1577E" w:rsidRDefault="00D1577E">
      <w:pPr>
        <w:pStyle w:val="TOC3"/>
        <w:rPr>
          <w:rFonts w:eastAsiaTheme="minorEastAsia" w:cstheme="minorBidi"/>
          <w:iCs w:val="0"/>
          <w:kern w:val="2"/>
          <w:sz w:val="24"/>
          <w:szCs w:val="24"/>
          <w:lang w:eastAsia="en-GB"/>
          <w14:ligatures w14:val="standardContextual"/>
        </w:rPr>
      </w:pPr>
      <w:r>
        <w:t>6.3.11 Patient – diagnosis date</w:t>
      </w:r>
      <w:r>
        <w:tab/>
      </w:r>
      <w:r>
        <w:fldChar w:fldCharType="begin"/>
      </w:r>
      <w:r>
        <w:instrText xml:space="preserve"> PAGEREF _Toc175550398 \h </w:instrText>
      </w:r>
      <w:r>
        <w:fldChar w:fldCharType="separate"/>
      </w:r>
      <w:r w:rsidR="00DE5429">
        <w:t>49</w:t>
      </w:r>
      <w:r>
        <w:fldChar w:fldCharType="end"/>
      </w:r>
    </w:p>
    <w:p w14:paraId="3752BF75" w14:textId="3543EBA0" w:rsidR="00D1577E" w:rsidRDefault="00D1577E">
      <w:pPr>
        <w:pStyle w:val="TOC3"/>
        <w:rPr>
          <w:rFonts w:eastAsiaTheme="minorEastAsia" w:cstheme="minorBidi"/>
          <w:iCs w:val="0"/>
          <w:kern w:val="2"/>
          <w:sz w:val="24"/>
          <w:szCs w:val="24"/>
          <w:lang w:eastAsia="en-GB"/>
          <w14:ligatures w14:val="standardContextual"/>
        </w:rPr>
      </w:pPr>
      <w:r>
        <w:t>6.3.12 Patient – informed of participation</w:t>
      </w:r>
      <w:r>
        <w:tab/>
      </w:r>
      <w:r>
        <w:fldChar w:fldCharType="begin"/>
      </w:r>
      <w:r>
        <w:instrText xml:space="preserve"> PAGEREF _Toc175550399 \h </w:instrText>
      </w:r>
      <w:r>
        <w:fldChar w:fldCharType="separate"/>
      </w:r>
      <w:r w:rsidR="00DE5429">
        <w:t>49</w:t>
      </w:r>
      <w:r>
        <w:fldChar w:fldCharType="end"/>
      </w:r>
    </w:p>
    <w:p w14:paraId="7C87AA97" w14:textId="3897B7D8" w:rsidR="00D1577E" w:rsidRDefault="00D1577E">
      <w:pPr>
        <w:pStyle w:val="TOC3"/>
        <w:rPr>
          <w:rFonts w:eastAsiaTheme="minorEastAsia" w:cstheme="minorBidi"/>
          <w:iCs w:val="0"/>
          <w:kern w:val="2"/>
          <w:sz w:val="24"/>
          <w:szCs w:val="24"/>
          <w:lang w:eastAsia="en-GB"/>
          <w14:ligatures w14:val="standardContextual"/>
        </w:rPr>
      </w:pPr>
      <w:r>
        <w:t>6.3.13 Patient – opt-out date</w:t>
      </w:r>
      <w:r>
        <w:tab/>
      </w:r>
      <w:r>
        <w:fldChar w:fldCharType="begin"/>
      </w:r>
      <w:r>
        <w:instrText xml:space="preserve"> PAGEREF _Toc175550400 \h </w:instrText>
      </w:r>
      <w:r>
        <w:fldChar w:fldCharType="separate"/>
      </w:r>
      <w:r w:rsidR="00DE5429">
        <w:t>50</w:t>
      </w:r>
      <w:r>
        <w:fldChar w:fldCharType="end"/>
      </w:r>
    </w:p>
    <w:p w14:paraId="7BA860CE" w14:textId="2CBBFC1A" w:rsidR="00D1577E" w:rsidRDefault="00D1577E">
      <w:pPr>
        <w:pStyle w:val="TOC3"/>
        <w:rPr>
          <w:rFonts w:eastAsiaTheme="minorEastAsia" w:cstheme="minorBidi"/>
          <w:iCs w:val="0"/>
          <w:kern w:val="2"/>
          <w:sz w:val="24"/>
          <w:szCs w:val="24"/>
          <w:lang w:eastAsia="en-GB"/>
          <w14:ligatures w14:val="standardContextual"/>
        </w:rPr>
      </w:pPr>
      <w:r>
        <w:t>6.3.14 Patient – principal diagnosis</w:t>
      </w:r>
      <w:r>
        <w:tab/>
      </w:r>
      <w:r>
        <w:fldChar w:fldCharType="begin"/>
      </w:r>
      <w:r>
        <w:instrText xml:space="preserve"> PAGEREF _Toc175550401 \h </w:instrText>
      </w:r>
      <w:r>
        <w:fldChar w:fldCharType="separate"/>
      </w:r>
      <w:r w:rsidR="00DE5429">
        <w:t>50</w:t>
      </w:r>
      <w:r>
        <w:fldChar w:fldCharType="end"/>
      </w:r>
    </w:p>
    <w:p w14:paraId="0596CC14" w14:textId="5912225B" w:rsidR="00D1577E" w:rsidRDefault="00D1577E">
      <w:pPr>
        <w:pStyle w:val="TOC3"/>
        <w:rPr>
          <w:rFonts w:eastAsiaTheme="minorEastAsia" w:cstheme="minorBidi"/>
          <w:iCs w:val="0"/>
          <w:kern w:val="2"/>
          <w:sz w:val="24"/>
          <w:szCs w:val="24"/>
          <w:lang w:eastAsia="en-GB"/>
          <w14:ligatures w14:val="standardContextual"/>
        </w:rPr>
      </w:pPr>
      <w:r>
        <w:t>6.3.15 Person</w:t>
      </w:r>
      <w:r>
        <w:tab/>
      </w:r>
      <w:r>
        <w:fldChar w:fldCharType="begin"/>
      </w:r>
      <w:r>
        <w:instrText xml:space="preserve"> PAGEREF _Toc175550402 \h </w:instrText>
      </w:r>
      <w:r>
        <w:fldChar w:fldCharType="separate"/>
      </w:r>
      <w:r w:rsidR="00DE5429">
        <w:t>51</w:t>
      </w:r>
      <w:r>
        <w:fldChar w:fldCharType="end"/>
      </w:r>
    </w:p>
    <w:p w14:paraId="051FDDE1" w14:textId="124AEA34" w:rsidR="00D1577E" w:rsidRDefault="00D1577E">
      <w:pPr>
        <w:pStyle w:val="TOC3"/>
        <w:rPr>
          <w:rFonts w:eastAsiaTheme="minorEastAsia" w:cstheme="minorBidi"/>
          <w:iCs w:val="0"/>
          <w:kern w:val="2"/>
          <w:sz w:val="24"/>
          <w:szCs w:val="24"/>
          <w:lang w:eastAsia="en-GB"/>
          <w14:ligatures w14:val="standardContextual"/>
        </w:rPr>
      </w:pPr>
      <w:r>
        <w:t>6.3.16 Person – age</w:t>
      </w:r>
      <w:r>
        <w:tab/>
      </w:r>
      <w:r>
        <w:fldChar w:fldCharType="begin"/>
      </w:r>
      <w:r>
        <w:instrText xml:space="preserve"> PAGEREF _Toc175550403 \h </w:instrText>
      </w:r>
      <w:r>
        <w:fldChar w:fldCharType="separate"/>
      </w:r>
      <w:r w:rsidR="00DE5429">
        <w:t>51</w:t>
      </w:r>
      <w:r>
        <w:fldChar w:fldCharType="end"/>
      </w:r>
    </w:p>
    <w:p w14:paraId="328FC693" w14:textId="4077E96E" w:rsidR="00D1577E" w:rsidRDefault="00D1577E">
      <w:pPr>
        <w:pStyle w:val="TOC3"/>
        <w:rPr>
          <w:rFonts w:eastAsiaTheme="minorEastAsia" w:cstheme="minorBidi"/>
          <w:iCs w:val="0"/>
          <w:kern w:val="2"/>
          <w:sz w:val="24"/>
          <w:szCs w:val="24"/>
          <w:lang w:eastAsia="en-GB"/>
          <w14:ligatures w14:val="standardContextual"/>
        </w:rPr>
      </w:pPr>
      <w:r>
        <w:t>6.3.17 Person – country of birth</w:t>
      </w:r>
      <w:r>
        <w:tab/>
      </w:r>
      <w:r>
        <w:fldChar w:fldCharType="begin"/>
      </w:r>
      <w:r>
        <w:instrText xml:space="preserve"> PAGEREF _Toc175550404 \h </w:instrText>
      </w:r>
      <w:r>
        <w:fldChar w:fldCharType="separate"/>
      </w:r>
      <w:r w:rsidR="00DE5429">
        <w:t>51</w:t>
      </w:r>
      <w:r>
        <w:fldChar w:fldCharType="end"/>
      </w:r>
    </w:p>
    <w:p w14:paraId="50C1B3F7" w14:textId="4A23CD16" w:rsidR="00D1577E" w:rsidRDefault="00D1577E">
      <w:pPr>
        <w:pStyle w:val="TOC3"/>
        <w:rPr>
          <w:rFonts w:eastAsiaTheme="minorEastAsia" w:cstheme="minorBidi"/>
          <w:iCs w:val="0"/>
          <w:kern w:val="2"/>
          <w:sz w:val="24"/>
          <w:szCs w:val="24"/>
          <w:lang w:eastAsia="en-GB"/>
          <w14:ligatures w14:val="standardContextual"/>
        </w:rPr>
      </w:pPr>
      <w:r>
        <w:t>6.3.18 Person – date of birth</w:t>
      </w:r>
      <w:r>
        <w:tab/>
      </w:r>
      <w:r>
        <w:fldChar w:fldCharType="begin"/>
      </w:r>
      <w:r>
        <w:instrText xml:space="preserve"> PAGEREF _Toc175550405 \h </w:instrText>
      </w:r>
      <w:r>
        <w:fldChar w:fldCharType="separate"/>
      </w:r>
      <w:r w:rsidR="00DE5429">
        <w:t>52</w:t>
      </w:r>
      <w:r>
        <w:fldChar w:fldCharType="end"/>
      </w:r>
    </w:p>
    <w:p w14:paraId="3221FE45" w14:textId="6D563F0A" w:rsidR="00D1577E" w:rsidRDefault="00D1577E">
      <w:pPr>
        <w:pStyle w:val="TOC3"/>
        <w:rPr>
          <w:rFonts w:eastAsiaTheme="minorEastAsia" w:cstheme="minorBidi"/>
          <w:iCs w:val="0"/>
          <w:kern w:val="2"/>
          <w:sz w:val="24"/>
          <w:szCs w:val="24"/>
          <w:lang w:eastAsia="en-GB"/>
          <w14:ligatures w14:val="standardContextual"/>
        </w:rPr>
      </w:pPr>
      <w:r>
        <w:t>6.3.19 Person – date of death</w:t>
      </w:r>
      <w:r>
        <w:tab/>
      </w:r>
      <w:r>
        <w:fldChar w:fldCharType="begin"/>
      </w:r>
      <w:r>
        <w:instrText xml:space="preserve"> PAGEREF _Toc175550406 \h </w:instrText>
      </w:r>
      <w:r>
        <w:fldChar w:fldCharType="separate"/>
      </w:r>
      <w:r w:rsidR="00DE5429">
        <w:t>52</w:t>
      </w:r>
      <w:r>
        <w:fldChar w:fldCharType="end"/>
      </w:r>
    </w:p>
    <w:p w14:paraId="5D247A5A" w14:textId="1A8E740C" w:rsidR="00D1577E" w:rsidRDefault="00D1577E">
      <w:pPr>
        <w:pStyle w:val="TOC3"/>
        <w:rPr>
          <w:rFonts w:eastAsiaTheme="minorEastAsia" w:cstheme="minorBidi"/>
          <w:iCs w:val="0"/>
          <w:kern w:val="2"/>
          <w:sz w:val="24"/>
          <w:szCs w:val="24"/>
          <w:lang w:eastAsia="en-GB"/>
          <w14:ligatures w14:val="standardContextual"/>
        </w:rPr>
      </w:pPr>
      <w:r>
        <w:t>6.3.20 Person – Indigenous status</w:t>
      </w:r>
      <w:r>
        <w:tab/>
      </w:r>
      <w:r>
        <w:fldChar w:fldCharType="begin"/>
      </w:r>
      <w:r>
        <w:instrText xml:space="preserve"> PAGEREF _Toc175550407 \h </w:instrText>
      </w:r>
      <w:r>
        <w:fldChar w:fldCharType="separate"/>
      </w:r>
      <w:r w:rsidR="00DE5429">
        <w:t>52</w:t>
      </w:r>
      <w:r>
        <w:fldChar w:fldCharType="end"/>
      </w:r>
    </w:p>
    <w:p w14:paraId="5B76AE01" w14:textId="2C4E864C" w:rsidR="00D1577E" w:rsidRDefault="00D1577E">
      <w:pPr>
        <w:pStyle w:val="TOC3"/>
        <w:rPr>
          <w:rFonts w:eastAsiaTheme="minorEastAsia" w:cstheme="minorBidi"/>
          <w:iCs w:val="0"/>
          <w:kern w:val="2"/>
          <w:sz w:val="24"/>
          <w:szCs w:val="24"/>
          <w:lang w:eastAsia="en-GB"/>
          <w14:ligatures w14:val="standardContextual"/>
        </w:rPr>
      </w:pPr>
      <w:r>
        <w:t>6.3.21 Person – Australian Statistical Geography Standard – SA1 code</w:t>
      </w:r>
      <w:r>
        <w:tab/>
      </w:r>
      <w:r>
        <w:fldChar w:fldCharType="begin"/>
      </w:r>
      <w:r>
        <w:instrText xml:space="preserve"> PAGEREF _Toc175550408 \h </w:instrText>
      </w:r>
      <w:r>
        <w:fldChar w:fldCharType="separate"/>
      </w:r>
      <w:r w:rsidR="00DE5429">
        <w:t>52</w:t>
      </w:r>
      <w:r>
        <w:fldChar w:fldCharType="end"/>
      </w:r>
    </w:p>
    <w:p w14:paraId="72FE37FF" w14:textId="46D1E07F" w:rsidR="00D1577E" w:rsidRDefault="00D1577E">
      <w:pPr>
        <w:pStyle w:val="TOC3"/>
        <w:rPr>
          <w:rFonts w:eastAsiaTheme="minorEastAsia" w:cstheme="minorBidi"/>
          <w:iCs w:val="0"/>
          <w:kern w:val="2"/>
          <w:sz w:val="24"/>
          <w:szCs w:val="24"/>
          <w:lang w:eastAsia="en-GB"/>
          <w14:ligatures w14:val="standardContextual"/>
        </w:rPr>
      </w:pPr>
      <w:r>
        <w:t>6.3.22 Person – person identifier</w:t>
      </w:r>
      <w:r>
        <w:tab/>
      </w:r>
      <w:r>
        <w:fldChar w:fldCharType="begin"/>
      </w:r>
      <w:r>
        <w:instrText xml:space="preserve"> PAGEREF _Toc175550409 \h </w:instrText>
      </w:r>
      <w:r>
        <w:fldChar w:fldCharType="separate"/>
      </w:r>
      <w:r w:rsidR="00DE5429">
        <w:t>53</w:t>
      </w:r>
      <w:r>
        <w:fldChar w:fldCharType="end"/>
      </w:r>
    </w:p>
    <w:p w14:paraId="1DB73776" w14:textId="5C421D6B" w:rsidR="00D1577E" w:rsidRDefault="00D1577E">
      <w:pPr>
        <w:pStyle w:val="TOC3"/>
        <w:rPr>
          <w:rFonts w:eastAsiaTheme="minorEastAsia" w:cstheme="minorBidi"/>
          <w:iCs w:val="0"/>
          <w:kern w:val="2"/>
          <w:sz w:val="24"/>
          <w:szCs w:val="24"/>
          <w:lang w:eastAsia="en-GB"/>
          <w14:ligatures w14:val="standardContextual"/>
        </w:rPr>
      </w:pPr>
      <w:r>
        <w:t>6.3.23 Person – sex</w:t>
      </w:r>
      <w:r>
        <w:tab/>
      </w:r>
      <w:r>
        <w:fldChar w:fldCharType="begin"/>
      </w:r>
      <w:r>
        <w:instrText xml:space="preserve"> PAGEREF _Toc175550410 \h </w:instrText>
      </w:r>
      <w:r>
        <w:fldChar w:fldCharType="separate"/>
      </w:r>
      <w:r w:rsidR="00DE5429">
        <w:t>53</w:t>
      </w:r>
      <w:r>
        <w:fldChar w:fldCharType="end"/>
      </w:r>
    </w:p>
    <w:p w14:paraId="18D76D15" w14:textId="1FBABFD8" w:rsidR="00D1577E" w:rsidRDefault="00D1577E">
      <w:pPr>
        <w:pStyle w:val="TOC3"/>
        <w:rPr>
          <w:rFonts w:eastAsiaTheme="minorEastAsia" w:cstheme="minorBidi"/>
          <w:iCs w:val="0"/>
          <w:kern w:val="2"/>
          <w:sz w:val="24"/>
          <w:szCs w:val="24"/>
          <w:lang w:eastAsia="en-GB"/>
          <w14:ligatures w14:val="standardContextual"/>
        </w:rPr>
      </w:pPr>
      <w:r>
        <w:t>6.3.24 Person (address) – Australian postcode</w:t>
      </w:r>
      <w:r>
        <w:tab/>
      </w:r>
      <w:r>
        <w:fldChar w:fldCharType="begin"/>
      </w:r>
      <w:r>
        <w:instrText xml:space="preserve"> PAGEREF _Toc175550411 \h </w:instrText>
      </w:r>
      <w:r>
        <w:fldChar w:fldCharType="separate"/>
      </w:r>
      <w:r w:rsidR="00DE5429">
        <w:t>53</w:t>
      </w:r>
      <w:r>
        <w:fldChar w:fldCharType="end"/>
      </w:r>
    </w:p>
    <w:p w14:paraId="1B806F7C" w14:textId="77A497F5" w:rsidR="00D1577E" w:rsidRDefault="00D1577E">
      <w:pPr>
        <w:pStyle w:val="TOC3"/>
        <w:rPr>
          <w:rFonts w:eastAsiaTheme="minorEastAsia" w:cstheme="minorBidi"/>
          <w:iCs w:val="0"/>
          <w:kern w:val="2"/>
          <w:sz w:val="24"/>
          <w:szCs w:val="24"/>
          <w:lang w:eastAsia="en-GB"/>
          <w14:ligatures w14:val="standardContextual"/>
        </w:rPr>
      </w:pPr>
      <w:r>
        <w:t>6.3.25 Person (name) – family name</w:t>
      </w:r>
      <w:r>
        <w:tab/>
      </w:r>
      <w:r>
        <w:fldChar w:fldCharType="begin"/>
      </w:r>
      <w:r>
        <w:instrText xml:space="preserve"> PAGEREF _Toc175550412 \h </w:instrText>
      </w:r>
      <w:r>
        <w:fldChar w:fldCharType="separate"/>
      </w:r>
      <w:r w:rsidR="00DE5429">
        <w:t>53</w:t>
      </w:r>
      <w:r>
        <w:fldChar w:fldCharType="end"/>
      </w:r>
    </w:p>
    <w:p w14:paraId="2941AC02" w14:textId="7A5A091E" w:rsidR="00D1577E" w:rsidRDefault="00D1577E">
      <w:pPr>
        <w:pStyle w:val="TOC3"/>
        <w:rPr>
          <w:rFonts w:eastAsiaTheme="minorEastAsia" w:cstheme="minorBidi"/>
          <w:iCs w:val="0"/>
          <w:kern w:val="2"/>
          <w:sz w:val="24"/>
          <w:szCs w:val="24"/>
          <w:lang w:eastAsia="en-GB"/>
          <w14:ligatures w14:val="standardContextual"/>
        </w:rPr>
      </w:pPr>
      <w:r>
        <w:t>6.3.26 Person (name) – given name</w:t>
      </w:r>
      <w:r>
        <w:tab/>
      </w:r>
      <w:r>
        <w:fldChar w:fldCharType="begin"/>
      </w:r>
      <w:r>
        <w:instrText xml:space="preserve"> PAGEREF _Toc175550413 \h </w:instrText>
      </w:r>
      <w:r>
        <w:fldChar w:fldCharType="separate"/>
      </w:r>
      <w:r w:rsidR="00DE5429">
        <w:t>54</w:t>
      </w:r>
      <w:r>
        <w:fldChar w:fldCharType="end"/>
      </w:r>
    </w:p>
    <w:p w14:paraId="577098E6" w14:textId="494E5CFF" w:rsidR="00D1577E" w:rsidRDefault="00D1577E">
      <w:pPr>
        <w:pStyle w:val="TOC3"/>
        <w:rPr>
          <w:rFonts w:eastAsiaTheme="minorEastAsia" w:cstheme="minorBidi"/>
          <w:iCs w:val="0"/>
          <w:kern w:val="2"/>
          <w:sz w:val="24"/>
          <w:szCs w:val="24"/>
          <w:lang w:eastAsia="en-GB"/>
          <w14:ligatures w14:val="standardContextual"/>
        </w:rPr>
      </w:pPr>
      <w:r>
        <w:t>6.3.27 Registry episode</w:t>
      </w:r>
      <w:r>
        <w:tab/>
      </w:r>
      <w:r>
        <w:fldChar w:fldCharType="begin"/>
      </w:r>
      <w:r>
        <w:instrText xml:space="preserve"> PAGEREF _Toc175550414 \h </w:instrText>
      </w:r>
      <w:r>
        <w:fldChar w:fldCharType="separate"/>
      </w:r>
      <w:r w:rsidR="00DE5429">
        <w:t>54</w:t>
      </w:r>
      <w:r>
        <w:fldChar w:fldCharType="end"/>
      </w:r>
    </w:p>
    <w:p w14:paraId="15A69709" w14:textId="1C253584" w:rsidR="00D1577E" w:rsidRDefault="00D1577E">
      <w:pPr>
        <w:pStyle w:val="TOC3"/>
        <w:rPr>
          <w:rFonts w:eastAsiaTheme="minorEastAsia" w:cstheme="minorBidi"/>
          <w:iCs w:val="0"/>
          <w:kern w:val="2"/>
          <w:sz w:val="24"/>
          <w:szCs w:val="24"/>
          <w:lang w:eastAsia="en-GB"/>
          <w14:ligatures w14:val="standardContextual"/>
        </w:rPr>
      </w:pPr>
      <w:r>
        <w:t>6.3.28 Registry episode – opt-out date</w:t>
      </w:r>
      <w:r>
        <w:tab/>
      </w:r>
      <w:r>
        <w:fldChar w:fldCharType="begin"/>
      </w:r>
      <w:r>
        <w:instrText xml:space="preserve"> PAGEREF _Toc175550415 \h </w:instrText>
      </w:r>
      <w:r>
        <w:fldChar w:fldCharType="separate"/>
      </w:r>
      <w:r w:rsidR="00DE5429">
        <w:t>54</w:t>
      </w:r>
      <w:r>
        <w:fldChar w:fldCharType="end"/>
      </w:r>
    </w:p>
    <w:p w14:paraId="32FCE1D4" w14:textId="63D161A6" w:rsidR="00D1577E" w:rsidRDefault="00D1577E">
      <w:pPr>
        <w:pStyle w:val="TOC3"/>
        <w:rPr>
          <w:rFonts w:eastAsiaTheme="minorEastAsia" w:cstheme="minorBidi"/>
          <w:iCs w:val="0"/>
          <w:kern w:val="2"/>
          <w:sz w:val="24"/>
          <w:szCs w:val="24"/>
          <w:lang w:eastAsia="en-GB"/>
          <w14:ligatures w14:val="standardContextual"/>
        </w:rPr>
      </w:pPr>
      <w:r>
        <w:t>6.3.29 Service provider organisation</w:t>
      </w:r>
      <w:r>
        <w:tab/>
      </w:r>
      <w:r>
        <w:fldChar w:fldCharType="begin"/>
      </w:r>
      <w:r>
        <w:instrText xml:space="preserve"> PAGEREF _Toc175550416 \h </w:instrText>
      </w:r>
      <w:r>
        <w:fldChar w:fldCharType="separate"/>
      </w:r>
      <w:r w:rsidR="00DE5429">
        <w:t>54</w:t>
      </w:r>
      <w:r>
        <w:fldChar w:fldCharType="end"/>
      </w:r>
    </w:p>
    <w:p w14:paraId="2A704647" w14:textId="681F6D2D" w:rsidR="00D1577E" w:rsidRDefault="00D1577E">
      <w:pPr>
        <w:pStyle w:val="TOC3"/>
        <w:rPr>
          <w:rFonts w:eastAsiaTheme="minorEastAsia" w:cstheme="minorBidi"/>
          <w:iCs w:val="0"/>
          <w:kern w:val="2"/>
          <w:sz w:val="24"/>
          <w:szCs w:val="24"/>
          <w:lang w:eastAsia="en-GB"/>
          <w14:ligatures w14:val="standardContextual"/>
        </w:rPr>
      </w:pPr>
      <w:r>
        <w:t>6.3.30 Service provider organisation (name) – organisation name</w:t>
      </w:r>
      <w:r>
        <w:tab/>
      </w:r>
      <w:r>
        <w:fldChar w:fldCharType="begin"/>
      </w:r>
      <w:r>
        <w:instrText xml:space="preserve"> PAGEREF _Toc175550417 \h </w:instrText>
      </w:r>
      <w:r>
        <w:fldChar w:fldCharType="separate"/>
      </w:r>
      <w:r w:rsidR="00DE5429">
        <w:t>55</w:t>
      </w:r>
      <w:r>
        <w:fldChar w:fldCharType="end"/>
      </w:r>
    </w:p>
    <w:p w14:paraId="3044D77A" w14:textId="22C4FAA5" w:rsidR="00D1577E" w:rsidRDefault="00D1577E">
      <w:pPr>
        <w:pStyle w:val="TOC3"/>
        <w:rPr>
          <w:rFonts w:eastAsiaTheme="minorEastAsia" w:cstheme="minorBidi"/>
          <w:iCs w:val="0"/>
          <w:kern w:val="2"/>
          <w:sz w:val="24"/>
          <w:szCs w:val="24"/>
          <w:lang w:eastAsia="en-GB"/>
          <w14:ligatures w14:val="standardContextual"/>
        </w:rPr>
      </w:pPr>
      <w:r>
        <w:t>6.3.31 Service provider organisation (name) – organisation identifier</w:t>
      </w:r>
      <w:r>
        <w:tab/>
      </w:r>
      <w:r>
        <w:fldChar w:fldCharType="begin"/>
      </w:r>
      <w:r>
        <w:instrText xml:space="preserve"> PAGEREF _Toc175550418 \h </w:instrText>
      </w:r>
      <w:r>
        <w:fldChar w:fldCharType="separate"/>
      </w:r>
      <w:r w:rsidR="00DE5429">
        <w:t>55</w:t>
      </w:r>
      <w:r>
        <w:fldChar w:fldCharType="end"/>
      </w:r>
    </w:p>
    <w:p w14:paraId="5C0B3A50" w14:textId="4603B332" w:rsidR="00D1577E" w:rsidRDefault="00D1577E">
      <w:pPr>
        <w:pStyle w:val="TOC1"/>
        <w:rPr>
          <w:rFonts w:eastAsiaTheme="minorEastAsia" w:cstheme="minorBidi"/>
          <w:b w:val="0"/>
          <w:bCs w:val="0"/>
          <w:noProof/>
          <w:color w:val="auto"/>
          <w:kern w:val="2"/>
          <w:szCs w:val="24"/>
          <w:lang w:eastAsia="en-GB"/>
          <w14:ligatures w14:val="standardContextual"/>
        </w:rPr>
      </w:pPr>
      <w:r>
        <w:rPr>
          <w:noProof/>
        </w:rPr>
        <w:t>Appendix A: Detailed requirements traceability matrix</w:t>
      </w:r>
      <w:r>
        <w:rPr>
          <w:noProof/>
        </w:rPr>
        <w:tab/>
      </w:r>
      <w:r>
        <w:rPr>
          <w:noProof/>
        </w:rPr>
        <w:fldChar w:fldCharType="begin"/>
      </w:r>
      <w:r>
        <w:rPr>
          <w:noProof/>
        </w:rPr>
        <w:instrText xml:space="preserve"> PAGEREF _Toc175550419 \h </w:instrText>
      </w:r>
      <w:r>
        <w:rPr>
          <w:noProof/>
        </w:rPr>
      </w:r>
      <w:r>
        <w:rPr>
          <w:noProof/>
        </w:rPr>
        <w:fldChar w:fldCharType="separate"/>
      </w:r>
      <w:r w:rsidR="00DE5429">
        <w:rPr>
          <w:noProof/>
        </w:rPr>
        <w:t>56</w:t>
      </w:r>
      <w:r>
        <w:rPr>
          <w:noProof/>
        </w:rPr>
        <w:fldChar w:fldCharType="end"/>
      </w:r>
    </w:p>
    <w:p w14:paraId="35C8E47B" w14:textId="39D420E9" w:rsidR="00D1577E" w:rsidRDefault="00D1577E">
      <w:pPr>
        <w:pStyle w:val="TOC1"/>
        <w:rPr>
          <w:rFonts w:eastAsiaTheme="minorEastAsia" w:cstheme="minorBidi"/>
          <w:b w:val="0"/>
          <w:bCs w:val="0"/>
          <w:noProof/>
          <w:color w:val="auto"/>
          <w:kern w:val="2"/>
          <w:szCs w:val="24"/>
          <w:lang w:eastAsia="en-GB"/>
          <w14:ligatures w14:val="standardContextual"/>
        </w:rPr>
      </w:pPr>
      <w:r>
        <w:rPr>
          <w:noProof/>
        </w:rPr>
        <w:t>Appendix B: Detailed requirements specification</w:t>
      </w:r>
      <w:r>
        <w:rPr>
          <w:noProof/>
        </w:rPr>
        <w:tab/>
      </w:r>
      <w:r>
        <w:rPr>
          <w:noProof/>
        </w:rPr>
        <w:fldChar w:fldCharType="begin"/>
      </w:r>
      <w:r>
        <w:rPr>
          <w:noProof/>
        </w:rPr>
        <w:instrText xml:space="preserve"> PAGEREF _Toc175550420 \h </w:instrText>
      </w:r>
      <w:r>
        <w:rPr>
          <w:noProof/>
        </w:rPr>
      </w:r>
      <w:r>
        <w:rPr>
          <w:noProof/>
        </w:rPr>
        <w:fldChar w:fldCharType="separate"/>
      </w:r>
      <w:r w:rsidR="00DE5429">
        <w:rPr>
          <w:noProof/>
        </w:rPr>
        <w:t>70</w:t>
      </w:r>
      <w:r>
        <w:rPr>
          <w:noProof/>
        </w:rPr>
        <w:fldChar w:fldCharType="end"/>
      </w:r>
    </w:p>
    <w:p w14:paraId="76F21F38" w14:textId="77682793" w:rsidR="00D1577E" w:rsidRDefault="00D1577E">
      <w:pPr>
        <w:pStyle w:val="TOC2"/>
        <w:rPr>
          <w:rFonts w:eastAsiaTheme="minorEastAsia" w:cstheme="minorBidi"/>
          <w:kern w:val="2"/>
          <w:sz w:val="24"/>
          <w:szCs w:val="24"/>
          <w:lang w:eastAsia="en-GB"/>
          <w14:ligatures w14:val="standardContextual"/>
        </w:rPr>
      </w:pPr>
      <w:r>
        <w:t>CQR system and process recommendations</w:t>
      </w:r>
      <w:r>
        <w:tab/>
      </w:r>
      <w:r>
        <w:fldChar w:fldCharType="begin"/>
      </w:r>
      <w:r>
        <w:instrText xml:space="preserve"> PAGEREF _Toc175550421 \h </w:instrText>
      </w:r>
      <w:r>
        <w:fldChar w:fldCharType="separate"/>
      </w:r>
      <w:r w:rsidR="00DE5429">
        <w:t>70</w:t>
      </w:r>
      <w:r>
        <w:fldChar w:fldCharType="end"/>
      </w:r>
    </w:p>
    <w:p w14:paraId="41A48DB2" w14:textId="68FD701B" w:rsidR="00D1577E" w:rsidRDefault="00D1577E">
      <w:pPr>
        <w:pStyle w:val="TOC2"/>
        <w:rPr>
          <w:rFonts w:eastAsiaTheme="minorEastAsia" w:cstheme="minorBidi"/>
          <w:kern w:val="2"/>
          <w:sz w:val="24"/>
          <w:szCs w:val="24"/>
          <w:lang w:eastAsia="en-GB"/>
          <w14:ligatures w14:val="standardContextual"/>
        </w:rPr>
      </w:pPr>
      <w:r>
        <w:t>CQR administrative recommendations</w:t>
      </w:r>
      <w:r>
        <w:tab/>
      </w:r>
      <w:r>
        <w:fldChar w:fldCharType="begin"/>
      </w:r>
      <w:r>
        <w:instrText xml:space="preserve"> PAGEREF _Toc175550422 \h </w:instrText>
      </w:r>
      <w:r>
        <w:fldChar w:fldCharType="separate"/>
      </w:r>
      <w:r w:rsidR="00DE5429">
        <w:t>73</w:t>
      </w:r>
      <w:r>
        <w:fldChar w:fldCharType="end"/>
      </w:r>
    </w:p>
    <w:p w14:paraId="60DCC426" w14:textId="0E4703B8" w:rsidR="00D1577E" w:rsidRDefault="00D1577E">
      <w:pPr>
        <w:pStyle w:val="TOC2"/>
        <w:rPr>
          <w:rFonts w:eastAsiaTheme="minorEastAsia" w:cstheme="minorBidi"/>
          <w:kern w:val="2"/>
          <w:sz w:val="24"/>
          <w:szCs w:val="24"/>
          <w:lang w:eastAsia="en-GB"/>
          <w14:ligatures w14:val="standardContextual"/>
        </w:rPr>
      </w:pPr>
      <w:r>
        <w:t>CQR technical requirements</w:t>
      </w:r>
      <w:r>
        <w:tab/>
      </w:r>
      <w:r>
        <w:fldChar w:fldCharType="begin"/>
      </w:r>
      <w:r>
        <w:instrText xml:space="preserve"> PAGEREF _Toc175550423 \h </w:instrText>
      </w:r>
      <w:r>
        <w:fldChar w:fldCharType="separate"/>
      </w:r>
      <w:r w:rsidR="00DE5429">
        <w:t>80</w:t>
      </w:r>
      <w:r>
        <w:fldChar w:fldCharType="end"/>
      </w:r>
    </w:p>
    <w:p w14:paraId="105DC185" w14:textId="54E2CFC5" w:rsidR="00D1577E" w:rsidRDefault="00D1577E">
      <w:pPr>
        <w:pStyle w:val="TOC1"/>
        <w:rPr>
          <w:rFonts w:eastAsiaTheme="minorEastAsia" w:cstheme="minorBidi"/>
          <w:b w:val="0"/>
          <w:bCs w:val="0"/>
          <w:noProof/>
          <w:color w:val="auto"/>
          <w:kern w:val="2"/>
          <w:szCs w:val="24"/>
          <w:lang w:eastAsia="en-GB"/>
          <w14:ligatures w14:val="standardContextual"/>
        </w:rPr>
      </w:pPr>
      <w:r>
        <w:rPr>
          <w:noProof/>
        </w:rPr>
        <w:t>References</w:t>
      </w:r>
      <w:r>
        <w:rPr>
          <w:noProof/>
        </w:rPr>
        <w:tab/>
      </w:r>
      <w:r>
        <w:rPr>
          <w:noProof/>
        </w:rPr>
        <w:fldChar w:fldCharType="begin"/>
      </w:r>
      <w:r>
        <w:rPr>
          <w:noProof/>
        </w:rPr>
        <w:instrText xml:space="preserve"> PAGEREF _Toc175550424 \h </w:instrText>
      </w:r>
      <w:r>
        <w:rPr>
          <w:noProof/>
        </w:rPr>
      </w:r>
      <w:r>
        <w:rPr>
          <w:noProof/>
        </w:rPr>
        <w:fldChar w:fldCharType="separate"/>
      </w:r>
      <w:r w:rsidR="00DE5429">
        <w:rPr>
          <w:noProof/>
        </w:rPr>
        <w:t>88</w:t>
      </w:r>
      <w:r>
        <w:rPr>
          <w:noProof/>
        </w:rPr>
        <w:fldChar w:fldCharType="end"/>
      </w:r>
    </w:p>
    <w:p w14:paraId="624428F4" w14:textId="77D5CB61" w:rsidR="00295887" w:rsidRDefault="00295887" w:rsidP="00295887">
      <w:pPr>
        <w:spacing w:before="240"/>
        <w:rPr>
          <w:b/>
          <w:bCs/>
          <w:noProof/>
        </w:rPr>
      </w:pPr>
      <w:r>
        <w:rPr>
          <w:b/>
          <w:bCs/>
          <w:noProof/>
        </w:rPr>
        <w:fldChar w:fldCharType="end"/>
      </w:r>
      <w:r>
        <w:rPr>
          <w:b/>
          <w:bCs/>
          <w:noProof/>
        </w:rPr>
        <w:br w:type="page"/>
      </w:r>
    </w:p>
    <w:p w14:paraId="18B201EE" w14:textId="798A78C5" w:rsidR="00192720" w:rsidRPr="00192720" w:rsidRDefault="0033606D" w:rsidP="0033606D">
      <w:pPr>
        <w:pStyle w:val="Heading1"/>
        <w:rPr>
          <w:lang w:val="en-US"/>
        </w:rPr>
      </w:pPr>
      <w:bookmarkStart w:id="3" w:name="_Toc175550325"/>
      <w:r>
        <w:rPr>
          <w:lang w:val="en-US"/>
        </w:rPr>
        <w:lastRenderedPageBreak/>
        <w:t xml:space="preserve">1. </w:t>
      </w:r>
      <w:r w:rsidR="00192720">
        <w:rPr>
          <w:lang w:val="en-US"/>
        </w:rPr>
        <w:t>Introduction</w:t>
      </w:r>
      <w:bookmarkEnd w:id="3"/>
    </w:p>
    <w:p w14:paraId="03A126C4" w14:textId="47762F88" w:rsidR="00192720" w:rsidRPr="00224EA8" w:rsidRDefault="00192720" w:rsidP="00192720">
      <w:pPr>
        <w:pStyle w:val="Heading2"/>
      </w:pPr>
      <w:bookmarkStart w:id="4" w:name="_Toc310690996"/>
      <w:bookmarkStart w:id="5" w:name="_Toc316386169"/>
      <w:bookmarkStart w:id="6" w:name="_Toc340679651"/>
      <w:bookmarkStart w:id="7" w:name="_Toc158583933"/>
      <w:bookmarkStart w:id="8" w:name="_Toc159324706"/>
      <w:bookmarkStart w:id="9" w:name="_Toc175550326"/>
      <w:r>
        <w:t>1.1</w:t>
      </w:r>
      <w:r w:rsidR="007E6134">
        <w:tab/>
      </w:r>
      <w:r w:rsidRPr="00224EA8">
        <w:t>Purpose</w:t>
      </w:r>
      <w:bookmarkEnd w:id="4"/>
      <w:bookmarkEnd w:id="5"/>
      <w:bookmarkEnd w:id="6"/>
      <w:bookmarkEnd w:id="7"/>
      <w:bookmarkEnd w:id="8"/>
      <w:bookmarkEnd w:id="9"/>
    </w:p>
    <w:p w14:paraId="5858DA4F" w14:textId="77ABE03B" w:rsidR="00192720" w:rsidRPr="005D6B04" w:rsidRDefault="00192720" w:rsidP="00192720">
      <w:r w:rsidRPr="005D6B04">
        <w:t xml:space="preserve">The purpose of the </w:t>
      </w:r>
      <w:r w:rsidRPr="005D6B04">
        <w:rPr>
          <w:i/>
          <w:iCs/>
          <w:lang w:val="en-GB"/>
        </w:rPr>
        <w:t xml:space="preserve">Australian CQR logical design and infrastructure guideline </w:t>
      </w:r>
      <w:r w:rsidRPr="005D6B04">
        <w:t xml:space="preserve">is to provide guidance to organisations wanting to establish or upgrade a clinical quality registry (CQR). This guideline is part of a suite of documents under the </w:t>
      </w:r>
      <w:hyperlink r:id="rId20" w:tooltip="Australian Framework for National Clinical Quality Registries 2024 - Australian Commission on Safety and Quality in Health Care" w:history="1">
        <w:r w:rsidRPr="0014192F">
          <w:rPr>
            <w:rStyle w:val="Hyperlink"/>
            <w:i/>
            <w:iCs/>
          </w:rPr>
          <w:t>Australian Framework for National Clinical Quality Registries 2024</w:t>
        </w:r>
      </w:hyperlink>
      <w:r w:rsidRPr="005D6B04">
        <w:t xml:space="preserve"> (the Framework).</w:t>
      </w:r>
    </w:p>
    <w:p w14:paraId="63BBEFE0" w14:textId="77777777" w:rsidR="00192720" w:rsidRPr="00A62049" w:rsidRDefault="00192720" w:rsidP="00192720">
      <w:r w:rsidRPr="00A62049">
        <w:t xml:space="preserve">Well-designed CQRs – operating in partnership with Commonwealth, state and territory health departments, healthcare providers and peak clinical groups – support national reporting on the safety and quality of health care in high-priority clinical domains. </w:t>
      </w:r>
    </w:p>
    <w:p w14:paraId="3BEE42C9" w14:textId="77777777" w:rsidR="00192720" w:rsidRPr="00A62049" w:rsidRDefault="00192720" w:rsidP="00192720">
      <w:r w:rsidRPr="00A62049">
        <w:t xml:space="preserve">Specifically, the </w:t>
      </w:r>
      <w:r>
        <w:t xml:space="preserve">guidelines have </w:t>
      </w:r>
      <w:r w:rsidRPr="00A62049">
        <w:t xml:space="preserve">been developed to: </w:t>
      </w:r>
    </w:p>
    <w:p w14:paraId="3E84EDC4" w14:textId="77777777" w:rsidR="00192720" w:rsidRPr="00A62049" w:rsidRDefault="00192720">
      <w:pPr>
        <w:pStyle w:val="ListParagraph"/>
        <w:numPr>
          <w:ilvl w:val="0"/>
          <w:numId w:val="6"/>
        </w:numPr>
      </w:pPr>
      <w:r w:rsidRPr="00A62049">
        <w:t>Drive CQRs towards international best practice for clinical outcome data collections and reporting</w:t>
      </w:r>
    </w:p>
    <w:p w14:paraId="0CA23C64" w14:textId="77777777" w:rsidR="00192720" w:rsidRPr="00A62049" w:rsidRDefault="00192720">
      <w:pPr>
        <w:pStyle w:val="ListParagraph"/>
        <w:numPr>
          <w:ilvl w:val="0"/>
          <w:numId w:val="6"/>
        </w:numPr>
      </w:pPr>
      <w:r w:rsidRPr="00A62049">
        <w:t xml:space="preserve">Deliver efficiencies and interoperability in data collection and exchange </w:t>
      </w:r>
    </w:p>
    <w:p w14:paraId="46F3870B" w14:textId="77CF9F38" w:rsidR="00192720" w:rsidRPr="00A62049" w:rsidRDefault="00192720">
      <w:pPr>
        <w:pStyle w:val="ListParagraph"/>
        <w:numPr>
          <w:ilvl w:val="0"/>
          <w:numId w:val="6"/>
        </w:numPr>
      </w:pPr>
      <w:r w:rsidRPr="00A62049">
        <w:t>Promote standardised approaches to CQR design that support the strategic and operating principles for a national approach to CQR</w:t>
      </w:r>
      <w:r w:rsidRPr="005D6B04">
        <w:t xml:space="preserve">s (refer to the </w:t>
      </w:r>
      <w:hyperlink r:id="rId21" w:tooltip="Australian Framework for National Clinical Quality Registries 2024 - Australian Commission on Safety and Quality in Health Care" w:history="1">
        <w:r w:rsidR="0014192F" w:rsidRPr="0014192F">
          <w:rPr>
            <w:rStyle w:val="Hyperlink"/>
            <w:i/>
            <w:iCs/>
          </w:rPr>
          <w:t>Australian Framework for National Clinical Quality Registries 2024</w:t>
        </w:r>
      </w:hyperlink>
      <w:r w:rsidRPr="005D6B04">
        <w:rPr>
          <w:i/>
          <w:iCs/>
        </w:rPr>
        <w:t>)</w:t>
      </w:r>
      <w:r w:rsidRPr="005D6B04">
        <w:t>.</w:t>
      </w:r>
    </w:p>
    <w:p w14:paraId="07908C1D" w14:textId="77777777" w:rsidR="00192720" w:rsidRPr="00A62049" w:rsidRDefault="00192720">
      <w:pPr>
        <w:pStyle w:val="ListParagraph"/>
        <w:numPr>
          <w:ilvl w:val="0"/>
          <w:numId w:val="6"/>
        </w:numPr>
      </w:pPr>
      <w:r w:rsidRPr="00A62049">
        <w:t>Reduce the time and cost of developing future CQRs through the provision of a generalisable and reusable design on centrally hosted national infrastructure</w:t>
      </w:r>
    </w:p>
    <w:p w14:paraId="4F5BE337" w14:textId="77777777" w:rsidR="00192720" w:rsidRPr="00A62049" w:rsidRDefault="00192720">
      <w:pPr>
        <w:pStyle w:val="ListParagraph"/>
        <w:numPr>
          <w:ilvl w:val="0"/>
          <w:numId w:val="6"/>
        </w:numPr>
      </w:pPr>
      <w:r w:rsidRPr="00A62049">
        <w:t xml:space="preserve">Standardise data elements and definitions to facilitate benchmarking, comparisons, and data exchange, wherever possible. </w:t>
      </w:r>
    </w:p>
    <w:p w14:paraId="1328950B" w14:textId="54542271" w:rsidR="00192720" w:rsidRPr="00A62049" w:rsidRDefault="00192720" w:rsidP="00192720">
      <w:pPr>
        <w:pStyle w:val="Heading2"/>
      </w:pPr>
      <w:bookmarkStart w:id="10" w:name="_Toc158583934"/>
      <w:bookmarkStart w:id="11" w:name="_Toc159324707"/>
      <w:bookmarkStart w:id="12" w:name="_Toc175550327"/>
      <w:r>
        <w:t>1.2</w:t>
      </w:r>
      <w:r w:rsidR="007E6134">
        <w:tab/>
      </w:r>
      <w:r w:rsidRPr="00A62049">
        <w:t>Software industry standards</w:t>
      </w:r>
      <w:bookmarkEnd w:id="10"/>
      <w:bookmarkEnd w:id="11"/>
      <w:bookmarkEnd w:id="12"/>
    </w:p>
    <w:p w14:paraId="16EA753B" w14:textId="4DE569E8" w:rsidR="00192720" w:rsidRPr="00A62049" w:rsidRDefault="00192720" w:rsidP="007E6134">
      <w:r w:rsidRPr="00A62049">
        <w:t xml:space="preserve">Clinical quality registries </w:t>
      </w:r>
      <w:r w:rsidR="00F64789">
        <w:t xml:space="preserve">(CQRs) </w:t>
      </w:r>
      <w:r w:rsidRPr="00A62049">
        <w:t xml:space="preserve">are established and operated with the aim of improving patient care and outcomes through greater understanding </w:t>
      </w:r>
      <w:r w:rsidR="00F64789">
        <w:t xml:space="preserve">of </w:t>
      </w:r>
      <w:r w:rsidRPr="00A62049">
        <w:t>events, treatments and</w:t>
      </w:r>
      <w:r w:rsidRPr="005D6B04">
        <w:t xml:space="preserve"> patient </w:t>
      </w:r>
      <w:r w:rsidRPr="00A62049">
        <w:t xml:space="preserve">outcomes. For CQRs to meet their full potential in informing the </w:t>
      </w:r>
      <w:r>
        <w:t>safety and quality</w:t>
      </w:r>
      <w:r w:rsidRPr="00A62049">
        <w:t xml:space="preserve"> of health care in Australia, </w:t>
      </w:r>
      <w:r w:rsidRPr="005D6B04">
        <w:t xml:space="preserve">there must be </w:t>
      </w:r>
      <w:r w:rsidRPr="00A62049">
        <w:t xml:space="preserve">confidence in the quality and relevance of their data. Over time, the data collected by a CQR can be analysed and used to identify positive and negative trends. </w:t>
      </w:r>
      <w:r w:rsidRPr="005D6B04">
        <w:t>These</w:t>
      </w:r>
      <w:r w:rsidRPr="00A62049">
        <w:rPr>
          <w:color w:val="FF2F92"/>
        </w:rPr>
        <w:t xml:space="preserve"> </w:t>
      </w:r>
      <w:r w:rsidRPr="00A62049">
        <w:t xml:space="preserve">trends can then be used to identify </w:t>
      </w:r>
      <w:r>
        <w:t xml:space="preserve">areas of </w:t>
      </w:r>
      <w:r w:rsidRPr="00A62049">
        <w:t xml:space="preserve">variation in clinical practice and health service provision, and benefits and costs of therapeutic interventions. </w:t>
      </w:r>
    </w:p>
    <w:p w14:paraId="3BA00EAF" w14:textId="77777777" w:rsidR="00192720" w:rsidRPr="00A62049" w:rsidRDefault="00192720" w:rsidP="00192720">
      <w:r w:rsidRPr="00A62049">
        <w:t>By adopting standards, CQRs will better ensure their interoperability (ability to interact with and share information between health data collections and other CQRs, etc.), security,</w:t>
      </w:r>
      <w:r>
        <w:t xml:space="preserve"> </w:t>
      </w:r>
      <w:r w:rsidRPr="00A62049">
        <w:t>reliability, and standardisation of processes and practices.</w:t>
      </w:r>
    </w:p>
    <w:p w14:paraId="06601689" w14:textId="12F623D0" w:rsidR="00192720" w:rsidRPr="00A62049" w:rsidRDefault="00192720" w:rsidP="00192720">
      <w:pPr>
        <w:rPr>
          <w:rFonts w:cs="Arial"/>
        </w:rPr>
      </w:pPr>
      <w:r w:rsidRPr="00A62049">
        <w:t>The software industry standards</w:t>
      </w:r>
      <w:r w:rsidRPr="00A62049">
        <w:rPr>
          <w:i/>
          <w:iCs/>
        </w:rPr>
        <w:t xml:space="preserve"> </w:t>
      </w:r>
      <w:r w:rsidRPr="00A62049">
        <w:t xml:space="preserve">are included in </w:t>
      </w:r>
      <w:hyperlink w:anchor="_6._Software_industry" w:tooltip="Current document - Section 6: Software industry standards and core information model " w:history="1">
        <w:r w:rsidR="00662002" w:rsidRPr="002E0C93">
          <w:rPr>
            <w:rStyle w:val="Hyperlink"/>
          </w:rPr>
          <w:t>Section 6</w:t>
        </w:r>
      </w:hyperlink>
      <w:r w:rsidR="00662002">
        <w:t xml:space="preserve"> a</w:t>
      </w:r>
      <w:r w:rsidRPr="00A62049">
        <w:t xml:space="preserve">nd contain </w:t>
      </w:r>
      <w:r w:rsidRPr="00A62049">
        <w:rPr>
          <w:rFonts w:cs="Arial"/>
        </w:rPr>
        <w:t>listing or mapping of various technical standards that may be relevant to a CQR, identifying areas including:</w:t>
      </w:r>
    </w:p>
    <w:p w14:paraId="2F4D39C5" w14:textId="77777777" w:rsidR="00192720" w:rsidRPr="00A62049" w:rsidRDefault="00192720">
      <w:pPr>
        <w:pStyle w:val="ListParagraph"/>
        <w:numPr>
          <w:ilvl w:val="0"/>
          <w:numId w:val="7"/>
        </w:numPr>
        <w:rPr>
          <w:szCs w:val="18"/>
        </w:rPr>
      </w:pPr>
      <w:r w:rsidRPr="00A62049">
        <w:t>Interoperability</w:t>
      </w:r>
    </w:p>
    <w:p w14:paraId="40AE16A7" w14:textId="77777777" w:rsidR="00192720" w:rsidRPr="00A62049" w:rsidRDefault="00192720">
      <w:pPr>
        <w:pStyle w:val="ListParagraph"/>
        <w:numPr>
          <w:ilvl w:val="0"/>
          <w:numId w:val="7"/>
        </w:numPr>
        <w:rPr>
          <w:szCs w:val="18"/>
        </w:rPr>
      </w:pPr>
      <w:r w:rsidRPr="00A62049">
        <w:t>Clinical communications</w:t>
      </w:r>
    </w:p>
    <w:p w14:paraId="71A7E792" w14:textId="77777777" w:rsidR="00192720" w:rsidRPr="00A62049" w:rsidRDefault="00192720">
      <w:pPr>
        <w:pStyle w:val="ListParagraph"/>
        <w:numPr>
          <w:ilvl w:val="0"/>
          <w:numId w:val="7"/>
        </w:numPr>
        <w:rPr>
          <w:szCs w:val="18"/>
        </w:rPr>
      </w:pPr>
      <w:r w:rsidRPr="00A62049">
        <w:t>Unique healthcare identifiers</w:t>
      </w:r>
    </w:p>
    <w:p w14:paraId="516BC340" w14:textId="77777777" w:rsidR="00192720" w:rsidRPr="00A62049" w:rsidRDefault="00192720">
      <w:pPr>
        <w:pStyle w:val="ListParagraph"/>
        <w:numPr>
          <w:ilvl w:val="0"/>
          <w:numId w:val="7"/>
        </w:numPr>
        <w:rPr>
          <w:szCs w:val="18"/>
        </w:rPr>
      </w:pPr>
      <w:r w:rsidRPr="00A62049">
        <w:t>Identity management</w:t>
      </w:r>
    </w:p>
    <w:p w14:paraId="2E2E47CA" w14:textId="77777777" w:rsidR="00192720" w:rsidRPr="00A62049" w:rsidRDefault="00192720">
      <w:pPr>
        <w:pStyle w:val="ListParagraph"/>
        <w:numPr>
          <w:ilvl w:val="0"/>
          <w:numId w:val="7"/>
        </w:numPr>
        <w:rPr>
          <w:szCs w:val="18"/>
        </w:rPr>
      </w:pPr>
      <w:r w:rsidRPr="00A62049">
        <w:t>Secure messaging.</w:t>
      </w:r>
    </w:p>
    <w:p w14:paraId="4084EC8B" w14:textId="15206C3B" w:rsidR="00192720" w:rsidRPr="00A62049" w:rsidRDefault="00192720" w:rsidP="00192720">
      <w:r w:rsidRPr="00A62049">
        <w:t xml:space="preserve">All health sector-specific standards are referenced in </w:t>
      </w:r>
      <w:hyperlink w:anchor="_6._Software_industry" w:tooltip="Current document - Section 6: Software industry standards and core information model " w:history="1">
        <w:r w:rsidR="00662002" w:rsidRPr="002E0C93">
          <w:rPr>
            <w:rStyle w:val="Hyperlink"/>
          </w:rPr>
          <w:t>Section 6</w:t>
        </w:r>
      </w:hyperlink>
      <w:r>
        <w:t xml:space="preserve">, </w:t>
      </w:r>
      <w:r w:rsidRPr="00AB5CDF">
        <w:t xml:space="preserve">for example, the </w:t>
      </w:r>
      <w:r w:rsidRPr="00A62049">
        <w:t xml:space="preserve">eHealth Interoperability Framework. </w:t>
      </w:r>
    </w:p>
    <w:p w14:paraId="46737A5F" w14:textId="6D96E9CC" w:rsidR="00192720" w:rsidRDefault="00192720" w:rsidP="00192720">
      <w:r w:rsidRPr="00A62049">
        <w:t xml:space="preserve">Other standards referred to in </w:t>
      </w:r>
      <w:r w:rsidR="00F64789">
        <w:t>this document</w:t>
      </w:r>
      <w:r w:rsidRPr="00A62049">
        <w:t xml:space="preserve"> are industry-neutral (i.e., not specific to the health sector) but have application or relevance for CQRs. These standards can be considered as best practice technology standards that can be applied to e-health and to CQRs (refer to</w:t>
      </w:r>
      <w:r w:rsidR="002E0C93">
        <w:t xml:space="preserve"> </w:t>
      </w:r>
      <w:hyperlink w:anchor="_6._Software_industry" w:tooltip="Current document - Section 6: Software industry standards and core information model " w:history="1">
        <w:r w:rsidR="00662002" w:rsidRPr="002E0C93">
          <w:rPr>
            <w:rStyle w:val="Hyperlink"/>
          </w:rPr>
          <w:t>Section 6</w:t>
        </w:r>
      </w:hyperlink>
      <w:r w:rsidRPr="00A62049">
        <w:t xml:space="preserve">). </w:t>
      </w:r>
    </w:p>
    <w:p w14:paraId="2A0943EA" w14:textId="77777777" w:rsidR="00346AFB" w:rsidRDefault="00346AFB" w:rsidP="00192720"/>
    <w:p w14:paraId="0763A5A7" w14:textId="74BA75B6" w:rsidR="0088700F" w:rsidRPr="002E0C93" w:rsidRDefault="00DD7D9A" w:rsidP="002E0C93">
      <w:pPr>
        <w:pStyle w:val="Heading2"/>
      </w:pPr>
      <w:bookmarkStart w:id="13" w:name="_Toc175550328"/>
      <w:r w:rsidRPr="002E0C93">
        <w:lastRenderedPageBreak/>
        <w:t>1.3</w:t>
      </w:r>
      <w:r w:rsidR="002E0C93">
        <w:tab/>
      </w:r>
      <w:r w:rsidRPr="002E0C93">
        <w:t>Implementation</w:t>
      </w:r>
      <w:bookmarkEnd w:id="13"/>
      <w:r w:rsidRPr="002E0C93">
        <w:t xml:space="preserve"> </w:t>
      </w:r>
    </w:p>
    <w:p w14:paraId="5441DE33" w14:textId="4E2D67F3" w:rsidR="00346AFB" w:rsidRPr="00CA0BF5" w:rsidRDefault="00346AFB" w:rsidP="00346AFB">
      <w:pPr>
        <w:rPr>
          <w:rFonts w:ascii="SimSun" w:eastAsia="SimSun" w:hAnsi="SimSun" w:cs="SimSun"/>
          <w:lang w:eastAsia="zh-CN"/>
        </w:rPr>
      </w:pPr>
      <w:r>
        <w:t>T</w:t>
      </w:r>
      <w:r w:rsidRPr="00296FB5">
        <w:t xml:space="preserve">he proposed implementation </w:t>
      </w:r>
      <w:r>
        <w:t>a</w:t>
      </w:r>
      <w:r w:rsidRPr="00296FB5">
        <w:t>cknowledg</w:t>
      </w:r>
      <w:r>
        <w:t>es</w:t>
      </w:r>
      <w:r w:rsidRPr="00296FB5">
        <w:t xml:space="preserve"> the varying levels of e-health system maturity across </w:t>
      </w:r>
      <w:r>
        <w:t>health systems</w:t>
      </w:r>
      <w:r w:rsidRPr="00296FB5">
        <w:t xml:space="preserve"> in Australia</w:t>
      </w:r>
      <w:r>
        <w:t xml:space="preserve"> and embraces the diverse landscape</w:t>
      </w:r>
      <w:r w:rsidRPr="00296FB5">
        <w:t>. While some hospitals boast full integration of major e-health systems, others still rely on traditional paper-based processes. As outlined in the preceding section, even in cases where healthcare organi</w:t>
      </w:r>
      <w:r>
        <w:t>s</w:t>
      </w:r>
      <w:r w:rsidRPr="00296FB5">
        <w:t>ations lack the technology for automated clinical data submission, manual entry or data uploads remain feasible</w:t>
      </w:r>
      <w:r>
        <w:t>. Therefore,</w:t>
      </w:r>
      <w:r w:rsidRPr="00296FB5">
        <w:t xml:space="preserve"> technology </w:t>
      </w:r>
      <w:r>
        <w:t xml:space="preserve">should </w:t>
      </w:r>
      <w:r w:rsidRPr="00296FB5">
        <w:t>not</w:t>
      </w:r>
      <w:r>
        <w:t xml:space="preserve"> be</w:t>
      </w:r>
      <w:r w:rsidRPr="00296FB5">
        <w:t xml:space="preserve"> a barrier preventing healthcare organi</w:t>
      </w:r>
      <w:r>
        <w:t>s</w:t>
      </w:r>
      <w:r w:rsidRPr="00296FB5">
        <w:t>ations from reporting on</w:t>
      </w:r>
      <w:r>
        <w:t xml:space="preserve"> healthcare safety and quality</w:t>
      </w:r>
      <w:r w:rsidRPr="00296FB5">
        <w:t xml:space="preserve"> and patient outcomes.</w:t>
      </w:r>
    </w:p>
    <w:p w14:paraId="3A777B46" w14:textId="18939E1F" w:rsidR="00346AFB" w:rsidRPr="00A62049" w:rsidRDefault="00346AFB" w:rsidP="00192720">
      <w:pPr>
        <w:rPr>
          <w:lang w:eastAsia="zh-CN"/>
        </w:rPr>
      </w:pPr>
      <w:r w:rsidRPr="001212B4">
        <w:rPr>
          <w:lang w:eastAsia="zh-CN"/>
        </w:rPr>
        <w:t xml:space="preserve">This </w:t>
      </w:r>
      <w:r w:rsidR="00DD7D9A">
        <w:rPr>
          <w:lang w:eastAsia="zh-CN"/>
        </w:rPr>
        <w:t xml:space="preserve">guidance </w:t>
      </w:r>
      <w:r w:rsidRPr="001212B4">
        <w:rPr>
          <w:lang w:eastAsia="zh-CN"/>
        </w:rPr>
        <w:t xml:space="preserve">aligns with the Australian Digital Health Agency (ADHA) </w:t>
      </w:r>
      <w:r>
        <w:rPr>
          <w:lang w:eastAsia="zh-CN"/>
        </w:rPr>
        <w:t>National Healthcare Interoperability Plan 2023-2028</w:t>
      </w:r>
      <w:r w:rsidRPr="001212B4">
        <w:rPr>
          <w:lang w:eastAsia="zh-CN"/>
        </w:rPr>
        <w:t xml:space="preserve">, emphasising the importance of interoperability in modern healthcare data management. For more details, see the latest updated interoperability roadmap on the </w:t>
      </w:r>
      <w:hyperlink r:id="rId22" w:history="1">
        <w:r w:rsidRPr="001212B4">
          <w:rPr>
            <w:rStyle w:val="Hyperlink"/>
            <w:lang w:eastAsia="zh-CN"/>
          </w:rPr>
          <w:t>ADHA website</w:t>
        </w:r>
      </w:hyperlink>
      <w:r w:rsidRPr="001212B4">
        <w:rPr>
          <w:lang w:eastAsia="zh-CN"/>
        </w:rPr>
        <w:t xml:space="preserve">. </w:t>
      </w:r>
    </w:p>
    <w:p w14:paraId="572A5B3D" w14:textId="3232AE08" w:rsidR="00192720" w:rsidRPr="00A62049" w:rsidRDefault="00192720" w:rsidP="00192720">
      <w:pPr>
        <w:pStyle w:val="Heading2"/>
      </w:pPr>
      <w:bookmarkStart w:id="14" w:name="_Toc158583935"/>
      <w:bookmarkStart w:id="15" w:name="_Toc159324708"/>
      <w:bookmarkStart w:id="16" w:name="_Toc175550329"/>
      <w:r>
        <w:t>1.</w:t>
      </w:r>
      <w:r w:rsidR="00DD7D9A">
        <w:t>4</w:t>
      </w:r>
      <w:r w:rsidR="007E6134">
        <w:tab/>
      </w:r>
      <w:r w:rsidRPr="00A62049">
        <w:t>Document scope</w:t>
      </w:r>
      <w:bookmarkEnd w:id="14"/>
      <w:bookmarkEnd w:id="15"/>
      <w:bookmarkEnd w:id="16"/>
    </w:p>
    <w:p w14:paraId="0EFB0D01" w14:textId="77777777" w:rsidR="00192720" w:rsidRPr="00A62049" w:rsidRDefault="00192720" w:rsidP="007E6134">
      <w:r w:rsidRPr="00A62049">
        <w:t xml:space="preserve">This document presents the logical design for CQRs regardless of operating model: </w:t>
      </w:r>
    </w:p>
    <w:p w14:paraId="502E8AAC" w14:textId="65260C34" w:rsidR="00192720" w:rsidRDefault="00000000">
      <w:pPr>
        <w:pStyle w:val="ListParagraph"/>
        <w:numPr>
          <w:ilvl w:val="0"/>
          <w:numId w:val="41"/>
        </w:numPr>
      </w:pPr>
      <w:hyperlink w:anchor="_2._CQR_system_1" w:tooltip="Current document - Section 2: CQR system and process recommendations " w:history="1">
        <w:r w:rsidR="00192720" w:rsidRPr="00B754FA">
          <w:rPr>
            <w:rStyle w:val="Hyperlink"/>
            <w:i/>
            <w:iCs/>
          </w:rPr>
          <w:t>Section 2</w:t>
        </w:r>
        <w:r w:rsidR="003A5537" w:rsidRPr="00B754FA">
          <w:rPr>
            <w:rStyle w:val="Hyperlink"/>
          </w:rPr>
          <w:t xml:space="preserve">: </w:t>
        </w:r>
        <w:r w:rsidR="00192720" w:rsidRPr="00B754FA">
          <w:rPr>
            <w:rStyle w:val="Hyperlink"/>
            <w:i/>
            <w:iCs/>
          </w:rPr>
          <w:t>CQR system and process recommendations</w:t>
        </w:r>
      </w:hyperlink>
      <w:r w:rsidR="00192720" w:rsidRPr="00A62049">
        <w:t xml:space="preserve"> describes the generic business functions of a CQR that are supported by the design</w:t>
      </w:r>
    </w:p>
    <w:p w14:paraId="248AC1E0" w14:textId="26852C2A" w:rsidR="00192720" w:rsidRPr="00A62049" w:rsidRDefault="00000000">
      <w:pPr>
        <w:pStyle w:val="ListParagraph"/>
        <w:numPr>
          <w:ilvl w:val="0"/>
          <w:numId w:val="41"/>
        </w:numPr>
      </w:pPr>
      <w:hyperlink w:anchor="_3._CQR_solution" w:tooltip="Current document - Section 3: CQR solution design" w:history="1">
        <w:r w:rsidR="00192720" w:rsidRPr="00B34E2C">
          <w:rPr>
            <w:rStyle w:val="Hyperlink"/>
            <w:i/>
            <w:iCs/>
          </w:rPr>
          <w:t>Section 3</w:t>
        </w:r>
        <w:r w:rsidR="003A5537" w:rsidRPr="00B34E2C">
          <w:rPr>
            <w:rStyle w:val="Hyperlink"/>
            <w:i/>
            <w:iCs/>
          </w:rPr>
          <w:t>:</w:t>
        </w:r>
        <w:r w:rsidR="00192720" w:rsidRPr="00B34E2C">
          <w:rPr>
            <w:rStyle w:val="Hyperlink"/>
            <w:i/>
            <w:iCs/>
          </w:rPr>
          <w:t xml:space="preserve"> CQR solution design</w:t>
        </w:r>
      </w:hyperlink>
      <w:r w:rsidR="00192720">
        <w:t xml:space="preserve"> </w:t>
      </w:r>
      <w:r w:rsidR="00192720" w:rsidRPr="00A62049">
        <w:t xml:space="preserve">considers solution architectures and describes a technology agnostic view of the solution that constitutes a CQR system </w:t>
      </w:r>
    </w:p>
    <w:p w14:paraId="7A3C7C99" w14:textId="3117DBEF" w:rsidR="00192720" w:rsidRPr="00A62049" w:rsidRDefault="00000000">
      <w:pPr>
        <w:pStyle w:val="ListParagraph"/>
        <w:numPr>
          <w:ilvl w:val="0"/>
          <w:numId w:val="41"/>
        </w:numPr>
      </w:pPr>
      <w:hyperlink w:anchor="_4._Information_design" w:tooltip="Current document - Section 4: Information design" w:history="1">
        <w:r w:rsidR="00192720" w:rsidRPr="00B34E2C">
          <w:rPr>
            <w:rStyle w:val="Hyperlink"/>
            <w:i/>
            <w:iCs/>
          </w:rPr>
          <w:t>Section 4</w:t>
        </w:r>
        <w:r w:rsidR="003A5537" w:rsidRPr="00B34E2C">
          <w:rPr>
            <w:rStyle w:val="Hyperlink"/>
            <w:i/>
            <w:iCs/>
          </w:rPr>
          <w:t>:</w:t>
        </w:r>
        <w:r w:rsidR="00192720" w:rsidRPr="00B34E2C">
          <w:rPr>
            <w:rStyle w:val="Hyperlink"/>
            <w:i/>
            <w:iCs/>
          </w:rPr>
          <w:t xml:space="preserve"> Information design</w:t>
        </w:r>
      </w:hyperlink>
      <w:r w:rsidR="00192720">
        <w:t xml:space="preserve"> </w:t>
      </w:r>
      <w:r w:rsidR="00192720" w:rsidRPr="00A62049">
        <w:t>proposes an information design, providing a data model and data dictionary for common aspects of CQRs and guidelines for how condition-specific aspects can be modelled for consistency</w:t>
      </w:r>
    </w:p>
    <w:p w14:paraId="7D84EBB2" w14:textId="7AFFF53F" w:rsidR="00192720" w:rsidRPr="00A62049" w:rsidRDefault="00000000">
      <w:pPr>
        <w:pStyle w:val="ListParagraph"/>
        <w:numPr>
          <w:ilvl w:val="0"/>
          <w:numId w:val="41"/>
        </w:numPr>
      </w:pPr>
      <w:hyperlink w:anchor="_5._Definitions,_acronyms" w:tooltip="Current document - Section 5: Definitions, acronyms and abbreviations" w:history="1">
        <w:r w:rsidR="00192720" w:rsidRPr="00B34E2C">
          <w:rPr>
            <w:rStyle w:val="Hyperlink"/>
            <w:i/>
            <w:iCs/>
          </w:rPr>
          <w:t>Section 5</w:t>
        </w:r>
        <w:r w:rsidR="003A5537" w:rsidRPr="00B34E2C">
          <w:rPr>
            <w:rStyle w:val="Hyperlink"/>
            <w:i/>
            <w:iCs/>
          </w:rPr>
          <w:t>:</w:t>
        </w:r>
        <w:r w:rsidR="00192720" w:rsidRPr="00B34E2C">
          <w:rPr>
            <w:rStyle w:val="Hyperlink"/>
            <w:i/>
            <w:iCs/>
          </w:rPr>
          <w:t xml:space="preserve"> Definitions, acronyms and abbreviations</w:t>
        </w:r>
      </w:hyperlink>
      <w:r w:rsidR="00192720">
        <w:t xml:space="preserve"> </w:t>
      </w:r>
      <w:r w:rsidR="00192720" w:rsidRPr="00A62049">
        <w:t>provides definitions, acronyms and abbreviations</w:t>
      </w:r>
    </w:p>
    <w:p w14:paraId="6DBBFDB9" w14:textId="3827B981" w:rsidR="00C63905" w:rsidRPr="00D6402E" w:rsidRDefault="00000000" w:rsidP="00D6402E">
      <w:pPr>
        <w:pStyle w:val="ListParagraph"/>
        <w:numPr>
          <w:ilvl w:val="0"/>
          <w:numId w:val="41"/>
        </w:numPr>
      </w:pPr>
      <w:hyperlink w:anchor="_6._Software_industry" w:tooltip="Current document - Section 6: Software industry standards and core information model" w:history="1">
        <w:r w:rsidR="00192720" w:rsidRPr="00B34E2C">
          <w:rPr>
            <w:rStyle w:val="Hyperlink"/>
            <w:i/>
            <w:iCs/>
          </w:rPr>
          <w:t>Section 6</w:t>
        </w:r>
        <w:r w:rsidR="003A5537" w:rsidRPr="00B34E2C">
          <w:rPr>
            <w:rStyle w:val="Hyperlink"/>
            <w:i/>
            <w:iCs/>
          </w:rPr>
          <w:t>:</w:t>
        </w:r>
        <w:r w:rsidR="00192720" w:rsidRPr="00B34E2C">
          <w:rPr>
            <w:rStyle w:val="Hyperlink"/>
            <w:i/>
            <w:iCs/>
          </w:rPr>
          <w:t xml:space="preserve"> Software industry standards and core information model</w:t>
        </w:r>
      </w:hyperlink>
      <w:r w:rsidR="00192720">
        <w:t xml:space="preserve"> </w:t>
      </w:r>
      <w:r w:rsidR="00192720" w:rsidRPr="00A62049">
        <w:t>provides the software industry standards</w:t>
      </w:r>
      <w:r w:rsidR="00192720">
        <w:t>, core information model and data dictionary.</w:t>
      </w:r>
      <w:bookmarkStart w:id="17" w:name="_2._CQR_system"/>
      <w:bookmarkStart w:id="18" w:name="_Toc158583936"/>
      <w:bookmarkStart w:id="19" w:name="_Toc159324709"/>
      <w:bookmarkEnd w:id="17"/>
    </w:p>
    <w:bookmarkEnd w:id="18"/>
    <w:bookmarkEnd w:id="19"/>
    <w:p w14:paraId="2BB56DA1" w14:textId="77777777" w:rsidR="00793D55" w:rsidRDefault="00793D55" w:rsidP="00793D55">
      <w:pPr>
        <w:autoSpaceDE w:val="0"/>
        <w:autoSpaceDN w:val="0"/>
        <w:adjustRightInd w:val="0"/>
        <w:spacing w:before="0" w:after="0"/>
        <w:rPr>
          <w:rFonts w:ascii="AppleSystemUIFont" w:hAnsi="AppleSystemUIFont" w:cs="AppleSystemUIFont"/>
          <w:b/>
          <w:bCs/>
          <w:sz w:val="26"/>
          <w:szCs w:val="26"/>
          <w:lang w:val="en-GB"/>
        </w:rPr>
      </w:pPr>
    </w:p>
    <w:p w14:paraId="7A570B37" w14:textId="77777777" w:rsidR="00793D55" w:rsidRDefault="00793D55">
      <w:pPr>
        <w:spacing w:before="0" w:after="80"/>
        <w:rPr>
          <w:rFonts w:cs="Arial"/>
          <w:b/>
          <w:bCs/>
          <w:color w:val="005370" w:themeColor="text2"/>
          <w:kern w:val="28"/>
          <w:sz w:val="40"/>
          <w:szCs w:val="32"/>
          <w:lang w:val="en-GB"/>
        </w:rPr>
      </w:pPr>
      <w:r>
        <w:rPr>
          <w:lang w:val="en-GB"/>
        </w:rPr>
        <w:br w:type="page"/>
      </w:r>
    </w:p>
    <w:p w14:paraId="1EC82908" w14:textId="70A80F12" w:rsidR="00793D55" w:rsidRPr="00793D55" w:rsidRDefault="00793D55" w:rsidP="00793D55">
      <w:pPr>
        <w:pStyle w:val="Heading1"/>
        <w:rPr>
          <w:lang w:val="en-GB"/>
        </w:rPr>
      </w:pPr>
      <w:bookmarkStart w:id="20" w:name="_2._CQR_system_1"/>
      <w:bookmarkStart w:id="21" w:name="_Toc175550330"/>
      <w:bookmarkEnd w:id="20"/>
      <w:r>
        <w:rPr>
          <w:lang w:val="en-GB"/>
        </w:rPr>
        <w:lastRenderedPageBreak/>
        <w:t>2.</w:t>
      </w:r>
      <w:r>
        <w:rPr>
          <w:lang w:val="en-GB"/>
        </w:rPr>
        <w:tab/>
      </w:r>
      <w:r w:rsidRPr="00793D55">
        <w:rPr>
          <w:lang w:val="en-GB"/>
        </w:rPr>
        <w:t>CQR system and process recommendation</w:t>
      </w:r>
      <w:bookmarkEnd w:id="21"/>
    </w:p>
    <w:p w14:paraId="260B407D" w14:textId="03D4017C" w:rsidR="00793D55" w:rsidRDefault="00793D55" w:rsidP="00793D55">
      <w:r w:rsidRPr="00793D55">
        <w:rPr>
          <w:lang w:val="en-GB"/>
        </w:rPr>
        <w:t>This section presents the high-level functions ordinarily undertaken by CQRs. It is intended to articulate the functions at a level that remains true across most registries, rather than at a detailed level that is specific to an individual registry.</w:t>
      </w:r>
    </w:p>
    <w:p w14:paraId="4B65F19C" w14:textId="27060C06" w:rsidR="00192720" w:rsidRPr="00793D55" w:rsidRDefault="00192720" w:rsidP="00793D55">
      <w:pPr>
        <w:spacing w:before="0" w:after="80"/>
        <w:rPr>
          <w:rFonts w:cs="Arial"/>
          <w:b/>
          <w:bCs/>
          <w:color w:val="005370" w:themeColor="text2"/>
          <w:kern w:val="28"/>
          <w:sz w:val="40"/>
          <w:szCs w:val="32"/>
        </w:rPr>
      </w:pPr>
      <w:r w:rsidRPr="00A62049">
        <w:t xml:space="preserve">The high-level functions are illustrated </w:t>
      </w:r>
      <w:r w:rsidRPr="00B34E2C">
        <w:t xml:space="preserve">in </w:t>
      </w:r>
      <w:r w:rsidR="00B34E2C" w:rsidRPr="00330BAA">
        <w:rPr>
          <w:i/>
          <w:iCs/>
        </w:rPr>
        <w:t>Figure 1: High-level clinical quality registry functions</w:t>
      </w:r>
      <w:r w:rsidR="00B34E2C">
        <w:t xml:space="preserve"> </w:t>
      </w:r>
      <w:r w:rsidRPr="00A62049">
        <w:t>and then detailed below to provide a description and context</w:t>
      </w:r>
      <w:r>
        <w:t xml:space="preserve">. They are also cross-referenced </w:t>
      </w:r>
      <w:r w:rsidRPr="00565187">
        <w:t xml:space="preserve">to the </w:t>
      </w:r>
      <w:hyperlink w:anchor="_Appendix_A_–" w:tooltip="Current document - Detailed requirements traceability matrix" w:history="1">
        <w:r w:rsidRPr="00330BAA">
          <w:rPr>
            <w:rStyle w:val="Hyperlink"/>
            <w:i/>
            <w:iCs/>
          </w:rPr>
          <w:t>Detailed requirements traceability matrix</w:t>
        </w:r>
      </w:hyperlink>
      <w:r w:rsidRPr="00565187">
        <w:t>, which is included as Appendix A</w:t>
      </w:r>
      <w:r w:rsidR="00330BAA">
        <w:t>.</w:t>
      </w:r>
    </w:p>
    <w:p w14:paraId="20F2C497" w14:textId="1644F1FB" w:rsidR="00192720" w:rsidRPr="00F428DB" w:rsidRDefault="00192720" w:rsidP="00192720">
      <w:pPr>
        <w:rPr>
          <w:rFonts w:cs="Arial"/>
          <w:szCs w:val="32"/>
        </w:rPr>
      </w:pPr>
      <w:r w:rsidRPr="00F428DB">
        <w:rPr>
          <w:rFonts w:cs="Arial"/>
          <w:szCs w:val="32"/>
        </w:rPr>
        <w:t xml:space="preserve">In </w:t>
      </w:r>
      <w:hyperlink w:anchor="_Appendix_B_–" w:history="1">
        <w:r w:rsidRPr="00330BAA">
          <w:rPr>
            <w:rStyle w:val="Hyperlink"/>
            <w:rFonts w:cs="Arial"/>
            <w:szCs w:val="32"/>
          </w:rPr>
          <w:t>Appendix B</w:t>
        </w:r>
      </w:hyperlink>
      <w:r>
        <w:rPr>
          <w:rFonts w:cs="Arial"/>
          <w:szCs w:val="32"/>
        </w:rPr>
        <w:t>,</w:t>
      </w:r>
      <w:r w:rsidRPr="00F428DB">
        <w:rPr>
          <w:rFonts w:cs="Arial"/>
          <w:szCs w:val="32"/>
        </w:rPr>
        <w:t xml:space="preserve"> requirements have been grouped into the following categories:</w:t>
      </w:r>
    </w:p>
    <w:p w14:paraId="1C6CA34F" w14:textId="77777777" w:rsidR="00192720" w:rsidRPr="00192720" w:rsidRDefault="00192720">
      <w:pPr>
        <w:pStyle w:val="ListParagraph"/>
        <w:numPr>
          <w:ilvl w:val="0"/>
          <w:numId w:val="39"/>
        </w:numPr>
      </w:pPr>
      <w:r w:rsidRPr="00192720">
        <w:rPr>
          <w:b/>
          <w:bCs/>
        </w:rPr>
        <w:t>CQR system and process recommendations:</w:t>
      </w:r>
      <w:r w:rsidRPr="00192720">
        <w:t xml:space="preserve"> These are suggestions for tasks that CQRs can perform to achieve high-level business functions</w:t>
      </w:r>
    </w:p>
    <w:p w14:paraId="0EC1C7FF" w14:textId="77777777" w:rsidR="00192720" w:rsidRPr="00192720" w:rsidRDefault="00192720">
      <w:pPr>
        <w:pStyle w:val="ListParagraph"/>
        <w:numPr>
          <w:ilvl w:val="0"/>
          <w:numId w:val="39"/>
        </w:numPr>
      </w:pPr>
      <w:r w:rsidRPr="00192720">
        <w:rPr>
          <w:b/>
          <w:bCs/>
        </w:rPr>
        <w:t>CQR administrative recommendations:</w:t>
      </w:r>
      <w:r w:rsidRPr="00192720">
        <w:t xml:space="preserve"> This category includes guidelines on how a CQR shall operate administratively</w:t>
      </w:r>
    </w:p>
    <w:p w14:paraId="3B224140" w14:textId="77777777" w:rsidR="00192720" w:rsidRDefault="00192720">
      <w:pPr>
        <w:pStyle w:val="ListParagraph"/>
        <w:numPr>
          <w:ilvl w:val="0"/>
          <w:numId w:val="39"/>
        </w:numPr>
      </w:pPr>
      <w:r w:rsidRPr="00192720">
        <w:rPr>
          <w:b/>
          <w:bCs/>
        </w:rPr>
        <w:t>CQR technical requirements:</w:t>
      </w:r>
      <w:r w:rsidRPr="00192720">
        <w:t xml:space="preserve"> The essential properties and specifications that a CQR must possess.</w:t>
      </w:r>
    </w:p>
    <w:p w14:paraId="32C9DBD2" w14:textId="77777777" w:rsidR="007E6134" w:rsidRDefault="007E6134" w:rsidP="007E6134">
      <w:pPr>
        <w:pStyle w:val="ListParagraph"/>
      </w:pPr>
    </w:p>
    <w:p w14:paraId="2C2E1642" w14:textId="7DC69519" w:rsidR="00192720" w:rsidRPr="007E6134" w:rsidRDefault="007E6134" w:rsidP="007E6134">
      <w:pPr>
        <w:pStyle w:val="FigureTableTitle"/>
        <w:rPr>
          <w:highlight w:val="white"/>
        </w:rPr>
      </w:pPr>
      <w:r w:rsidRPr="001F6326">
        <w:t xml:space="preserve">Figure 1: Functional overview </w:t>
      </w:r>
      <w:r>
        <w:t xml:space="preserve">of </w:t>
      </w:r>
      <w:r w:rsidRPr="001F6326">
        <w:t xml:space="preserve">Australian national </w:t>
      </w:r>
      <w:r>
        <w:t>C</w:t>
      </w:r>
      <w:r w:rsidRPr="001F6326">
        <w:t xml:space="preserve">linical </w:t>
      </w:r>
      <w:r>
        <w:t>Q</w:t>
      </w:r>
      <w:r w:rsidRPr="001F6326">
        <w:t xml:space="preserve">uality </w:t>
      </w:r>
      <w:r>
        <w:t>R</w:t>
      </w:r>
      <w:r w:rsidRPr="001F6326">
        <w:t xml:space="preserve">egistries </w:t>
      </w:r>
    </w:p>
    <w:p w14:paraId="47C6E17F" w14:textId="34F5D2B8" w:rsidR="007E6134" w:rsidRPr="00CD78A7" w:rsidRDefault="00C646CF" w:rsidP="00CD78A7">
      <w:pPr>
        <w:keepLines/>
        <w:rPr>
          <w:rFonts w:ascii="Verdana" w:hAnsi="Verdana"/>
          <w:sz w:val="20"/>
        </w:rPr>
      </w:pPr>
      <w:bookmarkStart w:id="22" w:name="_Toc310690998"/>
      <w:bookmarkStart w:id="23" w:name="_Toc314141483"/>
      <w:bookmarkStart w:id="24" w:name="_Toc340679653"/>
      <w:r>
        <w:rPr>
          <w:rFonts w:ascii="Verdana" w:hAnsi="Verdana"/>
          <w:noProof/>
          <w:sz w:val="20"/>
        </w:rPr>
        <w:drawing>
          <wp:inline distT="0" distB="0" distL="0" distR="0" wp14:anchorId="55A1A393" wp14:editId="79EEDC00">
            <wp:extent cx="5987919" cy="4321743"/>
            <wp:effectExtent l="0" t="0" r="0" b="0"/>
            <wp:docPr id="1589040399" name="Picture 11" descr="Figure 1: Functional overview of Australian national Clinical Quality Regis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40399" name="Picture 11" descr="Figure 1: Functional overview of Australian national Clinical Quality Registries "/>
                    <pic:cNvPicPr/>
                  </pic:nvPicPr>
                  <pic:blipFill>
                    <a:blip r:embed="rId23"/>
                    <a:stretch>
                      <a:fillRect/>
                    </a:stretch>
                  </pic:blipFill>
                  <pic:spPr>
                    <a:xfrm>
                      <a:off x="0" y="0"/>
                      <a:ext cx="5987919" cy="4321743"/>
                    </a:xfrm>
                    <a:prstGeom prst="rect">
                      <a:avLst/>
                    </a:prstGeom>
                  </pic:spPr>
                </pic:pic>
              </a:graphicData>
            </a:graphic>
          </wp:inline>
        </w:drawing>
      </w:r>
    </w:p>
    <w:p w14:paraId="548740F8" w14:textId="046286BD" w:rsidR="00192720" w:rsidRPr="00224EA8" w:rsidRDefault="00192720" w:rsidP="00192720">
      <w:pPr>
        <w:pStyle w:val="Heading2"/>
      </w:pPr>
      <w:bookmarkStart w:id="25" w:name="_Toc158583937"/>
      <w:bookmarkStart w:id="26" w:name="_Toc159324710"/>
      <w:bookmarkStart w:id="27" w:name="_Toc175550331"/>
      <w:r>
        <w:t>2.1</w:t>
      </w:r>
      <w:r w:rsidR="007E6134">
        <w:tab/>
      </w:r>
      <w:r w:rsidRPr="00224EA8">
        <w:t xml:space="preserve">Data </w:t>
      </w:r>
      <w:bookmarkEnd w:id="22"/>
      <w:bookmarkEnd w:id="23"/>
      <w:bookmarkEnd w:id="24"/>
      <w:r>
        <w:t>c</w:t>
      </w:r>
      <w:r w:rsidRPr="00224EA8">
        <w:t>ustodianship</w:t>
      </w:r>
      <w:bookmarkEnd w:id="25"/>
      <w:bookmarkEnd w:id="26"/>
      <w:bookmarkEnd w:id="27"/>
    </w:p>
    <w:p w14:paraId="63D45338" w14:textId="04225A11" w:rsidR="00192720" w:rsidRPr="009A6C5C" w:rsidRDefault="00192720" w:rsidP="00192720">
      <w:r w:rsidRPr="009A6C5C">
        <w:t xml:space="preserve">Formal governance structures must be established to oversee the </w:t>
      </w:r>
      <w:r>
        <w:t>CQR’s</w:t>
      </w:r>
      <w:r w:rsidRPr="009A6C5C">
        <w:t xml:space="preserve"> operation and ensure that</w:t>
      </w:r>
      <w:r>
        <w:t xml:space="preserve"> both</w:t>
      </w:r>
      <w:r w:rsidRPr="009A6C5C">
        <w:t xml:space="preserve"> the corporate and clinical goals of the </w:t>
      </w:r>
      <w:r>
        <w:t>CQR</w:t>
      </w:r>
      <w:r w:rsidRPr="009A6C5C">
        <w:t xml:space="preserve"> are met</w:t>
      </w:r>
      <w:r>
        <w:t xml:space="preserve">. Data governance (as a </w:t>
      </w:r>
      <w:r w:rsidRPr="00EB0A45">
        <w:t xml:space="preserve">component of overall governance) is discussed in </w:t>
      </w:r>
      <w:r w:rsidR="00A27245">
        <w:rPr>
          <w:i/>
          <w:iCs/>
        </w:rPr>
        <w:t xml:space="preserve">Data </w:t>
      </w:r>
      <w:r w:rsidRPr="00EB0A45">
        <w:rPr>
          <w:i/>
          <w:iCs/>
        </w:rPr>
        <w:t>and quality systems</w:t>
      </w:r>
      <w:r w:rsidRPr="00EB0A45">
        <w:t xml:space="preserve"> section of the Framework</w:t>
      </w:r>
      <w:r w:rsidRPr="00EB0A45">
        <w:rPr>
          <w:i/>
          <w:iCs/>
        </w:rPr>
        <w:t>.</w:t>
      </w:r>
    </w:p>
    <w:p w14:paraId="6389761D" w14:textId="15E3440E" w:rsidR="00192720" w:rsidRDefault="00192720" w:rsidP="00192720">
      <w:r>
        <w:lastRenderedPageBreak/>
        <w:t>CQRs</w:t>
      </w:r>
      <w:r w:rsidRPr="009A6C5C">
        <w:t xml:space="preserve"> </w:t>
      </w:r>
      <w:r>
        <w:t>shall</w:t>
      </w:r>
      <w:r w:rsidRPr="009A6C5C">
        <w:t xml:space="preserve"> make clear, publicly available statements of data ownership and data custodianship </w:t>
      </w:r>
      <w:r w:rsidRPr="0087013C">
        <w:t>(</w:t>
      </w:r>
      <w:r w:rsidRPr="005548A2">
        <w:t xml:space="preserve">refer to </w:t>
      </w:r>
      <w:r w:rsidRPr="00011F44">
        <w:rPr>
          <w:i/>
          <w:iCs/>
        </w:rPr>
        <w:t>Operating principle 2: Data governance</w:t>
      </w:r>
      <w:r w:rsidRPr="005548A2">
        <w:t xml:space="preserve"> </w:t>
      </w:r>
      <w:r w:rsidR="00A27245">
        <w:t xml:space="preserve">and </w:t>
      </w:r>
      <w:r w:rsidR="00A27245">
        <w:rPr>
          <w:i/>
          <w:iCs/>
        </w:rPr>
        <w:t xml:space="preserve">Operating principle 8: Data custodianship </w:t>
      </w:r>
      <w:r w:rsidRPr="006A3494">
        <w:t xml:space="preserve">in </w:t>
      </w:r>
      <w:r w:rsidRPr="006C6344">
        <w:rPr>
          <w:szCs w:val="20"/>
        </w:rPr>
        <w:t xml:space="preserve">the </w:t>
      </w:r>
      <w:r w:rsidRPr="00EB028A">
        <w:t>Framework</w:t>
      </w:r>
      <w:r>
        <w:t xml:space="preserve">). </w:t>
      </w:r>
      <w:r w:rsidRPr="009A6C5C">
        <w:t xml:space="preserve">Data custodianship </w:t>
      </w:r>
      <w:r>
        <w:t xml:space="preserve">requires the </w:t>
      </w:r>
      <w:r w:rsidRPr="00BD6707">
        <w:t>safe custody, transport and storage of data</w:t>
      </w:r>
      <w:r>
        <w:t xml:space="preserve">. </w:t>
      </w:r>
      <w:r w:rsidRPr="00EB0A45">
        <w:t xml:space="preserve">It therefore requires policies for data access and reporting that take into account requirements imposed by ethics committees where secondary use of the CQR data are requested. </w:t>
      </w:r>
    </w:p>
    <w:p w14:paraId="2B853085" w14:textId="43AF7BE1" w:rsidR="00192720" w:rsidRPr="009A6C5C" w:rsidRDefault="00192720" w:rsidP="00192720">
      <w:pPr>
        <w:pStyle w:val="Heading3"/>
      </w:pPr>
      <w:bookmarkStart w:id="28" w:name="_Toc310690999"/>
      <w:bookmarkStart w:id="29" w:name="_Toc314141484"/>
      <w:bookmarkStart w:id="30" w:name="_Toc340679654"/>
      <w:bookmarkStart w:id="31" w:name="_Toc158583938"/>
      <w:bookmarkStart w:id="32" w:name="_Toc159324711"/>
      <w:bookmarkStart w:id="33" w:name="_Toc175550332"/>
      <w:r>
        <w:t>2.1.1</w:t>
      </w:r>
      <w:r w:rsidR="007E6134">
        <w:tab/>
      </w:r>
      <w:r w:rsidRPr="009A6C5C">
        <w:t>Define purpose</w:t>
      </w:r>
      <w:bookmarkEnd w:id="28"/>
      <w:bookmarkEnd w:id="29"/>
      <w:bookmarkEnd w:id="30"/>
      <w:bookmarkEnd w:id="31"/>
      <w:bookmarkEnd w:id="32"/>
      <w:bookmarkEnd w:id="33"/>
    </w:p>
    <w:p w14:paraId="2FA32D11" w14:textId="77777777" w:rsidR="00192720" w:rsidRDefault="00192720" w:rsidP="00192720">
      <w:r w:rsidRPr="009A6C5C">
        <w:t xml:space="preserve">To provide maximum value to the health system, </w:t>
      </w:r>
      <w:r w:rsidRPr="0098448F">
        <w:t>CQRs</w:t>
      </w:r>
      <w:r w:rsidRPr="009A6C5C">
        <w:t xml:space="preserve"> must be developed with clear and precisely defined purposes aimed at improving the safety and</w:t>
      </w:r>
      <w:r>
        <w:t xml:space="preserve"> </w:t>
      </w:r>
      <w:r w:rsidRPr="009A6C5C">
        <w:t xml:space="preserve">quality of health care </w:t>
      </w:r>
      <w:r w:rsidRPr="00FB0953">
        <w:t xml:space="preserve">(refer to </w:t>
      </w:r>
      <w:r w:rsidRPr="00011F44">
        <w:rPr>
          <w:i/>
          <w:iCs/>
        </w:rPr>
        <w:t>Operating principle 1: Organisation and governance</w:t>
      </w:r>
      <w:r w:rsidRPr="00FB0953">
        <w:t xml:space="preserve"> in the Framework</w:t>
      </w:r>
      <w:r w:rsidRPr="00EB0A45">
        <w:t xml:space="preserve">). It is noted that where there is a gap in the collection of information on health care within specific clinical domains, a CQR may complement inpatient data with other information to inform improvements in quality of care. </w:t>
      </w:r>
    </w:p>
    <w:p w14:paraId="66CA439A" w14:textId="43B08361" w:rsidR="007E6134" w:rsidRDefault="00192720" w:rsidP="007E6134">
      <w:r w:rsidRPr="006014A0">
        <w:t>A CQR’s purpose must take into account the requirements and needs of CQR stakeholders, particularly in relation to the questions that must be answered through the CQR – both immediately and with consideration of future needs.</w:t>
      </w:r>
    </w:p>
    <w:p w14:paraId="590A384B" w14:textId="77777777" w:rsidR="00FB0619" w:rsidRPr="003C7357" w:rsidRDefault="00FB0619" w:rsidP="007E6134"/>
    <w:tbl>
      <w:tblPr>
        <w:tblStyle w:val="PulloutBox"/>
        <w:tblW w:w="5048" w:type="pct"/>
        <w:shd w:val="clear" w:color="auto" w:fill="F2EFE3"/>
        <w:tblLook w:val="0020" w:firstRow="1" w:lastRow="0" w:firstColumn="0" w:lastColumn="0" w:noHBand="0" w:noVBand="0"/>
        <w:tblDescription w:val="Box 1"/>
      </w:tblPr>
      <w:tblGrid>
        <w:gridCol w:w="9732"/>
      </w:tblGrid>
      <w:tr w:rsidR="00192720" w14:paraId="6178554F" w14:textId="77777777" w:rsidTr="007E6134">
        <w:trPr>
          <w:trHeight w:val="1624"/>
        </w:trPr>
        <w:tc>
          <w:tcPr>
            <w:tcW w:w="5000" w:type="pct"/>
            <w:shd w:val="clear" w:color="auto" w:fill="F2EFE3"/>
            <w:tcMar>
              <w:bottom w:w="0" w:type="dxa"/>
            </w:tcMar>
          </w:tcPr>
          <w:p w14:paraId="514F2411" w14:textId="2BA0BCFB" w:rsidR="007E6134" w:rsidRPr="00192720" w:rsidRDefault="007E6134" w:rsidP="007E6134">
            <w:pPr>
              <w:rPr>
                <w:b/>
                <w:bCs/>
              </w:rPr>
            </w:pPr>
            <w:r w:rsidRPr="00192720">
              <w:rPr>
                <w:b/>
                <w:bCs/>
                <w:lang w:val="en-GB"/>
              </w:rPr>
              <w:t xml:space="preserve">Requirements specification (for detail, refer to </w:t>
            </w:r>
            <w:hyperlink w:anchor="_Appendix_A_–" w:tooltip="Current document - Appendix A: Detailed requirements traceability matrix" w:history="1">
              <w:r w:rsidRPr="00330BAA">
                <w:rPr>
                  <w:rStyle w:val="Hyperlink"/>
                  <w:b/>
                  <w:bCs/>
                  <w:i/>
                  <w:iCs/>
                  <w:lang w:val="en-GB"/>
                </w:rPr>
                <w:t>Appendix A: Detailed requirements traceability matrix</w:t>
              </w:r>
            </w:hyperlink>
            <w:r w:rsidRPr="00192720">
              <w:rPr>
                <w:b/>
                <w:bCs/>
                <w:lang w:val="en-GB"/>
              </w:rPr>
              <w:t>)</w:t>
            </w:r>
          </w:p>
          <w:p w14:paraId="642770B9" w14:textId="77777777" w:rsidR="007E6134" w:rsidRPr="005D4C48" w:rsidRDefault="007E6134">
            <w:pPr>
              <w:pStyle w:val="ListParagraph"/>
              <w:numPr>
                <w:ilvl w:val="0"/>
                <w:numId w:val="40"/>
              </w:numPr>
            </w:pPr>
            <w:r w:rsidRPr="005D4C48">
              <w:t xml:space="preserve">B09 Identifying information to support </w:t>
            </w:r>
            <w:r>
              <w:t>CQR</w:t>
            </w:r>
            <w:r w:rsidRPr="005D4C48">
              <w:t xml:space="preserve"> purpose </w:t>
            </w:r>
          </w:p>
          <w:p w14:paraId="39A747C0" w14:textId="71DE9604" w:rsidR="00192720" w:rsidRPr="007E6134" w:rsidRDefault="007E6134">
            <w:pPr>
              <w:pStyle w:val="ListParagraph"/>
              <w:numPr>
                <w:ilvl w:val="0"/>
                <w:numId w:val="40"/>
              </w:numPr>
            </w:pPr>
            <w:r w:rsidRPr="005D4C48">
              <w:t xml:space="preserve">B22 Public information about </w:t>
            </w:r>
            <w:r>
              <w:t>CQR</w:t>
            </w:r>
            <w:r w:rsidRPr="005D4C48">
              <w:t xml:space="preserve"> purpose</w:t>
            </w:r>
            <w:r>
              <w:t>.</w:t>
            </w:r>
          </w:p>
        </w:tc>
      </w:tr>
    </w:tbl>
    <w:p w14:paraId="552CED4B" w14:textId="5AA630E5" w:rsidR="00192720" w:rsidRPr="009A6C5C" w:rsidRDefault="007E6134" w:rsidP="00192720">
      <w:pPr>
        <w:pStyle w:val="Heading3"/>
      </w:pPr>
      <w:bookmarkStart w:id="34" w:name="_Toc310691000"/>
      <w:bookmarkStart w:id="35" w:name="_Toc314141485"/>
      <w:bookmarkStart w:id="36" w:name="_Toc340679655"/>
      <w:bookmarkStart w:id="37" w:name="_Toc158583939"/>
      <w:bookmarkStart w:id="38" w:name="_Toc159324712"/>
      <w:bookmarkStart w:id="39" w:name="_Toc175550333"/>
      <w:r>
        <w:t>2.1.2</w:t>
      </w:r>
      <w:r>
        <w:tab/>
      </w:r>
      <w:r w:rsidR="00192720" w:rsidRPr="009A6C5C">
        <w:t xml:space="preserve">Define </w:t>
      </w:r>
      <w:bookmarkEnd w:id="34"/>
      <w:bookmarkEnd w:id="35"/>
      <w:bookmarkEnd w:id="36"/>
      <w:r w:rsidR="00192720">
        <w:t>scope</w:t>
      </w:r>
      <w:bookmarkEnd w:id="37"/>
      <w:bookmarkEnd w:id="38"/>
      <w:bookmarkEnd w:id="39"/>
    </w:p>
    <w:p w14:paraId="37982812" w14:textId="1D6FC629" w:rsidR="00192720" w:rsidRDefault="00192720" w:rsidP="00192720">
      <w:pPr>
        <w:pStyle w:val="BodyText"/>
      </w:pPr>
      <w:r w:rsidRPr="009A6C5C">
        <w:t xml:space="preserve">Clinical quality registries need to clearly define the </w:t>
      </w:r>
      <w:r>
        <w:t xml:space="preserve">scope of the clinical outcomes that are analysed and reported so that the </w:t>
      </w:r>
      <w:r w:rsidRPr="009A6C5C">
        <w:t xml:space="preserve">eligibility criteria, or common circumstance, that determines inclusion in the </w:t>
      </w:r>
      <w:r>
        <w:t>CQR is clear. CQRs</w:t>
      </w:r>
      <w:r w:rsidRPr="009A6C5C">
        <w:t xml:space="preserve"> </w:t>
      </w:r>
      <w:r>
        <w:t>shall</w:t>
      </w:r>
      <w:r w:rsidRPr="009A6C5C">
        <w:t xml:space="preserve"> publish </w:t>
      </w:r>
      <w:r>
        <w:t xml:space="preserve">scope and </w:t>
      </w:r>
      <w:r w:rsidRPr="009A6C5C">
        <w:t xml:space="preserve">eligibility criteria on a publicly accessible </w:t>
      </w:r>
      <w:r w:rsidRPr="0087013C">
        <w:t xml:space="preserve">website </w:t>
      </w:r>
      <w:r w:rsidRPr="006A3494">
        <w:t xml:space="preserve">(refer to </w:t>
      </w:r>
      <w:r w:rsidR="00833852">
        <w:rPr>
          <w:i/>
          <w:iCs/>
        </w:rPr>
        <w:t>Data</w:t>
      </w:r>
      <w:r w:rsidRPr="00A416B0">
        <w:rPr>
          <w:i/>
          <w:iCs/>
        </w:rPr>
        <w:t xml:space="preserve"> and quality systems</w:t>
      </w:r>
      <w:r>
        <w:t xml:space="preserve"> in the</w:t>
      </w:r>
      <w:r w:rsidRPr="006C6344">
        <w:rPr>
          <w:szCs w:val="20"/>
        </w:rPr>
        <w:t xml:space="preserve"> Framework</w:t>
      </w:r>
      <w:r>
        <w:rPr>
          <w:szCs w:val="20"/>
        </w:rPr>
        <w:t>).</w:t>
      </w:r>
    </w:p>
    <w:p w14:paraId="1AC8FA11" w14:textId="2DF656F1" w:rsidR="007E6134" w:rsidRDefault="00192720" w:rsidP="007E6134">
      <w:pPr>
        <w:pStyle w:val="BodyText"/>
      </w:pPr>
      <w:r>
        <w:t>Where business rules or other advanced data query approaches</w:t>
      </w:r>
      <w:r w:rsidR="00071E57">
        <w:t>,</w:t>
      </w:r>
      <w:r>
        <w:t xml:space="preserve"> including Natural Language Processing (NLP)</w:t>
      </w:r>
      <w:r w:rsidR="00071E57">
        <w:t>,</w:t>
      </w:r>
      <w:r>
        <w:t xml:space="preserve"> are used to automate the extraction of eligible records, the business rules or algorithms shall be available for review.</w:t>
      </w:r>
    </w:p>
    <w:p w14:paraId="420693D6" w14:textId="77777777" w:rsidR="00BF7DA5" w:rsidRPr="003C7357" w:rsidRDefault="00BF7DA5" w:rsidP="007E6134">
      <w:pPr>
        <w:pStyle w:val="BodyText"/>
      </w:pPr>
    </w:p>
    <w:tbl>
      <w:tblPr>
        <w:tblStyle w:val="PulloutBox"/>
        <w:tblW w:w="5048" w:type="pct"/>
        <w:shd w:val="clear" w:color="auto" w:fill="F2EFE3"/>
        <w:tblLook w:val="0020" w:firstRow="1" w:lastRow="0" w:firstColumn="0" w:lastColumn="0" w:noHBand="0" w:noVBand="0"/>
        <w:tblDescription w:val="Box 1"/>
      </w:tblPr>
      <w:tblGrid>
        <w:gridCol w:w="9732"/>
      </w:tblGrid>
      <w:tr w:rsidR="007E6134" w14:paraId="687EF166" w14:textId="77777777" w:rsidTr="007E6134">
        <w:trPr>
          <w:trHeight w:val="2924"/>
        </w:trPr>
        <w:tc>
          <w:tcPr>
            <w:tcW w:w="5000" w:type="pct"/>
            <w:shd w:val="clear" w:color="auto" w:fill="F2EFE3"/>
            <w:tcMar>
              <w:bottom w:w="0" w:type="dxa"/>
            </w:tcMar>
          </w:tcPr>
          <w:p w14:paraId="31BB4F1C" w14:textId="0F973EAA" w:rsidR="00330BAA" w:rsidRPr="00192720" w:rsidRDefault="007E6134" w:rsidP="00330BAA">
            <w:pPr>
              <w:rPr>
                <w:b/>
                <w:bCs/>
              </w:rPr>
            </w:pPr>
            <w:r w:rsidRPr="007E6134">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77BA2337" w14:textId="79D6AFF2" w:rsidR="007E6134" w:rsidRDefault="007E6134">
            <w:pPr>
              <w:pStyle w:val="ListParagraph"/>
              <w:numPr>
                <w:ilvl w:val="0"/>
                <w:numId w:val="45"/>
              </w:numPr>
            </w:pPr>
            <w:r>
              <w:t xml:space="preserve">B01 </w:t>
            </w:r>
            <w:r w:rsidRPr="00876BA2">
              <w:t>Publicly accessible eligibility criteria</w:t>
            </w:r>
          </w:p>
          <w:p w14:paraId="3AE5F422" w14:textId="77777777" w:rsidR="007E6134" w:rsidRPr="00876BA2" w:rsidRDefault="007E6134">
            <w:pPr>
              <w:pStyle w:val="ListParagraph"/>
              <w:numPr>
                <w:ilvl w:val="0"/>
                <w:numId w:val="45"/>
              </w:numPr>
            </w:pPr>
            <w:r w:rsidRPr="00876BA2">
              <w:t>B03 Entire eligible population</w:t>
            </w:r>
          </w:p>
          <w:p w14:paraId="22D39FA2" w14:textId="77777777" w:rsidR="007E6134" w:rsidRPr="00876BA2" w:rsidRDefault="007E6134">
            <w:pPr>
              <w:pStyle w:val="ListParagraph"/>
              <w:numPr>
                <w:ilvl w:val="0"/>
                <w:numId w:val="45"/>
              </w:numPr>
            </w:pPr>
            <w:r w:rsidRPr="00876BA2">
              <w:t>B04 Right to opt-out</w:t>
            </w:r>
          </w:p>
          <w:p w14:paraId="2B9FD72E" w14:textId="77777777" w:rsidR="007E6134" w:rsidRDefault="007E6134">
            <w:pPr>
              <w:pStyle w:val="ListParagraph"/>
              <w:numPr>
                <w:ilvl w:val="0"/>
                <w:numId w:val="45"/>
              </w:numPr>
            </w:pPr>
            <w:r w:rsidRPr="00876BA2">
              <w:t xml:space="preserve">B05 </w:t>
            </w:r>
            <w:r>
              <w:t xml:space="preserve">Voluntary participation </w:t>
            </w:r>
          </w:p>
          <w:p w14:paraId="7120E77F" w14:textId="0083FA6C" w:rsidR="00833852" w:rsidRPr="009A117C" w:rsidRDefault="00833852">
            <w:pPr>
              <w:pStyle w:val="ListParagraph"/>
              <w:numPr>
                <w:ilvl w:val="0"/>
                <w:numId w:val="45"/>
              </w:numPr>
            </w:pPr>
            <w:r w:rsidRPr="00876BA2">
              <w:t>B35 Transparency to data extract logic</w:t>
            </w:r>
          </w:p>
          <w:p w14:paraId="2E0EC492" w14:textId="77777777" w:rsidR="007E6134" w:rsidRPr="00AE55F6" w:rsidRDefault="007E6134">
            <w:pPr>
              <w:pStyle w:val="ListParagraph"/>
              <w:numPr>
                <w:ilvl w:val="0"/>
                <w:numId w:val="45"/>
              </w:numPr>
            </w:pPr>
            <w:r w:rsidRPr="00AE55F6">
              <w:t>F26 Eligibility criteria</w:t>
            </w:r>
          </w:p>
          <w:p w14:paraId="0797EC1C" w14:textId="4FE69006" w:rsidR="007E6134" w:rsidRPr="00876BA2" w:rsidRDefault="007E6134">
            <w:pPr>
              <w:pStyle w:val="ListParagraph"/>
              <w:numPr>
                <w:ilvl w:val="0"/>
                <w:numId w:val="45"/>
              </w:numPr>
            </w:pPr>
            <w:r w:rsidRPr="00876BA2">
              <w:t>F27 Automatic updates to eligibility criteria and data specifications</w:t>
            </w:r>
            <w:r w:rsidR="00833852">
              <w:t>.</w:t>
            </w:r>
          </w:p>
          <w:p w14:paraId="6E6309E1" w14:textId="3AD10FFD" w:rsidR="007E6134" w:rsidRPr="007E6134" w:rsidRDefault="007E6134" w:rsidP="00910141">
            <w:pPr>
              <w:pStyle w:val="ListParagraph"/>
            </w:pPr>
          </w:p>
        </w:tc>
      </w:tr>
    </w:tbl>
    <w:p w14:paraId="33BA59F8" w14:textId="44DE940A" w:rsidR="00192720" w:rsidRPr="009A6C5C" w:rsidRDefault="00365FF7" w:rsidP="00192720">
      <w:pPr>
        <w:pStyle w:val="Heading3"/>
      </w:pPr>
      <w:bookmarkStart w:id="40" w:name="_Toc310691001"/>
      <w:bookmarkStart w:id="41" w:name="_Toc314141486"/>
      <w:bookmarkStart w:id="42" w:name="_Toc340679656"/>
      <w:bookmarkStart w:id="43" w:name="_Toc158583940"/>
      <w:bookmarkStart w:id="44" w:name="_Toc159324713"/>
      <w:r>
        <w:lastRenderedPageBreak/>
        <w:br/>
      </w:r>
      <w:bookmarkStart w:id="45" w:name="_Toc175550334"/>
      <w:r w:rsidR="007E6134">
        <w:t>2.1.3</w:t>
      </w:r>
      <w:r w:rsidR="007E6134">
        <w:tab/>
      </w:r>
      <w:r w:rsidR="00192720" w:rsidRPr="009A6C5C">
        <w:t>Define minimum data</w:t>
      </w:r>
      <w:r w:rsidR="00192720">
        <w:t>s</w:t>
      </w:r>
      <w:r w:rsidR="00192720" w:rsidRPr="009A6C5C">
        <w:t>et</w:t>
      </w:r>
      <w:bookmarkEnd w:id="40"/>
      <w:bookmarkEnd w:id="41"/>
      <w:bookmarkEnd w:id="42"/>
      <w:bookmarkEnd w:id="43"/>
      <w:bookmarkEnd w:id="44"/>
      <w:bookmarkEnd w:id="45"/>
    </w:p>
    <w:p w14:paraId="0103784D" w14:textId="2C1CD808" w:rsidR="00192720" w:rsidRPr="009A6C5C" w:rsidRDefault="00192720" w:rsidP="007E6134">
      <w:r>
        <w:t>To successfully fulfil its intended purpose, CQRs</w:t>
      </w:r>
      <w:r w:rsidRPr="009A6C5C">
        <w:t xml:space="preserve"> need </w:t>
      </w:r>
      <w:r>
        <w:t xml:space="preserve">to </w:t>
      </w:r>
      <w:r w:rsidRPr="009A6C5C">
        <w:t xml:space="preserve">define the minimum dataset required. Data collected by the </w:t>
      </w:r>
      <w:r>
        <w:t>CQR</w:t>
      </w:r>
      <w:r w:rsidRPr="009A6C5C">
        <w:t xml:space="preserve"> </w:t>
      </w:r>
      <w:r>
        <w:t>shall</w:t>
      </w:r>
      <w:r w:rsidRPr="009A6C5C">
        <w:t xml:space="preserve"> be confined to items that relate to a specific case </w:t>
      </w:r>
      <w:r w:rsidRPr="0087013C">
        <w:t>definition</w:t>
      </w:r>
      <w:r>
        <w:t>. CQR</w:t>
      </w:r>
      <w:r w:rsidRPr="009A6C5C">
        <w:t xml:space="preserve"> systems support the maintenance of their minimum dataset through the ability to:</w:t>
      </w:r>
    </w:p>
    <w:p w14:paraId="7D2ADBAA" w14:textId="77777777" w:rsidR="00192720" w:rsidRPr="007E6134" w:rsidRDefault="00192720">
      <w:pPr>
        <w:pStyle w:val="ListParagraph"/>
        <w:numPr>
          <w:ilvl w:val="0"/>
          <w:numId w:val="42"/>
        </w:numPr>
      </w:pPr>
      <w:r w:rsidRPr="007E6134">
        <w:t>Maintain data definitions and descriptions for each data element and its usage</w:t>
      </w:r>
    </w:p>
    <w:p w14:paraId="703A03B7" w14:textId="77777777" w:rsidR="00192720" w:rsidRPr="007E6134" w:rsidRDefault="00192720">
      <w:pPr>
        <w:pStyle w:val="ListParagraph"/>
        <w:numPr>
          <w:ilvl w:val="0"/>
          <w:numId w:val="42"/>
        </w:numPr>
      </w:pPr>
      <w:r w:rsidRPr="007E6134">
        <w:t>Retire data elements to ensure that information that is no longer relevant or required for analysis is deactivated and no longer collected</w:t>
      </w:r>
    </w:p>
    <w:p w14:paraId="7CAD6B8D" w14:textId="77777777" w:rsidR="00192720" w:rsidRPr="007E6134" w:rsidRDefault="00192720">
      <w:pPr>
        <w:pStyle w:val="ListParagraph"/>
        <w:numPr>
          <w:ilvl w:val="0"/>
          <w:numId w:val="42"/>
        </w:numPr>
      </w:pPr>
      <w:r w:rsidRPr="007E6134">
        <w:t>Be able to manage changes to business rules over time and identify business rules that were active on a particular date/time</w:t>
      </w:r>
    </w:p>
    <w:p w14:paraId="24040BF7" w14:textId="77777777" w:rsidR="00192720" w:rsidRPr="007E6134" w:rsidRDefault="00192720">
      <w:pPr>
        <w:pStyle w:val="ListParagraph"/>
        <w:numPr>
          <w:ilvl w:val="0"/>
          <w:numId w:val="42"/>
        </w:numPr>
      </w:pPr>
      <w:r w:rsidRPr="007E6134">
        <w:t>Support the ageing of metadata by maintaining accurate links with reference data over time to avoid loss of context with reference data associations</w:t>
      </w:r>
    </w:p>
    <w:p w14:paraId="4A4BD36E" w14:textId="77777777" w:rsidR="00192720" w:rsidRPr="007E6134" w:rsidRDefault="00192720">
      <w:pPr>
        <w:pStyle w:val="ListParagraph"/>
        <w:numPr>
          <w:ilvl w:val="0"/>
          <w:numId w:val="42"/>
        </w:numPr>
      </w:pPr>
      <w:r w:rsidRPr="007E6134">
        <w:t>Clearly identify sources of reference data as well as reference data currently in their data dictionary.</w:t>
      </w:r>
    </w:p>
    <w:p w14:paraId="2B236E55" w14:textId="7B166D32" w:rsidR="007E6134" w:rsidRDefault="00192720" w:rsidP="007E6134">
      <w:r>
        <w:t>CQR</w:t>
      </w:r>
      <w:r w:rsidRPr="009A6C5C">
        <w:t xml:space="preserve"> datasets </w:t>
      </w:r>
      <w:r>
        <w:t>shall</w:t>
      </w:r>
      <w:r w:rsidRPr="009A6C5C">
        <w:t xml:space="preserve"> be compliant, wherever possible, with </w:t>
      </w:r>
      <w:r w:rsidRPr="00D037CB">
        <w:t>METeOR;</w:t>
      </w:r>
      <w:r w:rsidRPr="009A6C5C">
        <w:t xml:space="preserve"> Australia’s repository for national metadata standards for health, housing and community services statistics and information</w:t>
      </w:r>
      <w:r w:rsidR="00BF7DA5">
        <w:t>.</w:t>
      </w:r>
      <w:r w:rsidR="00BF7DA5" w:rsidRPr="00BF7DA5">
        <w:rPr>
          <w:vertAlign w:val="superscript"/>
        </w:rPr>
        <w:t>1</w:t>
      </w:r>
      <w:r w:rsidR="00BF7DA5">
        <w:t xml:space="preserve"> </w:t>
      </w:r>
      <w:r w:rsidRPr="009A6C5C">
        <w:t xml:space="preserve">This approach will support easier information sharing between </w:t>
      </w:r>
      <w:r>
        <w:t>CQRs</w:t>
      </w:r>
      <w:r w:rsidRPr="009A6C5C">
        <w:t xml:space="preserve"> and other healthcare organisations</w:t>
      </w:r>
      <w:r>
        <w:t xml:space="preserve">. </w:t>
      </w:r>
    </w:p>
    <w:p w14:paraId="1E1C783F" w14:textId="77777777" w:rsidR="007E6134" w:rsidRPr="003C7357" w:rsidRDefault="007E6134" w:rsidP="007E6134"/>
    <w:tbl>
      <w:tblPr>
        <w:tblStyle w:val="PulloutBox"/>
        <w:tblW w:w="5048" w:type="pct"/>
        <w:shd w:val="clear" w:color="auto" w:fill="F2EFE3"/>
        <w:tblLook w:val="0020" w:firstRow="1" w:lastRow="0" w:firstColumn="0" w:lastColumn="0" w:noHBand="0" w:noVBand="0"/>
        <w:tblDescription w:val="Box 1"/>
      </w:tblPr>
      <w:tblGrid>
        <w:gridCol w:w="9732"/>
      </w:tblGrid>
      <w:tr w:rsidR="007E6134" w14:paraId="271918E6" w14:textId="77777777" w:rsidTr="008824DC">
        <w:trPr>
          <w:trHeight w:val="4672"/>
        </w:trPr>
        <w:tc>
          <w:tcPr>
            <w:tcW w:w="5000" w:type="pct"/>
            <w:shd w:val="clear" w:color="auto" w:fill="F2EFE3"/>
            <w:tcMar>
              <w:bottom w:w="0" w:type="dxa"/>
            </w:tcMar>
          </w:tcPr>
          <w:p w14:paraId="07699949" w14:textId="4E18F496" w:rsidR="00330BAA" w:rsidRPr="00192720" w:rsidRDefault="007E6134" w:rsidP="00330BAA">
            <w:pPr>
              <w:rPr>
                <w:b/>
                <w:bCs/>
              </w:rPr>
            </w:pPr>
            <w:r w:rsidRPr="007E6134">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2CBC8C8D" w14:textId="792A35C5" w:rsidR="007E6134" w:rsidRPr="00876BA2" w:rsidRDefault="007E6134">
            <w:pPr>
              <w:pStyle w:val="ListParagraph"/>
              <w:numPr>
                <w:ilvl w:val="0"/>
                <w:numId w:val="44"/>
              </w:numPr>
            </w:pPr>
            <w:r w:rsidRPr="00876BA2">
              <w:t xml:space="preserve">B02 Publicly accessible data specifications </w:t>
            </w:r>
          </w:p>
          <w:p w14:paraId="5868D4AA" w14:textId="77777777" w:rsidR="007E6134" w:rsidRDefault="007E6134">
            <w:pPr>
              <w:pStyle w:val="ListParagraph"/>
              <w:numPr>
                <w:ilvl w:val="0"/>
                <w:numId w:val="44"/>
              </w:numPr>
            </w:pPr>
            <w:r w:rsidRPr="00876BA2">
              <w:t>B08 Publication of metadata, data dictionaries and indicators</w:t>
            </w:r>
          </w:p>
          <w:p w14:paraId="48B3569F" w14:textId="77777777" w:rsidR="007E6134" w:rsidRPr="00876BA2" w:rsidRDefault="007E6134">
            <w:pPr>
              <w:pStyle w:val="ListParagraph"/>
              <w:numPr>
                <w:ilvl w:val="0"/>
                <w:numId w:val="44"/>
              </w:numPr>
            </w:pPr>
            <w:r w:rsidRPr="00876BA2">
              <w:t>F08 Multiple unique healthcare identifiers</w:t>
            </w:r>
          </w:p>
          <w:p w14:paraId="230EFBF0" w14:textId="77777777" w:rsidR="007E6134" w:rsidRPr="00876BA2" w:rsidRDefault="007E6134">
            <w:pPr>
              <w:pStyle w:val="ListParagraph"/>
              <w:numPr>
                <w:ilvl w:val="0"/>
                <w:numId w:val="44"/>
              </w:numPr>
            </w:pPr>
            <w:r w:rsidRPr="00876BA2">
              <w:t>F09 Unique identifiers for patients, providers and products</w:t>
            </w:r>
          </w:p>
          <w:p w14:paraId="10E3E86D" w14:textId="77777777" w:rsidR="007E6134" w:rsidRPr="00876BA2" w:rsidRDefault="007E6134">
            <w:pPr>
              <w:pStyle w:val="ListParagraph"/>
              <w:numPr>
                <w:ilvl w:val="0"/>
                <w:numId w:val="44"/>
              </w:numPr>
            </w:pPr>
            <w:r w:rsidRPr="00876BA2">
              <w:t>F78 Use of Individual Healthcare Identifiers</w:t>
            </w:r>
          </w:p>
          <w:p w14:paraId="125866F5" w14:textId="77777777" w:rsidR="007E6134" w:rsidRPr="00AE55F6" w:rsidRDefault="007E6134">
            <w:pPr>
              <w:pStyle w:val="ListParagraph"/>
              <w:numPr>
                <w:ilvl w:val="0"/>
                <w:numId w:val="44"/>
              </w:numPr>
            </w:pPr>
            <w:r w:rsidRPr="00876BA2">
              <w:t>F80 Record that patient has been informed of participation</w:t>
            </w:r>
          </w:p>
          <w:p w14:paraId="647271CF" w14:textId="77777777" w:rsidR="007E6134" w:rsidRPr="00876BA2" w:rsidRDefault="007E6134">
            <w:pPr>
              <w:pStyle w:val="ListParagraph"/>
              <w:numPr>
                <w:ilvl w:val="0"/>
                <w:numId w:val="44"/>
              </w:numPr>
            </w:pPr>
            <w:r w:rsidRPr="00876BA2">
              <w:t>F82 Data definitions</w:t>
            </w:r>
          </w:p>
          <w:p w14:paraId="158503DE" w14:textId="77777777" w:rsidR="007E6134" w:rsidRPr="00876BA2" w:rsidRDefault="007E6134">
            <w:pPr>
              <w:pStyle w:val="ListParagraph"/>
              <w:numPr>
                <w:ilvl w:val="0"/>
                <w:numId w:val="44"/>
              </w:numPr>
            </w:pPr>
            <w:r w:rsidRPr="00876BA2">
              <w:t>F83 Retire data elements</w:t>
            </w:r>
          </w:p>
          <w:p w14:paraId="2AF2242E" w14:textId="77777777" w:rsidR="007E6134" w:rsidRPr="00876BA2" w:rsidRDefault="007E6134">
            <w:pPr>
              <w:pStyle w:val="ListParagraph"/>
              <w:numPr>
                <w:ilvl w:val="0"/>
                <w:numId w:val="44"/>
              </w:numPr>
            </w:pPr>
            <w:r w:rsidRPr="00876BA2">
              <w:t>F84 Time variant data</w:t>
            </w:r>
          </w:p>
          <w:p w14:paraId="2662CBF5" w14:textId="77777777" w:rsidR="007E6134" w:rsidRPr="00876BA2" w:rsidRDefault="007E6134">
            <w:pPr>
              <w:pStyle w:val="ListParagraph"/>
              <w:numPr>
                <w:ilvl w:val="0"/>
                <w:numId w:val="44"/>
              </w:numPr>
            </w:pPr>
            <w:r w:rsidRPr="00876BA2">
              <w:t xml:space="preserve">F85 Manage business rules </w:t>
            </w:r>
          </w:p>
          <w:p w14:paraId="37374847" w14:textId="77777777" w:rsidR="007E6134" w:rsidRPr="00876BA2" w:rsidRDefault="007E6134">
            <w:pPr>
              <w:pStyle w:val="ListParagraph"/>
              <w:numPr>
                <w:ilvl w:val="0"/>
                <w:numId w:val="44"/>
              </w:numPr>
            </w:pPr>
            <w:r w:rsidRPr="00876BA2">
              <w:t>F86 Reference data integrity</w:t>
            </w:r>
          </w:p>
          <w:p w14:paraId="5EDC9033" w14:textId="77777777" w:rsidR="007E6134" w:rsidRPr="00876BA2" w:rsidRDefault="007E6134">
            <w:pPr>
              <w:pStyle w:val="ListParagraph"/>
              <w:numPr>
                <w:ilvl w:val="0"/>
                <w:numId w:val="44"/>
              </w:numPr>
            </w:pPr>
            <w:r w:rsidRPr="00876BA2">
              <w:t>F89 Support for data retrieval</w:t>
            </w:r>
          </w:p>
          <w:p w14:paraId="10B912F6" w14:textId="2AE1DB96" w:rsidR="007E6134" w:rsidRPr="007E6134" w:rsidRDefault="007E6134">
            <w:pPr>
              <w:pStyle w:val="ListParagraph"/>
              <w:numPr>
                <w:ilvl w:val="0"/>
                <w:numId w:val="44"/>
              </w:numPr>
            </w:pPr>
            <w:r w:rsidRPr="00876BA2">
              <w:t>F90 Reference data sources</w:t>
            </w:r>
            <w:r>
              <w:t>.</w:t>
            </w:r>
          </w:p>
        </w:tc>
      </w:tr>
    </w:tbl>
    <w:p w14:paraId="5D3365FF" w14:textId="10A62AD5" w:rsidR="00192720" w:rsidRPr="009A6C5C" w:rsidRDefault="007E6134" w:rsidP="00192720">
      <w:pPr>
        <w:pStyle w:val="Heading3"/>
      </w:pPr>
      <w:bookmarkStart w:id="46" w:name="_Toc310691002"/>
      <w:bookmarkStart w:id="47" w:name="_Toc314141487"/>
      <w:bookmarkStart w:id="48" w:name="_Toc340679657"/>
      <w:bookmarkStart w:id="49" w:name="_Toc158583941"/>
      <w:bookmarkStart w:id="50" w:name="_Toc159324714"/>
      <w:bookmarkStart w:id="51" w:name="_Toc175550335"/>
      <w:r>
        <w:t>2.1.4</w:t>
      </w:r>
      <w:r>
        <w:tab/>
      </w:r>
      <w:r w:rsidR="00192720" w:rsidRPr="009A6C5C">
        <w:t xml:space="preserve">Define </w:t>
      </w:r>
      <w:bookmarkEnd w:id="46"/>
      <w:bookmarkEnd w:id="47"/>
      <w:bookmarkEnd w:id="48"/>
      <w:r w:rsidR="00192720">
        <w:t>u</w:t>
      </w:r>
      <w:r w:rsidR="00192720" w:rsidRPr="009A6C5C">
        <w:t>se</w:t>
      </w:r>
      <w:bookmarkEnd w:id="49"/>
      <w:bookmarkEnd w:id="50"/>
      <w:bookmarkEnd w:id="51"/>
    </w:p>
    <w:p w14:paraId="17DCCFDD" w14:textId="77777777" w:rsidR="00192720" w:rsidRDefault="00192720" w:rsidP="007E6134">
      <w:r>
        <w:t>CQRs</w:t>
      </w:r>
      <w:r w:rsidRPr="009A6C5C">
        <w:t xml:space="preserve"> </w:t>
      </w:r>
      <w:r>
        <w:t>shall</w:t>
      </w:r>
      <w:r w:rsidRPr="009A6C5C">
        <w:t xml:space="preserve"> make clear statements of data ownership and data custodianship and make data access and reporting policies publicly available </w:t>
      </w:r>
      <w:r w:rsidRPr="0087013C">
        <w:t xml:space="preserve">(refer to </w:t>
      </w:r>
      <w:r w:rsidRPr="009422DF">
        <w:rPr>
          <w:i/>
          <w:iCs/>
        </w:rPr>
        <w:t>Operating principle 8: Data custodianship</w:t>
      </w:r>
      <w:r>
        <w:t xml:space="preserve"> </w:t>
      </w:r>
      <w:r w:rsidRPr="004D230E">
        <w:t>in</w:t>
      </w:r>
      <w:r>
        <w:t xml:space="preserve"> the Framework</w:t>
      </w:r>
      <w:r w:rsidRPr="0087013C">
        <w:t>).</w:t>
      </w:r>
    </w:p>
    <w:p w14:paraId="041DEEC5" w14:textId="77777777" w:rsidR="00BF7DA5" w:rsidRDefault="00BF7DA5" w:rsidP="007E6134"/>
    <w:tbl>
      <w:tblPr>
        <w:tblStyle w:val="PulloutBox"/>
        <w:tblW w:w="5048" w:type="pct"/>
        <w:shd w:val="clear" w:color="auto" w:fill="F2EFE3"/>
        <w:tblLook w:val="0020" w:firstRow="1" w:lastRow="0" w:firstColumn="0" w:lastColumn="0" w:noHBand="0" w:noVBand="0"/>
        <w:tblDescription w:val="Box 1"/>
      </w:tblPr>
      <w:tblGrid>
        <w:gridCol w:w="9732"/>
      </w:tblGrid>
      <w:tr w:rsidR="007E6134" w14:paraId="4CDAD2F1" w14:textId="77777777" w:rsidTr="007E6134">
        <w:trPr>
          <w:trHeight w:val="1432"/>
        </w:trPr>
        <w:tc>
          <w:tcPr>
            <w:tcW w:w="5000" w:type="pct"/>
            <w:shd w:val="clear" w:color="auto" w:fill="F2EFE3"/>
            <w:tcMar>
              <w:bottom w:w="0" w:type="dxa"/>
            </w:tcMar>
          </w:tcPr>
          <w:p w14:paraId="1F7CC6DE" w14:textId="7E3CB0E5" w:rsidR="00330BAA" w:rsidRPr="00192720" w:rsidRDefault="007E6134" w:rsidP="00330BAA">
            <w:pPr>
              <w:rPr>
                <w:b/>
                <w:bCs/>
              </w:rPr>
            </w:pPr>
            <w:r w:rsidRPr="007E6134">
              <w:rPr>
                <w:b/>
                <w:bCs/>
              </w:rPr>
              <w:lastRenderedPageBreak/>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4C72029B" w14:textId="10E5F7BC" w:rsidR="007E6134" w:rsidRPr="007E6134" w:rsidRDefault="007E6134" w:rsidP="00865247">
            <w:pPr>
              <w:pStyle w:val="ListParagraph"/>
              <w:numPr>
                <w:ilvl w:val="0"/>
                <w:numId w:val="43"/>
              </w:numPr>
              <w:spacing w:after="0"/>
              <w:ind w:left="714" w:hanging="357"/>
            </w:pPr>
            <w:r w:rsidRPr="00A32DC9">
              <w:t>B21 Availability of policies</w:t>
            </w:r>
            <w:r>
              <w:t>.</w:t>
            </w:r>
          </w:p>
        </w:tc>
      </w:tr>
    </w:tbl>
    <w:p w14:paraId="4247E026" w14:textId="567A6522" w:rsidR="00192720" w:rsidRPr="009A6C5C" w:rsidRDefault="007E6134" w:rsidP="00192720">
      <w:pPr>
        <w:pStyle w:val="Heading3"/>
      </w:pPr>
      <w:bookmarkStart w:id="52" w:name="_Toc310691003"/>
      <w:bookmarkStart w:id="53" w:name="_Toc314141488"/>
      <w:bookmarkStart w:id="54" w:name="_Toc340679658"/>
      <w:bookmarkStart w:id="55" w:name="_Toc158583942"/>
      <w:bookmarkStart w:id="56" w:name="_Toc159324715"/>
      <w:bookmarkStart w:id="57" w:name="_Toc175550336"/>
      <w:r>
        <w:t>2.1.5</w:t>
      </w:r>
      <w:r>
        <w:tab/>
      </w:r>
      <w:r w:rsidR="00192720" w:rsidRPr="009A6C5C">
        <w:t>Define business processes</w:t>
      </w:r>
      <w:bookmarkEnd w:id="52"/>
      <w:bookmarkEnd w:id="53"/>
      <w:bookmarkEnd w:id="54"/>
      <w:bookmarkEnd w:id="55"/>
      <w:bookmarkEnd w:id="56"/>
      <w:bookmarkEnd w:id="57"/>
    </w:p>
    <w:p w14:paraId="2C1E75AE" w14:textId="463AE1AB" w:rsidR="007E6134" w:rsidRDefault="00192720" w:rsidP="007E6134">
      <w:r>
        <w:t>CQRs</w:t>
      </w:r>
      <w:r w:rsidRPr="009A6C5C">
        <w:t xml:space="preserve"> need to develop and define processes and procedures for data </w:t>
      </w:r>
      <w:r>
        <w:t xml:space="preserve">governance, </w:t>
      </w:r>
      <w:r w:rsidRPr="009A6C5C">
        <w:t>collection, lodgement, storage</w:t>
      </w:r>
      <w:r>
        <w:t>,</w:t>
      </w:r>
      <w:r w:rsidRPr="009A6C5C">
        <w:t xml:space="preserve"> and management</w:t>
      </w:r>
      <w:r>
        <w:t xml:space="preserve">. </w:t>
      </w:r>
      <w:r w:rsidRPr="009A6C5C">
        <w:t xml:space="preserve">Procedures and methods for reporting on quality of care that include processes for addressing outliers of unexplained </w:t>
      </w:r>
      <w:r>
        <w:t xml:space="preserve">variation </w:t>
      </w:r>
      <w:r w:rsidRPr="009A6C5C">
        <w:t xml:space="preserve">must be </w:t>
      </w:r>
      <w:r w:rsidRPr="00DB051B">
        <w:t xml:space="preserve">documented (refer to </w:t>
      </w:r>
      <w:r w:rsidRPr="00DB051B">
        <w:rPr>
          <w:i/>
          <w:iCs/>
        </w:rPr>
        <w:t>Operating principle 1: Organisation and governance</w:t>
      </w:r>
      <w:r w:rsidRPr="00DB051B">
        <w:t xml:space="preserve"> in </w:t>
      </w:r>
      <w:r w:rsidRPr="00DB051B">
        <w:rPr>
          <w:szCs w:val="20"/>
        </w:rPr>
        <w:t>the Framework</w:t>
      </w:r>
      <w:r w:rsidRPr="00DB051B">
        <w:t>).</w:t>
      </w:r>
    </w:p>
    <w:p w14:paraId="24CEC222" w14:textId="77777777" w:rsidR="00BF7DA5" w:rsidRPr="003C7357" w:rsidRDefault="00BF7DA5" w:rsidP="007E6134"/>
    <w:tbl>
      <w:tblPr>
        <w:tblStyle w:val="PulloutBox"/>
        <w:tblW w:w="5048" w:type="pct"/>
        <w:shd w:val="clear" w:color="auto" w:fill="F2EFE3"/>
        <w:tblLook w:val="0020" w:firstRow="1" w:lastRow="0" w:firstColumn="0" w:lastColumn="0" w:noHBand="0" w:noVBand="0"/>
        <w:tblDescription w:val="Box 1"/>
      </w:tblPr>
      <w:tblGrid>
        <w:gridCol w:w="9732"/>
      </w:tblGrid>
      <w:tr w:rsidR="007E6134" w14:paraId="260865E0" w14:textId="77777777" w:rsidTr="008824DC">
        <w:trPr>
          <w:trHeight w:val="2444"/>
        </w:trPr>
        <w:tc>
          <w:tcPr>
            <w:tcW w:w="5000" w:type="pct"/>
            <w:shd w:val="clear" w:color="auto" w:fill="F2EFE3"/>
            <w:tcMar>
              <w:bottom w:w="0" w:type="dxa"/>
            </w:tcMar>
          </w:tcPr>
          <w:p w14:paraId="79E159DF" w14:textId="3A816D1D" w:rsidR="00330BAA" w:rsidRPr="00192720" w:rsidRDefault="007E6134" w:rsidP="00330BAA">
            <w:pPr>
              <w:rPr>
                <w:b/>
                <w:bCs/>
              </w:rPr>
            </w:pPr>
            <w:r w:rsidRPr="007E6134">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3D40E6F6" w14:textId="5541C289" w:rsidR="007E6134" w:rsidRDefault="007E6134">
            <w:pPr>
              <w:pStyle w:val="ListParagraph"/>
              <w:numPr>
                <w:ilvl w:val="0"/>
                <w:numId w:val="40"/>
              </w:numPr>
            </w:pPr>
            <w:r>
              <w:t>B30 Manage registry lifecycle</w:t>
            </w:r>
          </w:p>
          <w:p w14:paraId="7DE94414" w14:textId="77777777" w:rsidR="007E6134" w:rsidRDefault="007E6134">
            <w:pPr>
              <w:pStyle w:val="ListParagraph"/>
              <w:numPr>
                <w:ilvl w:val="0"/>
                <w:numId w:val="40"/>
              </w:numPr>
            </w:pPr>
            <w:r>
              <w:t>B31 Develop and manage registry roadmap</w:t>
            </w:r>
          </w:p>
          <w:p w14:paraId="78E5B5DD" w14:textId="77777777" w:rsidR="007E6134" w:rsidRDefault="007E6134">
            <w:pPr>
              <w:pStyle w:val="ListParagraph"/>
              <w:numPr>
                <w:ilvl w:val="0"/>
                <w:numId w:val="40"/>
              </w:numPr>
            </w:pPr>
            <w:r>
              <w:t xml:space="preserve">B32 Assess registry against </w:t>
            </w:r>
            <w:r w:rsidRPr="0069051B">
              <w:t>the Framework</w:t>
            </w:r>
          </w:p>
          <w:p w14:paraId="1F7ED034" w14:textId="77777777" w:rsidR="007E6134" w:rsidRDefault="007E6134">
            <w:pPr>
              <w:pStyle w:val="ListParagraph"/>
              <w:numPr>
                <w:ilvl w:val="0"/>
                <w:numId w:val="40"/>
              </w:numPr>
            </w:pPr>
            <w:r>
              <w:t>B33 Advise originating organisations of data errors</w:t>
            </w:r>
          </w:p>
          <w:p w14:paraId="21E695AA" w14:textId="18CA5907" w:rsidR="007E6134" w:rsidRPr="007E6134" w:rsidRDefault="007E6134">
            <w:pPr>
              <w:pStyle w:val="ListParagraph"/>
              <w:numPr>
                <w:ilvl w:val="0"/>
                <w:numId w:val="40"/>
              </w:numPr>
            </w:pPr>
            <w:r w:rsidRPr="00876BA2">
              <w:t>B34 Develop, document and maintain processes and procedures</w:t>
            </w:r>
            <w:r>
              <w:t>.</w:t>
            </w:r>
          </w:p>
        </w:tc>
      </w:tr>
    </w:tbl>
    <w:p w14:paraId="0811E817" w14:textId="31241BC6" w:rsidR="00192720" w:rsidRPr="003C482D" w:rsidRDefault="00192720" w:rsidP="007E6134">
      <w:pPr>
        <w:pStyle w:val="Bullet1stlevel"/>
        <w:numPr>
          <w:ilvl w:val="0"/>
          <w:numId w:val="0"/>
        </w:numPr>
        <w:ind w:left="357" w:hanging="357"/>
        <w:rPr>
          <w:rFonts w:ascii="Arial" w:hAnsi="Arial" w:cs="Arial"/>
          <w:sz w:val="22"/>
          <w:szCs w:val="22"/>
        </w:rPr>
      </w:pPr>
      <w:r w:rsidRPr="00876BA2">
        <w:rPr>
          <w:rFonts w:ascii="Arial" w:hAnsi="Arial" w:cs="Arial"/>
          <w:sz w:val="22"/>
          <w:szCs w:val="22"/>
        </w:rPr>
        <w:t xml:space="preserve"> </w:t>
      </w:r>
    </w:p>
    <w:p w14:paraId="32017134" w14:textId="29A9BB99" w:rsidR="00192720" w:rsidRDefault="00BF7DA5" w:rsidP="00192720">
      <w:pPr>
        <w:pStyle w:val="Heading3"/>
      </w:pPr>
      <w:bookmarkStart w:id="58" w:name="_Toc158583943"/>
      <w:bookmarkStart w:id="59" w:name="_Toc159324716"/>
      <w:bookmarkStart w:id="60" w:name="_Toc175550337"/>
      <w:r>
        <w:t>2.1.6</w:t>
      </w:r>
      <w:r>
        <w:tab/>
      </w:r>
      <w:r w:rsidR="00192720">
        <w:t>Comply with legislation and standards</w:t>
      </w:r>
      <w:bookmarkEnd w:id="58"/>
      <w:bookmarkEnd w:id="59"/>
      <w:bookmarkEnd w:id="60"/>
    </w:p>
    <w:p w14:paraId="2B16D1FD" w14:textId="409883CF" w:rsidR="00192720" w:rsidRDefault="00192720" w:rsidP="00BF7DA5">
      <w:r>
        <w:t xml:space="preserve">CQRs will comply with all relevant Commonwealth and state or territory legislation and standards related to the management of data. In addition, CQRs will </w:t>
      </w:r>
      <w:r w:rsidRPr="009704D5">
        <w:t>maintain well-designed legislative compliance processes and incorporate a compliance register to ensure that the organisation’s policies are regularly updated</w:t>
      </w:r>
      <w:r>
        <w:t>.</w:t>
      </w:r>
    </w:p>
    <w:p w14:paraId="0C17FD97" w14:textId="77777777" w:rsidR="00BF7DA5" w:rsidRPr="00BF7DA5" w:rsidRDefault="00BF7DA5" w:rsidP="00BF7DA5"/>
    <w:tbl>
      <w:tblPr>
        <w:tblStyle w:val="PulloutBox"/>
        <w:tblW w:w="5048" w:type="pct"/>
        <w:shd w:val="clear" w:color="auto" w:fill="F2EFE3"/>
        <w:tblLook w:val="0020" w:firstRow="1" w:lastRow="0" w:firstColumn="0" w:lastColumn="0" w:noHBand="0" w:noVBand="0"/>
        <w:tblDescription w:val="Box 1"/>
      </w:tblPr>
      <w:tblGrid>
        <w:gridCol w:w="9732"/>
      </w:tblGrid>
      <w:tr w:rsidR="00BF7DA5" w14:paraId="2B29F74C" w14:textId="77777777" w:rsidTr="00F07AF8">
        <w:trPr>
          <w:trHeight w:val="1624"/>
        </w:trPr>
        <w:tc>
          <w:tcPr>
            <w:tcW w:w="5000" w:type="pct"/>
            <w:shd w:val="clear" w:color="auto" w:fill="F2EFE3"/>
            <w:tcMar>
              <w:bottom w:w="0" w:type="dxa"/>
            </w:tcMar>
          </w:tcPr>
          <w:p w14:paraId="27ECE5AB" w14:textId="4EC9A8F1" w:rsidR="00330BAA" w:rsidRPr="00192720" w:rsidRDefault="00BF7DA5" w:rsidP="00330BAA">
            <w:pPr>
              <w:rPr>
                <w:b/>
                <w:bCs/>
              </w:rPr>
            </w:pPr>
            <w:r w:rsidRPr="00BF7DA5">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5F166FF3" w14:textId="4633AAF6" w:rsidR="00BF7DA5" w:rsidRDefault="00BF7DA5">
            <w:pPr>
              <w:pStyle w:val="ListParagraph"/>
              <w:numPr>
                <w:ilvl w:val="0"/>
                <w:numId w:val="46"/>
              </w:numPr>
            </w:pPr>
            <w:r w:rsidRPr="00A32DC9">
              <w:t>B19 Manage data in accordance with legislation and standards</w:t>
            </w:r>
          </w:p>
          <w:p w14:paraId="6C845125" w14:textId="482F39DD" w:rsidR="00BF7DA5" w:rsidRPr="00BF7DA5" w:rsidRDefault="00BF7DA5">
            <w:pPr>
              <w:pStyle w:val="ListParagraph"/>
              <w:numPr>
                <w:ilvl w:val="0"/>
                <w:numId w:val="46"/>
              </w:numPr>
            </w:pPr>
            <w:r w:rsidRPr="00A32DC9">
              <w:t>B36 Maintain compliance register</w:t>
            </w:r>
            <w:r>
              <w:t>.</w:t>
            </w:r>
          </w:p>
        </w:tc>
      </w:tr>
    </w:tbl>
    <w:p w14:paraId="1E34506C" w14:textId="669F6271" w:rsidR="00192720" w:rsidRPr="00224EA8" w:rsidRDefault="00BF7DA5" w:rsidP="00192720">
      <w:pPr>
        <w:pStyle w:val="Heading2"/>
      </w:pPr>
      <w:bookmarkStart w:id="61" w:name="_Toc310691004"/>
      <w:bookmarkStart w:id="62" w:name="_Toc314141489"/>
      <w:bookmarkStart w:id="63" w:name="_Toc340679659"/>
      <w:bookmarkStart w:id="64" w:name="_Toc158583944"/>
      <w:bookmarkStart w:id="65" w:name="_Toc159324717"/>
      <w:bookmarkStart w:id="66" w:name="_Toc175550338"/>
      <w:r>
        <w:t>2.2</w:t>
      </w:r>
      <w:r>
        <w:tab/>
      </w:r>
      <w:r w:rsidR="00192720" w:rsidRPr="00224EA8">
        <w:t>Provider enrolment</w:t>
      </w:r>
      <w:bookmarkEnd w:id="61"/>
      <w:bookmarkEnd w:id="62"/>
      <w:bookmarkEnd w:id="63"/>
      <w:bookmarkEnd w:id="64"/>
      <w:bookmarkEnd w:id="65"/>
      <w:bookmarkEnd w:id="66"/>
    </w:p>
    <w:p w14:paraId="57FDF448" w14:textId="77777777" w:rsidR="00192720" w:rsidRPr="009A6C5C" w:rsidRDefault="00192720" w:rsidP="00BF7DA5">
      <w:r w:rsidRPr="009A6C5C">
        <w:t xml:space="preserve">Provider enrolment relates to enrolling participating institutions, units and/or clinicians as providers of data to an Australian </w:t>
      </w:r>
      <w:r>
        <w:t>CQR</w:t>
      </w:r>
      <w:r w:rsidRPr="009A6C5C">
        <w:t>.</w:t>
      </w:r>
      <w:r>
        <w:t xml:space="preserve"> </w:t>
      </w:r>
    </w:p>
    <w:p w14:paraId="65E97A5A" w14:textId="77777777" w:rsidR="00DE5429" w:rsidRDefault="00DE5429">
      <w:pPr>
        <w:spacing w:before="0" w:after="80"/>
        <w:rPr>
          <w:rFonts w:cs="Arial"/>
          <w:b/>
          <w:bCs/>
          <w:iCs/>
          <w:color w:val="005370" w:themeColor="text2"/>
          <w:kern w:val="28"/>
          <w:sz w:val="28"/>
          <w:szCs w:val="26"/>
        </w:rPr>
      </w:pPr>
      <w:bookmarkStart w:id="67" w:name="_Toc310691005"/>
      <w:bookmarkStart w:id="68" w:name="_Toc314141490"/>
      <w:bookmarkStart w:id="69" w:name="_Toc340679660"/>
      <w:bookmarkStart w:id="70" w:name="_Toc158583945"/>
      <w:bookmarkStart w:id="71" w:name="_Toc159324718"/>
      <w:bookmarkStart w:id="72" w:name="_Toc175550339"/>
      <w:r>
        <w:br w:type="page"/>
      </w:r>
    </w:p>
    <w:p w14:paraId="44915F13" w14:textId="2D2E57C2" w:rsidR="00192720" w:rsidRPr="009A6C5C" w:rsidRDefault="00BF7DA5" w:rsidP="00192720">
      <w:pPr>
        <w:pStyle w:val="Heading3"/>
      </w:pPr>
      <w:r>
        <w:lastRenderedPageBreak/>
        <w:t>2.2.1</w:t>
      </w:r>
      <w:r>
        <w:tab/>
      </w:r>
      <w:r w:rsidR="00192720" w:rsidRPr="009A6C5C">
        <w:t xml:space="preserve">Publish </w:t>
      </w:r>
      <w:bookmarkEnd w:id="67"/>
      <w:bookmarkEnd w:id="68"/>
      <w:bookmarkEnd w:id="69"/>
      <w:r w:rsidR="00192720">
        <w:t>e</w:t>
      </w:r>
      <w:r w:rsidR="00192720" w:rsidRPr="009A6C5C">
        <w:t>ligibility</w:t>
      </w:r>
      <w:bookmarkEnd w:id="70"/>
      <w:bookmarkEnd w:id="71"/>
      <w:bookmarkEnd w:id="72"/>
    </w:p>
    <w:p w14:paraId="3D952A08" w14:textId="719C55D8" w:rsidR="00BF7DA5" w:rsidRDefault="00192720" w:rsidP="00BF7DA5">
      <w:r>
        <w:t>A publicly accessible</w:t>
      </w:r>
      <w:r w:rsidRPr="009A6C5C">
        <w:t xml:space="preserve"> eligibility criteria enables prospective participating institutions or participating clinicians to identify the purpose of the </w:t>
      </w:r>
      <w:r>
        <w:t>CQR</w:t>
      </w:r>
      <w:r w:rsidRPr="009A6C5C">
        <w:t xml:space="preserve"> and enables others to approach the </w:t>
      </w:r>
      <w:r>
        <w:t>CQR</w:t>
      </w:r>
      <w:r w:rsidRPr="009A6C5C">
        <w:t xml:space="preserve"> in relation to undertaking analys</w:t>
      </w:r>
      <w:r w:rsidRPr="0087013C">
        <w:t xml:space="preserve">is or data </w:t>
      </w:r>
      <w:r w:rsidRPr="00AB2BB3">
        <w:t xml:space="preserve">linkage (refer to </w:t>
      </w:r>
      <w:r w:rsidR="00070F06">
        <w:rPr>
          <w:i/>
          <w:iCs/>
        </w:rPr>
        <w:t>Data</w:t>
      </w:r>
      <w:r w:rsidRPr="00AB2BB3">
        <w:rPr>
          <w:i/>
          <w:iCs/>
        </w:rPr>
        <w:t xml:space="preserve"> and quality systems</w:t>
      </w:r>
      <w:r w:rsidRPr="00AB2BB3">
        <w:t xml:space="preserve"> in </w:t>
      </w:r>
      <w:r w:rsidRPr="00AB2BB3">
        <w:rPr>
          <w:szCs w:val="20"/>
        </w:rPr>
        <w:t>the Framework</w:t>
      </w:r>
      <w:r w:rsidRPr="00AB2BB3">
        <w:t>).</w:t>
      </w:r>
    </w:p>
    <w:p w14:paraId="708FD847" w14:textId="77777777" w:rsidR="00BF7DA5" w:rsidRDefault="00BF7DA5" w:rsidP="00BF7DA5"/>
    <w:tbl>
      <w:tblPr>
        <w:tblStyle w:val="PulloutBox"/>
        <w:tblW w:w="5048" w:type="pct"/>
        <w:shd w:val="clear" w:color="auto" w:fill="F2EFE3"/>
        <w:tblLook w:val="0020" w:firstRow="1" w:lastRow="0" w:firstColumn="0" w:lastColumn="0" w:noHBand="0" w:noVBand="0"/>
        <w:tblDescription w:val="Box 1"/>
      </w:tblPr>
      <w:tblGrid>
        <w:gridCol w:w="9732"/>
      </w:tblGrid>
      <w:tr w:rsidR="00BF7DA5" w14:paraId="542E833B" w14:textId="77777777" w:rsidTr="00F07AF8">
        <w:trPr>
          <w:trHeight w:val="1432"/>
        </w:trPr>
        <w:tc>
          <w:tcPr>
            <w:tcW w:w="5000" w:type="pct"/>
            <w:shd w:val="clear" w:color="auto" w:fill="F2EFE3"/>
            <w:tcMar>
              <w:bottom w:w="0" w:type="dxa"/>
            </w:tcMar>
          </w:tcPr>
          <w:p w14:paraId="75276605" w14:textId="56F4E51A" w:rsidR="00330BAA" w:rsidRPr="00192720" w:rsidRDefault="00BF7DA5" w:rsidP="00330BAA">
            <w:pPr>
              <w:rPr>
                <w:b/>
                <w:bCs/>
              </w:rPr>
            </w:pPr>
            <w:r w:rsidRPr="00BF7DA5">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56429A83" w14:textId="0381C269" w:rsidR="00BF7DA5" w:rsidRPr="007E6134" w:rsidRDefault="00BF7DA5">
            <w:pPr>
              <w:pStyle w:val="ListParagraph"/>
              <w:numPr>
                <w:ilvl w:val="0"/>
                <w:numId w:val="43"/>
              </w:numPr>
            </w:pPr>
            <w:r w:rsidRPr="00876BA2">
              <w:t>B01 Publicly accessible eligibility criteria</w:t>
            </w:r>
            <w:r>
              <w:t>.</w:t>
            </w:r>
          </w:p>
        </w:tc>
      </w:tr>
    </w:tbl>
    <w:p w14:paraId="52155F56" w14:textId="088481F7" w:rsidR="00192720" w:rsidRPr="009A6C5C" w:rsidRDefault="00BF7DA5" w:rsidP="00192720">
      <w:pPr>
        <w:pStyle w:val="Heading3"/>
      </w:pPr>
      <w:bookmarkStart w:id="73" w:name="_Toc310691006"/>
      <w:bookmarkStart w:id="74" w:name="_Toc314141491"/>
      <w:bookmarkStart w:id="75" w:name="_Toc340679661"/>
      <w:bookmarkStart w:id="76" w:name="_Toc158583946"/>
      <w:bookmarkStart w:id="77" w:name="_Toc159324719"/>
      <w:bookmarkStart w:id="78" w:name="_Toc175550340"/>
      <w:r>
        <w:t>2.2.2</w:t>
      </w:r>
      <w:r>
        <w:tab/>
      </w:r>
      <w:r w:rsidR="00192720" w:rsidRPr="009A6C5C">
        <w:t xml:space="preserve">Enrol </w:t>
      </w:r>
      <w:bookmarkEnd w:id="73"/>
      <w:bookmarkEnd w:id="74"/>
      <w:bookmarkEnd w:id="75"/>
      <w:r w:rsidR="00192720">
        <w:t>p</w:t>
      </w:r>
      <w:r w:rsidR="00192720" w:rsidRPr="009A6C5C">
        <w:t>roviders</w:t>
      </w:r>
      <w:bookmarkEnd w:id="76"/>
      <w:bookmarkEnd w:id="77"/>
      <w:bookmarkEnd w:id="78"/>
    </w:p>
    <w:p w14:paraId="18F74FAB" w14:textId="77777777" w:rsidR="00192720" w:rsidRPr="009A6C5C" w:rsidRDefault="00192720" w:rsidP="00BF7DA5">
      <w:r w:rsidRPr="009A6C5C">
        <w:t xml:space="preserve">Enrolling providers in a </w:t>
      </w:r>
      <w:r>
        <w:t xml:space="preserve">CQR </w:t>
      </w:r>
      <w:r w:rsidRPr="009A6C5C">
        <w:t>enables participating institutions and/or clinicians and staff to be provided with access to the registry system</w:t>
      </w:r>
      <w:r>
        <w:t xml:space="preserve">. </w:t>
      </w:r>
    </w:p>
    <w:p w14:paraId="62B81C66" w14:textId="77777777" w:rsidR="00192720" w:rsidRPr="009A6C5C" w:rsidRDefault="00192720" w:rsidP="00BF7DA5">
      <w:r>
        <w:t xml:space="preserve">CQRs </w:t>
      </w:r>
      <w:r w:rsidRPr="009A6C5C">
        <w:t xml:space="preserve">will use a hierarchical model of enrolment, whereby </w:t>
      </w:r>
      <w:r>
        <w:t>CQRs</w:t>
      </w:r>
      <w:r w:rsidRPr="009A6C5C">
        <w:t xml:space="preserve"> shall have a central system administration function that will add new participating institutions (e.g. private hospital groups, public hospitals) or groups and appoint participating group (e.g. clinical colleges, </w:t>
      </w:r>
      <w:r>
        <w:t>s</w:t>
      </w:r>
      <w:r w:rsidRPr="009A6C5C">
        <w:t xml:space="preserve">tate and </w:t>
      </w:r>
      <w:r>
        <w:t>t</w:t>
      </w:r>
      <w:r w:rsidRPr="009A6C5C">
        <w:t>erritory government agencies) and participating institution level system administrators</w:t>
      </w:r>
      <w:r>
        <w:t xml:space="preserve">. </w:t>
      </w:r>
      <w:r w:rsidRPr="009A6C5C">
        <w:t>Participating institutions or clinical group level administrators will allocate user rights within the institution or clinical group</w:t>
      </w:r>
      <w:r>
        <w:t xml:space="preserve">. </w:t>
      </w:r>
      <w:r w:rsidRPr="009A6C5C">
        <w:t>This includes creating new user accounts and granting user privileges (e.g. create, read, update, and discard).</w:t>
      </w:r>
    </w:p>
    <w:p w14:paraId="6F7CAC9A" w14:textId="12C5F15E" w:rsidR="008824DC" w:rsidRDefault="00192720" w:rsidP="008824DC">
      <w:r w:rsidRPr="009A6C5C">
        <w:t xml:space="preserve">Where it is decided by </w:t>
      </w:r>
      <w:r>
        <w:t>CQR</w:t>
      </w:r>
      <w:r w:rsidRPr="009A6C5C">
        <w:t xml:space="preserve"> governing bodies, </w:t>
      </w:r>
      <w:r>
        <w:t>CQRs</w:t>
      </w:r>
      <w:r w:rsidRPr="009A6C5C">
        <w:t xml:space="preserve"> shall be able to create associations between clinicians, institutions and jurisdictions to enable users with higher level system privileges to view data from all associated institutions or clinicians within their hierarchy.</w:t>
      </w:r>
    </w:p>
    <w:p w14:paraId="0BCE947C" w14:textId="77777777" w:rsidR="00071E57" w:rsidRPr="003C7357" w:rsidRDefault="00071E57"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1071E222" w14:textId="77777777" w:rsidTr="008824DC">
        <w:trPr>
          <w:trHeight w:val="2687"/>
        </w:trPr>
        <w:tc>
          <w:tcPr>
            <w:tcW w:w="5000" w:type="pct"/>
            <w:shd w:val="clear" w:color="auto" w:fill="F2EFE3"/>
            <w:tcMar>
              <w:bottom w:w="0" w:type="dxa"/>
            </w:tcMar>
          </w:tcPr>
          <w:p w14:paraId="75F1E2BE" w14:textId="5B7B2B35" w:rsidR="00330BAA" w:rsidRPr="00192720" w:rsidRDefault="008824DC" w:rsidP="00330BAA">
            <w:pPr>
              <w:rPr>
                <w:b/>
                <w:bCs/>
              </w:rPr>
            </w:pPr>
            <w:r w:rsidRPr="00BF7DA5">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146FE860" w14:textId="5B949A45" w:rsidR="008824DC" w:rsidRPr="00BF7DA5" w:rsidRDefault="008824DC">
            <w:pPr>
              <w:pStyle w:val="ListParagraph"/>
              <w:numPr>
                <w:ilvl w:val="0"/>
                <w:numId w:val="45"/>
              </w:numPr>
            </w:pPr>
            <w:r w:rsidRPr="00BF7DA5">
              <w:t xml:space="preserve">F01 Add participating institutions or clinicians </w:t>
            </w:r>
          </w:p>
          <w:p w14:paraId="24325E21" w14:textId="77777777" w:rsidR="008824DC" w:rsidRPr="00BF7DA5" w:rsidRDefault="008824DC">
            <w:pPr>
              <w:pStyle w:val="ListParagraph"/>
              <w:numPr>
                <w:ilvl w:val="0"/>
                <w:numId w:val="45"/>
              </w:numPr>
            </w:pPr>
            <w:r w:rsidRPr="00BF7DA5">
              <w:t>F02 Associate groups</w:t>
            </w:r>
          </w:p>
          <w:p w14:paraId="3B51D4C1" w14:textId="77777777" w:rsidR="008824DC" w:rsidRPr="00BF7DA5" w:rsidRDefault="008824DC">
            <w:pPr>
              <w:pStyle w:val="ListParagraph"/>
              <w:numPr>
                <w:ilvl w:val="0"/>
                <w:numId w:val="45"/>
              </w:numPr>
            </w:pPr>
            <w:r w:rsidRPr="00BF7DA5">
              <w:t>F03 Central administration</w:t>
            </w:r>
          </w:p>
          <w:p w14:paraId="4D5BD5DE" w14:textId="77777777" w:rsidR="008824DC" w:rsidRPr="00BF7DA5" w:rsidRDefault="008824DC">
            <w:pPr>
              <w:pStyle w:val="ListParagraph"/>
              <w:numPr>
                <w:ilvl w:val="0"/>
                <w:numId w:val="45"/>
              </w:numPr>
            </w:pPr>
            <w:r w:rsidRPr="00BF7DA5">
              <w:t>F04 Group administration</w:t>
            </w:r>
          </w:p>
          <w:p w14:paraId="572872C0" w14:textId="77777777" w:rsidR="008824DC" w:rsidRPr="00BF7DA5" w:rsidRDefault="008824DC">
            <w:pPr>
              <w:pStyle w:val="ListParagraph"/>
              <w:numPr>
                <w:ilvl w:val="0"/>
                <w:numId w:val="45"/>
              </w:numPr>
            </w:pPr>
            <w:r w:rsidRPr="00BF7DA5">
              <w:t>F05 Participating institution level administration</w:t>
            </w:r>
          </w:p>
          <w:p w14:paraId="5D2285BF" w14:textId="1E529F17" w:rsidR="008824DC" w:rsidRPr="007E6134" w:rsidRDefault="008824DC">
            <w:pPr>
              <w:pStyle w:val="ListParagraph"/>
              <w:numPr>
                <w:ilvl w:val="0"/>
                <w:numId w:val="45"/>
              </w:numPr>
            </w:pPr>
            <w:r w:rsidRPr="00BF7DA5">
              <w:t>F12 Access for international data providers.</w:t>
            </w:r>
          </w:p>
        </w:tc>
      </w:tr>
    </w:tbl>
    <w:p w14:paraId="5CAC2788" w14:textId="4A62DF14" w:rsidR="00192720" w:rsidRPr="00224EA8" w:rsidRDefault="008824DC" w:rsidP="00192720">
      <w:pPr>
        <w:pStyle w:val="Heading2"/>
      </w:pPr>
      <w:bookmarkStart w:id="79" w:name="_Toc305140464"/>
      <w:bookmarkStart w:id="80" w:name="_Toc310691007"/>
      <w:bookmarkStart w:id="81" w:name="_Toc314141492"/>
      <w:bookmarkStart w:id="82" w:name="_Toc340679662"/>
      <w:bookmarkStart w:id="83" w:name="_Toc158583947"/>
      <w:bookmarkStart w:id="84" w:name="_Toc159324720"/>
      <w:bookmarkStart w:id="85" w:name="_Toc175550341"/>
      <w:r>
        <w:t>2.3</w:t>
      </w:r>
      <w:r>
        <w:tab/>
      </w:r>
      <w:r w:rsidR="00192720" w:rsidRPr="00224EA8">
        <w:t>Data collection</w:t>
      </w:r>
      <w:bookmarkEnd w:id="79"/>
      <w:bookmarkEnd w:id="80"/>
      <w:bookmarkEnd w:id="81"/>
      <w:bookmarkEnd w:id="82"/>
      <w:bookmarkEnd w:id="83"/>
      <w:bookmarkEnd w:id="84"/>
      <w:bookmarkEnd w:id="85"/>
    </w:p>
    <w:p w14:paraId="53756EC9" w14:textId="77777777" w:rsidR="00192720" w:rsidRDefault="00192720" w:rsidP="008824DC">
      <w:r w:rsidRPr="009A6C5C">
        <w:t xml:space="preserve">For </w:t>
      </w:r>
      <w:r>
        <w:t>CQRs</w:t>
      </w:r>
      <w:r w:rsidRPr="009A6C5C">
        <w:t xml:space="preserve"> to ensure quality data</w:t>
      </w:r>
      <w:r>
        <w:t xml:space="preserve"> are collected</w:t>
      </w:r>
      <w:r w:rsidRPr="009A6C5C">
        <w:t xml:space="preserve">, meticulous attention must be </w:t>
      </w:r>
      <w:r>
        <w:t>paid</w:t>
      </w:r>
      <w:r w:rsidRPr="009A6C5C">
        <w:t xml:space="preserve"> to ensuring that </w:t>
      </w:r>
      <w:r>
        <w:t>all</w:t>
      </w:r>
      <w:r w:rsidRPr="009A6C5C">
        <w:t xml:space="preserve"> data </w:t>
      </w:r>
      <w:r>
        <w:t xml:space="preserve">points </w:t>
      </w:r>
      <w:r w:rsidRPr="009A6C5C">
        <w:t>collected</w:t>
      </w:r>
      <w:r>
        <w:t xml:space="preserve"> for</w:t>
      </w:r>
      <w:r w:rsidRPr="009A6C5C">
        <w:t xml:space="preserve"> all patients</w:t>
      </w:r>
      <w:r>
        <w:t xml:space="preserve"> are both accurate and complete.</w:t>
      </w:r>
      <w:r w:rsidRPr="009A6C5C">
        <w:t xml:space="preserve"> </w:t>
      </w:r>
      <w:r>
        <w:t>Data points must be collected for</w:t>
      </w:r>
      <w:r w:rsidRPr="009A6C5C">
        <w:t xml:space="preserve"> all eligible patients within </w:t>
      </w:r>
      <w:r>
        <w:t>the</w:t>
      </w:r>
      <w:r w:rsidRPr="009A6C5C">
        <w:t xml:space="preserve"> defined clinical population </w:t>
      </w:r>
      <w:r>
        <w:t>within</w:t>
      </w:r>
      <w:r w:rsidRPr="009A6C5C">
        <w:t xml:space="preserve"> the </w:t>
      </w:r>
      <w:r>
        <w:t>CQR. If</w:t>
      </w:r>
      <w:r w:rsidRPr="009A6C5C">
        <w:t xml:space="preserve"> </w:t>
      </w:r>
      <w:r>
        <w:t>CQRs</w:t>
      </w:r>
      <w:r w:rsidRPr="009A6C5C">
        <w:t xml:space="preserve"> collect an incomplete</w:t>
      </w:r>
      <w:r>
        <w:t xml:space="preserve"> or inaccurate</w:t>
      </w:r>
      <w:r w:rsidRPr="009A6C5C">
        <w:t xml:space="preserve"> set of patient data</w:t>
      </w:r>
      <w:r w:rsidRPr="00A4109F">
        <w:t xml:space="preserve">, then </w:t>
      </w:r>
      <w:r w:rsidRPr="009A6C5C">
        <w:t>biases</w:t>
      </w:r>
      <w:r>
        <w:t>, mismatches, or other irregularities</w:t>
      </w:r>
      <w:r w:rsidRPr="009A6C5C">
        <w:t xml:space="preserve"> in the data may occur.</w:t>
      </w:r>
      <w:r>
        <w:t xml:space="preserve"> </w:t>
      </w:r>
    </w:p>
    <w:p w14:paraId="5B2801D0" w14:textId="77777777" w:rsidR="00192720" w:rsidRPr="009A6C5C" w:rsidRDefault="00192720" w:rsidP="008824DC">
      <w:r>
        <w:t xml:space="preserve">Data shall be sourced from the electronic medical record or clinical information system directly, via the appropriate available channel (e.g. data extracts, APIs). </w:t>
      </w:r>
    </w:p>
    <w:p w14:paraId="28DA7EE0" w14:textId="77777777" w:rsidR="00192720" w:rsidRPr="009A6C5C" w:rsidRDefault="00192720" w:rsidP="008824DC">
      <w:r w:rsidRPr="00A4109F">
        <w:lastRenderedPageBreak/>
        <w:t>Outcome determination</w:t>
      </w:r>
      <w:r w:rsidRPr="009A6C5C">
        <w:t xml:space="preserve"> is the most fundamental requirement of </w:t>
      </w:r>
      <w:r>
        <w:t>CQRs</w:t>
      </w:r>
      <w:r w:rsidRPr="009A6C5C">
        <w:t xml:space="preserve"> and </w:t>
      </w:r>
      <w:r>
        <w:t>shall</w:t>
      </w:r>
      <w:r w:rsidRPr="009A6C5C">
        <w:t xml:space="preserve"> be undertaken at a time when </w:t>
      </w:r>
      <w:r w:rsidRPr="00A4109F">
        <w:t xml:space="preserve">the patient’s clinical </w:t>
      </w:r>
      <w:r w:rsidRPr="009A6C5C">
        <w:t>condition has stabilised</w:t>
      </w:r>
      <w:r>
        <w:t xml:space="preserve"> to the point</w:t>
      </w:r>
      <w:r w:rsidRPr="009A6C5C">
        <w:t xml:space="preserve"> that outcome information can be accurately ascertained</w:t>
      </w:r>
      <w:r>
        <w:t xml:space="preserve">, </w:t>
      </w:r>
      <w:r w:rsidRPr="006834A2">
        <w:t>or when an event, such as death, has occurred and the outcome can therefore be reasonably ascertained.</w:t>
      </w:r>
    </w:p>
    <w:p w14:paraId="614229F2" w14:textId="77777777" w:rsidR="00192720" w:rsidRPr="009A6C5C" w:rsidRDefault="00192720" w:rsidP="008824DC">
      <w:r w:rsidRPr="009A6C5C">
        <w:t>Some clinical registries collect data for only a short period, such as for a single episode of care (e.g. following admission to an Intensive Care Unit), while others follow patients until they</w:t>
      </w:r>
      <w:r>
        <w:t xml:space="preserve"> are</w:t>
      </w:r>
      <w:r w:rsidRPr="009A6C5C">
        <w:t xml:space="preserve"> no longer present for treatment or </w:t>
      </w:r>
      <w:r>
        <w:t>upon death</w:t>
      </w:r>
      <w:r w:rsidRPr="009A6C5C">
        <w:t xml:space="preserve"> (e.g. in the case of people with bleeding disorders or cystic fibrosis).</w:t>
      </w:r>
    </w:p>
    <w:p w14:paraId="42500932" w14:textId="3E3BF679" w:rsidR="00192720" w:rsidRPr="009A6C5C" w:rsidRDefault="008824DC" w:rsidP="00192720">
      <w:pPr>
        <w:pStyle w:val="Heading3"/>
      </w:pPr>
      <w:bookmarkStart w:id="86" w:name="_Ref310588311"/>
      <w:bookmarkStart w:id="87" w:name="_Ref310588316"/>
      <w:bookmarkStart w:id="88" w:name="_Toc310691008"/>
      <w:bookmarkStart w:id="89" w:name="_Toc314141493"/>
      <w:bookmarkStart w:id="90" w:name="_Toc340679663"/>
      <w:bookmarkStart w:id="91" w:name="_Toc158583948"/>
      <w:bookmarkStart w:id="92" w:name="_Toc159324721"/>
      <w:bookmarkStart w:id="93" w:name="_Toc175550342"/>
      <w:r>
        <w:t>2.3.1</w:t>
      </w:r>
      <w:r>
        <w:tab/>
      </w:r>
      <w:r w:rsidR="00192720">
        <w:t>Capture</w:t>
      </w:r>
      <w:r w:rsidR="00192720" w:rsidRPr="009A6C5C">
        <w:t xml:space="preserve"> </w:t>
      </w:r>
      <w:bookmarkEnd w:id="86"/>
      <w:bookmarkEnd w:id="87"/>
      <w:bookmarkEnd w:id="88"/>
      <w:bookmarkEnd w:id="89"/>
      <w:bookmarkEnd w:id="90"/>
      <w:r w:rsidR="00192720">
        <w:t>d</w:t>
      </w:r>
      <w:r w:rsidR="00192720" w:rsidRPr="009A6C5C">
        <w:t>ata</w:t>
      </w:r>
      <w:bookmarkEnd w:id="91"/>
      <w:bookmarkEnd w:id="92"/>
      <w:bookmarkEnd w:id="93"/>
    </w:p>
    <w:p w14:paraId="137DACAB" w14:textId="77777777" w:rsidR="00192720" w:rsidRDefault="00192720" w:rsidP="008824DC">
      <w:r>
        <w:t>CQRs</w:t>
      </w:r>
      <w:r w:rsidRPr="009A6C5C">
        <w:t xml:space="preserve"> currently </w:t>
      </w:r>
      <w:r>
        <w:t>use</w:t>
      </w:r>
      <w:r w:rsidRPr="009A6C5C">
        <w:t xml:space="preserve"> a range of data capture</w:t>
      </w:r>
      <w:r>
        <w:t xml:space="preserve"> methods</w:t>
      </w:r>
      <w:r w:rsidRPr="009A6C5C">
        <w:t>.</w:t>
      </w:r>
      <w:r>
        <w:t xml:space="preserve"> </w:t>
      </w:r>
      <w:r w:rsidRPr="009A6C5C">
        <w:t xml:space="preserve">Increasingly, however, best practice points to the use of </w:t>
      </w:r>
      <w:r w:rsidRPr="00107E02">
        <w:t>data directly from the source</w:t>
      </w:r>
      <w:r>
        <w:t xml:space="preserve"> systems that clinicians are using as they provide care, or from other data repositories – such as state-based clinical repositories. </w:t>
      </w:r>
    </w:p>
    <w:p w14:paraId="5755C601" w14:textId="77777777" w:rsidR="00192720" w:rsidRDefault="00192720" w:rsidP="008824DC">
      <w:r w:rsidRPr="00107E02">
        <w:t>The use of APIs to securely</w:t>
      </w:r>
      <w:r>
        <w:t xml:space="preserve"> access relevant data from source systems is best practice if it does not impact the performance of the system, i.e. reporting instance or database.  </w:t>
      </w:r>
    </w:p>
    <w:p w14:paraId="109A02D0" w14:textId="77777777" w:rsidR="00192720" w:rsidRDefault="00192720" w:rsidP="008824DC">
      <w:r>
        <w:t xml:space="preserve">As not all systems are currently API-enabled, other options for data capture </w:t>
      </w:r>
      <w:r w:rsidRPr="009A6C5C">
        <w:t>include batch uploads, direct feeds from data collected as part of a patient's medical record and hospital administration systems (e.g. from pathology reports, operating theatre systems, emergency department systems</w:t>
      </w:r>
      <w:r>
        <w:t>/</w:t>
      </w:r>
      <w:r w:rsidRPr="009A6C5C">
        <w:t>patient administration systems) and receipt of information through messages (e.g. HL7 pathology reports).</w:t>
      </w:r>
      <w:r>
        <w:t xml:space="preserve"> </w:t>
      </w:r>
    </w:p>
    <w:p w14:paraId="7F6A8EFF" w14:textId="77777777" w:rsidR="00192720" w:rsidRPr="009A6C5C" w:rsidRDefault="00192720" w:rsidP="008824DC">
      <w:r>
        <w:t xml:space="preserve">The least optimal method of data collection – which shall be used only as a last resort – is the provision of </w:t>
      </w:r>
      <w:r w:rsidRPr="009A6C5C">
        <w:t xml:space="preserve">electronic forms through which participating institutions/clinicians/staff may directly enter data through a </w:t>
      </w:r>
      <w:r>
        <w:t>CQR</w:t>
      </w:r>
      <w:r w:rsidRPr="009A6C5C">
        <w:t xml:space="preserve"> portal, or offline forms </w:t>
      </w:r>
      <w:r>
        <w:t>that</w:t>
      </w:r>
      <w:r w:rsidRPr="009A6C5C">
        <w:t xml:space="preserve"> are uploaded securely to the </w:t>
      </w:r>
      <w:r>
        <w:t>CQR</w:t>
      </w:r>
      <w:r w:rsidRPr="009A6C5C">
        <w:t xml:space="preserve"> in a batch</w:t>
      </w:r>
      <w:r>
        <w:t>.</w:t>
      </w:r>
      <w:r w:rsidRPr="001C538B">
        <w:t xml:space="preserve"> </w:t>
      </w:r>
    </w:p>
    <w:p w14:paraId="35FCB7A3" w14:textId="77777777" w:rsidR="00192720" w:rsidRPr="009A6C5C" w:rsidRDefault="00192720" w:rsidP="008824DC">
      <w:r w:rsidRPr="009A6C5C">
        <w:t xml:space="preserve">Information imported to a </w:t>
      </w:r>
      <w:r>
        <w:t>CQR</w:t>
      </w:r>
      <w:r w:rsidRPr="009A6C5C">
        <w:t xml:space="preserve"> through batch uploads or direct feeds will be able to be cross-checked (to avoid record duplication) and validated (e.g. simple field validation, business rules validation and computations)</w:t>
      </w:r>
      <w:r>
        <w:t>. CQR</w:t>
      </w:r>
      <w:r w:rsidRPr="009A6C5C">
        <w:t xml:space="preserve"> users will have the ability to add missing data or amend incorrect information identified through automated validity checks during data import.</w:t>
      </w:r>
    </w:p>
    <w:p w14:paraId="59FD9752" w14:textId="562B6E8C" w:rsidR="00192720" w:rsidRDefault="00192720" w:rsidP="008824DC">
      <w:r w:rsidRPr="009A6C5C">
        <w:t xml:space="preserve">In addition, </w:t>
      </w:r>
      <w:r>
        <w:t>CQRs</w:t>
      </w:r>
      <w:r w:rsidRPr="009A6C5C">
        <w:t xml:space="preserve"> may provide eligibility criteria (which may be automatically updated if eligibility criteria change) in a computer processable form to allow patient administration or clinical information systems to automatically identify eligible patients based on patient events</w:t>
      </w:r>
      <w:r>
        <w:t xml:space="preserve">. </w:t>
      </w:r>
    </w:p>
    <w:p w14:paraId="48249096" w14:textId="77777777" w:rsidR="008824DC" w:rsidRDefault="008824DC" w:rsidP="008824DC"/>
    <w:p w14:paraId="304F2A16" w14:textId="4D086584" w:rsidR="00690CC3" w:rsidRPr="00690CC3" w:rsidRDefault="00690CC3" w:rsidP="00690CC3">
      <w:r w:rsidRPr="00690CC3">
        <w:rPr>
          <w:i/>
          <w:iCs/>
        </w:rPr>
        <w:t xml:space="preserve">Please see following page for </w:t>
      </w:r>
      <w:r>
        <w:rPr>
          <w:i/>
          <w:iCs/>
        </w:rPr>
        <w:t>an overview</w:t>
      </w:r>
      <w:r w:rsidRPr="00690CC3">
        <w:rPr>
          <w:i/>
          <w:iCs/>
        </w:rPr>
        <w:t xml:space="preserve"> of requirements.</w:t>
      </w:r>
    </w:p>
    <w:p w14:paraId="5D0820B9" w14:textId="77777777" w:rsidR="00690CC3" w:rsidRDefault="00690CC3"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50136AA1" w14:textId="77777777" w:rsidTr="008824DC">
        <w:trPr>
          <w:trHeight w:val="8106"/>
        </w:trPr>
        <w:tc>
          <w:tcPr>
            <w:tcW w:w="5000" w:type="pct"/>
            <w:shd w:val="clear" w:color="auto" w:fill="F2EFE3"/>
            <w:tcMar>
              <w:bottom w:w="0" w:type="dxa"/>
            </w:tcMar>
          </w:tcPr>
          <w:p w14:paraId="6651B901" w14:textId="6047DFF9" w:rsidR="00330BAA" w:rsidRPr="00192720" w:rsidRDefault="008824DC" w:rsidP="00330BAA">
            <w:pPr>
              <w:rPr>
                <w:b/>
                <w:bCs/>
              </w:rPr>
            </w:pPr>
            <w:r w:rsidRPr="008824DC">
              <w:rPr>
                <w:b/>
                <w:bCs/>
              </w:rPr>
              <w:lastRenderedPageBreak/>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77D3ABEE" w14:textId="182F6FB4" w:rsidR="008824DC" w:rsidRDefault="008824DC">
            <w:pPr>
              <w:pStyle w:val="ListParagraph"/>
              <w:numPr>
                <w:ilvl w:val="0"/>
                <w:numId w:val="45"/>
              </w:numPr>
            </w:pPr>
            <w:r w:rsidRPr="00876BA2">
              <w:t xml:space="preserve">B06 </w:t>
            </w:r>
            <w:r w:rsidR="001412F4">
              <w:t>Standardised</w:t>
            </w:r>
            <w:r w:rsidR="001412F4" w:rsidRPr="00876BA2">
              <w:t xml:space="preserve"> </w:t>
            </w:r>
            <w:r w:rsidRPr="00876BA2">
              <w:t>data collection approaches</w:t>
            </w:r>
          </w:p>
          <w:p w14:paraId="0E77C1B9" w14:textId="77777777" w:rsidR="008824DC" w:rsidRPr="007F3D1F" w:rsidRDefault="008824DC">
            <w:pPr>
              <w:pStyle w:val="ListParagraph"/>
              <w:numPr>
                <w:ilvl w:val="0"/>
                <w:numId w:val="45"/>
              </w:numPr>
            </w:pPr>
            <w:r>
              <w:t>B17 Determining client outcomes</w:t>
            </w:r>
          </w:p>
          <w:p w14:paraId="234F9E37" w14:textId="77777777" w:rsidR="008824DC" w:rsidRDefault="008824DC">
            <w:pPr>
              <w:pStyle w:val="ListParagraph"/>
              <w:numPr>
                <w:ilvl w:val="0"/>
                <w:numId w:val="45"/>
              </w:numPr>
            </w:pPr>
            <w:r w:rsidRPr="00876BA2">
              <w:t xml:space="preserve">F07 Data capture </w:t>
            </w:r>
          </w:p>
          <w:p w14:paraId="2B165356" w14:textId="721EB588" w:rsidR="001412F4" w:rsidRDefault="001412F4">
            <w:pPr>
              <w:pStyle w:val="ListParagraph"/>
              <w:numPr>
                <w:ilvl w:val="0"/>
                <w:numId w:val="45"/>
              </w:numPr>
            </w:pPr>
            <w:r>
              <w:t>F08 Multiple unique healthcare identifiers</w:t>
            </w:r>
          </w:p>
          <w:p w14:paraId="0979ECB1" w14:textId="7F02CE79" w:rsidR="001412F4" w:rsidRPr="00876BA2" w:rsidRDefault="001412F4">
            <w:pPr>
              <w:pStyle w:val="ListParagraph"/>
              <w:numPr>
                <w:ilvl w:val="0"/>
                <w:numId w:val="45"/>
              </w:numPr>
            </w:pPr>
            <w:r>
              <w:t xml:space="preserve">F09 Unique identifiers for patients, provides and products </w:t>
            </w:r>
          </w:p>
          <w:p w14:paraId="40756CD0" w14:textId="77777777" w:rsidR="008824DC" w:rsidRPr="00876BA2" w:rsidRDefault="008824DC">
            <w:pPr>
              <w:pStyle w:val="ListParagraph"/>
              <w:numPr>
                <w:ilvl w:val="0"/>
                <w:numId w:val="45"/>
              </w:numPr>
            </w:pPr>
            <w:r w:rsidRPr="00876BA2">
              <w:t>F13</w:t>
            </w:r>
            <w:r>
              <w:t xml:space="preserve"> </w:t>
            </w:r>
            <w:r w:rsidRPr="00876BA2">
              <w:t>Batch uploading</w:t>
            </w:r>
          </w:p>
          <w:p w14:paraId="73DC3051" w14:textId="77777777" w:rsidR="008824DC" w:rsidRPr="00876BA2" w:rsidRDefault="008824DC">
            <w:pPr>
              <w:pStyle w:val="ListParagraph"/>
              <w:numPr>
                <w:ilvl w:val="0"/>
                <w:numId w:val="45"/>
              </w:numPr>
            </w:pPr>
            <w:r w:rsidRPr="00876BA2">
              <w:t>F14</w:t>
            </w:r>
            <w:r>
              <w:t xml:space="preserve"> </w:t>
            </w:r>
            <w:r w:rsidRPr="00876BA2">
              <w:t>Establish criteria for rejecting or partially accepting records</w:t>
            </w:r>
          </w:p>
          <w:p w14:paraId="61367B93" w14:textId="77777777" w:rsidR="008824DC" w:rsidRPr="00876BA2" w:rsidRDefault="008824DC">
            <w:pPr>
              <w:pStyle w:val="ListParagraph"/>
              <w:numPr>
                <w:ilvl w:val="0"/>
                <w:numId w:val="45"/>
              </w:numPr>
            </w:pPr>
            <w:r w:rsidRPr="00876BA2">
              <w:t>F15 Apply data validation checks during import</w:t>
            </w:r>
          </w:p>
          <w:p w14:paraId="022FA2AE" w14:textId="77777777" w:rsidR="008824DC" w:rsidRPr="00876BA2" w:rsidRDefault="008824DC">
            <w:pPr>
              <w:pStyle w:val="ListParagraph"/>
              <w:numPr>
                <w:ilvl w:val="0"/>
                <w:numId w:val="45"/>
              </w:numPr>
            </w:pPr>
            <w:r w:rsidRPr="00876BA2">
              <w:t xml:space="preserve">F16 Prompt if changes result from data import </w:t>
            </w:r>
          </w:p>
          <w:p w14:paraId="78808C61" w14:textId="77777777" w:rsidR="008824DC" w:rsidRPr="00876BA2" w:rsidRDefault="008824DC">
            <w:pPr>
              <w:pStyle w:val="ListParagraph"/>
              <w:numPr>
                <w:ilvl w:val="0"/>
                <w:numId w:val="45"/>
              </w:numPr>
            </w:pPr>
            <w:r w:rsidRPr="00876BA2">
              <w:t>F17 Allow multiple episodes to be recorded</w:t>
            </w:r>
          </w:p>
          <w:p w14:paraId="769654A8" w14:textId="77777777" w:rsidR="008824DC" w:rsidRPr="00876BA2" w:rsidRDefault="008824DC">
            <w:pPr>
              <w:pStyle w:val="ListParagraph"/>
              <w:numPr>
                <w:ilvl w:val="0"/>
                <w:numId w:val="45"/>
              </w:numPr>
            </w:pPr>
            <w:r w:rsidRPr="00876BA2">
              <w:t>F18 Receipt of data from existing data sources</w:t>
            </w:r>
          </w:p>
          <w:p w14:paraId="003AA5B3" w14:textId="77777777" w:rsidR="008824DC" w:rsidRPr="00876BA2" w:rsidRDefault="008824DC">
            <w:pPr>
              <w:pStyle w:val="ListParagraph"/>
              <w:numPr>
                <w:ilvl w:val="0"/>
                <w:numId w:val="45"/>
              </w:numPr>
            </w:pPr>
            <w:r w:rsidRPr="00876BA2">
              <w:t>F19 Access control for batch upload</w:t>
            </w:r>
          </w:p>
          <w:p w14:paraId="64F37075" w14:textId="77777777" w:rsidR="008824DC" w:rsidRPr="00876BA2" w:rsidRDefault="008824DC">
            <w:pPr>
              <w:pStyle w:val="ListParagraph"/>
              <w:numPr>
                <w:ilvl w:val="0"/>
                <w:numId w:val="45"/>
              </w:numPr>
            </w:pPr>
            <w:r w:rsidRPr="00876BA2">
              <w:t>F20 Authorised system upload</w:t>
            </w:r>
          </w:p>
          <w:p w14:paraId="6A2E2DB1" w14:textId="77777777" w:rsidR="008824DC" w:rsidRPr="00876BA2" w:rsidRDefault="008824DC">
            <w:pPr>
              <w:pStyle w:val="ListParagraph"/>
              <w:numPr>
                <w:ilvl w:val="0"/>
                <w:numId w:val="45"/>
              </w:numPr>
            </w:pPr>
            <w:r w:rsidRPr="00876BA2">
              <w:t>F21</w:t>
            </w:r>
            <w:r>
              <w:t xml:space="preserve"> </w:t>
            </w:r>
            <w:r w:rsidRPr="00876BA2">
              <w:t>Cross-check data being imported</w:t>
            </w:r>
          </w:p>
          <w:p w14:paraId="089BCAD4" w14:textId="77777777" w:rsidR="008824DC" w:rsidRPr="00876BA2" w:rsidRDefault="008824DC">
            <w:pPr>
              <w:pStyle w:val="ListParagraph"/>
              <w:numPr>
                <w:ilvl w:val="0"/>
                <w:numId w:val="45"/>
              </w:numPr>
            </w:pPr>
            <w:r w:rsidRPr="00876BA2">
              <w:t>F22 Alter records via date import</w:t>
            </w:r>
          </w:p>
          <w:p w14:paraId="5BC0CD3A" w14:textId="77777777" w:rsidR="008824DC" w:rsidRPr="00876BA2" w:rsidRDefault="008824DC">
            <w:pPr>
              <w:pStyle w:val="ListParagraph"/>
              <w:numPr>
                <w:ilvl w:val="0"/>
                <w:numId w:val="45"/>
              </w:numPr>
            </w:pPr>
            <w:r w:rsidRPr="00876BA2">
              <w:t>F23 Mark mandatory fields</w:t>
            </w:r>
          </w:p>
          <w:p w14:paraId="0E8E1C57" w14:textId="77777777" w:rsidR="008824DC" w:rsidRPr="00876BA2" w:rsidRDefault="008824DC">
            <w:pPr>
              <w:pStyle w:val="ListParagraph"/>
              <w:numPr>
                <w:ilvl w:val="0"/>
                <w:numId w:val="45"/>
              </w:numPr>
            </w:pPr>
            <w:r w:rsidRPr="00876BA2">
              <w:t>F24 Correct errors identified through validation checks</w:t>
            </w:r>
          </w:p>
          <w:p w14:paraId="7CE1E927" w14:textId="77777777" w:rsidR="008824DC" w:rsidRPr="00876BA2" w:rsidRDefault="008824DC">
            <w:pPr>
              <w:pStyle w:val="ListParagraph"/>
              <w:numPr>
                <w:ilvl w:val="0"/>
                <w:numId w:val="45"/>
              </w:numPr>
            </w:pPr>
            <w:r w:rsidRPr="00876BA2">
              <w:t>F25 Data record rejection</w:t>
            </w:r>
          </w:p>
          <w:p w14:paraId="01BA7C2D" w14:textId="77777777" w:rsidR="008824DC" w:rsidRPr="00876BA2" w:rsidRDefault="008824DC">
            <w:pPr>
              <w:pStyle w:val="ListParagraph"/>
              <w:numPr>
                <w:ilvl w:val="0"/>
                <w:numId w:val="45"/>
              </w:numPr>
            </w:pPr>
            <w:r w:rsidRPr="00876BA2">
              <w:t>F26 Eligibility criteria</w:t>
            </w:r>
          </w:p>
          <w:p w14:paraId="6A3A7953" w14:textId="77777777" w:rsidR="008824DC" w:rsidRPr="00876BA2" w:rsidRDefault="008824DC">
            <w:pPr>
              <w:pStyle w:val="ListParagraph"/>
              <w:numPr>
                <w:ilvl w:val="0"/>
                <w:numId w:val="45"/>
              </w:numPr>
            </w:pPr>
            <w:r w:rsidRPr="00876BA2">
              <w:t>F27 Automatic updates to eligibility criteria and data specifications</w:t>
            </w:r>
          </w:p>
          <w:p w14:paraId="604D6116" w14:textId="77777777" w:rsidR="008824DC" w:rsidRPr="00876BA2" w:rsidRDefault="008824DC">
            <w:pPr>
              <w:pStyle w:val="ListParagraph"/>
              <w:numPr>
                <w:ilvl w:val="0"/>
                <w:numId w:val="45"/>
              </w:numPr>
            </w:pPr>
            <w:r w:rsidRPr="00876BA2">
              <w:t>F28 Scanning of simple data fields</w:t>
            </w:r>
          </w:p>
          <w:p w14:paraId="1392641C" w14:textId="77777777" w:rsidR="008824DC" w:rsidRPr="00876BA2" w:rsidRDefault="008824DC">
            <w:pPr>
              <w:pStyle w:val="ListParagraph"/>
              <w:numPr>
                <w:ilvl w:val="0"/>
                <w:numId w:val="45"/>
              </w:numPr>
            </w:pPr>
            <w:r w:rsidRPr="00876BA2">
              <w:t>F29 Barcode scanning</w:t>
            </w:r>
          </w:p>
          <w:p w14:paraId="721734D9" w14:textId="77777777" w:rsidR="008824DC" w:rsidRPr="00876BA2" w:rsidRDefault="008824DC">
            <w:pPr>
              <w:pStyle w:val="ListParagraph"/>
              <w:numPr>
                <w:ilvl w:val="0"/>
                <w:numId w:val="45"/>
              </w:numPr>
            </w:pPr>
            <w:r w:rsidRPr="00876BA2">
              <w:t>F30 Include automated data validity checks</w:t>
            </w:r>
          </w:p>
          <w:p w14:paraId="7F536F40" w14:textId="77777777" w:rsidR="008824DC" w:rsidRPr="00876BA2" w:rsidRDefault="008824DC">
            <w:pPr>
              <w:pStyle w:val="ListParagraph"/>
              <w:numPr>
                <w:ilvl w:val="0"/>
                <w:numId w:val="45"/>
              </w:numPr>
            </w:pPr>
            <w:r w:rsidRPr="00876BA2">
              <w:t xml:space="preserve">F31 Download printable forms </w:t>
            </w:r>
          </w:p>
          <w:p w14:paraId="3EDFE535" w14:textId="77777777" w:rsidR="008824DC" w:rsidRPr="00876BA2" w:rsidRDefault="008824DC">
            <w:pPr>
              <w:pStyle w:val="ListParagraph"/>
              <w:numPr>
                <w:ilvl w:val="0"/>
                <w:numId w:val="45"/>
              </w:numPr>
            </w:pPr>
            <w:r w:rsidRPr="00876BA2">
              <w:t>F32 Offline forms</w:t>
            </w:r>
          </w:p>
          <w:p w14:paraId="2E68FEF1" w14:textId="77777777" w:rsidR="008824DC" w:rsidRPr="00876BA2" w:rsidRDefault="008824DC">
            <w:pPr>
              <w:pStyle w:val="ListParagraph"/>
              <w:numPr>
                <w:ilvl w:val="0"/>
                <w:numId w:val="45"/>
              </w:numPr>
            </w:pPr>
            <w:r w:rsidRPr="00876BA2">
              <w:t>F33 OCR in scanning</w:t>
            </w:r>
          </w:p>
          <w:p w14:paraId="0D09317B" w14:textId="77777777" w:rsidR="008824DC" w:rsidRPr="00876BA2" w:rsidRDefault="008824DC">
            <w:pPr>
              <w:pStyle w:val="ListParagraph"/>
              <w:numPr>
                <w:ilvl w:val="0"/>
                <w:numId w:val="45"/>
              </w:numPr>
            </w:pPr>
            <w:r w:rsidRPr="00876BA2">
              <w:t>F34 Logic checks and rules to guide efficient data entry</w:t>
            </w:r>
          </w:p>
          <w:p w14:paraId="0DB41196" w14:textId="7F0060CB" w:rsidR="008824DC" w:rsidRPr="007E6134" w:rsidRDefault="008824DC">
            <w:pPr>
              <w:pStyle w:val="ListParagraph"/>
              <w:numPr>
                <w:ilvl w:val="0"/>
                <w:numId w:val="45"/>
              </w:numPr>
            </w:pPr>
            <w:r w:rsidRPr="00876BA2">
              <w:t>F35 Storage of paper-based data sources</w:t>
            </w:r>
            <w:r>
              <w:t>.</w:t>
            </w:r>
          </w:p>
        </w:tc>
      </w:tr>
    </w:tbl>
    <w:p w14:paraId="2D1F6876" w14:textId="77777777" w:rsidR="008824DC" w:rsidRPr="00876BA2" w:rsidRDefault="008824DC" w:rsidP="008824DC"/>
    <w:p w14:paraId="70A3152E" w14:textId="74E43883" w:rsidR="00192720" w:rsidRPr="009A6C5C" w:rsidRDefault="008824DC" w:rsidP="00192720">
      <w:pPr>
        <w:pStyle w:val="Heading3"/>
      </w:pPr>
      <w:bookmarkStart w:id="94" w:name="_Toc310691010"/>
      <w:bookmarkStart w:id="95" w:name="_Toc314141495"/>
      <w:bookmarkStart w:id="96" w:name="_Toc340679665"/>
      <w:bookmarkStart w:id="97" w:name="_Toc158583949"/>
      <w:bookmarkStart w:id="98" w:name="_Toc159324722"/>
      <w:bookmarkStart w:id="99" w:name="_Toc175550343"/>
      <w:r>
        <w:t>2.3.2</w:t>
      </w:r>
      <w:r>
        <w:tab/>
      </w:r>
      <w:r w:rsidR="00192720" w:rsidRPr="009A6C5C">
        <w:t xml:space="preserve">Perform </w:t>
      </w:r>
      <w:r w:rsidR="00192720">
        <w:t>d</w:t>
      </w:r>
      <w:r w:rsidR="00192720" w:rsidRPr="009A6C5C">
        <w:t xml:space="preserve">ata </w:t>
      </w:r>
      <w:r w:rsidR="00192720">
        <w:t>l</w:t>
      </w:r>
      <w:r w:rsidR="00192720" w:rsidRPr="009A6C5C">
        <w:t>inkage</w:t>
      </w:r>
      <w:bookmarkEnd w:id="94"/>
      <w:bookmarkEnd w:id="95"/>
      <w:bookmarkEnd w:id="96"/>
      <w:bookmarkEnd w:id="97"/>
      <w:bookmarkEnd w:id="98"/>
      <w:bookmarkEnd w:id="99"/>
    </w:p>
    <w:p w14:paraId="3B70713C" w14:textId="77777777" w:rsidR="00192720" w:rsidRPr="009A6C5C" w:rsidRDefault="00192720" w:rsidP="008824DC">
      <w:r w:rsidRPr="00A112B4">
        <w:t xml:space="preserve">Data custodians </w:t>
      </w:r>
      <w:r>
        <w:t>shall</w:t>
      </w:r>
      <w:r w:rsidRPr="00A112B4">
        <w:t xml:space="preserve"> enable linking data from different sources (refer also to </w:t>
      </w:r>
      <w:r w:rsidRPr="00A112B4">
        <w:rPr>
          <w:i/>
          <w:iCs/>
        </w:rPr>
        <w:t xml:space="preserve">Operating principle 8: </w:t>
      </w:r>
      <w:r w:rsidRPr="00A112B4">
        <w:rPr>
          <w:bCs/>
          <w:i/>
          <w:iCs/>
          <w:lang w:val="en-GB"/>
        </w:rPr>
        <w:t>Data custodianship</w:t>
      </w:r>
      <w:r w:rsidRPr="00A112B4">
        <w:t xml:space="preserve"> </w:t>
      </w:r>
      <w:r w:rsidRPr="007C60DE">
        <w:t xml:space="preserve">in </w:t>
      </w:r>
      <w:r w:rsidRPr="007C60DE">
        <w:rPr>
          <w:szCs w:val="20"/>
        </w:rPr>
        <w:t xml:space="preserve">the </w:t>
      </w:r>
      <w:r w:rsidRPr="0024673B">
        <w:rPr>
          <w:szCs w:val="20"/>
        </w:rPr>
        <w:t>Framework</w:t>
      </w:r>
      <w:r w:rsidRPr="0024673B">
        <w:t>). For</w:t>
      </w:r>
      <w:r w:rsidRPr="00D1331E">
        <w:t xml:space="preserve"> example, linkages with the </w:t>
      </w:r>
      <w:r w:rsidRPr="009A3E3F">
        <w:t>National Death Index</w:t>
      </w:r>
      <w:r w:rsidRPr="00D1331E">
        <w:t xml:space="preserve"> provide a powerful</w:t>
      </w:r>
      <w:r w:rsidRPr="009A6C5C">
        <w:t xml:space="preserve"> tool to assess longer term outcomes </w:t>
      </w:r>
      <w:r>
        <w:t>that</w:t>
      </w:r>
      <w:r w:rsidRPr="009A6C5C">
        <w:t xml:space="preserve"> would otherwise not be feasible to collect</w:t>
      </w:r>
      <w:r>
        <w:t xml:space="preserve">. </w:t>
      </w:r>
      <w:r w:rsidRPr="009A6C5C">
        <w:t xml:space="preserve">Another example is linkage with infection surveillance systems to examine the rate of surgical wound infections following surgery. Detailed linked data from these </w:t>
      </w:r>
      <w:r>
        <w:t>CQRs</w:t>
      </w:r>
      <w:r w:rsidRPr="009A6C5C">
        <w:t xml:space="preserve"> provide information that could not have been derived from the </w:t>
      </w:r>
      <w:r>
        <w:t>CQR</w:t>
      </w:r>
      <w:r w:rsidRPr="009A6C5C">
        <w:t xml:space="preserve"> alone.</w:t>
      </w:r>
    </w:p>
    <w:p w14:paraId="1A57A313" w14:textId="1BBEE70F" w:rsidR="00192720" w:rsidRDefault="00192720" w:rsidP="008824DC">
      <w:r w:rsidRPr="009A6C5C">
        <w:t>Any data linkage must comply with privacy and policy legislation and requirements and take into account the accuracy, completeness, reliability and validity of the secondary data source</w:t>
      </w:r>
      <w:r>
        <w:t xml:space="preserve">. </w:t>
      </w:r>
      <w:r w:rsidRPr="009A6C5C">
        <w:t>Accordingly</w:t>
      </w:r>
      <w:r>
        <w:t>,</w:t>
      </w:r>
      <w:r w:rsidRPr="009A6C5C">
        <w:t xml:space="preserve"> data must be collected and stored using consistent definitions and standards and be transferred securely to support data linkage.</w:t>
      </w:r>
    </w:p>
    <w:p w14:paraId="348E3D06" w14:textId="77777777" w:rsidR="002B7583" w:rsidRDefault="002B7583"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3DE9F859" w14:textId="77777777" w:rsidTr="008824DC">
        <w:trPr>
          <w:trHeight w:val="2404"/>
        </w:trPr>
        <w:tc>
          <w:tcPr>
            <w:tcW w:w="5000" w:type="pct"/>
            <w:shd w:val="clear" w:color="auto" w:fill="F2EFE3"/>
            <w:tcMar>
              <w:bottom w:w="0" w:type="dxa"/>
            </w:tcMar>
          </w:tcPr>
          <w:p w14:paraId="29A04247" w14:textId="7B812188" w:rsidR="00330BAA" w:rsidRPr="00192720" w:rsidRDefault="008824DC" w:rsidP="00330BAA">
            <w:pPr>
              <w:rPr>
                <w:b/>
                <w:bCs/>
              </w:rPr>
            </w:pPr>
            <w:r w:rsidRPr="008824DC">
              <w:rPr>
                <w:b/>
                <w:bCs/>
              </w:rPr>
              <w:lastRenderedPageBreak/>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63E21E74" w14:textId="041B5A57" w:rsidR="008824DC" w:rsidRPr="008824DC" w:rsidRDefault="008824DC">
            <w:pPr>
              <w:pStyle w:val="ListParagraph"/>
              <w:numPr>
                <w:ilvl w:val="0"/>
                <w:numId w:val="45"/>
              </w:numPr>
            </w:pPr>
            <w:r w:rsidRPr="008824DC">
              <w:t>B07 Use of standard terminology and data specifications</w:t>
            </w:r>
          </w:p>
          <w:p w14:paraId="74B73BC1" w14:textId="77777777" w:rsidR="008824DC" w:rsidRPr="008824DC" w:rsidRDefault="008824DC">
            <w:pPr>
              <w:pStyle w:val="ListParagraph"/>
              <w:numPr>
                <w:ilvl w:val="0"/>
                <w:numId w:val="45"/>
              </w:numPr>
            </w:pPr>
            <w:r w:rsidRPr="008824DC">
              <w:t>B18 Capacity to link or integrate with other CQRs</w:t>
            </w:r>
          </w:p>
          <w:p w14:paraId="347C3F5E" w14:textId="77777777" w:rsidR="008824DC" w:rsidRPr="008824DC" w:rsidRDefault="008824DC">
            <w:pPr>
              <w:pStyle w:val="ListParagraph"/>
              <w:numPr>
                <w:ilvl w:val="0"/>
                <w:numId w:val="45"/>
              </w:numPr>
            </w:pPr>
            <w:r w:rsidRPr="008824DC">
              <w:t>B29 Produce longitudinal patient outcome information through data linkage</w:t>
            </w:r>
          </w:p>
          <w:p w14:paraId="1D97D457" w14:textId="77777777" w:rsidR="008824DC" w:rsidRPr="008824DC" w:rsidRDefault="008824DC">
            <w:pPr>
              <w:pStyle w:val="ListParagraph"/>
              <w:numPr>
                <w:ilvl w:val="0"/>
                <w:numId w:val="45"/>
              </w:numPr>
            </w:pPr>
            <w:r w:rsidRPr="008824DC">
              <w:t>NF42 Employ standard to support data linkage</w:t>
            </w:r>
          </w:p>
          <w:p w14:paraId="08910142" w14:textId="5AB2AD65" w:rsidR="008824DC" w:rsidRPr="007E6134" w:rsidRDefault="008824DC">
            <w:pPr>
              <w:pStyle w:val="ListParagraph"/>
              <w:numPr>
                <w:ilvl w:val="0"/>
                <w:numId w:val="45"/>
              </w:numPr>
            </w:pPr>
            <w:r w:rsidRPr="008824DC">
              <w:t>NF62 Audit trails to record data linkage details.</w:t>
            </w:r>
          </w:p>
        </w:tc>
      </w:tr>
    </w:tbl>
    <w:p w14:paraId="2F17D49D" w14:textId="57078985" w:rsidR="00192720" w:rsidRPr="009A6C5C" w:rsidRDefault="008824DC" w:rsidP="00192720">
      <w:pPr>
        <w:pStyle w:val="Heading3"/>
      </w:pPr>
      <w:bookmarkStart w:id="100" w:name="_Toc310691011"/>
      <w:bookmarkStart w:id="101" w:name="_Toc314141496"/>
      <w:bookmarkStart w:id="102" w:name="_Toc340679666"/>
      <w:bookmarkStart w:id="103" w:name="_Toc158583950"/>
      <w:bookmarkStart w:id="104" w:name="_Toc159324723"/>
      <w:bookmarkStart w:id="105" w:name="_Toc175550344"/>
      <w:r>
        <w:t>2.3.3</w:t>
      </w:r>
      <w:r>
        <w:tab/>
      </w:r>
      <w:r w:rsidR="008B602E" w:rsidRPr="009A6C5C">
        <w:t>Identi</w:t>
      </w:r>
      <w:r w:rsidR="008B602E">
        <w:t>fying</w:t>
      </w:r>
      <w:r w:rsidR="008B602E" w:rsidRPr="009A6C5C">
        <w:t xml:space="preserve"> </w:t>
      </w:r>
      <w:r w:rsidR="00192720" w:rsidRPr="009A6C5C">
        <w:t>patients requiring follow-up</w:t>
      </w:r>
      <w:bookmarkEnd w:id="100"/>
      <w:bookmarkEnd w:id="101"/>
      <w:bookmarkEnd w:id="102"/>
      <w:bookmarkEnd w:id="103"/>
      <w:bookmarkEnd w:id="104"/>
      <w:bookmarkEnd w:id="105"/>
    </w:p>
    <w:p w14:paraId="4044542A" w14:textId="77777777" w:rsidR="00192720" w:rsidRPr="009A6C5C" w:rsidRDefault="00192720" w:rsidP="008824DC">
      <w:r w:rsidRPr="009A6C5C">
        <w:t xml:space="preserve">It is important </w:t>
      </w:r>
      <w:r w:rsidRPr="00A112B4">
        <w:t xml:space="preserve">that </w:t>
      </w:r>
      <w:r>
        <w:t>CQRs</w:t>
      </w:r>
      <w:r w:rsidRPr="009A6C5C">
        <w:t xml:space="preserve"> </w:t>
      </w:r>
      <w:r>
        <w:t>endeavour</w:t>
      </w:r>
      <w:r w:rsidRPr="009A6C5C">
        <w:t xml:space="preserve"> to determine the outcome for the highest possible proportion of registered patients to prevent the potential for biased results.</w:t>
      </w:r>
    </w:p>
    <w:p w14:paraId="185DB3E4" w14:textId="740D3754" w:rsidR="00192720" w:rsidRPr="009A6C5C" w:rsidRDefault="00192720" w:rsidP="008824DC">
      <w:r w:rsidRPr="009A6C5C">
        <w:t xml:space="preserve">Determining the outcome of clinical care is the most fundamental requirement of a </w:t>
      </w:r>
      <w:r>
        <w:t>CQR</w:t>
      </w:r>
      <w:r w:rsidRPr="009A6C5C">
        <w:t xml:space="preserve"> and </w:t>
      </w:r>
      <w:r>
        <w:t>shall</w:t>
      </w:r>
      <w:r w:rsidRPr="009A6C5C">
        <w:t xml:space="preserve"> be undertaken at a time when the </w:t>
      </w:r>
      <w:r w:rsidRPr="00591C4A">
        <w:t xml:space="preserve">patient’s clinical </w:t>
      </w:r>
      <w:r w:rsidRPr="009A6C5C">
        <w:t>condition has stabilised</w:t>
      </w:r>
      <w:r>
        <w:t xml:space="preserve"> or when an event, such as death, has occurred and the outcome can therefore be </w:t>
      </w:r>
      <w:r w:rsidRPr="0024673B">
        <w:t xml:space="preserve">reasonably ascertained (refer to </w:t>
      </w:r>
      <w:r w:rsidR="008B602E">
        <w:rPr>
          <w:i/>
          <w:iCs/>
        </w:rPr>
        <w:t>Operating principle 4: Data elements</w:t>
      </w:r>
      <w:r w:rsidRPr="0024673B">
        <w:t xml:space="preserve"> in </w:t>
      </w:r>
      <w:r w:rsidRPr="0024673B">
        <w:rPr>
          <w:szCs w:val="20"/>
        </w:rPr>
        <w:t>the Framework</w:t>
      </w:r>
      <w:r w:rsidRPr="0024673B">
        <w:t>).</w:t>
      </w:r>
    </w:p>
    <w:p w14:paraId="5DCAE321" w14:textId="77777777" w:rsidR="00192720" w:rsidRPr="009A6C5C" w:rsidRDefault="00192720" w:rsidP="008824DC">
      <w:r w:rsidRPr="009A6C5C">
        <w:t xml:space="preserve">To support this requirement, </w:t>
      </w:r>
      <w:r>
        <w:t>CQR</w:t>
      </w:r>
      <w:r w:rsidRPr="009A6C5C">
        <w:t xml:space="preserve"> systems will enable </w:t>
      </w:r>
      <w:r>
        <w:t>CQR</w:t>
      </w:r>
      <w:r w:rsidRPr="009A6C5C">
        <w:t xml:space="preserve"> staff to define the period in which an individual's record </w:t>
      </w:r>
      <w:r>
        <w:t>shall</w:t>
      </w:r>
      <w:r w:rsidRPr="009A6C5C">
        <w:t xml:space="preserve"> be updated or completed and either:</w:t>
      </w:r>
    </w:p>
    <w:p w14:paraId="4B7856C2" w14:textId="77777777" w:rsidR="00192720" w:rsidRPr="00371B33" w:rsidRDefault="00192720">
      <w:pPr>
        <w:pStyle w:val="ListParagraph"/>
        <w:numPr>
          <w:ilvl w:val="0"/>
          <w:numId w:val="47"/>
        </w:numPr>
      </w:pPr>
      <w:r>
        <w:t>P</w:t>
      </w:r>
      <w:r w:rsidRPr="00371B33">
        <w:t>rompt a user (who has entered a record which now requires follow-up) when a record remains incomplete past the permitted duration for record update</w:t>
      </w:r>
    </w:p>
    <w:p w14:paraId="62A52E49" w14:textId="77777777" w:rsidR="00192720" w:rsidRPr="00371B33" w:rsidRDefault="00192720">
      <w:pPr>
        <w:pStyle w:val="ListParagraph"/>
        <w:numPr>
          <w:ilvl w:val="0"/>
          <w:numId w:val="47"/>
        </w:numPr>
      </w:pPr>
      <w:r>
        <w:t>E</w:t>
      </w:r>
      <w:r w:rsidRPr="00371B33">
        <w:t>nable production of a report that identifies records that require follow-up</w:t>
      </w:r>
      <w:r>
        <w:t>,</w:t>
      </w:r>
      <w:r w:rsidRPr="00371B33">
        <w:t xml:space="preserve"> or</w:t>
      </w:r>
    </w:p>
    <w:p w14:paraId="6DA06B6C" w14:textId="11BD2DC0" w:rsidR="00192720" w:rsidRDefault="00192720">
      <w:pPr>
        <w:pStyle w:val="ListParagraph"/>
        <w:numPr>
          <w:ilvl w:val="0"/>
          <w:numId w:val="47"/>
        </w:numPr>
      </w:pPr>
      <w:r>
        <w:t>P</w:t>
      </w:r>
      <w:r w:rsidRPr="00371B33">
        <w:t>roduce 'to do' lists on a user's dashboard (using automated workflows) to identify records that require follow-up.</w:t>
      </w:r>
    </w:p>
    <w:p w14:paraId="4FBD8020" w14:textId="77777777" w:rsidR="008824DC" w:rsidRDefault="008824DC" w:rsidP="002B7583"/>
    <w:tbl>
      <w:tblPr>
        <w:tblStyle w:val="PulloutBox"/>
        <w:tblW w:w="5048" w:type="pct"/>
        <w:shd w:val="clear" w:color="auto" w:fill="F2EFE3"/>
        <w:tblLook w:val="0020" w:firstRow="1" w:lastRow="0" w:firstColumn="0" w:lastColumn="0" w:noHBand="0" w:noVBand="0"/>
        <w:tblDescription w:val="Box 1"/>
      </w:tblPr>
      <w:tblGrid>
        <w:gridCol w:w="9732"/>
      </w:tblGrid>
      <w:tr w:rsidR="008824DC" w14:paraId="6095FF5D" w14:textId="77777777" w:rsidTr="00F07AF8">
        <w:trPr>
          <w:trHeight w:val="2404"/>
        </w:trPr>
        <w:tc>
          <w:tcPr>
            <w:tcW w:w="5000" w:type="pct"/>
            <w:shd w:val="clear" w:color="auto" w:fill="F2EFE3"/>
            <w:tcMar>
              <w:bottom w:w="0" w:type="dxa"/>
            </w:tcMar>
          </w:tcPr>
          <w:p w14:paraId="550A59D2" w14:textId="5661E451"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57EBCC2E" w14:textId="0924A27C" w:rsidR="008824DC" w:rsidRPr="00876BA2" w:rsidRDefault="008824DC">
            <w:pPr>
              <w:pStyle w:val="ListParagraph"/>
              <w:numPr>
                <w:ilvl w:val="0"/>
                <w:numId w:val="45"/>
              </w:numPr>
            </w:pPr>
            <w:r w:rsidRPr="00876BA2">
              <w:t xml:space="preserve">F14 Establish criteria for rejecting or partially accepting records </w:t>
            </w:r>
          </w:p>
          <w:p w14:paraId="0C04F621" w14:textId="77777777" w:rsidR="008824DC" w:rsidRPr="00876BA2" w:rsidRDefault="008824DC">
            <w:pPr>
              <w:pStyle w:val="ListParagraph"/>
              <w:numPr>
                <w:ilvl w:val="0"/>
                <w:numId w:val="45"/>
              </w:numPr>
            </w:pPr>
            <w:r w:rsidRPr="00876BA2">
              <w:t>F36 Define period for record update</w:t>
            </w:r>
          </w:p>
          <w:p w14:paraId="3562F54E" w14:textId="77777777" w:rsidR="008824DC" w:rsidRDefault="008824DC">
            <w:pPr>
              <w:pStyle w:val="ListParagraph"/>
              <w:numPr>
                <w:ilvl w:val="0"/>
                <w:numId w:val="45"/>
              </w:numPr>
            </w:pPr>
            <w:r w:rsidRPr="00876BA2">
              <w:t>F37 Prompt when record incomplete</w:t>
            </w:r>
          </w:p>
          <w:p w14:paraId="30697659" w14:textId="77777777" w:rsidR="008824DC" w:rsidRDefault="008824DC">
            <w:pPr>
              <w:pStyle w:val="ListParagraph"/>
              <w:numPr>
                <w:ilvl w:val="0"/>
                <w:numId w:val="45"/>
              </w:numPr>
            </w:pPr>
            <w:r>
              <w:t>F81 Record patient decision to opt-out</w:t>
            </w:r>
          </w:p>
          <w:p w14:paraId="58EDF2F9" w14:textId="77777777" w:rsidR="008824DC" w:rsidRDefault="008824DC">
            <w:pPr>
              <w:pStyle w:val="ListParagraph"/>
              <w:numPr>
                <w:ilvl w:val="0"/>
                <w:numId w:val="45"/>
              </w:numPr>
            </w:pPr>
            <w:r>
              <w:t>F87 Record opt-out notification</w:t>
            </w:r>
          </w:p>
          <w:p w14:paraId="088B77FE" w14:textId="5C37EED7" w:rsidR="008824DC" w:rsidRDefault="008824DC">
            <w:pPr>
              <w:pStyle w:val="ListParagraph"/>
              <w:numPr>
                <w:ilvl w:val="0"/>
                <w:numId w:val="45"/>
              </w:numPr>
            </w:pPr>
            <w:r>
              <w:t>F88 Flag when patient has opted out</w:t>
            </w:r>
            <w:r w:rsidR="00DD3F05">
              <w:t>.</w:t>
            </w:r>
          </w:p>
          <w:p w14:paraId="1F0D6986" w14:textId="3D7AA49D" w:rsidR="008824DC" w:rsidRPr="007E6134" w:rsidRDefault="008824DC" w:rsidP="008824DC">
            <w:pPr>
              <w:pStyle w:val="ListParagraph"/>
            </w:pPr>
          </w:p>
        </w:tc>
      </w:tr>
    </w:tbl>
    <w:p w14:paraId="3E45F663" w14:textId="71C9B2AF" w:rsidR="00192720" w:rsidRPr="009A6C5C" w:rsidRDefault="008824DC" w:rsidP="00192720">
      <w:pPr>
        <w:pStyle w:val="Heading3"/>
      </w:pPr>
      <w:bookmarkStart w:id="106" w:name="_Toc310691012"/>
      <w:bookmarkStart w:id="107" w:name="_Toc314141497"/>
      <w:bookmarkStart w:id="108" w:name="_Toc340679667"/>
      <w:bookmarkStart w:id="109" w:name="_Toc158583951"/>
      <w:bookmarkStart w:id="110" w:name="_Toc159324724"/>
      <w:bookmarkStart w:id="111" w:name="_Toc175550345"/>
      <w:r>
        <w:t>2.3.4</w:t>
      </w:r>
      <w:r>
        <w:tab/>
      </w:r>
      <w:r w:rsidR="00192720" w:rsidRPr="009A6C5C">
        <w:t>Add follow-up information</w:t>
      </w:r>
      <w:bookmarkEnd w:id="106"/>
      <w:bookmarkEnd w:id="107"/>
      <w:bookmarkEnd w:id="108"/>
      <w:bookmarkEnd w:id="109"/>
      <w:bookmarkEnd w:id="110"/>
      <w:bookmarkEnd w:id="111"/>
    </w:p>
    <w:p w14:paraId="3A108FB9" w14:textId="77777777" w:rsidR="008824DC" w:rsidRDefault="00192720" w:rsidP="008824DC">
      <w:r w:rsidRPr="009A6C5C">
        <w:t xml:space="preserve">Ideally, </w:t>
      </w:r>
      <w:r>
        <w:t>CQRs</w:t>
      </w:r>
      <w:r w:rsidRPr="009A6C5C">
        <w:t xml:space="preserve"> will support linkage to administrative and/or other databases to enable the collection of outcome information without the need to contact the patient. This increases the efficiency of tracking people into the future, through multiple episodes of care and across multiple institutions.</w:t>
      </w:r>
    </w:p>
    <w:p w14:paraId="22C3CBE9" w14:textId="40ACA3B1" w:rsidR="00192720" w:rsidRPr="009A6C5C" w:rsidRDefault="00192720" w:rsidP="008824DC">
      <w:r w:rsidRPr="009A6C5C">
        <w:t>Alternatively, out</w:t>
      </w:r>
      <w:r>
        <w:t>-</w:t>
      </w:r>
      <w:r w:rsidRPr="009A6C5C">
        <w:t>of</w:t>
      </w:r>
      <w:r>
        <w:t>-</w:t>
      </w:r>
      <w:r w:rsidRPr="009A6C5C">
        <w:t xml:space="preserve">hospital outcomes are commonly determined by contacting participants at a defined time after discharge and asking a small number of key questions, or through contact by </w:t>
      </w:r>
      <w:r>
        <w:t>CQR</w:t>
      </w:r>
      <w:r w:rsidRPr="009A6C5C">
        <w:t xml:space="preserve"> staff with the participating institution or clinician to obtain outcome information.</w:t>
      </w:r>
    </w:p>
    <w:p w14:paraId="402D3896" w14:textId="1629BDCE" w:rsidR="008824DC" w:rsidRDefault="00192720" w:rsidP="008824DC">
      <w:r>
        <w:t>CQRs</w:t>
      </w:r>
      <w:r w:rsidRPr="009A6C5C">
        <w:t xml:space="preserve"> may support this function by allowing users to download printable or offline forms to aid the collection of follow-up information which is then entered into the registry system</w:t>
      </w:r>
      <w:r>
        <w:t>.</w:t>
      </w:r>
    </w:p>
    <w:p w14:paraId="781D9151" w14:textId="77777777" w:rsidR="002B7583" w:rsidRDefault="002B7583"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57606F0D" w14:textId="77777777" w:rsidTr="008824DC">
        <w:trPr>
          <w:trHeight w:val="2687"/>
        </w:trPr>
        <w:tc>
          <w:tcPr>
            <w:tcW w:w="5000" w:type="pct"/>
            <w:shd w:val="clear" w:color="auto" w:fill="F2EFE3"/>
            <w:tcMar>
              <w:bottom w:w="0" w:type="dxa"/>
            </w:tcMar>
          </w:tcPr>
          <w:p w14:paraId="34907D90" w14:textId="5D368BE2"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2BADC053" w14:textId="262DDAAD" w:rsidR="008824DC" w:rsidRPr="00876BA2" w:rsidRDefault="008824DC">
            <w:pPr>
              <w:pStyle w:val="ListParagraph"/>
              <w:numPr>
                <w:ilvl w:val="0"/>
                <w:numId w:val="48"/>
              </w:numPr>
            </w:pPr>
            <w:r w:rsidRPr="78AAC609">
              <w:t>F12 Access for international data providers</w:t>
            </w:r>
          </w:p>
          <w:p w14:paraId="43B7E8E0" w14:textId="77777777" w:rsidR="008824DC" w:rsidRPr="007F3D1F" w:rsidRDefault="008824DC">
            <w:pPr>
              <w:pStyle w:val="ListParagraph"/>
              <w:numPr>
                <w:ilvl w:val="0"/>
                <w:numId w:val="48"/>
              </w:numPr>
            </w:pPr>
            <w:r w:rsidRPr="00876BA2">
              <w:t>F38 Report of incomplete record</w:t>
            </w:r>
          </w:p>
          <w:p w14:paraId="016DA01D" w14:textId="77777777" w:rsidR="008824DC" w:rsidRPr="00876BA2" w:rsidRDefault="008824DC">
            <w:pPr>
              <w:pStyle w:val="ListParagraph"/>
              <w:numPr>
                <w:ilvl w:val="0"/>
                <w:numId w:val="48"/>
              </w:numPr>
            </w:pPr>
            <w:r w:rsidRPr="00876BA2">
              <w:t>F39 Download follow-up forms</w:t>
            </w:r>
          </w:p>
          <w:p w14:paraId="65A417A1" w14:textId="77777777" w:rsidR="008824DC" w:rsidRPr="00876BA2" w:rsidRDefault="008824DC">
            <w:pPr>
              <w:pStyle w:val="ListParagraph"/>
              <w:numPr>
                <w:ilvl w:val="0"/>
                <w:numId w:val="48"/>
              </w:numPr>
            </w:pPr>
            <w:r w:rsidRPr="00876BA2">
              <w:t>F40 Lock record at case completion</w:t>
            </w:r>
          </w:p>
          <w:p w14:paraId="632B63F0" w14:textId="77777777" w:rsidR="008824DC" w:rsidRPr="00876BA2" w:rsidRDefault="008824DC">
            <w:pPr>
              <w:pStyle w:val="ListParagraph"/>
              <w:numPr>
                <w:ilvl w:val="0"/>
                <w:numId w:val="48"/>
              </w:numPr>
            </w:pPr>
            <w:r w:rsidRPr="00876BA2">
              <w:t>F41 Authorised users can unlock records</w:t>
            </w:r>
          </w:p>
          <w:p w14:paraId="58E8004D" w14:textId="2C24126A" w:rsidR="008824DC" w:rsidRPr="007E6134" w:rsidRDefault="008824DC">
            <w:pPr>
              <w:pStyle w:val="ListParagraph"/>
              <w:numPr>
                <w:ilvl w:val="0"/>
                <w:numId w:val="48"/>
              </w:numPr>
            </w:pPr>
            <w:r w:rsidRPr="00876BA2">
              <w:t>F42 Workflows</w:t>
            </w:r>
            <w:r>
              <w:t>.</w:t>
            </w:r>
          </w:p>
        </w:tc>
      </w:tr>
    </w:tbl>
    <w:p w14:paraId="7F1B3DBA" w14:textId="648CCC25" w:rsidR="00192720" w:rsidRDefault="008824DC" w:rsidP="00192720">
      <w:pPr>
        <w:pStyle w:val="Heading3"/>
      </w:pPr>
      <w:bookmarkStart w:id="112" w:name="_Toc158583952"/>
      <w:bookmarkStart w:id="113" w:name="_Toc159324725"/>
      <w:bookmarkStart w:id="114" w:name="_Toc175550346"/>
      <w:r>
        <w:t>2.3.5</w:t>
      </w:r>
      <w:r>
        <w:tab/>
      </w:r>
      <w:r w:rsidR="00192720">
        <w:t>Manage data capture conditions and metadata requirements</w:t>
      </w:r>
      <w:bookmarkEnd w:id="112"/>
      <w:bookmarkEnd w:id="113"/>
      <w:bookmarkEnd w:id="114"/>
    </w:p>
    <w:p w14:paraId="531C0B52" w14:textId="77777777" w:rsidR="00192720" w:rsidRDefault="00192720" w:rsidP="008824DC">
      <w:r>
        <w:t>To support timely reporting in support of quality and performance improvement, it is critical that data points are captured in a timely manner yet also in a</w:t>
      </w:r>
      <w:r w:rsidRPr="003C554D">
        <w:t xml:space="preserve"> way </w:t>
      </w:r>
      <w:r>
        <w:t xml:space="preserve">that does </w:t>
      </w:r>
      <w:r w:rsidRPr="00107E02">
        <w:t xml:space="preserve">not place an unreasonable burden on either the clinician or the consumer. </w:t>
      </w:r>
      <w:bookmarkStart w:id="115" w:name="_Hlk96850722"/>
    </w:p>
    <w:p w14:paraId="01C40C7F" w14:textId="78170C03" w:rsidR="008824DC" w:rsidRDefault="00192720" w:rsidP="008824DC">
      <w:r w:rsidRPr="00107E02">
        <w:t>The move towards the future-focused model</w:t>
      </w:r>
      <w:r>
        <w:t xml:space="preserve"> where data points are routinely extracted from clinical systems to support clinical quality improvement will relieve this issue. However, in the interim, where data are to be inputted through other means, the capture shall be undertaken by a trained data collector and recorded once per episode to avoid duplication and redundancy</w:t>
      </w:r>
      <w:bookmarkEnd w:id="115"/>
      <w:r>
        <w:t>. Data quality shall be verified and tested by conducting accuracy and validation checks on a sufficiently large sample that is representative of the data as a whole. The appropriateness and size of the sample shall be reliably defined and take into account the critical nature of this data accuracy.</w:t>
      </w:r>
    </w:p>
    <w:p w14:paraId="2D8D575A"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43371BEE" w14:textId="77777777" w:rsidTr="008824DC">
        <w:trPr>
          <w:trHeight w:val="3569"/>
        </w:trPr>
        <w:tc>
          <w:tcPr>
            <w:tcW w:w="5000" w:type="pct"/>
            <w:shd w:val="clear" w:color="auto" w:fill="F2EFE3"/>
            <w:tcMar>
              <w:bottom w:w="0" w:type="dxa"/>
            </w:tcMar>
          </w:tcPr>
          <w:p w14:paraId="2FB0B65B" w14:textId="1446E768"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30D3187A" w14:textId="2950A0E5" w:rsidR="008824DC" w:rsidRPr="00876BA2" w:rsidRDefault="008824DC">
            <w:pPr>
              <w:pStyle w:val="ListParagraph"/>
              <w:numPr>
                <w:ilvl w:val="0"/>
                <w:numId w:val="49"/>
              </w:numPr>
            </w:pPr>
            <w:r w:rsidRPr="00876BA2">
              <w:t>B10 Avoid data collection burden on consumers</w:t>
            </w:r>
          </w:p>
          <w:p w14:paraId="2D5EDFC8" w14:textId="77777777" w:rsidR="008824DC" w:rsidRDefault="008824DC">
            <w:pPr>
              <w:pStyle w:val="ListParagraph"/>
              <w:numPr>
                <w:ilvl w:val="0"/>
                <w:numId w:val="49"/>
              </w:numPr>
            </w:pPr>
            <w:r w:rsidRPr="00876BA2">
              <w:t>B11 Timely capture of data</w:t>
            </w:r>
          </w:p>
          <w:p w14:paraId="2BBBBEDE" w14:textId="77777777" w:rsidR="008824DC" w:rsidRPr="007F3D1F" w:rsidRDefault="008824DC">
            <w:pPr>
              <w:pStyle w:val="ListParagraph"/>
              <w:numPr>
                <w:ilvl w:val="0"/>
                <w:numId w:val="49"/>
              </w:numPr>
            </w:pPr>
            <w:r w:rsidRPr="00876BA2">
              <w:t xml:space="preserve">B15 Collect </w:t>
            </w:r>
            <w:r>
              <w:t>covariates</w:t>
            </w:r>
            <w:r w:rsidRPr="00876BA2">
              <w:t xml:space="preserve"> for risk adjustment</w:t>
            </w:r>
          </w:p>
          <w:p w14:paraId="5C9621DD" w14:textId="77777777" w:rsidR="008824DC" w:rsidRPr="00876BA2" w:rsidRDefault="008824DC">
            <w:pPr>
              <w:pStyle w:val="ListParagraph"/>
              <w:numPr>
                <w:ilvl w:val="0"/>
                <w:numId w:val="49"/>
              </w:numPr>
            </w:pPr>
            <w:r w:rsidRPr="00876BA2">
              <w:t>B23 Avoid redundant data capture</w:t>
            </w:r>
          </w:p>
          <w:p w14:paraId="069E059D" w14:textId="77777777" w:rsidR="008824DC" w:rsidRPr="00876BA2" w:rsidRDefault="008824DC">
            <w:pPr>
              <w:pStyle w:val="ListParagraph"/>
              <w:numPr>
                <w:ilvl w:val="0"/>
                <w:numId w:val="49"/>
              </w:numPr>
            </w:pPr>
            <w:r w:rsidRPr="00876BA2">
              <w:t>B24 Trained data collectors</w:t>
            </w:r>
          </w:p>
          <w:p w14:paraId="774A01D8" w14:textId="77777777" w:rsidR="008824DC" w:rsidRPr="00876BA2" w:rsidRDefault="008824DC">
            <w:pPr>
              <w:pStyle w:val="ListParagraph"/>
              <w:numPr>
                <w:ilvl w:val="0"/>
                <w:numId w:val="49"/>
              </w:numPr>
            </w:pPr>
            <w:r w:rsidRPr="00876BA2">
              <w:t>B25 Use of existing data</w:t>
            </w:r>
          </w:p>
          <w:p w14:paraId="6D35A2F1" w14:textId="77777777" w:rsidR="008824DC" w:rsidRDefault="008824DC">
            <w:pPr>
              <w:pStyle w:val="ListParagraph"/>
              <w:numPr>
                <w:ilvl w:val="0"/>
                <w:numId w:val="49"/>
              </w:numPr>
            </w:pPr>
            <w:r w:rsidRPr="00876BA2">
              <w:t>B26 Adequate sample sizes for data accuracy checks</w:t>
            </w:r>
          </w:p>
          <w:p w14:paraId="3DB8F1E9" w14:textId="77777777" w:rsidR="008824DC" w:rsidRPr="00876BA2" w:rsidRDefault="008824DC">
            <w:pPr>
              <w:pStyle w:val="ListParagraph"/>
              <w:numPr>
                <w:ilvl w:val="0"/>
                <w:numId w:val="49"/>
              </w:numPr>
            </w:pPr>
            <w:r>
              <w:t>B27 Specific case definitions</w:t>
            </w:r>
          </w:p>
          <w:p w14:paraId="2687CFAE" w14:textId="0276711D" w:rsidR="008824DC" w:rsidRPr="007E6134" w:rsidRDefault="008824DC">
            <w:pPr>
              <w:pStyle w:val="ListParagraph"/>
              <w:numPr>
                <w:ilvl w:val="0"/>
                <w:numId w:val="49"/>
              </w:numPr>
            </w:pPr>
            <w:r w:rsidRPr="00876BA2">
              <w:t xml:space="preserve">B28 </w:t>
            </w:r>
            <w:r w:rsidR="005217C0">
              <w:t>Considerations in d</w:t>
            </w:r>
            <w:r w:rsidRPr="00876BA2">
              <w:t>etermining time to outcome assessment</w:t>
            </w:r>
            <w:r>
              <w:t>.</w:t>
            </w:r>
          </w:p>
        </w:tc>
      </w:tr>
    </w:tbl>
    <w:p w14:paraId="7203DFD7" w14:textId="655E0BBB" w:rsidR="00192720" w:rsidRPr="00224EA8" w:rsidRDefault="008824DC" w:rsidP="00192720">
      <w:pPr>
        <w:pStyle w:val="Heading2"/>
      </w:pPr>
      <w:bookmarkStart w:id="116" w:name="_Toc305140465"/>
      <w:bookmarkStart w:id="117" w:name="_Toc310691013"/>
      <w:bookmarkStart w:id="118" w:name="_Toc314141498"/>
      <w:bookmarkStart w:id="119" w:name="_Toc340679668"/>
      <w:bookmarkStart w:id="120" w:name="_Toc158583953"/>
      <w:bookmarkStart w:id="121" w:name="_Toc159324726"/>
      <w:bookmarkStart w:id="122" w:name="_Toc175550347"/>
      <w:r>
        <w:t>2.4</w:t>
      </w:r>
      <w:r>
        <w:tab/>
      </w:r>
      <w:r w:rsidR="00192720" w:rsidRPr="00224EA8">
        <w:t>Data quality management</w:t>
      </w:r>
      <w:bookmarkEnd w:id="116"/>
      <w:bookmarkEnd w:id="117"/>
      <w:bookmarkEnd w:id="118"/>
      <w:bookmarkEnd w:id="119"/>
      <w:bookmarkEnd w:id="120"/>
      <w:bookmarkEnd w:id="121"/>
      <w:bookmarkEnd w:id="122"/>
    </w:p>
    <w:p w14:paraId="19AF1EFD" w14:textId="77777777" w:rsidR="00192720" w:rsidRDefault="00192720" w:rsidP="008824DC">
      <w:r w:rsidRPr="009A6C5C">
        <w:t xml:space="preserve">The </w:t>
      </w:r>
      <w:r>
        <w:t xml:space="preserve">use of clinical data for </w:t>
      </w:r>
      <w:r w:rsidRPr="009A6C5C">
        <w:t>benchmarking outcomes</w:t>
      </w:r>
      <w:r>
        <w:t xml:space="preserve"> via CQRs and </w:t>
      </w:r>
      <w:r w:rsidRPr="009A6C5C">
        <w:t>assessing compliance with best practice guidelines</w:t>
      </w:r>
      <w:r>
        <w:t xml:space="preserve"> </w:t>
      </w:r>
      <w:r w:rsidRPr="009A6C5C">
        <w:t>mandates</w:t>
      </w:r>
      <w:r w:rsidRPr="00B13958">
        <w:t xml:space="preserve"> that </w:t>
      </w:r>
      <w:r w:rsidRPr="009A6C5C">
        <w:t>data be accurate and reliable</w:t>
      </w:r>
      <w:r>
        <w:t xml:space="preserve">, ensuring provider </w:t>
      </w:r>
      <w:r w:rsidRPr="009A6C5C">
        <w:t xml:space="preserve">confidence </w:t>
      </w:r>
      <w:r>
        <w:t>in CQR-generated</w:t>
      </w:r>
      <w:r w:rsidRPr="009A6C5C">
        <w:t xml:space="preserve"> information</w:t>
      </w:r>
      <w:r>
        <w:t xml:space="preserve">. </w:t>
      </w:r>
      <w:r w:rsidRPr="009A6C5C">
        <w:t xml:space="preserve">Collection of data from widely dispersed sites is a well-established risk factor for poor data quality. </w:t>
      </w:r>
    </w:p>
    <w:p w14:paraId="6E448854" w14:textId="77777777" w:rsidR="00192720" w:rsidRPr="009A6C5C" w:rsidRDefault="00192720" w:rsidP="008824DC">
      <w:r w:rsidRPr="009A6C5C">
        <w:t xml:space="preserve">A continuing focus on data quality is a fundamental function of the work undertaken by </w:t>
      </w:r>
      <w:r>
        <w:t>CQRs</w:t>
      </w:r>
      <w:r w:rsidRPr="009A6C5C">
        <w:t>.</w:t>
      </w:r>
      <w:r>
        <w:t xml:space="preserve"> </w:t>
      </w:r>
      <w:r w:rsidRPr="009A6C5C">
        <w:t>Data used to monitor the quality of care must be capable of taking into account the basic requirements of accuracy and reproducibility that underpin reliable clinical data.</w:t>
      </w:r>
      <w:r>
        <w:t xml:space="preserve"> Where data elements are </w:t>
      </w:r>
      <w:r>
        <w:lastRenderedPageBreak/>
        <w:t>identified as missing, incomplete or inaccurate, correction in the source systems rather than in the CQR itself will be the appropriate data quality intervention.</w:t>
      </w:r>
    </w:p>
    <w:p w14:paraId="562EF61A" w14:textId="7E59AA0A" w:rsidR="00192720" w:rsidRPr="009A6C5C" w:rsidRDefault="008824DC" w:rsidP="00192720">
      <w:pPr>
        <w:pStyle w:val="Heading3"/>
      </w:pPr>
      <w:bookmarkStart w:id="123" w:name="_Toc310691014"/>
      <w:bookmarkStart w:id="124" w:name="_Toc314141499"/>
      <w:bookmarkStart w:id="125" w:name="_Toc340679669"/>
      <w:bookmarkStart w:id="126" w:name="_Toc158583954"/>
      <w:bookmarkStart w:id="127" w:name="_Toc159324727"/>
      <w:bookmarkStart w:id="128" w:name="_Toc175550348"/>
      <w:r>
        <w:t>2.4.1</w:t>
      </w:r>
      <w:r>
        <w:tab/>
      </w:r>
      <w:r w:rsidR="00192720" w:rsidRPr="009A6C5C">
        <w:t>Identify inaccurate/incomplete data</w:t>
      </w:r>
      <w:bookmarkEnd w:id="123"/>
      <w:bookmarkEnd w:id="124"/>
      <w:bookmarkEnd w:id="125"/>
      <w:bookmarkEnd w:id="126"/>
      <w:bookmarkEnd w:id="127"/>
      <w:bookmarkEnd w:id="128"/>
    </w:p>
    <w:p w14:paraId="62A41963" w14:textId="77777777" w:rsidR="00192720" w:rsidRDefault="00192720" w:rsidP="008824DC">
      <w:r>
        <w:t>Where data are collected through automated extracts or APIs, inaccurate or incomplete data must be communicated to the data owner of that data source for rectification.</w:t>
      </w:r>
    </w:p>
    <w:p w14:paraId="4C6ED1EA" w14:textId="77777777" w:rsidR="00192720" w:rsidRPr="009A6C5C" w:rsidRDefault="00192720" w:rsidP="008824DC">
      <w:r>
        <w:t>CQR</w:t>
      </w:r>
      <w:r w:rsidRPr="009A6C5C">
        <w:t xml:space="preserve"> systems </w:t>
      </w:r>
      <w:r>
        <w:t>shall</w:t>
      </w:r>
      <w:r w:rsidRPr="009A6C5C">
        <w:t xml:space="preserve"> support the identification of inaccurate or incomplete data through: </w:t>
      </w:r>
    </w:p>
    <w:p w14:paraId="5277EDE0" w14:textId="77777777" w:rsidR="00192720" w:rsidRPr="00876BA2" w:rsidRDefault="00192720">
      <w:pPr>
        <w:pStyle w:val="ListParagraph"/>
        <w:numPr>
          <w:ilvl w:val="0"/>
          <w:numId w:val="50"/>
        </w:numPr>
      </w:pPr>
      <w:r>
        <w:t>D</w:t>
      </w:r>
      <w:r w:rsidRPr="00876BA2">
        <w:t xml:space="preserve">efining logic checks that constrain the information able to be entered into a field </w:t>
      </w:r>
    </w:p>
    <w:p w14:paraId="5DED8B7B" w14:textId="77777777" w:rsidR="00192720" w:rsidRPr="00876BA2" w:rsidRDefault="00192720">
      <w:pPr>
        <w:pStyle w:val="ListParagraph"/>
        <w:numPr>
          <w:ilvl w:val="0"/>
          <w:numId w:val="50"/>
        </w:numPr>
      </w:pPr>
      <w:r>
        <w:t>I</w:t>
      </w:r>
      <w:r w:rsidRPr="00876BA2">
        <w:t>ncorporation of in-built data validation checks (e.g. data range and context sensitive validation)</w:t>
      </w:r>
    </w:p>
    <w:p w14:paraId="7D0CD71B" w14:textId="77777777" w:rsidR="00192720" w:rsidRPr="00876BA2" w:rsidRDefault="00192720">
      <w:pPr>
        <w:pStyle w:val="ListParagraph"/>
        <w:numPr>
          <w:ilvl w:val="0"/>
          <w:numId w:val="50"/>
        </w:numPr>
      </w:pPr>
      <w:r>
        <w:t>U</w:t>
      </w:r>
      <w:r w:rsidRPr="00876BA2">
        <w:t xml:space="preserve">se of probabilistic matching of identifying information to avoid record duplication and </w:t>
      </w:r>
      <w:r>
        <w:t>e</w:t>
      </w:r>
      <w:r w:rsidRPr="00876BA2">
        <w:t>nsure that all information pertaining to an individual is appropriately identified</w:t>
      </w:r>
    </w:p>
    <w:p w14:paraId="70A51673" w14:textId="77777777" w:rsidR="00192720" w:rsidRPr="00876BA2" w:rsidRDefault="00192720">
      <w:pPr>
        <w:pStyle w:val="ListParagraph"/>
        <w:numPr>
          <w:ilvl w:val="0"/>
          <w:numId w:val="50"/>
        </w:numPr>
      </w:pPr>
      <w:r>
        <w:t>I</w:t>
      </w:r>
      <w:r w:rsidRPr="00876BA2">
        <w:t>dentification of a random sample of cases in which to conduct audits against source records</w:t>
      </w:r>
    </w:p>
    <w:p w14:paraId="085B2C59" w14:textId="77777777" w:rsidR="00192720" w:rsidRPr="00876BA2" w:rsidRDefault="00192720">
      <w:pPr>
        <w:pStyle w:val="ListParagraph"/>
        <w:numPr>
          <w:ilvl w:val="0"/>
          <w:numId w:val="50"/>
        </w:numPr>
      </w:pPr>
      <w:r>
        <w:t>P</w:t>
      </w:r>
      <w:r w:rsidRPr="00876BA2">
        <w:t>roduction of reports to users about the quality of data collected based on data quality standards and their data entry error rates</w:t>
      </w:r>
    </w:p>
    <w:p w14:paraId="027BF9B9" w14:textId="6F2FF71A" w:rsidR="00192720" w:rsidRDefault="00192720">
      <w:pPr>
        <w:pStyle w:val="ListParagraph"/>
        <w:numPr>
          <w:ilvl w:val="0"/>
          <w:numId w:val="50"/>
        </w:numPr>
      </w:pPr>
      <w:r>
        <w:t>P</w:t>
      </w:r>
      <w:r w:rsidRPr="00876BA2">
        <w:t>roduction of reports on the outcome of data audit checks by case, episode or facility.</w:t>
      </w:r>
    </w:p>
    <w:p w14:paraId="01C4E218"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071915A8" w14:textId="77777777" w:rsidTr="008824DC">
        <w:trPr>
          <w:trHeight w:val="4385"/>
        </w:trPr>
        <w:tc>
          <w:tcPr>
            <w:tcW w:w="5000" w:type="pct"/>
            <w:shd w:val="clear" w:color="auto" w:fill="F2EFE3"/>
            <w:tcMar>
              <w:bottom w:w="0" w:type="dxa"/>
            </w:tcMar>
          </w:tcPr>
          <w:p w14:paraId="4E1510B6" w14:textId="454CAF6F" w:rsidR="00330BAA" w:rsidRPr="00192720" w:rsidRDefault="008824DC" w:rsidP="00330BAA">
            <w:pPr>
              <w:rPr>
                <w:b/>
                <w:bCs/>
              </w:rPr>
            </w:pPr>
            <w:r w:rsidRPr="008824DC">
              <w:rPr>
                <w:b/>
                <w:bCs/>
                <w:i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7041A5CA" w14:textId="192F0251" w:rsidR="008824DC" w:rsidRPr="00876BA2" w:rsidRDefault="008824DC">
            <w:pPr>
              <w:pStyle w:val="ListParagraph"/>
              <w:numPr>
                <w:ilvl w:val="0"/>
                <w:numId w:val="49"/>
              </w:numPr>
            </w:pPr>
            <w:r w:rsidRPr="00876BA2">
              <w:t>B12 Monitor quality in accordance with plans</w:t>
            </w:r>
          </w:p>
          <w:p w14:paraId="218232D7" w14:textId="77777777" w:rsidR="008824DC" w:rsidRPr="00876BA2" w:rsidRDefault="008824DC">
            <w:pPr>
              <w:pStyle w:val="ListParagraph"/>
              <w:numPr>
                <w:ilvl w:val="0"/>
                <w:numId w:val="49"/>
              </w:numPr>
            </w:pPr>
            <w:r w:rsidRPr="00876BA2">
              <w:t>B13 Prompt identification of data quality lapses</w:t>
            </w:r>
          </w:p>
          <w:p w14:paraId="1AE530B5" w14:textId="77777777" w:rsidR="008824DC" w:rsidRDefault="008824DC">
            <w:pPr>
              <w:pStyle w:val="ListParagraph"/>
              <w:numPr>
                <w:ilvl w:val="0"/>
                <w:numId w:val="49"/>
              </w:numPr>
            </w:pPr>
            <w:r w:rsidRPr="00876BA2">
              <w:t>B33 Advise originating organisations of data errors or omissions</w:t>
            </w:r>
          </w:p>
          <w:p w14:paraId="658A57FC" w14:textId="77777777" w:rsidR="008824DC" w:rsidRPr="007F3D1F" w:rsidRDefault="008824DC">
            <w:pPr>
              <w:pStyle w:val="ListParagraph"/>
              <w:numPr>
                <w:ilvl w:val="0"/>
                <w:numId w:val="49"/>
              </w:numPr>
            </w:pPr>
            <w:r w:rsidRPr="00876BA2">
              <w:t>F43 Define logic checks</w:t>
            </w:r>
          </w:p>
          <w:p w14:paraId="075E3C49" w14:textId="77777777" w:rsidR="008824DC" w:rsidRPr="00876BA2" w:rsidRDefault="008824DC">
            <w:pPr>
              <w:pStyle w:val="ListParagraph"/>
              <w:numPr>
                <w:ilvl w:val="0"/>
                <w:numId w:val="49"/>
              </w:numPr>
            </w:pPr>
            <w:r w:rsidRPr="00876BA2">
              <w:t>F44 In-built data validation checks</w:t>
            </w:r>
          </w:p>
          <w:p w14:paraId="453B78E9" w14:textId="77777777" w:rsidR="008824DC" w:rsidRPr="00876BA2" w:rsidRDefault="008824DC">
            <w:pPr>
              <w:pStyle w:val="ListParagraph"/>
              <w:numPr>
                <w:ilvl w:val="0"/>
                <w:numId w:val="49"/>
              </w:numPr>
            </w:pPr>
            <w:r w:rsidRPr="00876BA2">
              <w:t xml:space="preserve">F46 Probabilistic matching </w:t>
            </w:r>
          </w:p>
          <w:p w14:paraId="159A6BEC" w14:textId="77777777" w:rsidR="008824DC" w:rsidRPr="00876BA2" w:rsidRDefault="008824DC">
            <w:pPr>
              <w:pStyle w:val="ListParagraph"/>
              <w:numPr>
                <w:ilvl w:val="0"/>
                <w:numId w:val="49"/>
              </w:numPr>
            </w:pPr>
            <w:r w:rsidRPr="00876BA2">
              <w:t>F49 Audit for accuracy against source</w:t>
            </w:r>
          </w:p>
          <w:p w14:paraId="602AF813" w14:textId="77777777" w:rsidR="008824DC" w:rsidRPr="00876BA2" w:rsidRDefault="008824DC">
            <w:pPr>
              <w:pStyle w:val="ListParagraph"/>
              <w:numPr>
                <w:ilvl w:val="0"/>
                <w:numId w:val="49"/>
              </w:numPr>
            </w:pPr>
            <w:r w:rsidRPr="00876BA2">
              <w:t xml:space="preserve">F51 Identification of sample for audit </w:t>
            </w:r>
          </w:p>
          <w:p w14:paraId="6B7BEBB5" w14:textId="77777777" w:rsidR="008824DC" w:rsidRPr="00876BA2" w:rsidRDefault="008824DC">
            <w:pPr>
              <w:pStyle w:val="ListParagraph"/>
              <w:numPr>
                <w:ilvl w:val="0"/>
                <w:numId w:val="49"/>
              </w:numPr>
            </w:pPr>
            <w:r w:rsidRPr="00876BA2">
              <w:t>F53 Production of audit reports</w:t>
            </w:r>
          </w:p>
          <w:p w14:paraId="0C0E73CC" w14:textId="77777777" w:rsidR="008824DC" w:rsidRPr="00876BA2" w:rsidRDefault="008824DC">
            <w:pPr>
              <w:pStyle w:val="ListParagraph"/>
              <w:numPr>
                <w:ilvl w:val="0"/>
                <w:numId w:val="49"/>
              </w:numPr>
            </w:pPr>
            <w:r w:rsidRPr="00876BA2">
              <w:t>F54 Feedback on data entry error rates</w:t>
            </w:r>
          </w:p>
          <w:p w14:paraId="217D01F3" w14:textId="77777777" w:rsidR="008824DC" w:rsidRPr="00876BA2" w:rsidRDefault="008824DC">
            <w:pPr>
              <w:pStyle w:val="ListParagraph"/>
              <w:numPr>
                <w:ilvl w:val="0"/>
                <w:numId w:val="49"/>
              </w:numPr>
            </w:pPr>
            <w:r>
              <w:t>F72 Data extraction to be audited</w:t>
            </w:r>
          </w:p>
          <w:p w14:paraId="1104FAE0" w14:textId="275EF30F" w:rsidR="008824DC" w:rsidRPr="007E6134" w:rsidRDefault="008824DC">
            <w:pPr>
              <w:pStyle w:val="ListParagraph"/>
              <w:numPr>
                <w:ilvl w:val="0"/>
                <w:numId w:val="49"/>
              </w:numPr>
            </w:pPr>
            <w:r w:rsidRPr="00876BA2">
              <w:t>F79 Specify when record is included in reports</w:t>
            </w:r>
            <w:r>
              <w:t>.</w:t>
            </w:r>
          </w:p>
        </w:tc>
      </w:tr>
    </w:tbl>
    <w:p w14:paraId="473F859D" w14:textId="6E00C189" w:rsidR="00192720" w:rsidRPr="009A6C5C" w:rsidRDefault="008824DC" w:rsidP="00192720">
      <w:pPr>
        <w:pStyle w:val="Heading3"/>
      </w:pPr>
      <w:bookmarkStart w:id="129" w:name="_Toc310691015"/>
      <w:bookmarkStart w:id="130" w:name="_Toc314141500"/>
      <w:bookmarkStart w:id="131" w:name="_Toc340679670"/>
      <w:bookmarkStart w:id="132" w:name="_Toc158583955"/>
      <w:bookmarkStart w:id="133" w:name="_Toc159324728"/>
      <w:bookmarkStart w:id="134" w:name="_Toc175550349"/>
      <w:r>
        <w:t>2.4.2</w:t>
      </w:r>
      <w:r>
        <w:tab/>
      </w:r>
      <w:r w:rsidR="00192720" w:rsidRPr="009A6C5C">
        <w:t>Amend data</w:t>
      </w:r>
      <w:bookmarkEnd w:id="129"/>
      <w:bookmarkEnd w:id="130"/>
      <w:bookmarkEnd w:id="131"/>
      <w:bookmarkEnd w:id="132"/>
      <w:bookmarkEnd w:id="133"/>
      <w:bookmarkEnd w:id="134"/>
    </w:p>
    <w:p w14:paraId="6AF5AB21" w14:textId="77777777" w:rsidR="00192720" w:rsidRPr="00C05877" w:rsidRDefault="00192720" w:rsidP="008824DC">
      <w:r w:rsidRPr="00FF67B0">
        <w:t xml:space="preserve">When inaccurate or incomplete data are identified within registry data, data custodians </w:t>
      </w:r>
      <w:r>
        <w:t>shall</w:t>
      </w:r>
      <w:r w:rsidRPr="00FF67B0">
        <w:t xml:space="preserve"> be able to amend the data in accordance with their user access rights. CQRs</w:t>
      </w:r>
      <w:r w:rsidRPr="00C05877">
        <w:t xml:space="preserve"> </w:t>
      </w:r>
      <w:r>
        <w:t>shall</w:t>
      </w:r>
      <w:r w:rsidRPr="00C05877">
        <w:t xml:space="preserve"> consider advising participating organisations of errors or omissions in </w:t>
      </w:r>
      <w:r>
        <w:t xml:space="preserve">the </w:t>
      </w:r>
      <w:r w:rsidRPr="00FF67B0">
        <w:t xml:space="preserve">data provided so that organisations have the opportunity to correct their data at source. There </w:t>
      </w:r>
      <w:r>
        <w:t>shall</w:t>
      </w:r>
      <w:r w:rsidRPr="00FF67B0">
        <w:t xml:space="preserve"> also be a proces</w:t>
      </w:r>
      <w:r w:rsidRPr="00C05877">
        <w:t>s whereby the source system corrects the errors and advises the CQR of the corrections and authorises the CQR to do the same with the original data received. In this way</w:t>
      </w:r>
      <w:r>
        <w:t>,</w:t>
      </w:r>
      <w:r w:rsidRPr="00C05877">
        <w:t xml:space="preserve"> the source system and the CQR </w:t>
      </w:r>
      <w:r>
        <w:t>shall</w:t>
      </w:r>
      <w:r w:rsidRPr="00C05877">
        <w:t xml:space="preserve"> contain the same information. An updated data file incorporating the updates </w:t>
      </w:r>
      <w:r>
        <w:t>shall</w:t>
      </w:r>
      <w:r w:rsidRPr="00C05877">
        <w:t xml:space="preserve"> be sent to the CQR to replace the original file.</w:t>
      </w:r>
    </w:p>
    <w:p w14:paraId="5927B060"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166377DD" w14:textId="77777777" w:rsidTr="008824DC">
        <w:trPr>
          <w:trHeight w:val="1985"/>
        </w:trPr>
        <w:tc>
          <w:tcPr>
            <w:tcW w:w="5000" w:type="pct"/>
            <w:shd w:val="clear" w:color="auto" w:fill="F2EFE3"/>
            <w:tcMar>
              <w:bottom w:w="0" w:type="dxa"/>
            </w:tcMar>
          </w:tcPr>
          <w:p w14:paraId="1D052C74" w14:textId="69BF70C7" w:rsidR="00330BAA" w:rsidRPr="00192720" w:rsidRDefault="008824DC" w:rsidP="00330BAA">
            <w:pPr>
              <w:rPr>
                <w:b/>
                <w:bCs/>
              </w:rPr>
            </w:pPr>
            <w:r w:rsidRPr="008824DC">
              <w:rPr>
                <w:b/>
                <w:bCs/>
              </w:rPr>
              <w:lastRenderedPageBreak/>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0FF4420D" w14:textId="25827B18" w:rsidR="008824DC" w:rsidRPr="00876BA2" w:rsidRDefault="008824DC">
            <w:pPr>
              <w:pStyle w:val="Bullet1stlevel"/>
              <w:numPr>
                <w:ilvl w:val="0"/>
                <w:numId w:val="49"/>
              </w:numPr>
              <w:rPr>
                <w:rFonts w:ascii="Arial" w:hAnsi="Arial" w:cs="Arial"/>
                <w:sz w:val="22"/>
                <w:szCs w:val="22"/>
              </w:rPr>
            </w:pPr>
            <w:r w:rsidRPr="00876BA2">
              <w:rPr>
                <w:rFonts w:ascii="Arial" w:hAnsi="Arial" w:cs="Arial"/>
                <w:sz w:val="22"/>
                <w:szCs w:val="22"/>
              </w:rPr>
              <w:t xml:space="preserve">B14 Prompt </w:t>
            </w:r>
            <w:r w:rsidR="00C31EF1">
              <w:rPr>
                <w:rFonts w:ascii="Arial" w:hAnsi="Arial" w:cs="Arial"/>
                <w:sz w:val="22"/>
                <w:szCs w:val="22"/>
              </w:rPr>
              <w:t>actioning</w:t>
            </w:r>
            <w:r w:rsidR="00C31EF1" w:rsidRPr="00876BA2">
              <w:rPr>
                <w:rFonts w:ascii="Arial" w:hAnsi="Arial" w:cs="Arial"/>
                <w:sz w:val="22"/>
                <w:szCs w:val="22"/>
              </w:rPr>
              <w:t xml:space="preserve"> </w:t>
            </w:r>
            <w:r w:rsidRPr="00876BA2">
              <w:rPr>
                <w:rFonts w:ascii="Arial" w:hAnsi="Arial" w:cs="Arial"/>
                <w:sz w:val="22"/>
                <w:szCs w:val="22"/>
              </w:rPr>
              <w:t>of incomplete data records</w:t>
            </w:r>
          </w:p>
          <w:p w14:paraId="2896A512" w14:textId="77777777" w:rsidR="008824DC" w:rsidRPr="00876BA2" w:rsidRDefault="008824DC">
            <w:pPr>
              <w:pStyle w:val="Bullet1stlevel"/>
              <w:numPr>
                <w:ilvl w:val="0"/>
                <w:numId w:val="49"/>
              </w:numPr>
              <w:rPr>
                <w:rFonts w:ascii="Arial" w:hAnsi="Arial" w:cs="Arial"/>
                <w:sz w:val="22"/>
                <w:szCs w:val="22"/>
              </w:rPr>
            </w:pPr>
            <w:r w:rsidRPr="00876BA2">
              <w:rPr>
                <w:rFonts w:ascii="Arial" w:hAnsi="Arial" w:cs="Arial"/>
                <w:sz w:val="22"/>
                <w:szCs w:val="22"/>
              </w:rPr>
              <w:t>B33 Advise originating organisation of data errors or omissions</w:t>
            </w:r>
          </w:p>
          <w:p w14:paraId="51571F95" w14:textId="2ADACAA5" w:rsidR="008824DC" w:rsidRPr="008824DC" w:rsidRDefault="008824DC">
            <w:pPr>
              <w:pStyle w:val="Bullet1stlevel"/>
              <w:numPr>
                <w:ilvl w:val="0"/>
                <w:numId w:val="49"/>
              </w:numPr>
              <w:rPr>
                <w:rFonts w:ascii="Arial" w:hAnsi="Arial" w:cs="Arial"/>
                <w:sz w:val="22"/>
                <w:szCs w:val="22"/>
              </w:rPr>
            </w:pPr>
            <w:r w:rsidRPr="00876BA2">
              <w:rPr>
                <w:rFonts w:ascii="Arial" w:hAnsi="Arial" w:cs="Arial"/>
                <w:sz w:val="22"/>
                <w:szCs w:val="22"/>
              </w:rPr>
              <w:t>F45 Record reason for overriding validity checks</w:t>
            </w:r>
            <w:r>
              <w:rPr>
                <w:rFonts w:ascii="Arial" w:hAnsi="Arial" w:cs="Arial"/>
                <w:sz w:val="22"/>
                <w:szCs w:val="22"/>
              </w:rPr>
              <w:t>.</w:t>
            </w:r>
          </w:p>
        </w:tc>
      </w:tr>
    </w:tbl>
    <w:p w14:paraId="65B8296C" w14:textId="122ABD10" w:rsidR="00192720" w:rsidRPr="009A6C5C" w:rsidRDefault="008824DC" w:rsidP="00192720">
      <w:pPr>
        <w:pStyle w:val="Heading3"/>
      </w:pPr>
      <w:bookmarkStart w:id="135" w:name="_Toc310691016"/>
      <w:bookmarkStart w:id="136" w:name="_Toc314141501"/>
      <w:bookmarkStart w:id="137" w:name="_Toc340679671"/>
      <w:bookmarkStart w:id="138" w:name="_Toc158583956"/>
      <w:bookmarkStart w:id="139" w:name="_Toc159324729"/>
      <w:bookmarkStart w:id="140" w:name="_Toc175550350"/>
      <w:r>
        <w:t>2.4.3</w:t>
      </w:r>
      <w:r>
        <w:tab/>
      </w:r>
      <w:r w:rsidR="00192720" w:rsidRPr="009A6C5C">
        <w:t>Perform checks against other data sources</w:t>
      </w:r>
      <w:bookmarkEnd w:id="135"/>
      <w:bookmarkEnd w:id="136"/>
      <w:bookmarkEnd w:id="137"/>
      <w:bookmarkEnd w:id="138"/>
      <w:bookmarkEnd w:id="139"/>
      <w:bookmarkEnd w:id="140"/>
    </w:p>
    <w:p w14:paraId="6519F112" w14:textId="77777777" w:rsidR="00192720" w:rsidRPr="009A6C5C" w:rsidRDefault="00192720" w:rsidP="008824DC">
      <w:r>
        <w:t>CQRs</w:t>
      </w:r>
      <w:r w:rsidRPr="009A6C5C">
        <w:t xml:space="preserve"> sometimes seek information from routine administrative collections (such as hospital statistics or deaths) to determine the completeness of the </w:t>
      </w:r>
      <w:r>
        <w:t>CQR’s</w:t>
      </w:r>
      <w:r w:rsidRPr="009A6C5C">
        <w:t xml:space="preserve"> collection and to validate information contained in the </w:t>
      </w:r>
      <w:r>
        <w:t>CQR</w:t>
      </w:r>
      <w:r w:rsidRPr="009A6C5C">
        <w:t xml:space="preserve"> data collection. </w:t>
      </w:r>
    </w:p>
    <w:p w14:paraId="2F421B67" w14:textId="77777777" w:rsidR="00192720" w:rsidRDefault="00192720" w:rsidP="008824DC">
      <w:pPr>
        <w:rPr>
          <w:rFonts w:cs="Arial"/>
        </w:rPr>
      </w:pPr>
      <w:r>
        <w:rPr>
          <w:rFonts w:cs="Arial"/>
        </w:rPr>
        <w:t>CQR</w:t>
      </w:r>
      <w:r w:rsidRPr="00876BA2">
        <w:rPr>
          <w:rFonts w:cs="Arial"/>
        </w:rPr>
        <w:t xml:space="preserve"> systems </w:t>
      </w:r>
      <w:r>
        <w:rPr>
          <w:rFonts w:cs="Arial"/>
        </w:rPr>
        <w:t>shall</w:t>
      </w:r>
      <w:r w:rsidRPr="00876BA2">
        <w:rPr>
          <w:rFonts w:cs="Arial"/>
        </w:rPr>
        <w:t xml:space="preserve"> support this function by being able to produce reports on the consistency of data contained in the </w:t>
      </w:r>
      <w:r>
        <w:rPr>
          <w:rFonts w:cs="Arial"/>
        </w:rPr>
        <w:t>CQR</w:t>
      </w:r>
      <w:r w:rsidRPr="00876BA2">
        <w:rPr>
          <w:rFonts w:cs="Arial"/>
        </w:rPr>
        <w:t xml:space="preserve"> compared with data from other sources. </w:t>
      </w:r>
    </w:p>
    <w:p w14:paraId="1A9BA371"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5B9BC141" w14:textId="77777777" w:rsidTr="008824DC">
        <w:trPr>
          <w:trHeight w:val="1708"/>
        </w:trPr>
        <w:tc>
          <w:tcPr>
            <w:tcW w:w="5000" w:type="pct"/>
            <w:shd w:val="clear" w:color="auto" w:fill="F2EFE3"/>
            <w:tcMar>
              <w:bottom w:w="0" w:type="dxa"/>
            </w:tcMar>
          </w:tcPr>
          <w:p w14:paraId="3D6C0EE6" w14:textId="3DABC3EB"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74CF882D" w14:textId="75846D03" w:rsidR="008824DC" w:rsidRPr="00876BA2" w:rsidRDefault="008824DC">
            <w:pPr>
              <w:pStyle w:val="ListParagraph"/>
              <w:numPr>
                <w:ilvl w:val="0"/>
                <w:numId w:val="49"/>
              </w:numPr>
            </w:pPr>
            <w:r w:rsidRPr="00876BA2">
              <w:t>F48 Consistency of data from different sources</w:t>
            </w:r>
          </w:p>
          <w:p w14:paraId="20A7ACC5" w14:textId="2F90D21E" w:rsidR="008824DC" w:rsidRPr="008824DC" w:rsidRDefault="008824DC">
            <w:pPr>
              <w:pStyle w:val="ListParagraph"/>
              <w:numPr>
                <w:ilvl w:val="0"/>
                <w:numId w:val="49"/>
              </w:numPr>
            </w:pPr>
            <w:r w:rsidRPr="00876BA2">
              <w:t>F52 Feedback on data quality</w:t>
            </w:r>
            <w:r>
              <w:t>.</w:t>
            </w:r>
          </w:p>
        </w:tc>
      </w:tr>
    </w:tbl>
    <w:p w14:paraId="747B96F6" w14:textId="5E36D508" w:rsidR="00192720" w:rsidRDefault="008824DC" w:rsidP="00192720">
      <w:pPr>
        <w:pStyle w:val="Heading3"/>
      </w:pPr>
      <w:bookmarkStart w:id="141" w:name="_Toc158583957"/>
      <w:bookmarkStart w:id="142" w:name="_Toc159324730"/>
      <w:bookmarkStart w:id="143" w:name="_Toc175550351"/>
      <w:r>
        <w:t>2.4.4</w:t>
      </w:r>
      <w:r>
        <w:tab/>
      </w:r>
      <w:r w:rsidR="00192720">
        <w:t>Maintain searchability and data quality</w:t>
      </w:r>
      <w:bookmarkEnd w:id="141"/>
      <w:bookmarkEnd w:id="142"/>
      <w:bookmarkEnd w:id="143"/>
    </w:p>
    <w:p w14:paraId="445B4E28" w14:textId="77777777" w:rsidR="00192720" w:rsidRDefault="00192720" w:rsidP="008824DC">
      <w:r>
        <w:t>To mitigate risk of duplication, authorised users are to be allowed to search for patient identifiers to reduce duplication at the point of data entry. Reports are to be produced on data quality based on data quality standards.</w:t>
      </w:r>
    </w:p>
    <w:p w14:paraId="7499A091"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14B981E8" w14:textId="77777777" w:rsidTr="00F07AF8">
        <w:trPr>
          <w:trHeight w:val="1708"/>
        </w:trPr>
        <w:tc>
          <w:tcPr>
            <w:tcW w:w="5000" w:type="pct"/>
            <w:shd w:val="clear" w:color="auto" w:fill="F2EFE3"/>
            <w:tcMar>
              <w:bottom w:w="0" w:type="dxa"/>
            </w:tcMar>
          </w:tcPr>
          <w:p w14:paraId="471B520D" w14:textId="559974A7"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0EA6A647" w14:textId="7E2787B9" w:rsidR="008824DC" w:rsidRPr="00876BA2" w:rsidRDefault="008824DC">
            <w:pPr>
              <w:pStyle w:val="ListParagraph"/>
              <w:numPr>
                <w:ilvl w:val="0"/>
                <w:numId w:val="49"/>
              </w:numPr>
            </w:pPr>
            <w:r w:rsidRPr="00876BA2">
              <w:t>F47 Search identifiers to reduce duplicate records</w:t>
            </w:r>
          </w:p>
          <w:p w14:paraId="13AAA646" w14:textId="5118B236" w:rsidR="008824DC" w:rsidRPr="008824DC" w:rsidRDefault="008824DC">
            <w:pPr>
              <w:pStyle w:val="ListParagraph"/>
              <w:numPr>
                <w:ilvl w:val="0"/>
                <w:numId w:val="49"/>
              </w:numPr>
            </w:pPr>
            <w:r w:rsidRPr="00876BA2">
              <w:t>F50 Double entry to check accuracy</w:t>
            </w:r>
            <w:r>
              <w:t>.</w:t>
            </w:r>
          </w:p>
        </w:tc>
      </w:tr>
    </w:tbl>
    <w:p w14:paraId="6CEA2AEA" w14:textId="38D22E82" w:rsidR="00192720" w:rsidRPr="00224EA8" w:rsidRDefault="008824DC" w:rsidP="00192720">
      <w:pPr>
        <w:pStyle w:val="Heading2"/>
      </w:pPr>
      <w:bookmarkStart w:id="144" w:name="_Toc305140466"/>
      <w:bookmarkStart w:id="145" w:name="_Toc310691017"/>
      <w:bookmarkStart w:id="146" w:name="_Toc314141502"/>
      <w:bookmarkStart w:id="147" w:name="_Toc340679672"/>
      <w:bookmarkStart w:id="148" w:name="_Ref94872526"/>
      <w:bookmarkStart w:id="149" w:name="_Ref94872548"/>
      <w:bookmarkStart w:id="150" w:name="_Ref94872567"/>
      <w:bookmarkStart w:id="151" w:name="_Toc158583958"/>
      <w:bookmarkStart w:id="152" w:name="_Toc159324731"/>
      <w:bookmarkStart w:id="153" w:name="_Toc175550352"/>
      <w:r>
        <w:t>2.5</w:t>
      </w:r>
      <w:r>
        <w:tab/>
      </w:r>
      <w:r w:rsidR="00192720" w:rsidRPr="00224EA8">
        <w:t>Data analysis and outcome reporting</w:t>
      </w:r>
      <w:bookmarkEnd w:id="144"/>
      <w:bookmarkEnd w:id="145"/>
      <w:bookmarkEnd w:id="146"/>
      <w:bookmarkEnd w:id="147"/>
      <w:bookmarkEnd w:id="148"/>
      <w:bookmarkEnd w:id="149"/>
      <w:bookmarkEnd w:id="150"/>
      <w:bookmarkEnd w:id="151"/>
      <w:bookmarkEnd w:id="152"/>
      <w:bookmarkEnd w:id="153"/>
    </w:p>
    <w:p w14:paraId="6E7D3DEE" w14:textId="77777777" w:rsidR="00192720" w:rsidRPr="009A6C5C" w:rsidRDefault="00192720" w:rsidP="008824DC">
      <w:r>
        <w:t>CQRs</w:t>
      </w:r>
      <w:r w:rsidRPr="009A6C5C">
        <w:t xml:space="preserve"> have a fundamental requirement to report without delay on </w:t>
      </w:r>
      <w:r>
        <w:t xml:space="preserve">the </w:t>
      </w:r>
      <w:r w:rsidRPr="009A6C5C">
        <w:t>information they collect</w:t>
      </w:r>
      <w:r>
        <w:t>, including</w:t>
      </w:r>
      <w:r w:rsidRPr="009A6C5C">
        <w:t xml:space="preserve"> to </w:t>
      </w:r>
      <w:r>
        <w:t>health service organisations</w:t>
      </w:r>
      <w:r w:rsidRPr="009A6C5C">
        <w:t>, clinicians</w:t>
      </w:r>
      <w:r w:rsidRPr="0087013C">
        <w:t xml:space="preserve">, </w:t>
      </w:r>
      <w:r>
        <w:t>s</w:t>
      </w:r>
      <w:r w:rsidRPr="0087013C">
        <w:t xml:space="preserve">tate and </w:t>
      </w:r>
      <w:r>
        <w:t>t</w:t>
      </w:r>
      <w:r w:rsidRPr="0087013C">
        <w:t xml:space="preserve">erritory </w:t>
      </w:r>
      <w:r>
        <w:t>health departments</w:t>
      </w:r>
      <w:r w:rsidRPr="0087013C">
        <w:t>, funders</w:t>
      </w:r>
      <w:r>
        <w:t>,</w:t>
      </w:r>
      <w:r w:rsidRPr="0087013C">
        <w:t xml:space="preserve"> consumers </w:t>
      </w:r>
      <w:r w:rsidRPr="00416109">
        <w:t xml:space="preserve">and the broader community </w:t>
      </w:r>
      <w:r w:rsidRPr="00862C73">
        <w:t xml:space="preserve">(refer to </w:t>
      </w:r>
      <w:r w:rsidRPr="008A4878">
        <w:rPr>
          <w:i/>
          <w:iCs/>
        </w:rPr>
        <w:t>Operating principle 10: Information output</w:t>
      </w:r>
      <w:r w:rsidRPr="00862C73">
        <w:t xml:space="preserve"> in </w:t>
      </w:r>
      <w:r w:rsidRPr="00862C73">
        <w:rPr>
          <w:szCs w:val="20"/>
        </w:rPr>
        <w:t>the Framework</w:t>
      </w:r>
      <w:r w:rsidRPr="00862C73">
        <w:t>).</w:t>
      </w:r>
    </w:p>
    <w:p w14:paraId="55BDB517" w14:textId="77777777" w:rsidR="00192720" w:rsidRPr="009A6C5C" w:rsidRDefault="00192720" w:rsidP="008824DC">
      <w:r w:rsidRPr="009A6C5C">
        <w:t xml:space="preserve">Evidence suggests that quality improvement is driven by the provision of outcome data to healthcare providers, hospitals, health jurisdictions, professional </w:t>
      </w:r>
      <w:r>
        <w:t xml:space="preserve">credentialling bodies </w:t>
      </w:r>
      <w:r w:rsidRPr="009A6C5C">
        <w:t>and the public</w:t>
      </w:r>
      <w:r>
        <w:t xml:space="preserve">. </w:t>
      </w:r>
    </w:p>
    <w:p w14:paraId="69D92744" w14:textId="77777777" w:rsidR="00192720" w:rsidRPr="009A6C5C" w:rsidRDefault="00192720" w:rsidP="008824DC">
      <w:r>
        <w:lastRenderedPageBreak/>
        <w:t>CQRs</w:t>
      </w:r>
      <w:r w:rsidRPr="009A6C5C">
        <w:t xml:space="preserve"> inform improvements in care, in part by providing clinicians with information about how their outcomes compare with clinical guidelines, standards and other clinical outcomes</w:t>
      </w:r>
      <w:r>
        <w:t xml:space="preserve">. </w:t>
      </w:r>
      <w:r w:rsidRPr="009A6C5C">
        <w:t xml:space="preserve">To be effective in driving change, </w:t>
      </w:r>
      <w:r>
        <w:t>CQRs</w:t>
      </w:r>
      <w:r w:rsidRPr="009A6C5C">
        <w:t xml:space="preserve"> must be able to provide reports as soon as possible after episodes of care</w:t>
      </w:r>
      <w:r>
        <w:t xml:space="preserve">. </w:t>
      </w:r>
      <w:r w:rsidRPr="009A6C5C">
        <w:t xml:space="preserve">Delayed reporting lessens the clinical value of </w:t>
      </w:r>
      <w:r>
        <w:t>CQR</w:t>
      </w:r>
      <w:r w:rsidRPr="009A6C5C">
        <w:t xml:space="preserve"> data, </w:t>
      </w:r>
      <w:r>
        <w:t>as</w:t>
      </w:r>
      <w:r w:rsidRPr="009A6C5C">
        <w:t xml:space="preserve"> the relevance of the findings to contemporary clinical care </w:t>
      </w:r>
      <w:r>
        <w:t>is</w:t>
      </w:r>
      <w:r w:rsidRPr="009A6C5C">
        <w:t xml:space="preserve"> reduced</w:t>
      </w:r>
      <w:r>
        <w:t xml:space="preserve">. </w:t>
      </w:r>
    </w:p>
    <w:p w14:paraId="4AC45BD5" w14:textId="0C3CB64F" w:rsidR="00192720" w:rsidRPr="009A6C5C" w:rsidRDefault="008824DC" w:rsidP="00192720">
      <w:pPr>
        <w:pStyle w:val="Heading3"/>
      </w:pPr>
      <w:bookmarkStart w:id="154" w:name="_Toc310691019"/>
      <w:bookmarkStart w:id="155" w:name="_Toc314141503"/>
      <w:bookmarkStart w:id="156" w:name="_Toc340679673"/>
      <w:bookmarkStart w:id="157" w:name="_Toc158583959"/>
      <w:bookmarkStart w:id="158" w:name="_Toc159324732"/>
      <w:bookmarkStart w:id="159" w:name="_Toc175550353"/>
      <w:r>
        <w:t>2.5.1</w:t>
      </w:r>
      <w:r>
        <w:tab/>
      </w:r>
      <w:r w:rsidR="00192720" w:rsidRPr="009A6C5C">
        <w:t xml:space="preserve">Risk </w:t>
      </w:r>
      <w:bookmarkEnd w:id="154"/>
      <w:bookmarkEnd w:id="155"/>
      <w:bookmarkEnd w:id="156"/>
      <w:r w:rsidR="00192720">
        <w:t>a</w:t>
      </w:r>
      <w:r w:rsidR="00192720" w:rsidRPr="009A6C5C">
        <w:t>djustment</w:t>
      </w:r>
      <w:bookmarkEnd w:id="157"/>
      <w:bookmarkEnd w:id="158"/>
      <w:bookmarkEnd w:id="159"/>
    </w:p>
    <w:p w14:paraId="15F14EDE" w14:textId="4B8756D6" w:rsidR="008824DC" w:rsidRPr="008824DC" w:rsidRDefault="00192720" w:rsidP="008824DC">
      <w:r>
        <w:t xml:space="preserve">In determining whether quality of care differs across healthcare </w:t>
      </w:r>
      <w:r w:rsidR="00346AFB">
        <w:t>providers</w:t>
      </w:r>
      <w:r>
        <w:t>, CQRs need to adjust for variation in patient outcomes that is the result of differences in patient characteristics that are outside the control of the healthcare providers. When outcomes are compared among healthcare organisations or when attempts are made to investigate poor outcomes, it may be appropriate to apply statistical adjustments that take these other factors into account. Case</w:t>
      </w:r>
      <w:r w:rsidR="002B7583">
        <w:t>-</w:t>
      </w:r>
      <w:r>
        <w:t>mix adjustment is the statistical process of identifying and adjusting for variation in outcomes resulting from differences in patient characteristics or risk factors.</w:t>
      </w:r>
    </w:p>
    <w:p w14:paraId="68935E4C"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09B640D5" w14:textId="77777777" w:rsidTr="00F07AF8">
        <w:trPr>
          <w:trHeight w:val="1708"/>
        </w:trPr>
        <w:tc>
          <w:tcPr>
            <w:tcW w:w="5000" w:type="pct"/>
            <w:shd w:val="clear" w:color="auto" w:fill="F2EFE3"/>
            <w:tcMar>
              <w:bottom w:w="0" w:type="dxa"/>
            </w:tcMar>
          </w:tcPr>
          <w:p w14:paraId="780C2D95" w14:textId="2200DAD9"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22EC2B85" w14:textId="063DA445" w:rsidR="008824DC" w:rsidRPr="00876BA2" w:rsidRDefault="008824DC">
            <w:pPr>
              <w:pStyle w:val="ListParagraph"/>
              <w:numPr>
                <w:ilvl w:val="0"/>
                <w:numId w:val="51"/>
              </w:numPr>
            </w:pPr>
            <w:r w:rsidRPr="00876BA2">
              <w:t xml:space="preserve">B15 Collect </w:t>
            </w:r>
            <w:r>
              <w:t>covariates</w:t>
            </w:r>
            <w:r w:rsidRPr="00876BA2">
              <w:t xml:space="preserve"> for risk adjustment</w:t>
            </w:r>
          </w:p>
          <w:p w14:paraId="314D9E14" w14:textId="28A57E81" w:rsidR="008824DC" w:rsidRPr="008824DC" w:rsidRDefault="008824DC">
            <w:pPr>
              <w:pStyle w:val="ListParagraph"/>
              <w:numPr>
                <w:ilvl w:val="0"/>
                <w:numId w:val="51"/>
              </w:numPr>
            </w:pPr>
            <w:r w:rsidRPr="00876BA2">
              <w:t xml:space="preserve">B16 Timely </w:t>
            </w:r>
            <w:r>
              <w:t xml:space="preserve">reports that include </w:t>
            </w:r>
            <w:r w:rsidRPr="00876BA2">
              <w:t>risk adjusted analys</w:t>
            </w:r>
            <w:r>
              <w:t>es.</w:t>
            </w:r>
            <w:r w:rsidRPr="00876BA2">
              <w:t xml:space="preserve"> </w:t>
            </w:r>
          </w:p>
        </w:tc>
      </w:tr>
    </w:tbl>
    <w:p w14:paraId="281FC1C0" w14:textId="264B15EB" w:rsidR="00192720" w:rsidRPr="009A6C5C" w:rsidRDefault="008824DC" w:rsidP="00192720">
      <w:pPr>
        <w:pStyle w:val="Heading3"/>
      </w:pPr>
      <w:bookmarkStart w:id="160" w:name="_Toc158583960"/>
      <w:bookmarkStart w:id="161" w:name="_Toc159324733"/>
      <w:bookmarkStart w:id="162" w:name="_Toc175550354"/>
      <w:r>
        <w:t>2.5.2</w:t>
      </w:r>
      <w:r>
        <w:tab/>
      </w:r>
      <w:r w:rsidR="00192720">
        <w:t>Manage identifiable information</w:t>
      </w:r>
      <w:bookmarkEnd w:id="160"/>
      <w:bookmarkEnd w:id="161"/>
      <w:bookmarkEnd w:id="162"/>
    </w:p>
    <w:p w14:paraId="6558A283" w14:textId="77777777" w:rsidR="00192720" w:rsidRDefault="00192720" w:rsidP="008824DC">
      <w:r>
        <w:t>Consent must be obtained from or approved by an ethics committee in order to share identifiable information with external parties.</w:t>
      </w:r>
    </w:p>
    <w:p w14:paraId="0D697BE9"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1B8A8564" w14:textId="77777777" w:rsidTr="008824DC">
        <w:trPr>
          <w:trHeight w:val="1497"/>
        </w:trPr>
        <w:tc>
          <w:tcPr>
            <w:tcW w:w="5000" w:type="pct"/>
            <w:shd w:val="clear" w:color="auto" w:fill="F2EFE3"/>
            <w:tcMar>
              <w:bottom w:w="0" w:type="dxa"/>
            </w:tcMar>
          </w:tcPr>
          <w:p w14:paraId="215C58D8" w14:textId="2F1EF493" w:rsidR="00330BAA" w:rsidRPr="00192720" w:rsidRDefault="008824DC" w:rsidP="00330BAA">
            <w:pPr>
              <w:rPr>
                <w:b/>
                <w:bCs/>
              </w:rPr>
            </w:pPr>
            <w:r w:rsidRPr="008824DC">
              <w:rPr>
                <w:b/>
                <w:bCs/>
              </w:rPr>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5CC8B9BE" w14:textId="6EC91DB9" w:rsidR="008824DC" w:rsidRPr="008824DC" w:rsidRDefault="008824DC">
            <w:pPr>
              <w:pStyle w:val="ListParagraph"/>
              <w:numPr>
                <w:ilvl w:val="0"/>
                <w:numId w:val="52"/>
              </w:numPr>
            </w:pPr>
            <w:r w:rsidRPr="00876BA2">
              <w:t>B20 Provision of identifiable information</w:t>
            </w:r>
            <w:r>
              <w:t>.</w:t>
            </w:r>
          </w:p>
        </w:tc>
      </w:tr>
    </w:tbl>
    <w:p w14:paraId="15624291" w14:textId="0DCBB201" w:rsidR="00192720" w:rsidRDefault="008824DC" w:rsidP="00192720">
      <w:pPr>
        <w:pStyle w:val="Heading3"/>
      </w:pPr>
      <w:bookmarkStart w:id="163" w:name="_Toc158583961"/>
      <w:bookmarkStart w:id="164" w:name="_Toc159324734"/>
      <w:bookmarkStart w:id="165" w:name="_Toc175550355"/>
      <w:bookmarkStart w:id="166" w:name="_Ref314747071"/>
      <w:bookmarkStart w:id="167" w:name="_Toc316386170"/>
      <w:bookmarkStart w:id="168" w:name="_Toc340679720"/>
      <w:r>
        <w:t>2.5.3</w:t>
      </w:r>
      <w:r>
        <w:tab/>
      </w:r>
      <w:r w:rsidR="00192720">
        <w:t>Reporting</w:t>
      </w:r>
      <w:bookmarkEnd w:id="163"/>
      <w:bookmarkEnd w:id="164"/>
      <w:bookmarkEnd w:id="165"/>
    </w:p>
    <w:p w14:paraId="75A07D5A" w14:textId="404A512F" w:rsidR="00192720" w:rsidRPr="005B285D" w:rsidRDefault="00192720" w:rsidP="008824DC">
      <w:r w:rsidRPr="005B285D">
        <w:t>Analysing and reporting data promptly, along with clinical interpretations, is pivotal for safety and quality improvement and is a cornerstone of CQR functionality. CQR reporting is the most prominent output derived from the extensive efforts of CQRs, and</w:t>
      </w:r>
      <w:r w:rsidRPr="005B285D" w:rsidDel="00851485">
        <w:t xml:space="preserve"> </w:t>
      </w:r>
      <w:r w:rsidRPr="005B285D">
        <w:t xml:space="preserve">aims to pinpoint substantial variation and establish benchmarks for safety and quality. This critical function not only helps empower consumers to make informed decisions about their health care, it reflects the commitment of CQRs to transparency and accountability. CQRs have documented policies and procedures in place to systematically report on the quality of care, communicating instances of outlier performance or </w:t>
      </w:r>
      <w:r w:rsidR="00C1347F">
        <w:t>unwarranted variation</w:t>
      </w:r>
      <w:r w:rsidRPr="005B285D">
        <w:t>. This comprehensive approach ensures that the reporting function of CQRs meets regulatory standards and serves as a valuable resource for continuous quality improvement across the healthcare sector.</w:t>
      </w:r>
    </w:p>
    <w:p w14:paraId="616F0324" w14:textId="77777777" w:rsidR="008824DC" w:rsidRDefault="008824DC" w:rsidP="008824DC"/>
    <w:tbl>
      <w:tblPr>
        <w:tblStyle w:val="PulloutBox"/>
        <w:tblW w:w="5048" w:type="pct"/>
        <w:shd w:val="clear" w:color="auto" w:fill="F2EFE3"/>
        <w:tblLook w:val="0020" w:firstRow="1" w:lastRow="0" w:firstColumn="0" w:lastColumn="0" w:noHBand="0" w:noVBand="0"/>
        <w:tblDescription w:val="Box 1"/>
      </w:tblPr>
      <w:tblGrid>
        <w:gridCol w:w="9732"/>
      </w:tblGrid>
      <w:tr w:rsidR="008824DC" w14:paraId="45978735" w14:textId="77777777" w:rsidTr="008824DC">
        <w:trPr>
          <w:trHeight w:val="8358"/>
        </w:trPr>
        <w:tc>
          <w:tcPr>
            <w:tcW w:w="5000" w:type="pct"/>
            <w:shd w:val="clear" w:color="auto" w:fill="F2EFE3"/>
            <w:tcMar>
              <w:bottom w:w="0" w:type="dxa"/>
            </w:tcMar>
          </w:tcPr>
          <w:p w14:paraId="1C303905" w14:textId="05945B7F" w:rsidR="00330BAA" w:rsidRPr="00192720" w:rsidRDefault="008824DC" w:rsidP="00330BAA">
            <w:pPr>
              <w:rPr>
                <w:b/>
                <w:bCs/>
              </w:rPr>
            </w:pPr>
            <w:r w:rsidRPr="008824DC">
              <w:rPr>
                <w:b/>
                <w:bCs/>
              </w:rPr>
              <w:lastRenderedPageBreak/>
              <w:t xml:space="preserve">Requirements specification </w:t>
            </w:r>
            <w:r w:rsidR="00330BAA" w:rsidRPr="00192720">
              <w:rPr>
                <w:b/>
                <w:bCs/>
                <w:lang w:val="en-GB"/>
              </w:rPr>
              <w:t xml:space="preserve">(for detail, refer to </w:t>
            </w:r>
            <w:hyperlink w:anchor="_Appendix_A_–" w:tooltip="Current document - Appendix A: Detailed requirements traceability matrix" w:history="1">
              <w:r w:rsidR="00B754FA" w:rsidRPr="00330BAA">
                <w:rPr>
                  <w:rStyle w:val="Hyperlink"/>
                  <w:b/>
                  <w:bCs/>
                  <w:i/>
                  <w:iCs/>
                  <w:lang w:val="en-GB"/>
                </w:rPr>
                <w:t>Appendix A: Detailed requirements traceability matrix</w:t>
              </w:r>
            </w:hyperlink>
            <w:r w:rsidR="00B754FA" w:rsidRPr="00192720">
              <w:rPr>
                <w:b/>
                <w:bCs/>
                <w:lang w:val="en-GB"/>
              </w:rPr>
              <w:t>)</w:t>
            </w:r>
          </w:p>
          <w:p w14:paraId="7AB7C4E4" w14:textId="010832DC" w:rsidR="008824DC" w:rsidRPr="0084386D" w:rsidRDefault="008824DC">
            <w:pPr>
              <w:pStyle w:val="ListParagraph"/>
              <w:numPr>
                <w:ilvl w:val="0"/>
                <w:numId w:val="52"/>
              </w:numPr>
            </w:pPr>
            <w:r w:rsidRPr="006C548F">
              <w:t>B37 Reporting</w:t>
            </w:r>
          </w:p>
          <w:p w14:paraId="77095570" w14:textId="77777777" w:rsidR="008824DC" w:rsidRDefault="008824DC">
            <w:pPr>
              <w:pStyle w:val="ListParagraph"/>
              <w:numPr>
                <w:ilvl w:val="0"/>
                <w:numId w:val="52"/>
              </w:numPr>
            </w:pPr>
            <w:r w:rsidRPr="0084386D">
              <w:t>B38 Sharing reports</w:t>
            </w:r>
          </w:p>
          <w:p w14:paraId="3C1F9835" w14:textId="77777777" w:rsidR="008824DC" w:rsidRDefault="008824DC">
            <w:pPr>
              <w:pStyle w:val="ListParagraph"/>
              <w:numPr>
                <w:ilvl w:val="0"/>
                <w:numId w:val="52"/>
              </w:numPr>
            </w:pPr>
            <w:r>
              <w:t>B39 Public reporting</w:t>
            </w:r>
          </w:p>
          <w:p w14:paraId="231F0019" w14:textId="77777777" w:rsidR="008824DC" w:rsidRDefault="008824DC">
            <w:pPr>
              <w:pStyle w:val="ListParagraph"/>
              <w:numPr>
                <w:ilvl w:val="0"/>
                <w:numId w:val="52"/>
              </w:numPr>
            </w:pPr>
            <w:r>
              <w:t>B40 Data model</w:t>
            </w:r>
          </w:p>
          <w:p w14:paraId="77538690" w14:textId="77777777" w:rsidR="008824DC" w:rsidRDefault="008824DC">
            <w:pPr>
              <w:pStyle w:val="ListParagraph"/>
              <w:numPr>
                <w:ilvl w:val="0"/>
                <w:numId w:val="52"/>
              </w:numPr>
            </w:pPr>
            <w:r>
              <w:t>B41 Documentation</w:t>
            </w:r>
          </w:p>
          <w:p w14:paraId="5A5E2717" w14:textId="77777777" w:rsidR="008824DC" w:rsidRDefault="008824DC">
            <w:pPr>
              <w:pStyle w:val="ListParagraph"/>
              <w:numPr>
                <w:ilvl w:val="0"/>
                <w:numId w:val="52"/>
              </w:numPr>
            </w:pPr>
            <w:r>
              <w:t>F55 Different report formats</w:t>
            </w:r>
          </w:p>
          <w:p w14:paraId="690E8308" w14:textId="77777777" w:rsidR="008824DC" w:rsidRDefault="008824DC">
            <w:pPr>
              <w:pStyle w:val="ListParagraph"/>
              <w:numPr>
                <w:ilvl w:val="0"/>
                <w:numId w:val="52"/>
              </w:numPr>
            </w:pPr>
            <w:r>
              <w:t>F56 Access to restricted reports</w:t>
            </w:r>
          </w:p>
          <w:p w14:paraId="6CC5B666" w14:textId="77777777" w:rsidR="008824DC" w:rsidRDefault="008824DC">
            <w:pPr>
              <w:pStyle w:val="ListParagraph"/>
              <w:numPr>
                <w:ilvl w:val="0"/>
                <w:numId w:val="52"/>
              </w:numPr>
            </w:pPr>
            <w:r>
              <w:t>F57 Secure access to reporting from central registry</w:t>
            </w:r>
          </w:p>
          <w:p w14:paraId="77F367DA" w14:textId="77777777" w:rsidR="008824DC" w:rsidRDefault="008824DC">
            <w:pPr>
              <w:pStyle w:val="ListParagraph"/>
              <w:numPr>
                <w:ilvl w:val="0"/>
                <w:numId w:val="52"/>
              </w:numPr>
            </w:pPr>
            <w:r>
              <w:t>F58 Record authorisation to provide identifiable data</w:t>
            </w:r>
          </w:p>
          <w:p w14:paraId="4FE41FB0" w14:textId="77777777" w:rsidR="008824DC" w:rsidRDefault="008824DC">
            <w:pPr>
              <w:pStyle w:val="ListParagraph"/>
              <w:numPr>
                <w:ilvl w:val="0"/>
                <w:numId w:val="52"/>
              </w:numPr>
            </w:pPr>
            <w:r>
              <w:t>F59 Web access to reports</w:t>
            </w:r>
          </w:p>
          <w:p w14:paraId="7DA088C3" w14:textId="77777777" w:rsidR="008824DC" w:rsidRDefault="008824DC">
            <w:pPr>
              <w:pStyle w:val="ListParagraph"/>
              <w:numPr>
                <w:ilvl w:val="0"/>
                <w:numId w:val="52"/>
              </w:numPr>
            </w:pPr>
            <w:r>
              <w:t>F60 Patient summary</w:t>
            </w:r>
          </w:p>
          <w:p w14:paraId="12AB9B47" w14:textId="77777777" w:rsidR="008824DC" w:rsidRDefault="008824DC">
            <w:pPr>
              <w:pStyle w:val="ListParagraph"/>
              <w:numPr>
                <w:ilvl w:val="0"/>
                <w:numId w:val="52"/>
              </w:numPr>
            </w:pPr>
            <w:r>
              <w:t>F61 Generate standard reports</w:t>
            </w:r>
          </w:p>
          <w:p w14:paraId="5C709EA0" w14:textId="77777777" w:rsidR="008824DC" w:rsidRDefault="008824DC">
            <w:pPr>
              <w:pStyle w:val="ListParagraph"/>
              <w:numPr>
                <w:ilvl w:val="0"/>
                <w:numId w:val="52"/>
              </w:numPr>
            </w:pPr>
            <w:r>
              <w:t>F62 Scheduled reporting</w:t>
            </w:r>
          </w:p>
          <w:p w14:paraId="678243ED" w14:textId="77777777" w:rsidR="008824DC" w:rsidRDefault="008824DC">
            <w:pPr>
              <w:pStyle w:val="ListParagraph"/>
              <w:numPr>
                <w:ilvl w:val="0"/>
                <w:numId w:val="52"/>
              </w:numPr>
            </w:pPr>
            <w:r>
              <w:t>F63 Individual facility reports</w:t>
            </w:r>
          </w:p>
          <w:p w14:paraId="0B74D935" w14:textId="77777777" w:rsidR="008824DC" w:rsidRDefault="008824DC">
            <w:pPr>
              <w:pStyle w:val="ListParagraph"/>
              <w:numPr>
                <w:ilvl w:val="0"/>
                <w:numId w:val="52"/>
              </w:numPr>
            </w:pPr>
            <w:r>
              <w:t>F64 Benchmark reports</w:t>
            </w:r>
          </w:p>
          <w:p w14:paraId="1CBD6E45" w14:textId="77777777" w:rsidR="008824DC" w:rsidRDefault="008824DC">
            <w:pPr>
              <w:pStyle w:val="ListParagraph"/>
              <w:numPr>
                <w:ilvl w:val="0"/>
                <w:numId w:val="52"/>
              </w:numPr>
            </w:pPr>
            <w:r>
              <w:t>F65 Clinical and epidemiological reporting</w:t>
            </w:r>
          </w:p>
          <w:p w14:paraId="2A3C0065" w14:textId="77777777" w:rsidR="008824DC" w:rsidRDefault="008824DC">
            <w:pPr>
              <w:pStyle w:val="ListParagraph"/>
              <w:numPr>
                <w:ilvl w:val="0"/>
                <w:numId w:val="52"/>
              </w:numPr>
            </w:pPr>
            <w:r>
              <w:t>F66 Coverage of eligible population report</w:t>
            </w:r>
          </w:p>
          <w:p w14:paraId="5AE7E66D" w14:textId="77777777" w:rsidR="008824DC" w:rsidRDefault="008824DC">
            <w:pPr>
              <w:pStyle w:val="ListParagraph"/>
              <w:numPr>
                <w:ilvl w:val="0"/>
                <w:numId w:val="52"/>
              </w:numPr>
            </w:pPr>
            <w:r>
              <w:t>F67 Contributing units can produce centrally configured reports</w:t>
            </w:r>
          </w:p>
          <w:p w14:paraId="0D7FC53C" w14:textId="77777777" w:rsidR="008824DC" w:rsidRDefault="008824DC">
            <w:pPr>
              <w:pStyle w:val="ListParagraph"/>
              <w:numPr>
                <w:ilvl w:val="0"/>
                <w:numId w:val="52"/>
              </w:numPr>
            </w:pPr>
            <w:r>
              <w:t>F68 Export of unit record data</w:t>
            </w:r>
          </w:p>
          <w:p w14:paraId="79BE35E8" w14:textId="77777777" w:rsidR="008824DC" w:rsidRDefault="008824DC">
            <w:pPr>
              <w:pStyle w:val="ListParagraph"/>
              <w:numPr>
                <w:ilvl w:val="0"/>
                <w:numId w:val="52"/>
              </w:numPr>
            </w:pPr>
            <w:r>
              <w:t>F69 Default format of unit record data export</w:t>
            </w:r>
          </w:p>
          <w:p w14:paraId="1126FE72" w14:textId="77777777" w:rsidR="008824DC" w:rsidRDefault="008824DC">
            <w:pPr>
              <w:pStyle w:val="ListParagraph"/>
              <w:numPr>
                <w:ilvl w:val="0"/>
                <w:numId w:val="52"/>
              </w:numPr>
            </w:pPr>
            <w:r>
              <w:t>F70 Ability to export data for research purposes</w:t>
            </w:r>
          </w:p>
          <w:p w14:paraId="1FFC03F4" w14:textId="77777777" w:rsidR="008824DC" w:rsidRDefault="008824DC">
            <w:pPr>
              <w:pStyle w:val="ListParagraph"/>
              <w:numPr>
                <w:ilvl w:val="0"/>
                <w:numId w:val="52"/>
              </w:numPr>
            </w:pPr>
            <w:r>
              <w:t>F71 Ability to record purpose of data export</w:t>
            </w:r>
          </w:p>
          <w:p w14:paraId="7060BD31" w14:textId="16F08D38" w:rsidR="007C21BD" w:rsidRDefault="007C21BD">
            <w:pPr>
              <w:pStyle w:val="ListParagraph"/>
              <w:numPr>
                <w:ilvl w:val="0"/>
                <w:numId w:val="52"/>
              </w:numPr>
            </w:pPr>
            <w:r>
              <w:t>F72 Data extraction to be audited</w:t>
            </w:r>
          </w:p>
          <w:p w14:paraId="22306562" w14:textId="77777777" w:rsidR="008824DC" w:rsidRDefault="008824DC">
            <w:pPr>
              <w:pStyle w:val="ListParagraph"/>
              <w:numPr>
                <w:ilvl w:val="0"/>
                <w:numId w:val="52"/>
              </w:numPr>
            </w:pPr>
            <w:r>
              <w:t>F73 Encrypt exported identifiable information</w:t>
            </w:r>
          </w:p>
          <w:p w14:paraId="35AE2DDB" w14:textId="77777777" w:rsidR="008824DC" w:rsidRDefault="008824DC">
            <w:pPr>
              <w:pStyle w:val="ListParagraph"/>
              <w:numPr>
                <w:ilvl w:val="0"/>
                <w:numId w:val="52"/>
              </w:numPr>
            </w:pPr>
            <w:r>
              <w:t>F74 Compatibility of data extracts with statistical packages</w:t>
            </w:r>
          </w:p>
          <w:p w14:paraId="7621E872" w14:textId="77777777" w:rsidR="008824DC" w:rsidRDefault="008824DC">
            <w:pPr>
              <w:pStyle w:val="ListParagraph"/>
              <w:numPr>
                <w:ilvl w:val="0"/>
                <w:numId w:val="52"/>
              </w:numPr>
            </w:pPr>
            <w:r>
              <w:t>F75 Ad hoc data analysis available to participating units</w:t>
            </w:r>
          </w:p>
          <w:p w14:paraId="0DDF5EF8" w14:textId="77777777" w:rsidR="008824DC" w:rsidRDefault="008824DC">
            <w:pPr>
              <w:pStyle w:val="ListParagraph"/>
              <w:numPr>
                <w:ilvl w:val="0"/>
                <w:numId w:val="52"/>
              </w:numPr>
            </w:pPr>
            <w:r>
              <w:t>F76 Define parameters for ad hoc reports</w:t>
            </w:r>
          </w:p>
          <w:p w14:paraId="5BB4E3E4" w14:textId="29660905" w:rsidR="008824DC" w:rsidRPr="008824DC" w:rsidRDefault="008824DC">
            <w:pPr>
              <w:pStyle w:val="ListParagraph"/>
              <w:numPr>
                <w:ilvl w:val="0"/>
                <w:numId w:val="52"/>
              </w:numPr>
            </w:pPr>
            <w:r>
              <w:t>F77 Use report parameters to generate ad hoc reports.</w:t>
            </w:r>
          </w:p>
        </w:tc>
      </w:tr>
    </w:tbl>
    <w:p w14:paraId="5212843D" w14:textId="77777777" w:rsidR="008824DC" w:rsidRDefault="008824DC">
      <w:pPr>
        <w:spacing w:before="0" w:after="80"/>
        <w:rPr>
          <w:rFonts w:cs="Arial"/>
          <w:b/>
          <w:bCs/>
          <w:color w:val="005370" w:themeColor="text2"/>
          <w:kern w:val="28"/>
          <w:sz w:val="40"/>
          <w:szCs w:val="32"/>
        </w:rPr>
      </w:pPr>
      <w:bookmarkStart w:id="169" w:name="_Ref89757693"/>
      <w:bookmarkStart w:id="170" w:name="_Toc158583962"/>
      <w:bookmarkStart w:id="171" w:name="_Toc159324735"/>
      <w:r>
        <w:br w:type="page"/>
      </w:r>
    </w:p>
    <w:p w14:paraId="41D10578" w14:textId="55BD50C6" w:rsidR="00192720" w:rsidRPr="0007541F" w:rsidRDefault="003B07D0" w:rsidP="00192720">
      <w:pPr>
        <w:pStyle w:val="Heading1"/>
      </w:pPr>
      <w:bookmarkStart w:id="172" w:name="_3._CQR_solution"/>
      <w:bookmarkStart w:id="173" w:name="_Toc175550356"/>
      <w:bookmarkEnd w:id="172"/>
      <w:r>
        <w:lastRenderedPageBreak/>
        <w:t>3.</w:t>
      </w:r>
      <w:r>
        <w:tab/>
      </w:r>
      <w:r w:rsidR="00192720">
        <w:t>CQR solution</w:t>
      </w:r>
      <w:r w:rsidR="00192720" w:rsidRPr="0007541F">
        <w:t xml:space="preserve"> </w:t>
      </w:r>
      <w:bookmarkEnd w:id="166"/>
      <w:bookmarkEnd w:id="167"/>
      <w:bookmarkEnd w:id="168"/>
      <w:bookmarkEnd w:id="169"/>
      <w:r w:rsidR="00192720">
        <w:t>d</w:t>
      </w:r>
      <w:r w:rsidR="00192720" w:rsidRPr="0007541F">
        <w:t>esign</w:t>
      </w:r>
      <w:bookmarkEnd w:id="170"/>
      <w:bookmarkEnd w:id="171"/>
      <w:bookmarkEnd w:id="173"/>
    </w:p>
    <w:p w14:paraId="0ACB97C0" w14:textId="29D10C6F" w:rsidR="00192720" w:rsidRPr="00224EA8" w:rsidRDefault="00CD78A7" w:rsidP="00192720">
      <w:pPr>
        <w:pStyle w:val="Heading2"/>
      </w:pPr>
      <w:bookmarkStart w:id="174" w:name="_Toc102926490"/>
      <w:bookmarkStart w:id="175" w:name="_Toc103357399"/>
      <w:bookmarkStart w:id="176" w:name="_Toc102926491"/>
      <w:bookmarkStart w:id="177" w:name="_Toc103357400"/>
      <w:bookmarkStart w:id="178" w:name="_Toc102926492"/>
      <w:bookmarkStart w:id="179" w:name="_Toc103357401"/>
      <w:bookmarkStart w:id="180" w:name="_Toc102926493"/>
      <w:bookmarkStart w:id="181" w:name="_Toc103357402"/>
      <w:bookmarkStart w:id="182" w:name="_Toc102926494"/>
      <w:bookmarkStart w:id="183" w:name="_Toc103357403"/>
      <w:bookmarkStart w:id="184" w:name="_Toc102926495"/>
      <w:bookmarkStart w:id="185" w:name="_Toc103357404"/>
      <w:bookmarkStart w:id="186" w:name="_Toc102926496"/>
      <w:bookmarkStart w:id="187" w:name="_Toc103357405"/>
      <w:bookmarkStart w:id="188" w:name="_Toc102926497"/>
      <w:bookmarkStart w:id="189" w:name="_Toc103357406"/>
      <w:bookmarkStart w:id="190" w:name="_Toc102926498"/>
      <w:bookmarkStart w:id="191" w:name="_Toc103357407"/>
      <w:bookmarkStart w:id="192" w:name="_Toc102926499"/>
      <w:bookmarkStart w:id="193" w:name="_Toc103357408"/>
      <w:bookmarkStart w:id="194" w:name="_Toc102926500"/>
      <w:bookmarkStart w:id="195" w:name="_Toc103357409"/>
      <w:bookmarkStart w:id="196" w:name="_Toc102926501"/>
      <w:bookmarkStart w:id="197" w:name="_Toc103357410"/>
      <w:bookmarkStart w:id="198" w:name="_Toc102926502"/>
      <w:bookmarkStart w:id="199" w:name="_Toc103357411"/>
      <w:bookmarkStart w:id="200" w:name="_Toc102926503"/>
      <w:bookmarkStart w:id="201" w:name="_Toc103357412"/>
      <w:bookmarkStart w:id="202" w:name="_Toc102926504"/>
      <w:bookmarkStart w:id="203" w:name="_Toc103357413"/>
      <w:bookmarkStart w:id="204" w:name="_Toc102926505"/>
      <w:bookmarkStart w:id="205" w:name="_Toc103357414"/>
      <w:bookmarkStart w:id="206" w:name="_Toc102926506"/>
      <w:bookmarkStart w:id="207" w:name="_Toc103357415"/>
      <w:bookmarkStart w:id="208" w:name="_Toc102926507"/>
      <w:bookmarkStart w:id="209" w:name="_Toc103357416"/>
      <w:bookmarkStart w:id="210" w:name="_Toc102926508"/>
      <w:bookmarkStart w:id="211" w:name="_Toc103357417"/>
      <w:bookmarkStart w:id="212" w:name="_Toc102926509"/>
      <w:bookmarkStart w:id="213" w:name="_Toc103357418"/>
      <w:bookmarkStart w:id="214" w:name="_Toc102926510"/>
      <w:bookmarkStart w:id="215" w:name="_Toc103357419"/>
      <w:bookmarkStart w:id="216" w:name="_Toc102926511"/>
      <w:bookmarkStart w:id="217" w:name="_Toc103357420"/>
      <w:bookmarkStart w:id="218" w:name="_Toc102926512"/>
      <w:bookmarkStart w:id="219" w:name="_Toc103357421"/>
      <w:bookmarkStart w:id="220" w:name="_Toc102926513"/>
      <w:bookmarkStart w:id="221" w:name="_Toc103357422"/>
      <w:bookmarkStart w:id="222" w:name="_Toc102926514"/>
      <w:bookmarkStart w:id="223" w:name="_Toc103357423"/>
      <w:bookmarkStart w:id="224" w:name="_Toc102926515"/>
      <w:bookmarkStart w:id="225" w:name="_Toc103357424"/>
      <w:bookmarkStart w:id="226" w:name="_Toc102926516"/>
      <w:bookmarkStart w:id="227" w:name="_Toc103357425"/>
      <w:bookmarkStart w:id="228" w:name="_Toc102926517"/>
      <w:bookmarkStart w:id="229" w:name="_Toc103357426"/>
      <w:bookmarkStart w:id="230" w:name="_Toc95296343"/>
      <w:bookmarkStart w:id="231" w:name="_Toc95296344"/>
      <w:bookmarkStart w:id="232" w:name="_Toc95296345"/>
      <w:bookmarkStart w:id="233" w:name="_Toc95296346"/>
      <w:bookmarkStart w:id="234" w:name="_Toc102926518"/>
      <w:bookmarkStart w:id="235" w:name="_Toc103357427"/>
      <w:bookmarkStart w:id="236" w:name="_Toc102926519"/>
      <w:bookmarkStart w:id="237" w:name="_Toc103357428"/>
      <w:bookmarkStart w:id="238" w:name="_Toc102926520"/>
      <w:bookmarkStart w:id="239" w:name="_Toc103357429"/>
      <w:bookmarkStart w:id="240" w:name="_Toc102926521"/>
      <w:bookmarkStart w:id="241" w:name="_Toc103357430"/>
      <w:bookmarkStart w:id="242" w:name="_Toc102926522"/>
      <w:bookmarkStart w:id="243" w:name="_Toc103357431"/>
      <w:bookmarkStart w:id="244" w:name="_Toc102926523"/>
      <w:bookmarkStart w:id="245" w:name="_Toc103357432"/>
      <w:bookmarkStart w:id="246" w:name="_Toc102926524"/>
      <w:bookmarkStart w:id="247" w:name="_Toc103357433"/>
      <w:bookmarkStart w:id="248" w:name="_Toc95296348"/>
      <w:bookmarkStart w:id="249" w:name="_Toc95296349"/>
      <w:bookmarkStart w:id="250" w:name="_Toc95296350"/>
      <w:bookmarkStart w:id="251" w:name="_Toc95296351"/>
      <w:bookmarkStart w:id="252" w:name="_Toc95296352"/>
      <w:bookmarkStart w:id="253" w:name="_Toc95296353"/>
      <w:bookmarkStart w:id="254" w:name="_Toc95296354"/>
      <w:bookmarkStart w:id="255" w:name="_Toc95296355"/>
      <w:bookmarkStart w:id="256" w:name="_Toc95296356"/>
      <w:bookmarkStart w:id="257" w:name="_Toc95296362"/>
      <w:bookmarkStart w:id="258" w:name="_Toc95296363"/>
      <w:bookmarkStart w:id="259" w:name="_Toc95296364"/>
      <w:bookmarkStart w:id="260" w:name="_Toc95296365"/>
      <w:bookmarkStart w:id="261" w:name="_Toc95296366"/>
      <w:bookmarkStart w:id="262" w:name="_Toc95296367"/>
      <w:bookmarkStart w:id="263" w:name="_Toc95296368"/>
      <w:bookmarkStart w:id="264" w:name="_Toc95296369"/>
      <w:bookmarkStart w:id="265" w:name="_Toc95296370"/>
      <w:bookmarkStart w:id="266" w:name="_Toc95296371"/>
      <w:bookmarkStart w:id="267" w:name="_Toc95296372"/>
      <w:bookmarkStart w:id="268" w:name="_Toc95296373"/>
      <w:bookmarkStart w:id="269" w:name="_Toc95296374"/>
      <w:bookmarkStart w:id="270" w:name="_Toc95296375"/>
      <w:bookmarkStart w:id="271" w:name="_Toc95296376"/>
      <w:bookmarkStart w:id="272" w:name="_Toc95296377"/>
      <w:bookmarkStart w:id="273" w:name="_Toc95296378"/>
      <w:bookmarkStart w:id="274" w:name="_Toc95296379"/>
      <w:bookmarkStart w:id="275" w:name="_Toc95296380"/>
      <w:bookmarkStart w:id="276" w:name="_Toc95296381"/>
      <w:bookmarkStart w:id="277" w:name="_Toc95296382"/>
      <w:bookmarkStart w:id="278" w:name="_Toc95296383"/>
      <w:bookmarkStart w:id="279" w:name="_Toc95296384"/>
      <w:bookmarkStart w:id="280" w:name="_Toc95296385"/>
      <w:bookmarkStart w:id="281" w:name="_Toc95296386"/>
      <w:bookmarkStart w:id="282" w:name="_Toc95296387"/>
      <w:bookmarkStart w:id="283" w:name="_Toc95296388"/>
      <w:bookmarkStart w:id="284" w:name="_Toc95296389"/>
      <w:bookmarkStart w:id="285" w:name="_Toc95296390"/>
      <w:bookmarkStart w:id="286" w:name="_Toc95296391"/>
      <w:bookmarkStart w:id="287" w:name="_Toc95296392"/>
      <w:bookmarkStart w:id="288" w:name="_Toc95296393"/>
      <w:bookmarkStart w:id="289" w:name="_Toc95296394"/>
      <w:bookmarkStart w:id="290" w:name="_Toc95296395"/>
      <w:bookmarkStart w:id="291" w:name="_Toc95296396"/>
      <w:bookmarkStart w:id="292" w:name="_Toc95296397"/>
      <w:bookmarkStart w:id="293" w:name="_Toc95296398"/>
      <w:bookmarkStart w:id="294" w:name="_Toc95296399"/>
      <w:bookmarkStart w:id="295" w:name="_Toc95296400"/>
      <w:bookmarkStart w:id="296" w:name="_Toc95296401"/>
      <w:bookmarkStart w:id="297" w:name="_Toc95296402"/>
      <w:bookmarkStart w:id="298" w:name="_Toc95296403"/>
      <w:bookmarkStart w:id="299" w:name="_Toc95296404"/>
      <w:bookmarkStart w:id="300" w:name="_Toc95296405"/>
      <w:bookmarkStart w:id="301" w:name="_Toc95296406"/>
      <w:bookmarkStart w:id="302" w:name="_Toc95296407"/>
      <w:bookmarkStart w:id="303" w:name="_Toc95296408"/>
      <w:bookmarkStart w:id="304" w:name="_Toc158583963"/>
      <w:bookmarkStart w:id="305" w:name="_Toc159324736"/>
      <w:bookmarkStart w:id="306" w:name="_Toc175550357"/>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r>
        <w:t>3.1</w:t>
      </w:r>
      <w:r>
        <w:tab/>
      </w:r>
      <w:r w:rsidR="00192720" w:rsidRPr="00224EA8">
        <w:t>Background</w:t>
      </w:r>
      <w:bookmarkEnd w:id="304"/>
      <w:bookmarkEnd w:id="305"/>
      <w:bookmarkEnd w:id="306"/>
    </w:p>
    <w:p w14:paraId="3F895B58" w14:textId="77777777" w:rsidR="00192720" w:rsidRPr="00876BA2" w:rsidRDefault="00192720" w:rsidP="00CD78A7">
      <w:r w:rsidRPr="00876BA2">
        <w:t>CQRs will require application capabilities that support:</w:t>
      </w:r>
    </w:p>
    <w:p w14:paraId="13821A76" w14:textId="77777777" w:rsidR="00192720" w:rsidRPr="00876BA2" w:rsidRDefault="00192720">
      <w:pPr>
        <w:pStyle w:val="ListParagraph"/>
        <w:numPr>
          <w:ilvl w:val="0"/>
          <w:numId w:val="53"/>
        </w:numPr>
      </w:pPr>
      <w:r w:rsidRPr="00876BA2">
        <w:t>Data acquisition and translation</w:t>
      </w:r>
    </w:p>
    <w:p w14:paraId="013DCC08" w14:textId="77777777" w:rsidR="00192720" w:rsidRPr="00876BA2" w:rsidRDefault="00192720">
      <w:pPr>
        <w:pStyle w:val="ListParagraph"/>
        <w:numPr>
          <w:ilvl w:val="0"/>
          <w:numId w:val="53"/>
        </w:numPr>
      </w:pPr>
      <w:r w:rsidRPr="00876BA2">
        <w:t>User authorisation and management</w:t>
      </w:r>
    </w:p>
    <w:p w14:paraId="3AC8F3FF" w14:textId="77777777" w:rsidR="00192720" w:rsidRPr="00876BA2" w:rsidRDefault="00192720">
      <w:pPr>
        <w:pStyle w:val="ListParagraph"/>
        <w:numPr>
          <w:ilvl w:val="0"/>
          <w:numId w:val="53"/>
        </w:numPr>
      </w:pPr>
      <w:r w:rsidRPr="00876BA2">
        <w:t>Metadata definition, management and publication</w:t>
      </w:r>
    </w:p>
    <w:p w14:paraId="4A45541B" w14:textId="77777777" w:rsidR="00192720" w:rsidRPr="00876BA2" w:rsidRDefault="00192720">
      <w:pPr>
        <w:pStyle w:val="ListParagraph"/>
        <w:numPr>
          <w:ilvl w:val="0"/>
          <w:numId w:val="53"/>
        </w:numPr>
      </w:pPr>
      <w:r w:rsidRPr="00876BA2">
        <w:t>Application of business rules</w:t>
      </w:r>
    </w:p>
    <w:p w14:paraId="60B86646" w14:textId="77777777" w:rsidR="00192720" w:rsidRPr="00876BA2" w:rsidRDefault="00192720">
      <w:pPr>
        <w:pStyle w:val="ListParagraph"/>
        <w:numPr>
          <w:ilvl w:val="0"/>
          <w:numId w:val="53"/>
        </w:numPr>
      </w:pPr>
      <w:r w:rsidRPr="00876BA2">
        <w:t>Statistical analysis</w:t>
      </w:r>
    </w:p>
    <w:p w14:paraId="1B187122" w14:textId="3F4CE3CE" w:rsidR="00192720" w:rsidRDefault="00192720">
      <w:pPr>
        <w:pStyle w:val="ListParagraph"/>
        <w:numPr>
          <w:ilvl w:val="0"/>
          <w:numId w:val="53"/>
        </w:numPr>
      </w:pPr>
      <w:r w:rsidRPr="00876BA2">
        <w:t>Reporting</w:t>
      </w:r>
      <w:r>
        <w:t>.</w:t>
      </w:r>
    </w:p>
    <w:p w14:paraId="13B8E2B9" w14:textId="77777777" w:rsidR="00192720" w:rsidRPr="00876BA2" w:rsidRDefault="00192720" w:rsidP="00CD78A7">
      <w:r w:rsidRPr="00876BA2">
        <w:t xml:space="preserve">This section outlines CQR logical solution architecture </w:t>
      </w:r>
      <w:r w:rsidRPr="5F58801A">
        <w:t>and</w:t>
      </w:r>
      <w:r w:rsidRPr="00876BA2">
        <w:t xml:space="preserve"> covers key interaction scenarios</w:t>
      </w:r>
      <w:r w:rsidRPr="2AF70349">
        <w:t>.</w:t>
      </w:r>
    </w:p>
    <w:p w14:paraId="36DE7D9E" w14:textId="5D2E8B17" w:rsidR="00192720" w:rsidRDefault="00CD78A7" w:rsidP="00192720">
      <w:pPr>
        <w:pStyle w:val="Heading2"/>
      </w:pPr>
      <w:bookmarkStart w:id="307" w:name="_Toc102926526"/>
      <w:bookmarkStart w:id="308" w:name="_Toc103357435"/>
      <w:bookmarkStart w:id="309" w:name="_Ref316375087"/>
      <w:bookmarkStart w:id="310" w:name="_Toc316386175"/>
      <w:bookmarkStart w:id="311" w:name="_Toc340679725"/>
      <w:bookmarkStart w:id="312" w:name="_Toc158583964"/>
      <w:bookmarkStart w:id="313" w:name="_Toc159324737"/>
      <w:bookmarkStart w:id="314" w:name="_Toc175550358"/>
      <w:bookmarkEnd w:id="307"/>
      <w:bookmarkEnd w:id="308"/>
      <w:r>
        <w:t>3.2</w:t>
      </w:r>
      <w:r>
        <w:tab/>
      </w:r>
      <w:r w:rsidR="00192720" w:rsidRPr="00224EA8">
        <w:t xml:space="preserve">CQR </w:t>
      </w:r>
      <w:bookmarkEnd w:id="309"/>
      <w:bookmarkEnd w:id="310"/>
      <w:bookmarkEnd w:id="311"/>
      <w:r w:rsidR="00192720">
        <w:t>a</w:t>
      </w:r>
      <w:r w:rsidR="00192720" w:rsidRPr="00224EA8">
        <w:t>rchitecture</w:t>
      </w:r>
      <w:bookmarkEnd w:id="312"/>
      <w:bookmarkEnd w:id="313"/>
      <w:bookmarkEnd w:id="314"/>
      <w:r w:rsidR="00192720" w:rsidRPr="00224EA8">
        <w:t xml:space="preserve"> </w:t>
      </w:r>
    </w:p>
    <w:p w14:paraId="6E85C324" w14:textId="7D27E016" w:rsidR="00CD78A7" w:rsidRDefault="00192720" w:rsidP="00192720">
      <w:r w:rsidRPr="00187A9F">
        <w:t>Conceptually, the CQR solution (as depicted in Figure 2) introduces the ability for an additional data feed, originating directly from health source systems via an interoperability platform, while still allowing users to enter the data manually. The proposed architecture is designed to automatically receive data from the Hospital Information System (HIS) or, alternatively, directly from the HIS database. This integration streamlines the data inflow, reducing manual input requirements and enhancing the overall data quality and availability for the CQR. This approach also mitigates the issue of data duplication and human workload.</w:t>
      </w:r>
    </w:p>
    <w:p w14:paraId="3FAFFC03" w14:textId="77777777" w:rsidR="00CD4C03" w:rsidRDefault="00CD4C03" w:rsidP="00192720"/>
    <w:p w14:paraId="1D8645CB" w14:textId="5AE2A57C" w:rsidR="00CD4C03" w:rsidRPr="00CD4C03" w:rsidRDefault="00CD4C03" w:rsidP="00CD4C03">
      <w:r w:rsidRPr="00CD4C03">
        <w:rPr>
          <w:i/>
          <w:iCs/>
        </w:rPr>
        <w:t xml:space="preserve">Please see following page for </w:t>
      </w:r>
      <w:r>
        <w:rPr>
          <w:i/>
          <w:iCs/>
        </w:rPr>
        <w:t>Figure 2</w:t>
      </w:r>
      <w:r w:rsidRPr="00CD4C03">
        <w:rPr>
          <w:i/>
          <w:iCs/>
        </w:rPr>
        <w:t>.</w:t>
      </w:r>
    </w:p>
    <w:p w14:paraId="599D1E9B" w14:textId="77777777" w:rsidR="00CD4C03" w:rsidRDefault="00CD4C03" w:rsidP="00192720"/>
    <w:p w14:paraId="0B8A3D30" w14:textId="77777777" w:rsidR="00FF2340" w:rsidRDefault="00FF2340">
      <w:pPr>
        <w:spacing w:before="0" w:after="80"/>
      </w:pPr>
      <w:bookmarkStart w:id="315" w:name="_Ref314746643"/>
      <w:r>
        <w:br w:type="page"/>
      </w:r>
    </w:p>
    <w:p w14:paraId="0F2B837C" w14:textId="77777777" w:rsidR="00FF2340" w:rsidRPr="00CD78A7" w:rsidRDefault="00FF2340" w:rsidP="00FF2340">
      <w:pPr>
        <w:pStyle w:val="FigureTableTitle"/>
      </w:pPr>
      <w:r w:rsidRPr="001212B4">
        <w:lastRenderedPageBreak/>
        <w:t xml:space="preserve">Figure </w:t>
      </w:r>
      <w:r>
        <w:fldChar w:fldCharType="begin"/>
      </w:r>
      <w:r>
        <w:instrText xml:space="preserve"> SEQ Figure \* ARABIC </w:instrText>
      </w:r>
      <w:r>
        <w:fldChar w:fldCharType="separate"/>
      </w:r>
      <w:r w:rsidRPr="001212B4">
        <w:rPr>
          <w:noProof/>
        </w:rPr>
        <w:t>2</w:t>
      </w:r>
      <w:r>
        <w:rPr>
          <w:noProof/>
        </w:rPr>
        <w:fldChar w:fldCharType="end"/>
      </w:r>
      <w:r w:rsidRPr="001212B4">
        <w:t>: Conceptual CQR solution diagram</w:t>
      </w:r>
    </w:p>
    <w:p w14:paraId="135FD3E9" w14:textId="77777777" w:rsidR="00FF2340" w:rsidRDefault="00FF2340" w:rsidP="00FF2340">
      <w:r>
        <w:rPr>
          <w:noProof/>
        </w:rPr>
        <w:drawing>
          <wp:inline distT="0" distB="0" distL="0" distR="0" wp14:anchorId="5E515D65" wp14:editId="77C02B32">
            <wp:extent cx="5941264" cy="7376747"/>
            <wp:effectExtent l="0" t="0" r="2540" b="2540"/>
            <wp:docPr id="1166249309" name="Picture 12" descr="Figure 2: Conceptual CQR solu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49309" name="Picture 12" descr="Figure 2: Conceptual CQR solution diagram"/>
                    <pic:cNvPicPr/>
                  </pic:nvPicPr>
                  <pic:blipFill>
                    <a:blip r:embed="rId24"/>
                    <a:stretch>
                      <a:fillRect/>
                    </a:stretch>
                  </pic:blipFill>
                  <pic:spPr>
                    <a:xfrm>
                      <a:off x="0" y="0"/>
                      <a:ext cx="5941264" cy="7376747"/>
                    </a:xfrm>
                    <a:prstGeom prst="rect">
                      <a:avLst/>
                    </a:prstGeom>
                  </pic:spPr>
                </pic:pic>
              </a:graphicData>
            </a:graphic>
          </wp:inline>
        </w:drawing>
      </w:r>
    </w:p>
    <w:p w14:paraId="0D65A304" w14:textId="77777777" w:rsidR="00FF2340" w:rsidRDefault="00FF2340">
      <w:pPr>
        <w:spacing w:before="0" w:after="80"/>
        <w:rPr>
          <w:b/>
        </w:rPr>
      </w:pPr>
    </w:p>
    <w:p w14:paraId="4BE7FF3B" w14:textId="77777777" w:rsidR="00FF2340" w:rsidRDefault="00FF2340">
      <w:pPr>
        <w:spacing w:before="0" w:after="80"/>
        <w:rPr>
          <w:b/>
        </w:rPr>
      </w:pPr>
      <w:r>
        <w:br w:type="page"/>
      </w:r>
    </w:p>
    <w:bookmarkEnd w:id="315"/>
    <w:p w14:paraId="38305A51" w14:textId="18962431" w:rsidR="00192720" w:rsidRPr="001F08AA" w:rsidRDefault="00192720" w:rsidP="00CD78A7">
      <w:r w:rsidRPr="001F08AA">
        <w:lastRenderedPageBreak/>
        <w:t>The logical design shown in Figure 3 allows a CQR to be established at any level. To reduce the number of CQR instances, it is recommended that, where possible, a CQR is established at the highest level of the organisation (i.e., group, health service organisation, or state and territory).</w:t>
      </w:r>
    </w:p>
    <w:p w14:paraId="32059D95" w14:textId="77777777" w:rsidR="00192720" w:rsidRPr="001F08AA" w:rsidRDefault="00192720" w:rsidP="00CD78A7">
      <w:r w:rsidRPr="001F08AA">
        <w:rPr>
          <w:szCs w:val="20"/>
        </w:rPr>
        <w:t>Within this model, health source systems consistently update the CQR with clinical information, clinical events, and clinical outcomes.</w:t>
      </w:r>
      <w:r w:rsidRPr="001F08AA">
        <w:t xml:space="preserve"> Key patient demographics and clinical events will be extracted from the data message generated by the Patient Admission System (PAS) (i.e. HL7, FHIR) to link patients with the health events and all other related clinical data points. </w:t>
      </w:r>
    </w:p>
    <w:p w14:paraId="1C7B33E6" w14:textId="77777777" w:rsidR="00192720" w:rsidRDefault="00192720" w:rsidP="00CD78A7">
      <w:r w:rsidRPr="0035245C">
        <w:t xml:space="preserve">Clinical documents </w:t>
      </w:r>
      <w:r>
        <w:t>such as di</w:t>
      </w:r>
      <w:r w:rsidRPr="0035245C">
        <w:t xml:space="preserve">scharge </w:t>
      </w:r>
      <w:r>
        <w:t>s</w:t>
      </w:r>
      <w:r w:rsidRPr="0035245C">
        <w:t>ummary</w:t>
      </w:r>
      <w:r>
        <w:t xml:space="preserve">, post-operative reports, and specialist letters </w:t>
      </w:r>
      <w:r w:rsidRPr="0035245C">
        <w:t xml:space="preserve">can </w:t>
      </w:r>
      <w:r>
        <w:t xml:space="preserve">be sourced directly from the respective EMR systems. Pathology results and imaging reports can be produced by LIS (Laboratory Information System) and RIS (Radiology Information System) systems. The pharmacy system will provide dispensed medication records. The patient outcome reports will come from the PROMs system (where these systems are in place). </w:t>
      </w:r>
    </w:p>
    <w:p w14:paraId="3D82BF12" w14:textId="77777777" w:rsidR="00192720" w:rsidRDefault="00192720" w:rsidP="00CD78A7">
      <w:r>
        <w:t>Stakeholders can view CQR data which can only be accessed by authorised data custodians, health service organisations, clinicians and the quality care team to view, search, analyse or export the data. The patient record can be identified within the highest level of the CQR, where they need to be identified. The patient records shall be de-identified when being broadcasted to the CQR.</w:t>
      </w:r>
    </w:p>
    <w:p w14:paraId="5BE8D813" w14:textId="77777777" w:rsidR="00192720" w:rsidRDefault="00192720" w:rsidP="00CD78A7">
      <w:r>
        <w:t>Real-time data sourced directly from e-health systems adds significant value</w:t>
      </w:r>
      <w:r w:rsidRPr="00C31639">
        <w:t xml:space="preserve">. </w:t>
      </w:r>
      <w:r>
        <w:t xml:space="preserve">However, clinical data can be generated in different formats by different e-health systems and only be transmitted by specific protocols, which makes it challenging to order the health system vendors to refactor the existing systems to meet CQR data standards. To overcome this problem, an interoperability platform must act as an orchestrator and transformer to receive the clinical data from the source systems and securely transmit them into the CQR. </w:t>
      </w:r>
    </w:p>
    <w:p w14:paraId="0EB63622" w14:textId="77777777" w:rsidR="00192720" w:rsidRDefault="00192720" w:rsidP="00CD78A7">
      <w:r>
        <w:t>The interoperability platform shall provide the following capabilities to meet the business requirements:</w:t>
      </w:r>
    </w:p>
    <w:p w14:paraId="7F477909" w14:textId="77777777" w:rsidR="00192720" w:rsidRDefault="00192720">
      <w:pPr>
        <w:pStyle w:val="ListParagraph"/>
        <w:numPr>
          <w:ilvl w:val="0"/>
          <w:numId w:val="54"/>
        </w:numPr>
      </w:pPr>
      <w:r>
        <w:t>Can receive and transmit clinical data via different protocols (HTTPS, TCP/IP, SFTP, etc.)</w:t>
      </w:r>
    </w:p>
    <w:p w14:paraId="73FB416E" w14:textId="77777777" w:rsidR="00192720" w:rsidRDefault="00192720">
      <w:pPr>
        <w:pStyle w:val="ListParagraph"/>
        <w:numPr>
          <w:ilvl w:val="0"/>
          <w:numId w:val="54"/>
        </w:numPr>
      </w:pPr>
      <w:r>
        <w:t>Can interpret clinical data encapsulated in different formats (XML, JSON, HL7, etc.)</w:t>
      </w:r>
    </w:p>
    <w:p w14:paraId="090A2036" w14:textId="77777777" w:rsidR="00192720" w:rsidRDefault="00192720">
      <w:pPr>
        <w:pStyle w:val="ListParagraph"/>
        <w:numPr>
          <w:ilvl w:val="0"/>
          <w:numId w:val="54"/>
        </w:numPr>
      </w:pPr>
      <w:r>
        <w:t>Can be configured with business logic to validate the key data fields contained in the clinical message</w:t>
      </w:r>
    </w:p>
    <w:p w14:paraId="648265D9" w14:textId="77777777" w:rsidR="00192720" w:rsidRDefault="00192720">
      <w:pPr>
        <w:pStyle w:val="ListParagraph"/>
        <w:numPr>
          <w:ilvl w:val="0"/>
          <w:numId w:val="54"/>
        </w:numPr>
      </w:pPr>
      <w:r>
        <w:t>Can be configured to link the patient with related clinical data/documents with the patient identifier</w:t>
      </w:r>
    </w:p>
    <w:p w14:paraId="798A1271" w14:textId="77777777" w:rsidR="00192720" w:rsidRDefault="00192720">
      <w:pPr>
        <w:pStyle w:val="ListParagraph"/>
        <w:numPr>
          <w:ilvl w:val="0"/>
          <w:numId w:val="54"/>
        </w:numPr>
      </w:pPr>
      <w:r>
        <w:t xml:space="preserve">Can be configured to normalise clinical data with any international recognisable code system (such as </w:t>
      </w:r>
      <w:r w:rsidRPr="00045CCF">
        <w:t>SNOMED-CT and LOINC</w:t>
      </w:r>
      <w:r>
        <w:t>)</w:t>
      </w:r>
    </w:p>
    <w:p w14:paraId="40F2665F" w14:textId="77777777" w:rsidR="00192720" w:rsidRDefault="00192720">
      <w:pPr>
        <w:pStyle w:val="ListParagraph"/>
        <w:numPr>
          <w:ilvl w:val="0"/>
          <w:numId w:val="54"/>
        </w:numPr>
      </w:pPr>
      <w:r>
        <w:t xml:space="preserve">Can be configured to map the clinical data into the common message model so it can be transmitted and recognised by the CQR </w:t>
      </w:r>
    </w:p>
    <w:p w14:paraId="2E4E24F4" w14:textId="77777777" w:rsidR="00192720" w:rsidRDefault="00192720">
      <w:pPr>
        <w:pStyle w:val="ListParagraph"/>
        <w:numPr>
          <w:ilvl w:val="0"/>
          <w:numId w:val="54"/>
        </w:numPr>
      </w:pPr>
      <w:r>
        <w:t>Can be configured to send the formatted clinical data to the CQR via secured API</w:t>
      </w:r>
    </w:p>
    <w:p w14:paraId="06EC6156" w14:textId="77777777" w:rsidR="00192720" w:rsidRDefault="00192720">
      <w:pPr>
        <w:pStyle w:val="ListParagraph"/>
        <w:numPr>
          <w:ilvl w:val="0"/>
          <w:numId w:val="54"/>
        </w:numPr>
      </w:pPr>
      <w:r>
        <w:t>Can be configured to de-identify patient records</w:t>
      </w:r>
    </w:p>
    <w:p w14:paraId="355ED8AA" w14:textId="77777777" w:rsidR="00192720" w:rsidRDefault="00192720">
      <w:pPr>
        <w:pStyle w:val="ListParagraph"/>
        <w:numPr>
          <w:ilvl w:val="0"/>
          <w:numId w:val="54"/>
        </w:numPr>
      </w:pPr>
      <w:r>
        <w:t>Can be configured to broadcast updates from one CQR to other CQRs.</w:t>
      </w:r>
    </w:p>
    <w:p w14:paraId="12AAC2FC" w14:textId="77777777" w:rsidR="00192720" w:rsidRDefault="00192720" w:rsidP="00CD78A7">
      <w:r>
        <w:t xml:space="preserve">So long as it can fulfil the above responsibilities, the interoperability platform can be provisioned in any environment regardless of the organisation’s existing ICT infrastructure. </w:t>
      </w:r>
    </w:p>
    <w:p w14:paraId="45821294" w14:textId="77777777" w:rsidR="00FF2340" w:rsidRDefault="00FF2340" w:rsidP="00CD78A7"/>
    <w:p w14:paraId="03475A13" w14:textId="53582ADA" w:rsidR="00FF2340" w:rsidRPr="00CD4C03" w:rsidRDefault="00FF2340" w:rsidP="00FF2340">
      <w:r w:rsidRPr="00CD4C03">
        <w:rPr>
          <w:i/>
          <w:iCs/>
        </w:rPr>
        <w:t xml:space="preserve">Please see following page for </w:t>
      </w:r>
      <w:r>
        <w:rPr>
          <w:i/>
          <w:iCs/>
        </w:rPr>
        <w:t>Figure 3</w:t>
      </w:r>
      <w:r w:rsidRPr="00CD4C03">
        <w:rPr>
          <w:i/>
          <w:iCs/>
        </w:rPr>
        <w:t>.</w:t>
      </w:r>
    </w:p>
    <w:p w14:paraId="426A80CA" w14:textId="77777777" w:rsidR="00FF2340" w:rsidRDefault="00FF2340" w:rsidP="00CD78A7"/>
    <w:p w14:paraId="716DEEBB" w14:textId="77777777" w:rsidR="00FF2340" w:rsidRDefault="00FF2340">
      <w:pPr>
        <w:spacing w:before="0" w:after="80"/>
        <w:rPr>
          <w:b/>
        </w:rPr>
      </w:pPr>
      <w:r>
        <w:br w:type="page"/>
      </w:r>
    </w:p>
    <w:p w14:paraId="239D1141" w14:textId="0C2E9099" w:rsidR="00FF2340" w:rsidRPr="00CD78A7" w:rsidRDefault="00FF2340" w:rsidP="00FF2340">
      <w:pPr>
        <w:pStyle w:val="FigureTableTitle"/>
        <w:rPr>
          <w:rFonts w:cs="Arial"/>
        </w:rPr>
      </w:pPr>
      <w:r w:rsidRPr="001212B4">
        <w:lastRenderedPageBreak/>
        <w:t xml:space="preserve">Figure </w:t>
      </w:r>
      <w:r>
        <w:fldChar w:fldCharType="begin"/>
      </w:r>
      <w:r>
        <w:instrText xml:space="preserve"> SEQ Figure \* ARABIC </w:instrText>
      </w:r>
      <w:r>
        <w:fldChar w:fldCharType="separate"/>
      </w:r>
      <w:r w:rsidRPr="001212B4">
        <w:t>3</w:t>
      </w:r>
      <w:r>
        <w:fldChar w:fldCharType="end"/>
      </w:r>
      <w:r w:rsidRPr="001212B4">
        <w:t>: CQR logical design</w:t>
      </w:r>
    </w:p>
    <w:p w14:paraId="5BABB23E" w14:textId="77777777" w:rsidR="00FF2340" w:rsidRDefault="00FF2340" w:rsidP="00FF2340">
      <w:pPr>
        <w:pStyle w:val="BodyTextkeepwithnext0"/>
      </w:pPr>
      <w:r>
        <w:drawing>
          <wp:inline distT="0" distB="0" distL="0" distR="0" wp14:anchorId="64E1E73D" wp14:editId="79E95A32">
            <wp:extent cx="5313889" cy="7999328"/>
            <wp:effectExtent l="0" t="0" r="0" b="1905"/>
            <wp:docPr id="680526119" name="Picture 13" descr="Figure 3: CQR logic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26119" name="Picture 13" descr="Figure 3: CQR logical design"/>
                    <pic:cNvPicPr/>
                  </pic:nvPicPr>
                  <pic:blipFill>
                    <a:blip r:embed="rId25"/>
                    <a:stretch>
                      <a:fillRect/>
                    </a:stretch>
                  </pic:blipFill>
                  <pic:spPr>
                    <a:xfrm>
                      <a:off x="0" y="0"/>
                      <a:ext cx="5313889" cy="7999328"/>
                    </a:xfrm>
                    <a:prstGeom prst="rect">
                      <a:avLst/>
                    </a:prstGeom>
                  </pic:spPr>
                </pic:pic>
              </a:graphicData>
            </a:graphic>
          </wp:inline>
        </w:drawing>
      </w:r>
    </w:p>
    <w:p w14:paraId="5C116D5B" w14:textId="77777777" w:rsidR="00FF2340" w:rsidRDefault="00FF2340" w:rsidP="00CD78A7"/>
    <w:p w14:paraId="0D832C01" w14:textId="77777777" w:rsidR="009345A1" w:rsidRDefault="009345A1">
      <w:pPr>
        <w:spacing w:before="0" w:after="80"/>
        <w:rPr>
          <w:rFonts w:cs="Arial"/>
          <w:b/>
          <w:iCs/>
          <w:color w:val="005370" w:themeColor="text2"/>
          <w:kern w:val="28"/>
          <w:sz w:val="32"/>
          <w:szCs w:val="28"/>
        </w:rPr>
      </w:pPr>
      <w:bookmarkStart w:id="316" w:name="_Toc95296411"/>
      <w:bookmarkStart w:id="317" w:name="_Toc95296412"/>
      <w:bookmarkStart w:id="318" w:name="_Toc95296413"/>
      <w:bookmarkStart w:id="319" w:name="_Toc95296414"/>
      <w:bookmarkStart w:id="320" w:name="_Toc95296415"/>
      <w:bookmarkStart w:id="321" w:name="_Toc95296416"/>
      <w:bookmarkStart w:id="322" w:name="_Toc95296417"/>
      <w:bookmarkStart w:id="323" w:name="_Toc95296418"/>
      <w:bookmarkStart w:id="324" w:name="_Toc95296419"/>
      <w:bookmarkStart w:id="325" w:name="_Toc95296420"/>
      <w:bookmarkStart w:id="326" w:name="_Toc95296421"/>
      <w:bookmarkStart w:id="327" w:name="_Toc95296422"/>
      <w:bookmarkStart w:id="328" w:name="_Toc95296423"/>
      <w:bookmarkStart w:id="329" w:name="_Toc95296424"/>
      <w:bookmarkStart w:id="330" w:name="_Toc95296425"/>
      <w:bookmarkStart w:id="331" w:name="_Toc95296426"/>
      <w:bookmarkStart w:id="332" w:name="_Toc95296427"/>
      <w:bookmarkStart w:id="333" w:name="_Toc95296428"/>
      <w:bookmarkStart w:id="334" w:name="_Toc95296429"/>
      <w:bookmarkStart w:id="335" w:name="_Toc95296430"/>
      <w:bookmarkStart w:id="336" w:name="_Toc95296431"/>
      <w:bookmarkStart w:id="337" w:name="_Toc95296432"/>
      <w:bookmarkStart w:id="338" w:name="_Toc95296433"/>
      <w:bookmarkStart w:id="339" w:name="_Toc95296434"/>
      <w:bookmarkStart w:id="340" w:name="_Toc95296435"/>
      <w:bookmarkStart w:id="341" w:name="_Toc95296436"/>
      <w:bookmarkStart w:id="342" w:name="_Toc102926528"/>
      <w:bookmarkStart w:id="343" w:name="_Toc103357442"/>
      <w:bookmarkStart w:id="344" w:name="_Toc102926529"/>
      <w:bookmarkStart w:id="345" w:name="_Toc103357443"/>
      <w:bookmarkStart w:id="346" w:name="_Toc102926530"/>
      <w:bookmarkStart w:id="347" w:name="_Toc103357444"/>
      <w:bookmarkStart w:id="348" w:name="_Toc102926531"/>
      <w:bookmarkStart w:id="349" w:name="_Toc103357445"/>
      <w:bookmarkStart w:id="350" w:name="_Toc102926532"/>
      <w:bookmarkStart w:id="351" w:name="_Toc103357446"/>
      <w:bookmarkStart w:id="352" w:name="_Toc102926533"/>
      <w:bookmarkStart w:id="353" w:name="_Toc103357447"/>
      <w:bookmarkStart w:id="354" w:name="_Toc102926534"/>
      <w:bookmarkStart w:id="355" w:name="_Toc103357448"/>
      <w:bookmarkStart w:id="356" w:name="_Toc102926535"/>
      <w:bookmarkStart w:id="357" w:name="_Toc103357449"/>
      <w:bookmarkStart w:id="358" w:name="_Toc102926536"/>
      <w:bookmarkStart w:id="359" w:name="_Toc103357450"/>
      <w:bookmarkStart w:id="360" w:name="_Toc102926537"/>
      <w:bookmarkStart w:id="361" w:name="_Toc103357451"/>
      <w:bookmarkStart w:id="362" w:name="_Toc102926538"/>
      <w:bookmarkStart w:id="363" w:name="_Toc103357452"/>
      <w:bookmarkStart w:id="364" w:name="_Toc102926539"/>
      <w:bookmarkStart w:id="365" w:name="_Toc103357453"/>
      <w:bookmarkStart w:id="366" w:name="_Toc102926540"/>
      <w:bookmarkStart w:id="367" w:name="_Toc103357454"/>
      <w:bookmarkStart w:id="368" w:name="_Toc102926541"/>
      <w:bookmarkStart w:id="369" w:name="_Toc103357455"/>
      <w:bookmarkStart w:id="370" w:name="_Toc102926542"/>
      <w:bookmarkStart w:id="371" w:name="_Toc103357456"/>
      <w:bookmarkStart w:id="372" w:name="_Toc102926543"/>
      <w:bookmarkStart w:id="373" w:name="_Toc103357457"/>
      <w:bookmarkStart w:id="374" w:name="_Toc102926544"/>
      <w:bookmarkStart w:id="375" w:name="_Toc103357458"/>
      <w:bookmarkStart w:id="376" w:name="_Toc102926545"/>
      <w:bookmarkStart w:id="377" w:name="_Toc103357459"/>
      <w:bookmarkStart w:id="378" w:name="_Toc102926546"/>
      <w:bookmarkStart w:id="379" w:name="_Toc103357460"/>
      <w:bookmarkStart w:id="380" w:name="_Toc102926547"/>
      <w:bookmarkStart w:id="381" w:name="_Toc103357461"/>
      <w:bookmarkStart w:id="382" w:name="_Toc102926548"/>
      <w:bookmarkStart w:id="383" w:name="_Toc103357462"/>
      <w:bookmarkStart w:id="384" w:name="_Toc102926549"/>
      <w:bookmarkStart w:id="385" w:name="_Toc103357463"/>
      <w:bookmarkStart w:id="386" w:name="_Toc102926550"/>
      <w:bookmarkStart w:id="387" w:name="_Toc103357464"/>
      <w:bookmarkStart w:id="388" w:name="_Toc102926551"/>
      <w:bookmarkStart w:id="389" w:name="_Toc103357465"/>
      <w:bookmarkStart w:id="390" w:name="_Toc102926552"/>
      <w:bookmarkStart w:id="391" w:name="_Toc103357466"/>
      <w:bookmarkStart w:id="392" w:name="_Toc102926553"/>
      <w:bookmarkStart w:id="393" w:name="_Toc103357467"/>
      <w:bookmarkStart w:id="394" w:name="_Toc102926554"/>
      <w:bookmarkStart w:id="395" w:name="_Toc103357468"/>
      <w:bookmarkStart w:id="396" w:name="_Toc102926555"/>
      <w:bookmarkStart w:id="397" w:name="_Toc103357469"/>
      <w:bookmarkStart w:id="398" w:name="_Toc158583966"/>
      <w:bookmarkStart w:id="399" w:name="_Toc159324739"/>
      <w:bookmarkStart w:id="400" w:name="_Ref316374024"/>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br w:type="page"/>
      </w:r>
    </w:p>
    <w:p w14:paraId="330E5640" w14:textId="652D14C8" w:rsidR="00192720" w:rsidRPr="00224EA8" w:rsidRDefault="00CD78A7" w:rsidP="00192720">
      <w:pPr>
        <w:pStyle w:val="Heading2"/>
      </w:pPr>
      <w:bookmarkStart w:id="401" w:name="_Toc175550359"/>
      <w:r>
        <w:lastRenderedPageBreak/>
        <w:t>3.</w:t>
      </w:r>
      <w:r w:rsidR="00346AFB">
        <w:t>3</w:t>
      </w:r>
      <w:r>
        <w:tab/>
      </w:r>
      <w:r w:rsidR="00192720" w:rsidRPr="00224EA8">
        <w:t>CQR key system usage scenarios</w:t>
      </w:r>
      <w:bookmarkEnd w:id="398"/>
      <w:bookmarkEnd w:id="399"/>
      <w:bookmarkEnd w:id="401"/>
    </w:p>
    <w:p w14:paraId="5ED35C19" w14:textId="77777777" w:rsidR="00FF2340" w:rsidRDefault="00CD78A7" w:rsidP="00FF2340">
      <w:pPr>
        <w:pStyle w:val="Heading3"/>
      </w:pPr>
      <w:bookmarkStart w:id="402" w:name="_Toc158583967"/>
      <w:bookmarkStart w:id="403" w:name="_Toc159324740"/>
      <w:bookmarkStart w:id="404" w:name="_Toc175550360"/>
      <w:r>
        <w:t>3.</w:t>
      </w:r>
      <w:r w:rsidR="00346AFB">
        <w:t>3</w:t>
      </w:r>
      <w:r>
        <w:t>.1</w:t>
      </w:r>
      <w:r>
        <w:tab/>
      </w:r>
      <w:r w:rsidR="00192720" w:rsidRPr="00D60D69">
        <w:t xml:space="preserve">Source </w:t>
      </w:r>
      <w:r w:rsidR="00192720">
        <w:t>s</w:t>
      </w:r>
      <w:r w:rsidR="00192720" w:rsidRPr="00D60D69">
        <w:t>ystem adds data into CQR</w:t>
      </w:r>
      <w:bookmarkEnd w:id="402"/>
      <w:bookmarkEnd w:id="403"/>
      <w:bookmarkEnd w:id="404"/>
    </w:p>
    <w:p w14:paraId="2B548444" w14:textId="2A34EFDE" w:rsidR="00192720" w:rsidRDefault="00FF2340" w:rsidP="00FF2340">
      <w:r>
        <w:t xml:space="preserve">Figure 4 presents a model for data acquisition. </w:t>
      </w:r>
      <w:r w:rsidR="00192720">
        <w:t>At</w:t>
      </w:r>
      <w:r w:rsidR="00192720" w:rsidRPr="00CA0BF5">
        <w:t xml:space="preserve"> the hospital</w:t>
      </w:r>
      <w:r w:rsidR="00192720">
        <w:t xml:space="preserve">/health service organisation level, clinical data will be captured continuously by different healthcare providers through various clinical events triggered by a patient journey. Patient demographic information, alerts, and allergies will be captured by the Patient Admission System (PAS) when a patient is admitted to the hospital. As the </w:t>
      </w:r>
      <w:r w:rsidR="00192720" w:rsidRPr="001212B4">
        <w:t>patient is transferred to a ward</w:t>
      </w:r>
      <w:r w:rsidR="00192720">
        <w:t xml:space="preserve">, admitted to an emergency department, treated in a theatre, or discharged from the hospital, various clinical documents will be generated by the EMR system. </w:t>
      </w:r>
    </w:p>
    <w:p w14:paraId="6462FE9D" w14:textId="77777777" w:rsidR="00192720" w:rsidRPr="001212B4" w:rsidRDefault="00192720" w:rsidP="00CD78A7">
      <w:r w:rsidRPr="001212B4">
        <w:t>When a pathology test is ordered, a pathologist can process the pathology order and record the result in the Laboratory Information System (LIS). Subsequently, the results data feed can be sent into the CQR using a common health interoperability standard such as HL7 ORU.</w:t>
      </w:r>
    </w:p>
    <w:p w14:paraId="44CECC0A" w14:textId="77777777" w:rsidR="00192720" w:rsidRPr="001212B4" w:rsidRDefault="00192720" w:rsidP="00CD78A7">
      <w:r w:rsidRPr="001212B4">
        <w:t xml:space="preserve">Similarly, a radiologist produces imaging examination reports in RIS when a patient takes an imaging exam. Imaging report data feed can be sent into the CQR using a common health interoperability standard such as HL7 ORU. </w:t>
      </w:r>
    </w:p>
    <w:p w14:paraId="4C7670E7" w14:textId="77777777" w:rsidR="00192720" w:rsidRPr="001212B4" w:rsidRDefault="00192720" w:rsidP="00CD78A7">
      <w:r w:rsidRPr="001212B4">
        <w:t xml:space="preserve">When medications are dispensed, a pharmacist uses the pharmacy system to dispense medications and the dispense medication report can be sent into the CQR using a common health interoperability standard such as the HL7 format. </w:t>
      </w:r>
    </w:p>
    <w:p w14:paraId="76D61C84" w14:textId="77777777" w:rsidR="00192720" w:rsidRDefault="00192720" w:rsidP="00CD78A7">
      <w:r>
        <w:t xml:space="preserve">The PROM system will allow the health service organisation to capture the patient outcome information from the various health service organisational level surveys. </w:t>
      </w:r>
    </w:p>
    <w:p w14:paraId="0F10E28D" w14:textId="33B11394" w:rsidR="00192720" w:rsidRDefault="00192720" w:rsidP="00CD78A7">
      <w:r>
        <w:t xml:space="preserve">The goal of the interoperability </w:t>
      </w:r>
      <w:r w:rsidR="00240D96">
        <w:t xml:space="preserve">pathway </w:t>
      </w:r>
      <w:r>
        <w:t>is to utilise and reuse the existing data feeds from the various clinical system(s) that may already exist within the health service organisation, using an integration platform to remove the burden of the CQR system integration.</w:t>
      </w:r>
    </w:p>
    <w:p w14:paraId="15CFF299" w14:textId="77777777" w:rsidR="00192720" w:rsidRDefault="00192720" w:rsidP="00CD78A7">
      <w:r>
        <w:t xml:space="preserve">Once the interoperability platform receives the HL7 messages, certain business rules can be configured to perform basic checks on the key data fields. For example, the rules can be configured to check the completeness of the patient demographic data and alert the source system if any key fields are missing. </w:t>
      </w:r>
      <w:r w:rsidRPr="001212B4">
        <w:t xml:space="preserve">However, since the CQR’s main purpose is not to monitor the quality of incoming data, the alerts can be sent back to each of the source systems and it is up to the department to decide what to do with it. </w:t>
      </w:r>
    </w:p>
    <w:p w14:paraId="762BA0BA" w14:textId="00482181" w:rsidR="00192720" w:rsidRDefault="00192720" w:rsidP="00CD78A7">
      <w:r>
        <w:t xml:space="preserve">The interoperability platform can also perform the patient linkage activity to link all the clinical documents/records to the right patient. It can build the patient index where the patient identifiers can be stored and used to link to all the clinical documents related to the same patient. In addition, the patient index should store different types of patient identifiers. For example, a patient can have </w:t>
      </w:r>
      <w:r w:rsidRPr="001212B4">
        <w:t xml:space="preserve">a different </w:t>
      </w:r>
      <w:r>
        <w:t>Medical Record Numbers across various hospitals but share the same IHI. The interoperability platform should be able to search all types of patient identifiers from an HL7 message, match to the ones stored from the patient index, then link the clinical data to the right patient.</w:t>
      </w:r>
    </w:p>
    <w:p w14:paraId="02C207A5" w14:textId="77777777" w:rsidR="00192720" w:rsidRDefault="00192720" w:rsidP="00CD78A7">
      <w:pPr>
        <w:rPr>
          <w:rFonts w:cs="Arial"/>
          <w:szCs w:val="20"/>
        </w:rPr>
      </w:pPr>
      <w:r>
        <w:t>The interoperability platform should also be responsible for standardising the clinical data and transforming them into a common message model so all the CQRs can recognise</w:t>
      </w:r>
      <w:r w:rsidRPr="001212B4">
        <w:t xml:space="preserve"> them. </w:t>
      </w:r>
      <w:r>
        <w:t xml:space="preserve">International recognisable code systems can be used to enforce the standardisation process. For example, </w:t>
      </w:r>
      <w:r w:rsidRPr="00CA0BF5">
        <w:rPr>
          <w:rFonts w:cs="Arial"/>
          <w:szCs w:val="20"/>
        </w:rPr>
        <w:t>SNOMED CT is a terminology that can cross-map to other international terminologies, classifications, and code systems</w:t>
      </w:r>
      <w:r>
        <w:rPr>
          <w:rFonts w:cs="Arial"/>
          <w:szCs w:val="20"/>
        </w:rPr>
        <w:t>. Using the code system can enable data reuse and bring data consistency between different CQRs. However, data cannot be easily understood by different CQRs unless a common message model is defined. The common message model should define the data format of each field and the data specifications.</w:t>
      </w:r>
    </w:p>
    <w:p w14:paraId="004DE115" w14:textId="77777777" w:rsidR="00FF2340" w:rsidRDefault="00FF2340" w:rsidP="00CD78A7">
      <w:pPr>
        <w:rPr>
          <w:rFonts w:cs="Arial"/>
          <w:szCs w:val="20"/>
        </w:rPr>
      </w:pPr>
    </w:p>
    <w:p w14:paraId="06F07934" w14:textId="51C98186" w:rsidR="00FF2340" w:rsidRDefault="00FF2340" w:rsidP="00FF2340">
      <w:pPr>
        <w:rPr>
          <w:i/>
          <w:iCs/>
        </w:rPr>
      </w:pPr>
      <w:r w:rsidRPr="00CD4C03">
        <w:rPr>
          <w:i/>
          <w:iCs/>
        </w:rPr>
        <w:t xml:space="preserve">Please see following page for </w:t>
      </w:r>
      <w:r>
        <w:rPr>
          <w:i/>
          <w:iCs/>
        </w:rPr>
        <w:t>Figure 4</w:t>
      </w:r>
      <w:r w:rsidRPr="00CD4C03">
        <w:rPr>
          <w:i/>
          <w:iCs/>
        </w:rPr>
        <w:t>.</w:t>
      </w:r>
    </w:p>
    <w:p w14:paraId="345F070C" w14:textId="77777777" w:rsidR="00FF2340" w:rsidRDefault="00FF2340">
      <w:pPr>
        <w:spacing w:before="0" w:after="80"/>
        <w:rPr>
          <w:b/>
        </w:rPr>
      </w:pPr>
      <w:r>
        <w:br w:type="page"/>
      </w:r>
    </w:p>
    <w:p w14:paraId="50DF7A00" w14:textId="5EEFE632" w:rsidR="00FF2340" w:rsidRPr="001212B4" w:rsidRDefault="00FF2340" w:rsidP="00FF2340">
      <w:pPr>
        <w:pStyle w:val="FigureTableTitle"/>
      </w:pPr>
      <w:r w:rsidRPr="001212B4">
        <w:lastRenderedPageBreak/>
        <w:t>Figure 4</w:t>
      </w:r>
      <w:r w:rsidRPr="001212B4">
        <w:rPr>
          <w:noProof/>
        </w:rPr>
        <w:t>:</w:t>
      </w:r>
      <w:r w:rsidRPr="001212B4">
        <w:t xml:space="preserve"> CQR data acquisition</w:t>
      </w:r>
    </w:p>
    <w:p w14:paraId="2858419C" w14:textId="77777777" w:rsidR="00FF2340" w:rsidRPr="00CD78A7" w:rsidRDefault="00FF2340" w:rsidP="00FF2340">
      <w:r>
        <w:rPr>
          <w:noProof/>
        </w:rPr>
        <w:drawing>
          <wp:inline distT="0" distB="0" distL="0" distR="0" wp14:anchorId="5CD9B33F" wp14:editId="41F740F7">
            <wp:extent cx="6073197" cy="5636895"/>
            <wp:effectExtent l="0" t="0" r="0" b="1905"/>
            <wp:docPr id="11763882" name="Picture 14" descr="Figure 4: CQR data acqui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882" name="Picture 14" descr="Figure 4: CQR data acquisition"/>
                    <pic:cNvPicPr/>
                  </pic:nvPicPr>
                  <pic:blipFill>
                    <a:blip r:embed="rId26"/>
                    <a:stretch>
                      <a:fillRect/>
                    </a:stretch>
                  </pic:blipFill>
                  <pic:spPr>
                    <a:xfrm>
                      <a:off x="0" y="0"/>
                      <a:ext cx="6073197" cy="5636895"/>
                    </a:xfrm>
                    <a:prstGeom prst="rect">
                      <a:avLst/>
                    </a:prstGeom>
                  </pic:spPr>
                </pic:pic>
              </a:graphicData>
            </a:graphic>
          </wp:inline>
        </w:drawing>
      </w:r>
    </w:p>
    <w:p w14:paraId="145CF94D" w14:textId="77777777" w:rsidR="00FF2340" w:rsidRPr="00CD4C03" w:rsidRDefault="00FF2340" w:rsidP="00FF2340"/>
    <w:p w14:paraId="672B65E2" w14:textId="77777777" w:rsidR="00FF2340" w:rsidRPr="00CA0BF5" w:rsidRDefault="00FF2340" w:rsidP="00CD78A7">
      <w:pPr>
        <w:rPr>
          <w:rFonts w:cs="Arial"/>
          <w:szCs w:val="20"/>
        </w:rPr>
      </w:pPr>
    </w:p>
    <w:p w14:paraId="68ABF305" w14:textId="77777777" w:rsidR="00192720" w:rsidRPr="00200231" w:rsidRDefault="00192720" w:rsidP="00192720">
      <w:pPr>
        <w:pStyle w:val="BodyText"/>
        <w:rPr>
          <w:highlight w:val="yellow"/>
        </w:rPr>
      </w:pPr>
    </w:p>
    <w:p w14:paraId="047D39DA" w14:textId="77777777" w:rsidR="009345A1" w:rsidRDefault="009345A1">
      <w:pPr>
        <w:spacing w:before="0" w:after="80"/>
        <w:rPr>
          <w:rFonts w:cs="Arial"/>
          <w:b/>
          <w:bCs/>
          <w:iCs/>
          <w:color w:val="005370" w:themeColor="text2"/>
          <w:kern w:val="28"/>
          <w:sz w:val="28"/>
          <w:szCs w:val="26"/>
        </w:rPr>
      </w:pPr>
      <w:bookmarkStart w:id="405" w:name="_Toc158583968"/>
      <w:bookmarkStart w:id="406" w:name="_Toc159324741"/>
      <w:r>
        <w:br w:type="page"/>
      </w:r>
    </w:p>
    <w:p w14:paraId="2796FBDC" w14:textId="5571A96A" w:rsidR="00192720" w:rsidRDefault="00CD78A7" w:rsidP="00192720">
      <w:pPr>
        <w:pStyle w:val="Heading3"/>
      </w:pPr>
      <w:bookmarkStart w:id="407" w:name="_Toc175550361"/>
      <w:r>
        <w:lastRenderedPageBreak/>
        <w:t>3.</w:t>
      </w:r>
      <w:r w:rsidR="00346AFB">
        <w:t>3</w:t>
      </w:r>
      <w:r>
        <w:t>.2</w:t>
      </w:r>
      <w:r>
        <w:tab/>
      </w:r>
      <w:r w:rsidR="00192720" w:rsidRPr="00D60D69">
        <w:t>Clinical care quality team view reports from CQR</w:t>
      </w:r>
      <w:bookmarkEnd w:id="405"/>
      <w:bookmarkEnd w:id="406"/>
      <w:bookmarkEnd w:id="407"/>
    </w:p>
    <w:p w14:paraId="55C7EEAA" w14:textId="664DE5B1" w:rsidR="005F326B" w:rsidRDefault="005F326B">
      <w:pPr>
        <w:spacing w:before="0" w:after="80"/>
        <w:rPr>
          <w:b/>
        </w:rPr>
      </w:pPr>
    </w:p>
    <w:p w14:paraId="1DA86DF8" w14:textId="06DC8ADD" w:rsidR="00CD78A7" w:rsidRDefault="00CD78A7" w:rsidP="00CD78A7">
      <w:pPr>
        <w:pStyle w:val="FigureTableTitle"/>
      </w:pPr>
      <w:r w:rsidRPr="001212B4">
        <w:t>Figure 5</w:t>
      </w:r>
      <w:r w:rsidRPr="001212B4">
        <w:rPr>
          <w:noProof/>
        </w:rPr>
        <w:t>:</w:t>
      </w:r>
      <w:r w:rsidRPr="001212B4">
        <w:t xml:space="preserve"> Viewing CQR data</w:t>
      </w:r>
    </w:p>
    <w:p w14:paraId="3192C76A" w14:textId="77777777" w:rsidR="005F326B" w:rsidRDefault="005F326B" w:rsidP="00CD78A7">
      <w:pPr>
        <w:pStyle w:val="FigureTableTitle"/>
      </w:pPr>
    </w:p>
    <w:p w14:paraId="5B73664A" w14:textId="5C808C10" w:rsidR="00CD78A7" w:rsidRDefault="005F326B" w:rsidP="00CF1C26">
      <w:pPr>
        <w:pStyle w:val="FigureTableTitle"/>
      </w:pPr>
      <w:r>
        <w:rPr>
          <w:noProof/>
        </w:rPr>
        <w:drawing>
          <wp:inline distT="0" distB="0" distL="0" distR="0" wp14:anchorId="30E4F470" wp14:editId="0FD8DF6B">
            <wp:extent cx="3261057" cy="5597388"/>
            <wp:effectExtent l="0" t="0" r="3175" b="3810"/>
            <wp:docPr id="1445746161" name="Picture 15" descr="Figure 5: Viewing CQ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46161" name="Picture 15" descr="Figure 5: Viewing CQR data"/>
                    <pic:cNvPicPr/>
                  </pic:nvPicPr>
                  <pic:blipFill>
                    <a:blip r:embed="rId27"/>
                    <a:stretch>
                      <a:fillRect/>
                    </a:stretch>
                  </pic:blipFill>
                  <pic:spPr>
                    <a:xfrm>
                      <a:off x="0" y="0"/>
                      <a:ext cx="3261057" cy="5597388"/>
                    </a:xfrm>
                    <a:prstGeom prst="rect">
                      <a:avLst/>
                    </a:prstGeom>
                  </pic:spPr>
                </pic:pic>
              </a:graphicData>
            </a:graphic>
          </wp:inline>
        </w:drawing>
      </w:r>
    </w:p>
    <w:p w14:paraId="71C194EB" w14:textId="618F8F25" w:rsidR="00192720" w:rsidRPr="00ED04EB" w:rsidRDefault="00192720" w:rsidP="00CD78A7">
      <w:pPr>
        <w:rPr>
          <w:highlight w:val="yellow"/>
        </w:rPr>
      </w:pPr>
      <w:r w:rsidRPr="00433DEE">
        <w:t xml:space="preserve">When </w:t>
      </w:r>
      <w:r>
        <w:t xml:space="preserve">a </w:t>
      </w:r>
      <w:r w:rsidRPr="00433DEE">
        <w:t>CQR is established at the hospital</w:t>
      </w:r>
      <w:r>
        <w:t>/</w:t>
      </w:r>
      <w:r w:rsidRPr="00433DEE">
        <w:t xml:space="preserve">health service </w:t>
      </w:r>
      <w:r>
        <w:t xml:space="preserve">organisation </w:t>
      </w:r>
      <w:r w:rsidRPr="00433DEE">
        <w:t xml:space="preserve">level, only authenticated clinicians and the members of the quality care team within this organisation can access it. The identifiable patient clinical data will be directly sourced from the e-health systems. </w:t>
      </w:r>
      <w:r>
        <w:t>S</w:t>
      </w:r>
      <w:r w:rsidRPr="00433DEE">
        <w:t>trict authorisation must be applied to each user so they can only search, view, and analyse the clinical information they are allowed to. As a result, the clinicians and quality care team can continuously report on clinical outcome</w:t>
      </w:r>
      <w:r>
        <w:t>s</w:t>
      </w:r>
      <w:r w:rsidRPr="00433DEE">
        <w:t xml:space="preserve"> and performance to monitor the appropriateness and effectiveness</w:t>
      </w:r>
      <w:r>
        <w:t xml:space="preserve"> of health care</w:t>
      </w:r>
      <w:r w:rsidRPr="00433DEE">
        <w:t>.</w:t>
      </w:r>
    </w:p>
    <w:p w14:paraId="5F58000F" w14:textId="77777777" w:rsidR="009345A1" w:rsidRDefault="009345A1">
      <w:pPr>
        <w:spacing w:before="0" w:after="80"/>
        <w:rPr>
          <w:rFonts w:cs="Arial"/>
          <w:b/>
          <w:bCs/>
          <w:iCs/>
          <w:color w:val="005370" w:themeColor="text2"/>
          <w:kern w:val="28"/>
          <w:sz w:val="28"/>
          <w:szCs w:val="26"/>
        </w:rPr>
      </w:pPr>
      <w:bookmarkStart w:id="408" w:name="_Toc158583969"/>
      <w:bookmarkStart w:id="409" w:name="_Toc159324742"/>
      <w:r>
        <w:br w:type="page"/>
      </w:r>
    </w:p>
    <w:p w14:paraId="471875EE" w14:textId="562833CC" w:rsidR="00192720" w:rsidRDefault="00CD78A7" w:rsidP="00CD78A7">
      <w:pPr>
        <w:pStyle w:val="Heading3"/>
      </w:pPr>
      <w:bookmarkStart w:id="410" w:name="_Toc175550362"/>
      <w:r>
        <w:lastRenderedPageBreak/>
        <w:t>3.</w:t>
      </w:r>
      <w:r w:rsidR="00346AFB">
        <w:t>3</w:t>
      </w:r>
      <w:r>
        <w:t>.3</w:t>
      </w:r>
      <w:r>
        <w:tab/>
      </w:r>
      <w:r w:rsidR="00192720" w:rsidRPr="001212B4">
        <w:t>CQR sends data to other authorised CQRs</w:t>
      </w:r>
      <w:bookmarkEnd w:id="408"/>
      <w:bookmarkEnd w:id="409"/>
      <w:bookmarkEnd w:id="410"/>
    </w:p>
    <w:p w14:paraId="7E482C16" w14:textId="2FB1E197" w:rsidR="00C45832" w:rsidRDefault="00C45832">
      <w:pPr>
        <w:spacing w:before="0" w:after="80"/>
        <w:rPr>
          <w:b/>
        </w:rPr>
      </w:pPr>
    </w:p>
    <w:p w14:paraId="625ED406" w14:textId="0978E725" w:rsidR="00CD78A7" w:rsidRDefault="00192720" w:rsidP="00CD78A7">
      <w:pPr>
        <w:pStyle w:val="FigureTableTitle"/>
      </w:pPr>
      <w:r w:rsidRPr="001212B4">
        <w:t>Figure 6</w:t>
      </w:r>
      <w:r w:rsidRPr="001212B4">
        <w:rPr>
          <w:noProof/>
        </w:rPr>
        <w:t>:</w:t>
      </w:r>
      <w:r w:rsidRPr="001212B4">
        <w:t xml:space="preserve"> Sharing CQR data with other CQRs</w:t>
      </w:r>
    </w:p>
    <w:p w14:paraId="1EBEF44B" w14:textId="77777777" w:rsidR="00C45832" w:rsidRDefault="00C45832" w:rsidP="00CD78A7">
      <w:pPr>
        <w:pStyle w:val="FigureTableTitle"/>
      </w:pPr>
    </w:p>
    <w:p w14:paraId="6B54CAF2" w14:textId="459D712A" w:rsidR="00CD78A7" w:rsidRPr="00CD78A7" w:rsidRDefault="00C45832" w:rsidP="00CF1C26">
      <w:pPr>
        <w:pStyle w:val="FigureTableTitle"/>
      </w:pPr>
      <w:r>
        <w:rPr>
          <w:noProof/>
        </w:rPr>
        <w:drawing>
          <wp:inline distT="0" distB="0" distL="0" distR="0" wp14:anchorId="440B413C" wp14:editId="5184003D">
            <wp:extent cx="5901675" cy="6322013"/>
            <wp:effectExtent l="0" t="0" r="4445" b="3175"/>
            <wp:docPr id="27608113" name="Picture 16" descr="Figure 6: Sharing CQR data with other CQ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8113" name="Picture 16" descr="Figure 6: Sharing CQR data with other CQRs"/>
                    <pic:cNvPicPr/>
                  </pic:nvPicPr>
                  <pic:blipFill>
                    <a:blip r:embed="rId28"/>
                    <a:stretch>
                      <a:fillRect/>
                    </a:stretch>
                  </pic:blipFill>
                  <pic:spPr>
                    <a:xfrm>
                      <a:off x="0" y="0"/>
                      <a:ext cx="5901675" cy="6322013"/>
                    </a:xfrm>
                    <a:prstGeom prst="rect">
                      <a:avLst/>
                    </a:prstGeom>
                  </pic:spPr>
                </pic:pic>
              </a:graphicData>
            </a:graphic>
          </wp:inline>
        </w:drawing>
      </w:r>
    </w:p>
    <w:p w14:paraId="32604E2E" w14:textId="77777777" w:rsidR="00C45832" w:rsidRDefault="00C45832" w:rsidP="00192720">
      <w:pPr>
        <w:rPr>
          <w:rFonts w:cs="Arial"/>
        </w:rPr>
      </w:pPr>
    </w:p>
    <w:p w14:paraId="5C077F95" w14:textId="4812D2C6" w:rsidR="00192720" w:rsidRPr="00107E02" w:rsidRDefault="00192720" w:rsidP="00192720">
      <w:pPr>
        <w:rPr>
          <w:rFonts w:cs="Arial"/>
        </w:rPr>
      </w:pPr>
      <w:r w:rsidRPr="00107E02">
        <w:rPr>
          <w:rFonts w:cs="Arial"/>
        </w:rPr>
        <w:t xml:space="preserve">From the hospital/health service </w:t>
      </w:r>
      <w:r>
        <w:rPr>
          <w:rFonts w:cs="Arial"/>
        </w:rPr>
        <w:t xml:space="preserve">organisation </w:t>
      </w:r>
      <w:r w:rsidRPr="00107E02">
        <w:rPr>
          <w:rFonts w:cs="Arial"/>
        </w:rPr>
        <w:t xml:space="preserve">level CQRs, the clinical data can be shared to the </w:t>
      </w:r>
      <w:r>
        <w:rPr>
          <w:rFonts w:cs="Arial"/>
          <w:lang w:eastAsia="zh-CN"/>
        </w:rPr>
        <w:t>centrally hosted</w:t>
      </w:r>
      <w:r w:rsidRPr="00107E02">
        <w:rPr>
          <w:rFonts w:cs="Arial"/>
          <w:lang w:eastAsia="zh-CN"/>
        </w:rPr>
        <w:t xml:space="preserve"> CQR </w:t>
      </w:r>
      <w:r w:rsidRPr="001212B4">
        <w:rPr>
          <w:rFonts w:cs="Arial"/>
          <w:lang w:eastAsia="zh-CN"/>
        </w:rPr>
        <w:t xml:space="preserve">as well as to other </w:t>
      </w:r>
      <w:r w:rsidRPr="00107E02">
        <w:rPr>
          <w:rFonts w:cs="Arial"/>
          <w:lang w:eastAsia="zh-CN"/>
        </w:rPr>
        <w:t xml:space="preserve">domain-specific CQRs, such as </w:t>
      </w:r>
      <w:r>
        <w:rPr>
          <w:rFonts w:cs="Arial"/>
          <w:lang w:eastAsia="zh-CN"/>
        </w:rPr>
        <w:t xml:space="preserve">a </w:t>
      </w:r>
      <w:r w:rsidRPr="00107E02">
        <w:rPr>
          <w:rFonts w:cs="Arial"/>
          <w:lang w:eastAsia="zh-CN"/>
        </w:rPr>
        <w:t xml:space="preserve">stroke registry or cancer registry. In this case, the clinical information broadcast can be </w:t>
      </w:r>
      <w:r w:rsidRPr="001212B4">
        <w:rPr>
          <w:rFonts w:cs="Arial"/>
          <w:lang w:eastAsia="zh-CN"/>
        </w:rPr>
        <w:t xml:space="preserve">triggered at either the interoperability </w:t>
      </w:r>
      <w:r w:rsidR="00C05CCE">
        <w:rPr>
          <w:rFonts w:cs="Arial"/>
          <w:lang w:eastAsia="zh-CN"/>
        </w:rPr>
        <w:t>platform</w:t>
      </w:r>
      <w:r w:rsidR="00C05CCE" w:rsidRPr="001212B4">
        <w:rPr>
          <w:rFonts w:cs="Arial"/>
          <w:lang w:eastAsia="zh-CN"/>
        </w:rPr>
        <w:t xml:space="preserve"> </w:t>
      </w:r>
      <w:r w:rsidRPr="001212B4">
        <w:rPr>
          <w:rFonts w:cs="Arial"/>
          <w:lang w:eastAsia="zh-CN"/>
        </w:rPr>
        <w:t xml:space="preserve">or the hospital/health service organisation layer, depending on the </w:t>
      </w:r>
      <w:r w:rsidRPr="00107E02">
        <w:rPr>
          <w:rFonts w:cs="Arial"/>
          <w:lang w:eastAsia="zh-CN"/>
        </w:rPr>
        <w:t xml:space="preserve">business requirement. </w:t>
      </w:r>
    </w:p>
    <w:p w14:paraId="26B6564A" w14:textId="77777777" w:rsidR="00192720" w:rsidRPr="00107E02" w:rsidRDefault="00192720" w:rsidP="00192720">
      <w:pPr>
        <w:rPr>
          <w:rFonts w:cs="Arial"/>
        </w:rPr>
      </w:pPr>
      <w:r w:rsidRPr="00107E02">
        <w:rPr>
          <w:rFonts w:cs="Arial"/>
        </w:rPr>
        <w:t xml:space="preserve">When the interoperability platform receives clinical data from the source systems, it can be programmed to de-identify the patient record (and/or healthcare provider record) and broadcast it </w:t>
      </w:r>
      <w:r w:rsidRPr="00107E02">
        <w:rPr>
          <w:rFonts w:cs="Arial"/>
        </w:rPr>
        <w:lastRenderedPageBreak/>
        <w:t xml:space="preserve">to the </w:t>
      </w:r>
      <w:r w:rsidRPr="001212B4">
        <w:rPr>
          <w:rFonts w:cs="Arial"/>
        </w:rPr>
        <w:t>centrally hosted jurisdictional/national CQR</w:t>
      </w:r>
      <w:r w:rsidRPr="00107E02">
        <w:rPr>
          <w:rFonts w:cs="Arial"/>
        </w:rPr>
        <w:t xml:space="preserve"> or the domain-specific CQRs</w:t>
      </w:r>
      <w:r>
        <w:rPr>
          <w:rFonts w:cs="Arial"/>
        </w:rPr>
        <w:t>,</w:t>
      </w:r>
      <w:r w:rsidRPr="00107E02">
        <w:rPr>
          <w:rFonts w:cs="Arial"/>
        </w:rPr>
        <w:t xml:space="preserve"> depend</w:t>
      </w:r>
      <w:r>
        <w:rPr>
          <w:rFonts w:cs="Arial"/>
        </w:rPr>
        <w:t>ing</w:t>
      </w:r>
      <w:r w:rsidRPr="00107E02">
        <w:rPr>
          <w:rFonts w:cs="Arial"/>
        </w:rPr>
        <w:t xml:space="preserve"> on the diagnoses or medical conditions. This approach will allow the CQRs to have up-to-date health information. </w:t>
      </w:r>
    </w:p>
    <w:p w14:paraId="3C192296" w14:textId="77777777" w:rsidR="00192720" w:rsidRPr="00107E02" w:rsidRDefault="00192720" w:rsidP="00192720">
      <w:pPr>
        <w:rPr>
          <w:rFonts w:cs="Arial"/>
        </w:rPr>
      </w:pPr>
      <w:r w:rsidRPr="00107E02">
        <w:rPr>
          <w:rFonts w:cs="Arial"/>
        </w:rPr>
        <w:t xml:space="preserve">Another approach is to allow the clinicians or the quality care team to decide when and what can be updated to the </w:t>
      </w:r>
      <w:r>
        <w:rPr>
          <w:rFonts w:cs="Arial"/>
        </w:rPr>
        <w:t xml:space="preserve">centrally hosted </w:t>
      </w:r>
      <w:r w:rsidRPr="001212B4">
        <w:rPr>
          <w:rFonts w:cs="Arial"/>
        </w:rPr>
        <w:t>jurisdictional/national CQR</w:t>
      </w:r>
      <w:r w:rsidRPr="00107E02">
        <w:rPr>
          <w:rFonts w:cs="Arial"/>
        </w:rPr>
        <w:t xml:space="preserve"> or domain</w:t>
      </w:r>
      <w:r>
        <w:rPr>
          <w:rFonts w:cs="Arial"/>
        </w:rPr>
        <w:t>-</w:t>
      </w:r>
      <w:r w:rsidRPr="00107E02">
        <w:rPr>
          <w:rFonts w:cs="Arial"/>
        </w:rPr>
        <w:t xml:space="preserve">specific CQRs. This approach can give the hospital or the health service </w:t>
      </w:r>
      <w:r>
        <w:rPr>
          <w:rFonts w:cs="Arial"/>
        </w:rPr>
        <w:t xml:space="preserve">organisation </w:t>
      </w:r>
      <w:r w:rsidRPr="00107E02">
        <w:rPr>
          <w:rFonts w:cs="Arial"/>
        </w:rPr>
        <w:t xml:space="preserve">more control over their clinical data. When the update is triggered, the data will be packaged and transmitted to the external CQRs via the interoperability platform </w:t>
      </w:r>
      <w:r w:rsidRPr="001212B4">
        <w:rPr>
          <w:rFonts w:cs="Arial"/>
        </w:rPr>
        <w:t>which will de-identify the patient programmatically. With the common message model that is proposed as part of the Framework, the interoperability platform can use the secure APIs to exchange health information with other CQRs.</w:t>
      </w:r>
    </w:p>
    <w:p w14:paraId="293BD6AA" w14:textId="7F54E839" w:rsidR="00192720" w:rsidRPr="00107E02" w:rsidRDefault="00192720" w:rsidP="00CD78A7">
      <w:pPr>
        <w:rPr>
          <w:rFonts w:cs="Arial"/>
        </w:rPr>
      </w:pPr>
      <w:r w:rsidRPr="00107E02">
        <w:rPr>
          <w:rFonts w:cs="Arial"/>
        </w:rPr>
        <w:t xml:space="preserve">The </w:t>
      </w:r>
      <w:r>
        <w:rPr>
          <w:rFonts w:cs="Arial"/>
        </w:rPr>
        <w:t>centrally hosted</w:t>
      </w:r>
      <w:r w:rsidRPr="00107E02">
        <w:rPr>
          <w:rFonts w:cs="Arial"/>
        </w:rPr>
        <w:t xml:space="preserve"> </w:t>
      </w:r>
      <w:r w:rsidRPr="001212B4">
        <w:rPr>
          <w:rFonts w:cs="Arial"/>
        </w:rPr>
        <w:t>jurisdictional/national CQR</w:t>
      </w:r>
      <w:r w:rsidRPr="00107E02">
        <w:rPr>
          <w:rFonts w:cs="Arial"/>
        </w:rPr>
        <w:t xml:space="preserve"> will provide the aggregated view of de-identified health information to the authenticated and authorised clinical quality audit team who can search, view, </w:t>
      </w:r>
      <w:r>
        <w:rPr>
          <w:rFonts w:cs="Arial"/>
        </w:rPr>
        <w:t xml:space="preserve">and </w:t>
      </w:r>
      <w:r w:rsidRPr="00107E02">
        <w:rPr>
          <w:rFonts w:cs="Arial"/>
        </w:rPr>
        <w:t>analyse the data across different hospitals and jurisdictions, compare their performance, and provide better insights. At the same time, domain experts and specialists can leverage the domain</w:t>
      </w:r>
      <w:r>
        <w:rPr>
          <w:rFonts w:cs="Arial"/>
        </w:rPr>
        <w:t>-</w:t>
      </w:r>
      <w:r w:rsidRPr="00107E02">
        <w:rPr>
          <w:rFonts w:cs="Arial"/>
        </w:rPr>
        <w:t>specific CQRs to continuously monitor and set the standard of care quality in each clinical area.</w:t>
      </w:r>
    </w:p>
    <w:bookmarkEnd w:id="400"/>
    <w:p w14:paraId="4D90CED7" w14:textId="77777777" w:rsidR="00192720" w:rsidRDefault="00192720" w:rsidP="00192720">
      <w:pPr>
        <w:spacing w:after="0"/>
        <w:rPr>
          <w:rFonts w:eastAsiaTheme="minorHAnsi" w:cstheme="minorBidi"/>
          <w:b/>
          <w:bCs/>
          <w:i/>
          <w:iCs/>
          <w:color w:val="005370" w:themeColor="text2"/>
          <w:lang w:eastAsia="en-US"/>
        </w:rPr>
      </w:pPr>
      <w:r>
        <w:rPr>
          <w:rFonts w:eastAsiaTheme="minorHAnsi" w:cstheme="minorBidi"/>
          <w:b/>
          <w:bCs/>
          <w:lang w:eastAsia="en-US"/>
        </w:rPr>
        <w:br w:type="page"/>
      </w:r>
    </w:p>
    <w:p w14:paraId="475BEC5D" w14:textId="734C4166" w:rsidR="00192720" w:rsidRPr="009A6C5C" w:rsidRDefault="00CD78A7" w:rsidP="00192720">
      <w:pPr>
        <w:pStyle w:val="Heading1"/>
      </w:pPr>
      <w:bookmarkStart w:id="411" w:name="_4._Information_design"/>
      <w:bookmarkStart w:id="412" w:name="_Toc158583970"/>
      <w:bookmarkStart w:id="413" w:name="_Toc159324743"/>
      <w:bookmarkStart w:id="414" w:name="_Toc175550363"/>
      <w:bookmarkEnd w:id="411"/>
      <w:r>
        <w:lastRenderedPageBreak/>
        <w:t>4.</w:t>
      </w:r>
      <w:r>
        <w:tab/>
      </w:r>
      <w:r w:rsidR="00192720" w:rsidRPr="009A6C5C">
        <w:t xml:space="preserve">Information </w:t>
      </w:r>
      <w:r w:rsidR="00192720">
        <w:t>d</w:t>
      </w:r>
      <w:r w:rsidR="00192720" w:rsidRPr="009A6C5C">
        <w:t>esign</w:t>
      </w:r>
      <w:bookmarkEnd w:id="412"/>
      <w:bookmarkEnd w:id="413"/>
      <w:bookmarkEnd w:id="414"/>
    </w:p>
    <w:p w14:paraId="2C8798F5" w14:textId="77777777" w:rsidR="00192720" w:rsidRPr="009A6C5C" w:rsidRDefault="00192720" w:rsidP="00CD78A7">
      <w:r w:rsidRPr="009A6C5C">
        <w:t xml:space="preserve">This section </w:t>
      </w:r>
      <w:r>
        <w:t>describes</w:t>
      </w:r>
      <w:r w:rsidRPr="009A6C5C">
        <w:t xml:space="preserve"> a </w:t>
      </w:r>
      <w:r w:rsidRPr="00D60D69">
        <w:t>logical information design</w:t>
      </w:r>
      <w:r w:rsidRPr="009A6C5C">
        <w:t xml:space="preserve"> that provide</w:t>
      </w:r>
      <w:r>
        <w:t>s</w:t>
      </w:r>
      <w:r w:rsidRPr="009A6C5C">
        <w:t xml:space="preserve"> a standardised starting point for the design and implementation of </w:t>
      </w:r>
      <w:r>
        <w:t>a</w:t>
      </w:r>
      <w:r w:rsidRPr="009A6C5C">
        <w:t xml:space="preserve"> </w:t>
      </w:r>
      <w:r>
        <w:t xml:space="preserve">CQR.  </w:t>
      </w:r>
    </w:p>
    <w:p w14:paraId="6903BB6E" w14:textId="77777777" w:rsidR="00192720" w:rsidRPr="00107E02" w:rsidRDefault="00192720" w:rsidP="00CD78A7">
      <w:pPr>
        <w:rPr>
          <w:rStyle w:val="BodyTextChar"/>
          <w:rFonts w:eastAsia="Calibri" w:cs="Arial"/>
          <w:szCs w:val="22"/>
        </w:rPr>
      </w:pPr>
      <w:r w:rsidRPr="009A6C5C">
        <w:t>Standardising the information model and design guidelines across all CQRs provide</w:t>
      </w:r>
      <w:r>
        <w:t>s</w:t>
      </w:r>
      <w:r w:rsidRPr="009A6C5C">
        <w:t xml:space="preserve"> </w:t>
      </w:r>
      <w:r w:rsidRPr="00107E02">
        <w:rPr>
          <w:rFonts w:cs="Arial"/>
        </w:rPr>
        <w:t>benefits by:</w:t>
      </w:r>
    </w:p>
    <w:p w14:paraId="4F3A4F4A" w14:textId="77777777" w:rsidR="00192720" w:rsidRPr="00107E02" w:rsidRDefault="00192720">
      <w:pPr>
        <w:pStyle w:val="ListParagraph"/>
        <w:numPr>
          <w:ilvl w:val="0"/>
          <w:numId w:val="55"/>
        </w:numPr>
      </w:pPr>
      <w:r>
        <w:t>R</w:t>
      </w:r>
      <w:r w:rsidRPr="00107E02">
        <w:t>educing the time and cost of developing CQRs through the provision of a generalisable and reusable design</w:t>
      </w:r>
    </w:p>
    <w:p w14:paraId="0B00AC0B" w14:textId="77777777" w:rsidR="00192720" w:rsidRPr="00107E02" w:rsidRDefault="00192720">
      <w:pPr>
        <w:pStyle w:val="ListParagraph"/>
        <w:numPr>
          <w:ilvl w:val="0"/>
          <w:numId w:val="55"/>
        </w:numPr>
      </w:pPr>
      <w:r>
        <w:t>P</w:t>
      </w:r>
      <w:r w:rsidRPr="00107E02">
        <w:t xml:space="preserve">romoting standardised approaches to registry designs that support the strategic and </w:t>
      </w:r>
      <w:r w:rsidRPr="006C690D">
        <w:t>operating principles for a national approach to CQRs (refer to the Framework)</w:t>
      </w:r>
    </w:p>
    <w:p w14:paraId="33D4D386" w14:textId="77777777" w:rsidR="00192720" w:rsidRPr="00107E02" w:rsidRDefault="00192720">
      <w:pPr>
        <w:pStyle w:val="ListParagraph"/>
        <w:numPr>
          <w:ilvl w:val="0"/>
          <w:numId w:val="55"/>
        </w:numPr>
      </w:pPr>
      <w:r>
        <w:t>D</w:t>
      </w:r>
      <w:r w:rsidRPr="00107E02">
        <w:t>elivering efficiencies and interoperability in data collection and exchange</w:t>
      </w:r>
    </w:p>
    <w:p w14:paraId="06C397FF" w14:textId="77777777" w:rsidR="00192720" w:rsidRPr="00107E02" w:rsidRDefault="00192720">
      <w:pPr>
        <w:pStyle w:val="ListParagraph"/>
        <w:numPr>
          <w:ilvl w:val="0"/>
          <w:numId w:val="55"/>
        </w:numPr>
      </w:pPr>
      <w:r>
        <w:t>S</w:t>
      </w:r>
      <w:r w:rsidRPr="00107E02">
        <w:t xml:space="preserve">tandardising data elements and definitions to facilitate benchmarking, comparisons, and data exchange wherever possible. </w:t>
      </w:r>
    </w:p>
    <w:p w14:paraId="18AABCB9" w14:textId="77777777" w:rsidR="00192720" w:rsidRPr="009A6C5C" w:rsidRDefault="00192720" w:rsidP="00CD78A7">
      <w:r w:rsidRPr="009A6C5C">
        <w:t xml:space="preserve">It is anticipated that the information design for </w:t>
      </w:r>
      <w:r>
        <w:t>CQRs</w:t>
      </w:r>
      <w:r w:rsidRPr="009A6C5C">
        <w:t xml:space="preserve"> will </w:t>
      </w:r>
      <w:r>
        <w:t xml:space="preserve">continue to </w:t>
      </w:r>
      <w:r w:rsidRPr="009A6C5C">
        <w:t>evolve over time</w:t>
      </w:r>
      <w:r>
        <w:t xml:space="preserve">. </w:t>
      </w:r>
      <w:r w:rsidRPr="009A6C5C">
        <w:t xml:space="preserve">As </w:t>
      </w:r>
      <w:r w:rsidRPr="00272A16">
        <w:t xml:space="preserve">more </w:t>
      </w:r>
      <w:r w:rsidRPr="009A6C5C">
        <w:t xml:space="preserve">CQRs are modelled and implemented, </w:t>
      </w:r>
      <w:r w:rsidRPr="00272A16">
        <w:t xml:space="preserve">further common requirements may be </w:t>
      </w:r>
      <w:r w:rsidRPr="009A6C5C">
        <w:t>identified and incorporated into the core information model</w:t>
      </w:r>
      <w:r>
        <w:t xml:space="preserve">. </w:t>
      </w:r>
    </w:p>
    <w:p w14:paraId="6916C9B0" w14:textId="3824C927" w:rsidR="00192720" w:rsidRPr="009A6C5C" w:rsidRDefault="00192720" w:rsidP="00CD78A7">
      <w:r w:rsidRPr="009A6C5C">
        <w:t xml:space="preserve">Over the long term, </w:t>
      </w:r>
      <w:r>
        <w:t>CQRs</w:t>
      </w:r>
      <w:r w:rsidRPr="009A6C5C">
        <w:t xml:space="preserve"> may develop Data Set Specifications (DSS)</w:t>
      </w:r>
      <w:r w:rsidR="00CD78A7" w:rsidRPr="00CD78A7">
        <w:rPr>
          <w:vertAlign w:val="superscript"/>
        </w:rPr>
        <w:t>2</w:t>
      </w:r>
      <w:r w:rsidR="00CD78A7" w:rsidRPr="009A6C5C">
        <w:t xml:space="preserve"> </w:t>
      </w:r>
      <w:r w:rsidRPr="009A6C5C">
        <w:t>under the umbrella of the National Health Information arrangements</w:t>
      </w:r>
      <w:r>
        <w:t xml:space="preserve">. </w:t>
      </w:r>
      <w:r w:rsidRPr="009A6C5C">
        <w:t>DSSs are metadata sets that are not mandated for collection but are recommended as best practice</w:t>
      </w:r>
      <w:r>
        <w:t xml:space="preserve">. </w:t>
      </w:r>
      <w:r w:rsidRPr="009A6C5C">
        <w:t>The development of metadata standards improves quality, relevance, consistency and the availability of information about the health of Australians</w:t>
      </w:r>
      <w:r>
        <w:t xml:space="preserve">. </w:t>
      </w:r>
      <w:r w:rsidRPr="009A6C5C">
        <w:t>Key benefits of metadata standards include consistency of content and definition; reduced duplication and diversity of solutions; and reductions in the costs of data development through avoiding the need for each registry to have to start from scratch</w:t>
      </w:r>
      <w:r w:rsidR="00CD78A7">
        <w:t>.</w:t>
      </w:r>
      <w:r w:rsidR="00CD78A7" w:rsidRPr="00CD78A7">
        <w:rPr>
          <w:vertAlign w:val="superscript"/>
        </w:rPr>
        <w:t>3</w:t>
      </w:r>
    </w:p>
    <w:p w14:paraId="6C7E764D" w14:textId="31D181E0" w:rsidR="00CD78A7" w:rsidRDefault="00CD78A7" w:rsidP="00CD78A7">
      <w:pPr>
        <w:pStyle w:val="Heading2"/>
      </w:pPr>
      <w:bookmarkStart w:id="415" w:name="_Toc158583971"/>
      <w:bookmarkStart w:id="416" w:name="_Toc159324744"/>
      <w:bookmarkStart w:id="417" w:name="_Toc175550364"/>
      <w:r>
        <w:t>4.1</w:t>
      </w:r>
      <w:r>
        <w:tab/>
      </w:r>
      <w:r w:rsidR="00192720" w:rsidRPr="00224EA8">
        <w:t>Information data flow view</w:t>
      </w:r>
      <w:bookmarkEnd w:id="415"/>
      <w:bookmarkEnd w:id="416"/>
      <w:bookmarkEnd w:id="417"/>
      <w:r w:rsidR="00192720" w:rsidRPr="00224EA8">
        <w:t xml:space="preserve"> </w:t>
      </w:r>
    </w:p>
    <w:p w14:paraId="07BD8965" w14:textId="3EFECBC5" w:rsidR="00CD78A7" w:rsidRDefault="00000000" w:rsidP="00CD78A7">
      <w:fldSimple w:instr=" REF _Ref156398699  \* MERGEFORMAT ">
        <w:r w:rsidR="00FF2340" w:rsidRPr="00FF2340">
          <w:t>F</w:t>
        </w:r>
        <w:r w:rsidR="00CD78A7" w:rsidRPr="00FF2340">
          <w:t>igure 7</w:t>
        </w:r>
      </w:fldSimple>
      <w:r w:rsidR="00CD78A7" w:rsidRPr="00FF2340">
        <w:t xml:space="preserve"> presents a high-level conceptual view of a CQR Information</w:t>
      </w:r>
      <w:r w:rsidR="00CD78A7" w:rsidRPr="32823731">
        <w:t xml:space="preserve"> Model data flow to provide context for the logical model that follows</w:t>
      </w:r>
      <w:r w:rsidR="00CD78A7" w:rsidRPr="009A6C5C">
        <w:t>.</w:t>
      </w:r>
    </w:p>
    <w:p w14:paraId="48D820DA" w14:textId="77777777" w:rsidR="00B77D0C" w:rsidRDefault="00B77D0C" w:rsidP="00CD78A7"/>
    <w:p w14:paraId="6EE3A9F7" w14:textId="6EDD687F" w:rsidR="00B77D0C" w:rsidRPr="00CD4C03" w:rsidRDefault="00B77D0C" w:rsidP="00B77D0C">
      <w:r w:rsidRPr="00CD4C03">
        <w:rPr>
          <w:i/>
          <w:iCs/>
        </w:rPr>
        <w:t xml:space="preserve">Please see following page for </w:t>
      </w:r>
      <w:r>
        <w:rPr>
          <w:i/>
          <w:iCs/>
        </w:rPr>
        <w:t>Figure 7</w:t>
      </w:r>
      <w:r w:rsidRPr="00CD4C03">
        <w:rPr>
          <w:i/>
          <w:iCs/>
        </w:rPr>
        <w:t>.</w:t>
      </w:r>
    </w:p>
    <w:p w14:paraId="31465F42" w14:textId="77777777" w:rsidR="00B77D0C" w:rsidRDefault="00B77D0C" w:rsidP="00CD78A7"/>
    <w:p w14:paraId="74DC271C" w14:textId="77777777" w:rsidR="00C45832" w:rsidRDefault="00C45832">
      <w:pPr>
        <w:spacing w:before="0" w:after="80"/>
        <w:rPr>
          <w:b/>
        </w:rPr>
      </w:pPr>
      <w:bookmarkStart w:id="418" w:name="_Ref156398699"/>
      <w:bookmarkStart w:id="419" w:name="_Ref103353555"/>
      <w:r>
        <w:br w:type="page"/>
      </w:r>
    </w:p>
    <w:p w14:paraId="4BAF1B69" w14:textId="77777777" w:rsidR="00C45832" w:rsidRDefault="00C45832" w:rsidP="00CD78A7">
      <w:pPr>
        <w:pStyle w:val="FigureTableTitle"/>
        <w:sectPr w:rsidR="00C45832" w:rsidSect="007E6134">
          <w:headerReference w:type="even" r:id="rId29"/>
          <w:headerReference w:type="default" r:id="rId30"/>
          <w:footerReference w:type="even" r:id="rId31"/>
          <w:footerReference w:type="default" r:id="rId32"/>
          <w:headerReference w:type="first" r:id="rId33"/>
          <w:footerReference w:type="first" r:id="rId34"/>
          <w:pgSz w:w="11900" w:h="16840" w:code="9"/>
          <w:pgMar w:top="1418" w:right="843" w:bottom="1418" w:left="1418" w:header="680" w:footer="454" w:gutter="0"/>
          <w:cols w:space="708"/>
          <w:docGrid w:linePitch="360"/>
        </w:sectPr>
      </w:pPr>
    </w:p>
    <w:p w14:paraId="52A4C3E4" w14:textId="2E650777" w:rsidR="00CD78A7" w:rsidRDefault="00CD78A7" w:rsidP="00CD78A7">
      <w:pPr>
        <w:pStyle w:val="FigureTableTitle"/>
      </w:pPr>
      <w:r w:rsidRPr="003F6CF1">
        <w:lastRenderedPageBreak/>
        <w:t xml:space="preserve">Figure </w:t>
      </w:r>
      <w:bookmarkEnd w:id="418"/>
      <w:r w:rsidRPr="003F6CF1">
        <w:t>7: Phases of CQR data capture and reporting</w:t>
      </w:r>
      <w:bookmarkEnd w:id="419"/>
    </w:p>
    <w:p w14:paraId="333FF1D6" w14:textId="77777777" w:rsidR="00C45832" w:rsidRPr="00CD78A7" w:rsidRDefault="00C45832" w:rsidP="00CD78A7">
      <w:pPr>
        <w:pStyle w:val="FigureTableTitle"/>
      </w:pPr>
    </w:p>
    <w:p w14:paraId="5CB7DC32" w14:textId="7A6BC224" w:rsidR="00CD78A7" w:rsidRDefault="00C45832" w:rsidP="00C45832">
      <w:pPr>
        <w:pStyle w:val="BodyText"/>
        <w:jc w:val="center"/>
        <w:rPr>
          <w:noProof/>
        </w:rPr>
      </w:pPr>
      <w:r>
        <w:rPr>
          <w:noProof/>
        </w:rPr>
        <w:drawing>
          <wp:inline distT="0" distB="0" distL="0" distR="0" wp14:anchorId="1303E773" wp14:editId="6CB6C390">
            <wp:extent cx="8920872" cy="5289630"/>
            <wp:effectExtent l="0" t="0" r="0" b="0"/>
            <wp:docPr id="814015514" name="Picture 18" descr="Figure 7: Phases of CQR data capture and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15514" name="Picture 18" descr="Figure 7: Phases of CQR data capture and reporting"/>
                    <pic:cNvPicPr/>
                  </pic:nvPicPr>
                  <pic:blipFill>
                    <a:blip r:embed="rId35"/>
                    <a:stretch>
                      <a:fillRect/>
                    </a:stretch>
                  </pic:blipFill>
                  <pic:spPr>
                    <a:xfrm>
                      <a:off x="0" y="0"/>
                      <a:ext cx="8928106" cy="5293920"/>
                    </a:xfrm>
                    <a:prstGeom prst="rect">
                      <a:avLst/>
                    </a:prstGeom>
                  </pic:spPr>
                </pic:pic>
              </a:graphicData>
            </a:graphic>
          </wp:inline>
        </w:drawing>
      </w:r>
    </w:p>
    <w:p w14:paraId="17BB6ECD" w14:textId="77777777" w:rsidR="00C45832" w:rsidRDefault="00C45832" w:rsidP="00CD78A7">
      <w:pPr>
        <w:sectPr w:rsidR="00C45832" w:rsidSect="00C45832">
          <w:pgSz w:w="16840" w:h="11900" w:orient="landscape" w:code="9"/>
          <w:pgMar w:top="845" w:right="1418" w:bottom="1418" w:left="1418" w:header="680" w:footer="454" w:gutter="0"/>
          <w:cols w:space="708"/>
          <w:docGrid w:linePitch="360"/>
        </w:sectPr>
      </w:pPr>
    </w:p>
    <w:p w14:paraId="6931AA4E" w14:textId="74A0ED2D" w:rsidR="00192720" w:rsidRDefault="00192720" w:rsidP="00CD78A7">
      <w:r>
        <w:lastRenderedPageBreak/>
        <w:t xml:space="preserve">The data sources of the CQR represented on the left side of the diagram are where all core data elements are captured at the point of care on each of the respective systems. </w:t>
      </w:r>
    </w:p>
    <w:p w14:paraId="315F56AB" w14:textId="77777777" w:rsidR="00192720" w:rsidRDefault="00192720" w:rsidP="00CD78A7">
      <w:r w:rsidRPr="006F27A2">
        <w:rPr>
          <w:rStyle w:val="BodyTextChar"/>
          <w:rFonts w:eastAsiaTheme="minorHAnsi"/>
        </w:rPr>
        <w:t>The core data categories consist of data that will be defined in a consistent way across all CQR designs.</w:t>
      </w:r>
      <w:r>
        <w:t xml:space="preserve"> </w:t>
      </w:r>
      <w:r w:rsidRPr="009A6C5C">
        <w:t xml:space="preserve">These include patient </w:t>
      </w:r>
      <w:r>
        <w:t>demographic</w:t>
      </w:r>
      <w:r w:rsidRPr="009A6C5C">
        <w:t xml:space="preserve"> data, healthcare event data</w:t>
      </w:r>
      <w:r>
        <w:t>,</w:t>
      </w:r>
      <w:r w:rsidRPr="009A6C5C">
        <w:t xml:space="preserve"> and </w:t>
      </w:r>
      <w:r>
        <w:t>clinical documents (including health outcomes)</w:t>
      </w:r>
      <w:r w:rsidRPr="009A6C5C">
        <w:t>.</w:t>
      </w:r>
      <w:r w:rsidRPr="00DE1C32">
        <w:t xml:space="preserve"> </w:t>
      </w:r>
    </w:p>
    <w:p w14:paraId="79F97DE5" w14:textId="0F0A7FE4" w:rsidR="00192720" w:rsidRDefault="00192720" w:rsidP="00CD78A7">
      <w:r w:rsidRPr="009A6C5C">
        <w:t>Although these data categories will represent a small subset of the data collected by a CQR, it is important to establish a consistent model to ensure that interoperability and record linking can be performed as efficiently and easily as possible.</w:t>
      </w:r>
    </w:p>
    <w:p w14:paraId="4F3ABC45" w14:textId="77777777" w:rsidR="00CD78A7" w:rsidRPr="006F0E6A" w:rsidRDefault="00CD78A7" w:rsidP="00CD78A7"/>
    <w:tbl>
      <w:tblPr>
        <w:tblStyle w:val="SurveyQuestions"/>
        <w:tblW w:w="5000" w:type="pct"/>
        <w:tblLook w:val="04A0" w:firstRow="1" w:lastRow="0" w:firstColumn="1" w:lastColumn="0" w:noHBand="0" w:noVBand="1"/>
      </w:tblPr>
      <w:tblGrid>
        <w:gridCol w:w="4814"/>
        <w:gridCol w:w="4815"/>
      </w:tblGrid>
      <w:tr w:rsidR="00CD78A7" w:rsidRPr="00107E02" w14:paraId="5A091DA4" w14:textId="77777777" w:rsidTr="00CD78A7">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35FBCDD" w14:textId="77777777" w:rsidR="00192720" w:rsidRPr="00CD78A7" w:rsidRDefault="00192720" w:rsidP="00CD78A7">
            <w:pPr>
              <w:pStyle w:val="TableHeading"/>
              <w:rPr>
                <w:rFonts w:ascii="Arial" w:hAnsi="Arial" w:cs="Arial"/>
                <w:b/>
                <w:bCs/>
                <w:sz w:val="22"/>
                <w:szCs w:val="22"/>
              </w:rPr>
            </w:pPr>
            <w:r w:rsidRPr="00CD78A7">
              <w:rPr>
                <w:rFonts w:ascii="Arial" w:hAnsi="Arial" w:cs="Arial"/>
                <w:b/>
                <w:bCs/>
                <w:sz w:val="22"/>
                <w:szCs w:val="22"/>
              </w:rPr>
              <w:t>Core data categories</w:t>
            </w:r>
          </w:p>
        </w:tc>
        <w:tc>
          <w:tcPr>
            <w:tcW w:w="2500" w:type="pct"/>
            <w:vAlign w:val="center"/>
          </w:tcPr>
          <w:p w14:paraId="3ADD6219" w14:textId="77777777" w:rsidR="00192720" w:rsidRPr="00CD78A7" w:rsidRDefault="00192720" w:rsidP="00CD78A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bCs/>
                <w:sz w:val="22"/>
                <w:szCs w:val="22"/>
              </w:rPr>
            </w:pPr>
            <w:r w:rsidRPr="00CD78A7">
              <w:rPr>
                <w:rFonts w:ascii="Arial" w:hAnsi="Arial" w:cs="Arial"/>
                <w:b/>
                <w:bCs/>
                <w:sz w:val="22"/>
                <w:szCs w:val="22"/>
              </w:rPr>
              <w:t>Examples</w:t>
            </w:r>
          </w:p>
        </w:tc>
      </w:tr>
      <w:tr w:rsidR="00192720" w:rsidRPr="00107E02" w14:paraId="4C17297E" w14:textId="77777777" w:rsidTr="00CD78A7">
        <w:tc>
          <w:tcPr>
            <w:cnfStyle w:val="001000000000" w:firstRow="0" w:lastRow="0" w:firstColumn="1" w:lastColumn="0" w:oddVBand="0" w:evenVBand="0" w:oddHBand="0" w:evenHBand="0" w:firstRowFirstColumn="0" w:firstRowLastColumn="0" w:lastRowFirstColumn="0" w:lastRowLastColumn="0"/>
            <w:tcW w:w="2500" w:type="pct"/>
          </w:tcPr>
          <w:p w14:paraId="2AC2FE23" w14:textId="77777777" w:rsidR="00192720" w:rsidRPr="00CD78A7" w:rsidRDefault="00192720" w:rsidP="00CD78A7">
            <w:pPr>
              <w:rPr>
                <w:szCs w:val="22"/>
              </w:rPr>
            </w:pPr>
            <w:r w:rsidRPr="00CD78A7">
              <w:rPr>
                <w:szCs w:val="22"/>
              </w:rPr>
              <w:t>Patient demographic data</w:t>
            </w:r>
          </w:p>
        </w:tc>
        <w:tc>
          <w:tcPr>
            <w:tcW w:w="2500" w:type="pct"/>
          </w:tcPr>
          <w:p w14:paraId="159C4B3A"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Family name</w:t>
            </w:r>
          </w:p>
          <w:p w14:paraId="27FEA0A0"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Given name(s)</w:t>
            </w:r>
          </w:p>
          <w:p w14:paraId="6E64E893"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Date of birth</w:t>
            </w:r>
          </w:p>
          <w:p w14:paraId="303B3010"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 xml:space="preserve">Gender Identity (however, gender identity will not come from the HL7 message directly) </w:t>
            </w:r>
          </w:p>
          <w:p w14:paraId="69AF956D" w14:textId="27A1375A"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 xml:space="preserve">Personal Identifiers </w:t>
            </w:r>
            <w:r w:rsidR="00043C37">
              <w:rPr>
                <w:szCs w:val="22"/>
              </w:rPr>
              <w:t xml:space="preserve">such as </w:t>
            </w:r>
            <w:r w:rsidRPr="00CD78A7">
              <w:rPr>
                <w:szCs w:val="22"/>
              </w:rPr>
              <w:t>Medicare identifier, Department of Veteran Affairs (DVA) identifier, state and territory identifier, Registry identifier or Individual Health Identifier (IHI)</w:t>
            </w:r>
          </w:p>
          <w:p w14:paraId="1004589B"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Sex</w:t>
            </w:r>
          </w:p>
          <w:p w14:paraId="11C7FC44"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Age</w:t>
            </w:r>
          </w:p>
          <w:p w14:paraId="40257AE5"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Country of birth</w:t>
            </w:r>
          </w:p>
          <w:p w14:paraId="78E873E3" w14:textId="77777777" w:rsidR="00192720" w:rsidRPr="00CD78A7"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Indigenous status</w:t>
            </w:r>
          </w:p>
          <w:p w14:paraId="08B2BD5C" w14:textId="77777777" w:rsidR="00192720" w:rsidRPr="00107E02" w:rsidRDefault="00192720">
            <w:pPr>
              <w:pStyle w:val="ListParagraph"/>
              <w:numPr>
                <w:ilvl w:val="0"/>
                <w:numId w:val="56"/>
              </w:numPr>
              <w:cnfStyle w:val="000000000000" w:firstRow="0" w:lastRow="0" w:firstColumn="0" w:lastColumn="0" w:oddVBand="0" w:evenVBand="0" w:oddHBand="0" w:evenHBand="0" w:firstRowFirstColumn="0" w:firstRowLastColumn="0" w:lastRowFirstColumn="0" w:lastRowLastColumn="0"/>
            </w:pPr>
            <w:r w:rsidRPr="00CD78A7">
              <w:rPr>
                <w:szCs w:val="22"/>
              </w:rPr>
              <w:t>Residential postcode and locality</w:t>
            </w:r>
          </w:p>
        </w:tc>
      </w:tr>
      <w:tr w:rsidR="00192720" w:rsidRPr="00107E02" w14:paraId="1878AF96" w14:textId="77777777" w:rsidTr="00CD78A7">
        <w:tc>
          <w:tcPr>
            <w:cnfStyle w:val="001000000000" w:firstRow="0" w:lastRow="0" w:firstColumn="1" w:lastColumn="0" w:oddVBand="0" w:evenVBand="0" w:oddHBand="0" w:evenHBand="0" w:firstRowFirstColumn="0" w:firstRowLastColumn="0" w:lastRowFirstColumn="0" w:lastRowLastColumn="0"/>
            <w:tcW w:w="2500" w:type="pct"/>
          </w:tcPr>
          <w:p w14:paraId="2F9FB405" w14:textId="77777777" w:rsidR="00192720" w:rsidRPr="00CD78A7" w:rsidRDefault="00192720" w:rsidP="00CD78A7">
            <w:pPr>
              <w:rPr>
                <w:bCs/>
                <w:szCs w:val="22"/>
              </w:rPr>
            </w:pPr>
            <w:r w:rsidRPr="00CD78A7">
              <w:rPr>
                <w:bCs/>
                <w:szCs w:val="22"/>
              </w:rPr>
              <w:t>Healthcare event</w:t>
            </w:r>
          </w:p>
        </w:tc>
        <w:tc>
          <w:tcPr>
            <w:tcW w:w="2500" w:type="pct"/>
          </w:tcPr>
          <w:p w14:paraId="1CC9F737" w14:textId="77777777" w:rsidR="00192720" w:rsidRPr="00CD78A7" w:rsidRDefault="00192720">
            <w:pPr>
              <w:pStyle w:val="ListParagraph"/>
              <w:numPr>
                <w:ilvl w:val="0"/>
                <w:numId w:val="57"/>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Date of event</w:t>
            </w:r>
          </w:p>
          <w:p w14:paraId="0B1DB2D4" w14:textId="77777777" w:rsidR="00192720" w:rsidRPr="00CD78A7" w:rsidRDefault="00192720">
            <w:pPr>
              <w:pStyle w:val="ListParagraph"/>
              <w:numPr>
                <w:ilvl w:val="0"/>
                <w:numId w:val="57"/>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Any relevant condition-specific data</w:t>
            </w:r>
          </w:p>
          <w:p w14:paraId="0D622B30" w14:textId="77777777" w:rsidR="00192720" w:rsidRPr="00CD78A7" w:rsidRDefault="00192720">
            <w:pPr>
              <w:pStyle w:val="ListParagraph"/>
              <w:numPr>
                <w:ilvl w:val="0"/>
                <w:numId w:val="57"/>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Participating organisation, institution or facility name</w:t>
            </w:r>
          </w:p>
          <w:p w14:paraId="0A1F7E72" w14:textId="382F7F54" w:rsidR="00192720" w:rsidRPr="00CD78A7" w:rsidRDefault="00192720">
            <w:pPr>
              <w:pStyle w:val="ListParagraph"/>
              <w:numPr>
                <w:ilvl w:val="0"/>
                <w:numId w:val="57"/>
              </w:numPr>
              <w:cnfStyle w:val="000000000000" w:firstRow="0" w:lastRow="0" w:firstColumn="0" w:lastColumn="0" w:oddVBand="0" w:evenVBand="0" w:oddHBand="0" w:evenHBand="0" w:firstRowFirstColumn="0" w:firstRowLastColumn="0" w:lastRowFirstColumn="0" w:lastRowLastColumn="0"/>
              <w:rPr>
                <w:szCs w:val="22"/>
              </w:rPr>
            </w:pPr>
            <w:r w:rsidRPr="00CD78A7">
              <w:rPr>
                <w:szCs w:val="22"/>
              </w:rPr>
              <w:t>Organisation or facility identifiers such as Health Provider Identifier – Organisation (HPI-O)</w:t>
            </w:r>
          </w:p>
          <w:p w14:paraId="7542A31E" w14:textId="77777777" w:rsidR="00192720" w:rsidRPr="00107E02" w:rsidRDefault="00192720">
            <w:pPr>
              <w:pStyle w:val="ListParagraph"/>
              <w:numPr>
                <w:ilvl w:val="0"/>
                <w:numId w:val="57"/>
              </w:numPr>
              <w:cnfStyle w:val="000000000000" w:firstRow="0" w:lastRow="0" w:firstColumn="0" w:lastColumn="0" w:oddVBand="0" w:evenVBand="0" w:oddHBand="0" w:evenHBand="0" w:firstRowFirstColumn="0" w:firstRowLastColumn="0" w:lastRowFirstColumn="0" w:lastRowLastColumn="0"/>
            </w:pPr>
            <w:r w:rsidRPr="00CD78A7">
              <w:rPr>
                <w:szCs w:val="22"/>
              </w:rPr>
              <w:t>Healthcare provider identifier (HPI-I)</w:t>
            </w:r>
          </w:p>
        </w:tc>
      </w:tr>
    </w:tbl>
    <w:p w14:paraId="68F4C05E" w14:textId="77777777" w:rsidR="00192720" w:rsidRPr="009A6C5C" w:rsidRDefault="00192720" w:rsidP="00192720">
      <w:pPr>
        <w:pStyle w:val="BodyText"/>
      </w:pPr>
    </w:p>
    <w:p w14:paraId="1084BCCE" w14:textId="33ECF6A4" w:rsidR="00192720" w:rsidRDefault="00192720" w:rsidP="00CD78A7">
      <w:r w:rsidRPr="009A6C5C">
        <w:t>A CQR will also collect data across the following categories: disease or condition data, comorbidities, intervention data and outcome data</w:t>
      </w:r>
      <w:r>
        <w:t xml:space="preserve">. </w:t>
      </w:r>
      <w:r w:rsidRPr="009A6C5C">
        <w:t>This data will represent the majority of the data that a CQR collects, but there will be a high degree of variability between the clinical details collected by individual CQRs</w:t>
      </w:r>
      <w:r>
        <w:t xml:space="preserve">. The definition of data to be captured related to the clinical condition shall be informed by best practice, such as the </w:t>
      </w:r>
      <w:r w:rsidRPr="00D60D69">
        <w:t xml:space="preserve">indicators identified within </w:t>
      </w:r>
      <w:r w:rsidRPr="00A75F56">
        <w:t>the Clinical Care Standards developed and published by the Australian Commission on Safety and Quality in Health Care.</w:t>
      </w:r>
      <w:r w:rsidR="00CD78A7" w:rsidRPr="00CD78A7">
        <w:rPr>
          <w:vertAlign w:val="superscript"/>
        </w:rPr>
        <w:t>4</w:t>
      </w:r>
      <w:r w:rsidR="00CD78A7" w:rsidRPr="009A6C5C">
        <w:t xml:space="preserve"> </w:t>
      </w:r>
      <w:r w:rsidRPr="009A6C5C">
        <w:t xml:space="preserve">As such, the definitions of the data within these categories </w:t>
      </w:r>
      <w:r>
        <w:t>may</w:t>
      </w:r>
      <w:r w:rsidRPr="009A6C5C">
        <w:t xml:space="preserve"> not be consistent across multiple CQRs</w:t>
      </w:r>
      <w:r>
        <w:t xml:space="preserve"> as they may vary by condition. </w:t>
      </w:r>
      <w:r w:rsidRPr="009A6C5C">
        <w:t xml:space="preserve">Data in these categories will be referred to as </w:t>
      </w:r>
      <w:r>
        <w:t>condition</w:t>
      </w:r>
      <w:r w:rsidRPr="009A6C5C">
        <w:t>-specific data.</w:t>
      </w:r>
    </w:p>
    <w:p w14:paraId="42A6D460" w14:textId="77777777" w:rsidR="00B46FB1" w:rsidRDefault="00B46FB1" w:rsidP="00CD78A7"/>
    <w:p w14:paraId="438C3C34" w14:textId="77777777" w:rsidR="00CD78A7" w:rsidRPr="009A6C5C" w:rsidRDefault="00CD78A7" w:rsidP="00192720">
      <w:pPr>
        <w:pStyle w:val="BodyText"/>
      </w:pPr>
    </w:p>
    <w:tbl>
      <w:tblPr>
        <w:tblStyle w:val="SurveyQuestions"/>
        <w:tblW w:w="5000" w:type="pct"/>
        <w:tblLook w:val="04A0" w:firstRow="1" w:lastRow="0" w:firstColumn="1" w:lastColumn="0" w:noHBand="0" w:noVBand="1"/>
      </w:tblPr>
      <w:tblGrid>
        <w:gridCol w:w="4814"/>
        <w:gridCol w:w="4815"/>
      </w:tblGrid>
      <w:tr w:rsidR="00192720" w:rsidRPr="00107E02" w14:paraId="6FC2E636" w14:textId="77777777" w:rsidTr="00E31524">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F4BD877" w14:textId="77777777" w:rsidR="00192720" w:rsidRPr="00CD78A7" w:rsidRDefault="00192720" w:rsidP="00E31524">
            <w:pPr>
              <w:pStyle w:val="TableHeading"/>
              <w:rPr>
                <w:rFonts w:ascii="Arial" w:hAnsi="Arial" w:cs="Arial"/>
                <w:b/>
                <w:bCs/>
                <w:sz w:val="22"/>
                <w:szCs w:val="22"/>
              </w:rPr>
            </w:pPr>
            <w:r w:rsidRPr="00CD78A7">
              <w:rPr>
                <w:rFonts w:ascii="Arial" w:hAnsi="Arial" w:cs="Arial"/>
                <w:b/>
                <w:bCs/>
                <w:sz w:val="22"/>
                <w:szCs w:val="22"/>
              </w:rPr>
              <w:lastRenderedPageBreak/>
              <w:t>Condition data categories</w:t>
            </w:r>
          </w:p>
        </w:tc>
        <w:tc>
          <w:tcPr>
            <w:tcW w:w="2500" w:type="pct"/>
            <w:vAlign w:val="center"/>
          </w:tcPr>
          <w:p w14:paraId="2BBC3ED3" w14:textId="77777777" w:rsidR="00192720" w:rsidRPr="00CD78A7" w:rsidRDefault="00192720" w:rsidP="00E31524">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bCs/>
                <w:sz w:val="22"/>
                <w:szCs w:val="22"/>
              </w:rPr>
            </w:pPr>
            <w:r w:rsidRPr="00CD78A7">
              <w:rPr>
                <w:rFonts w:ascii="Arial" w:hAnsi="Arial" w:cs="Arial"/>
                <w:b/>
                <w:bCs/>
                <w:sz w:val="22"/>
                <w:szCs w:val="22"/>
              </w:rPr>
              <w:t>Examples</w:t>
            </w:r>
          </w:p>
        </w:tc>
      </w:tr>
      <w:tr w:rsidR="00192720" w:rsidRPr="00107E02" w14:paraId="5DD71081" w14:textId="77777777" w:rsidTr="00E31524">
        <w:tc>
          <w:tcPr>
            <w:cnfStyle w:val="001000000000" w:firstRow="0" w:lastRow="0" w:firstColumn="1" w:lastColumn="0" w:oddVBand="0" w:evenVBand="0" w:oddHBand="0" w:evenHBand="0" w:firstRowFirstColumn="0" w:firstRowLastColumn="0" w:lastRowFirstColumn="0" w:lastRowLastColumn="0"/>
            <w:tcW w:w="2500" w:type="pct"/>
          </w:tcPr>
          <w:p w14:paraId="2306A359" w14:textId="77777777" w:rsidR="00192720" w:rsidRPr="00CD78A7" w:rsidRDefault="00192720" w:rsidP="00F07AF8">
            <w:pPr>
              <w:pStyle w:val="TableText"/>
              <w:rPr>
                <w:rFonts w:ascii="Arial" w:hAnsi="Arial" w:cs="Arial"/>
                <w:sz w:val="22"/>
                <w:szCs w:val="22"/>
              </w:rPr>
            </w:pPr>
            <w:r w:rsidRPr="00CD78A7">
              <w:rPr>
                <w:rFonts w:ascii="Arial" w:hAnsi="Arial" w:cs="Arial"/>
                <w:sz w:val="22"/>
                <w:szCs w:val="22"/>
              </w:rPr>
              <w:t>Disease or condition data</w:t>
            </w:r>
          </w:p>
        </w:tc>
        <w:tc>
          <w:tcPr>
            <w:tcW w:w="2500" w:type="pct"/>
          </w:tcPr>
          <w:p w14:paraId="50B55F3A" w14:textId="77777777" w:rsidR="00192720" w:rsidRPr="00107E02" w:rsidRDefault="00192720">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107E02">
              <w:t xml:space="preserve">Principal diagnosis </w:t>
            </w:r>
          </w:p>
          <w:p w14:paraId="5913225D" w14:textId="77777777" w:rsidR="00192720" w:rsidRPr="00107E02" w:rsidRDefault="00192720">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107E02">
              <w:t>Results of key diagnostic tests</w:t>
            </w:r>
          </w:p>
          <w:p w14:paraId="4E1A3203" w14:textId="77777777" w:rsidR="00192720" w:rsidRPr="00107E02" w:rsidRDefault="00192720">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107E02">
              <w:t>Severity</w:t>
            </w:r>
          </w:p>
          <w:p w14:paraId="5DFD69F7" w14:textId="77777777" w:rsidR="00192720" w:rsidRPr="00107E02" w:rsidRDefault="00192720">
            <w:pPr>
              <w:pStyle w:val="ListParagraph"/>
              <w:numPr>
                <w:ilvl w:val="0"/>
                <w:numId w:val="58"/>
              </w:numPr>
              <w:cnfStyle w:val="000000000000" w:firstRow="0" w:lastRow="0" w:firstColumn="0" w:lastColumn="0" w:oddVBand="0" w:evenVBand="0" w:oddHBand="0" w:evenHBand="0" w:firstRowFirstColumn="0" w:firstRowLastColumn="0" w:lastRowFirstColumn="0" w:lastRowLastColumn="0"/>
            </w:pPr>
            <w:r w:rsidRPr="00107E02">
              <w:t>Postcode or locality of incident</w:t>
            </w:r>
          </w:p>
        </w:tc>
      </w:tr>
      <w:tr w:rsidR="00192720" w:rsidRPr="00107E02" w14:paraId="0ED52AC5" w14:textId="77777777" w:rsidTr="00E31524">
        <w:tc>
          <w:tcPr>
            <w:cnfStyle w:val="001000000000" w:firstRow="0" w:lastRow="0" w:firstColumn="1" w:lastColumn="0" w:oddVBand="0" w:evenVBand="0" w:oddHBand="0" w:evenHBand="0" w:firstRowFirstColumn="0" w:firstRowLastColumn="0" w:lastRowFirstColumn="0" w:lastRowLastColumn="0"/>
            <w:tcW w:w="2500" w:type="pct"/>
          </w:tcPr>
          <w:p w14:paraId="1EA114A9" w14:textId="77777777" w:rsidR="00192720" w:rsidRPr="00CD78A7" w:rsidRDefault="00192720" w:rsidP="00F07AF8">
            <w:pPr>
              <w:pStyle w:val="TableText"/>
              <w:rPr>
                <w:rFonts w:ascii="Arial" w:hAnsi="Arial" w:cs="Arial"/>
                <w:sz w:val="22"/>
                <w:szCs w:val="22"/>
              </w:rPr>
            </w:pPr>
            <w:r w:rsidRPr="00CD78A7">
              <w:rPr>
                <w:rFonts w:ascii="Arial" w:hAnsi="Arial" w:cs="Arial"/>
                <w:sz w:val="22"/>
                <w:szCs w:val="22"/>
              </w:rPr>
              <w:t>Risk factors and comorbidities</w:t>
            </w:r>
          </w:p>
        </w:tc>
        <w:tc>
          <w:tcPr>
            <w:tcW w:w="2500" w:type="pct"/>
          </w:tcPr>
          <w:p w14:paraId="24A24B2C" w14:textId="77777777" w:rsidR="00192720" w:rsidRPr="00107E02" w:rsidRDefault="00192720">
            <w:pPr>
              <w:pStyle w:val="ListParagraph"/>
              <w:numPr>
                <w:ilvl w:val="0"/>
                <w:numId w:val="59"/>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Diabetes</w:t>
            </w:r>
          </w:p>
          <w:p w14:paraId="012A9E2C" w14:textId="77777777" w:rsidR="00192720" w:rsidRPr="00107E02" w:rsidRDefault="00192720">
            <w:pPr>
              <w:pStyle w:val="ListParagraph"/>
              <w:numPr>
                <w:ilvl w:val="0"/>
                <w:numId w:val="59"/>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Hypertension</w:t>
            </w:r>
          </w:p>
          <w:p w14:paraId="5B02A086" w14:textId="77777777" w:rsidR="00192720" w:rsidRPr="00107E02" w:rsidRDefault="00192720">
            <w:pPr>
              <w:pStyle w:val="ListParagraph"/>
              <w:numPr>
                <w:ilvl w:val="0"/>
                <w:numId w:val="59"/>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Previous history of cancer</w:t>
            </w:r>
          </w:p>
        </w:tc>
      </w:tr>
      <w:tr w:rsidR="00192720" w:rsidRPr="00107E02" w14:paraId="48337A26" w14:textId="77777777" w:rsidTr="00E31524">
        <w:tc>
          <w:tcPr>
            <w:cnfStyle w:val="001000000000" w:firstRow="0" w:lastRow="0" w:firstColumn="1" w:lastColumn="0" w:oddVBand="0" w:evenVBand="0" w:oddHBand="0" w:evenHBand="0" w:firstRowFirstColumn="0" w:firstRowLastColumn="0" w:lastRowFirstColumn="0" w:lastRowLastColumn="0"/>
            <w:tcW w:w="2500" w:type="pct"/>
          </w:tcPr>
          <w:p w14:paraId="22D690B3" w14:textId="77777777" w:rsidR="00192720" w:rsidRPr="00CD78A7" w:rsidRDefault="00192720" w:rsidP="00F07AF8">
            <w:pPr>
              <w:pStyle w:val="TableText"/>
              <w:rPr>
                <w:rFonts w:ascii="Arial" w:hAnsi="Arial" w:cs="Arial"/>
                <w:sz w:val="22"/>
                <w:szCs w:val="22"/>
              </w:rPr>
            </w:pPr>
            <w:r w:rsidRPr="00CD78A7">
              <w:rPr>
                <w:rFonts w:ascii="Arial" w:hAnsi="Arial" w:cs="Arial"/>
                <w:sz w:val="22"/>
                <w:szCs w:val="22"/>
              </w:rPr>
              <w:t>Intervention</w:t>
            </w:r>
          </w:p>
        </w:tc>
        <w:tc>
          <w:tcPr>
            <w:tcW w:w="2500" w:type="pct"/>
          </w:tcPr>
          <w:p w14:paraId="1C79E14C" w14:textId="6065F079" w:rsidR="00192720" w:rsidRPr="00107E02" w:rsidRDefault="00192720">
            <w:pPr>
              <w:pStyle w:val="ListParagraph"/>
              <w:numPr>
                <w:ilvl w:val="0"/>
                <w:numId w:val="60"/>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Principal treatments (</w:t>
            </w:r>
            <w:r w:rsidR="00CE0F5B">
              <w:rPr>
                <w:rFonts w:ascii="Arial" w:hAnsi="Arial" w:cs="Arial"/>
                <w:szCs w:val="22"/>
              </w:rPr>
              <w:t>e.g.</w:t>
            </w:r>
            <w:r w:rsidR="00CE0F5B" w:rsidRPr="00107E02">
              <w:rPr>
                <w:rFonts w:ascii="Arial" w:hAnsi="Arial" w:cs="Arial"/>
                <w:szCs w:val="22"/>
              </w:rPr>
              <w:t xml:space="preserve"> beta</w:t>
            </w:r>
            <w:r w:rsidRPr="00107E02">
              <w:rPr>
                <w:rFonts w:ascii="Arial" w:hAnsi="Arial" w:cs="Arial"/>
                <w:szCs w:val="22"/>
              </w:rPr>
              <w:t>-blockers)</w:t>
            </w:r>
          </w:p>
          <w:p w14:paraId="0AC4D1EA" w14:textId="77777777" w:rsidR="00192720" w:rsidRPr="00107E02" w:rsidRDefault="00192720">
            <w:pPr>
              <w:pStyle w:val="ListParagraph"/>
              <w:numPr>
                <w:ilvl w:val="0"/>
                <w:numId w:val="60"/>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Pr>
                <w:rFonts w:ascii="Arial" w:hAnsi="Arial" w:cs="Arial"/>
                <w:szCs w:val="22"/>
              </w:rPr>
              <w:t>Intensive care unit (</w:t>
            </w:r>
            <w:r w:rsidRPr="00107E02">
              <w:rPr>
                <w:rFonts w:ascii="Arial" w:hAnsi="Arial" w:cs="Arial"/>
                <w:szCs w:val="22"/>
              </w:rPr>
              <w:t>ICU</w:t>
            </w:r>
            <w:r>
              <w:rPr>
                <w:rFonts w:ascii="Arial" w:hAnsi="Arial" w:cs="Arial"/>
                <w:szCs w:val="22"/>
              </w:rPr>
              <w:t>)</w:t>
            </w:r>
            <w:r w:rsidRPr="00107E02">
              <w:rPr>
                <w:rFonts w:ascii="Arial" w:hAnsi="Arial" w:cs="Arial"/>
                <w:szCs w:val="22"/>
              </w:rPr>
              <w:t xml:space="preserve"> admission</w:t>
            </w:r>
          </w:p>
          <w:p w14:paraId="47635151" w14:textId="43AFA4D2" w:rsidR="00192720" w:rsidRPr="00CD78A7" w:rsidRDefault="00192720">
            <w:pPr>
              <w:pStyle w:val="ListParagraph"/>
              <w:numPr>
                <w:ilvl w:val="0"/>
                <w:numId w:val="60"/>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 xml:space="preserve">Elements of clinical care provided </w:t>
            </w:r>
          </w:p>
        </w:tc>
      </w:tr>
      <w:tr w:rsidR="00192720" w:rsidRPr="00107E02" w14:paraId="598EEC0D" w14:textId="77777777" w:rsidTr="00E31524">
        <w:tc>
          <w:tcPr>
            <w:cnfStyle w:val="001000000000" w:firstRow="0" w:lastRow="0" w:firstColumn="1" w:lastColumn="0" w:oddVBand="0" w:evenVBand="0" w:oddHBand="0" w:evenHBand="0" w:firstRowFirstColumn="0" w:firstRowLastColumn="0" w:lastRowFirstColumn="0" w:lastRowLastColumn="0"/>
            <w:tcW w:w="2500" w:type="pct"/>
          </w:tcPr>
          <w:p w14:paraId="79E1E8F4" w14:textId="77777777" w:rsidR="00192720" w:rsidRPr="00CD78A7" w:rsidRDefault="00192720" w:rsidP="00F07AF8">
            <w:pPr>
              <w:pStyle w:val="TableText"/>
              <w:rPr>
                <w:rFonts w:ascii="Arial" w:hAnsi="Arial" w:cs="Arial"/>
                <w:sz w:val="22"/>
                <w:szCs w:val="22"/>
              </w:rPr>
            </w:pPr>
            <w:r w:rsidRPr="00CD78A7">
              <w:rPr>
                <w:rFonts w:ascii="Arial" w:hAnsi="Arial" w:cs="Arial"/>
                <w:sz w:val="22"/>
                <w:szCs w:val="22"/>
              </w:rPr>
              <w:t>Outcomes</w:t>
            </w:r>
          </w:p>
        </w:tc>
        <w:tc>
          <w:tcPr>
            <w:tcW w:w="2500" w:type="pct"/>
          </w:tcPr>
          <w:p w14:paraId="6AB2E115" w14:textId="77777777" w:rsidR="00192720" w:rsidRPr="00107E02" w:rsidRDefault="00192720">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Survival time</w:t>
            </w:r>
          </w:p>
          <w:p w14:paraId="6B71D9FD" w14:textId="77777777" w:rsidR="00192720" w:rsidRPr="00107E02" w:rsidRDefault="00192720">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Length of stay in hospital</w:t>
            </w:r>
          </w:p>
          <w:p w14:paraId="09C4A651" w14:textId="77777777" w:rsidR="00192720" w:rsidRPr="00107E02" w:rsidRDefault="00192720">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Time from initial procedure to first revision procedure</w:t>
            </w:r>
          </w:p>
          <w:p w14:paraId="582D1803" w14:textId="77777777" w:rsidR="00192720" w:rsidRPr="00107E02" w:rsidRDefault="00192720">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Re-admission</w:t>
            </w:r>
          </w:p>
          <w:p w14:paraId="54FF19D5" w14:textId="77777777" w:rsidR="00192720" w:rsidRPr="00107E02" w:rsidRDefault="00192720">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Patient reported outcome measures</w:t>
            </w:r>
          </w:p>
        </w:tc>
      </w:tr>
      <w:tr w:rsidR="00192720" w:rsidRPr="00107E02" w14:paraId="0449383E" w14:textId="77777777" w:rsidTr="00E31524">
        <w:tc>
          <w:tcPr>
            <w:cnfStyle w:val="001000000000" w:firstRow="0" w:lastRow="0" w:firstColumn="1" w:lastColumn="0" w:oddVBand="0" w:evenVBand="0" w:oddHBand="0" w:evenHBand="0" w:firstRowFirstColumn="0" w:firstRowLastColumn="0" w:lastRowFirstColumn="0" w:lastRowLastColumn="0"/>
            <w:tcW w:w="2500" w:type="pct"/>
          </w:tcPr>
          <w:p w14:paraId="5B02893C" w14:textId="77777777" w:rsidR="00192720" w:rsidRPr="00CD78A7" w:rsidRDefault="00192720" w:rsidP="00F07AF8">
            <w:pPr>
              <w:pStyle w:val="TableText"/>
              <w:rPr>
                <w:rFonts w:ascii="Arial" w:hAnsi="Arial" w:cs="Arial"/>
                <w:sz w:val="22"/>
                <w:szCs w:val="22"/>
              </w:rPr>
            </w:pPr>
            <w:r w:rsidRPr="00CD78A7">
              <w:rPr>
                <w:rFonts w:ascii="Arial" w:hAnsi="Arial" w:cs="Arial"/>
                <w:sz w:val="22"/>
                <w:szCs w:val="22"/>
              </w:rPr>
              <w:t>Medications</w:t>
            </w:r>
          </w:p>
        </w:tc>
        <w:tc>
          <w:tcPr>
            <w:tcW w:w="2500" w:type="pct"/>
          </w:tcPr>
          <w:p w14:paraId="0B57ACD3" w14:textId="77777777" w:rsidR="00192720" w:rsidRPr="00107E02" w:rsidRDefault="00192720">
            <w:pPr>
              <w:pStyle w:val="ListParagraph"/>
              <w:numPr>
                <w:ilvl w:val="0"/>
                <w:numId w:val="62"/>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 xml:space="preserve">Current </w:t>
            </w:r>
            <w:r>
              <w:rPr>
                <w:rFonts w:ascii="Arial" w:hAnsi="Arial" w:cs="Arial"/>
                <w:szCs w:val="22"/>
              </w:rPr>
              <w:t>m</w:t>
            </w:r>
            <w:r w:rsidRPr="00107E02">
              <w:rPr>
                <w:rFonts w:ascii="Arial" w:hAnsi="Arial" w:cs="Arial"/>
                <w:szCs w:val="22"/>
              </w:rPr>
              <w:t>edications</w:t>
            </w:r>
          </w:p>
          <w:p w14:paraId="3D8DCEF4" w14:textId="77777777" w:rsidR="00192720" w:rsidRPr="00107E02" w:rsidRDefault="00192720">
            <w:pPr>
              <w:pStyle w:val="ListParagraph"/>
              <w:numPr>
                <w:ilvl w:val="0"/>
                <w:numId w:val="62"/>
              </w:numPr>
              <w:cnfStyle w:val="000000000000" w:firstRow="0" w:lastRow="0" w:firstColumn="0" w:lastColumn="0" w:oddVBand="0" w:evenVBand="0" w:oddHBand="0" w:evenHBand="0" w:firstRowFirstColumn="0" w:firstRowLastColumn="0" w:lastRowFirstColumn="0" w:lastRowLastColumn="0"/>
              <w:rPr>
                <w:rFonts w:ascii="Arial" w:hAnsi="Arial" w:cs="Arial"/>
                <w:szCs w:val="22"/>
              </w:rPr>
            </w:pPr>
            <w:r w:rsidRPr="00107E02">
              <w:rPr>
                <w:rFonts w:ascii="Arial" w:hAnsi="Arial" w:cs="Arial"/>
                <w:szCs w:val="22"/>
              </w:rPr>
              <w:t xml:space="preserve">Dispensed </w:t>
            </w:r>
            <w:r>
              <w:rPr>
                <w:rFonts w:ascii="Arial" w:hAnsi="Arial" w:cs="Arial"/>
                <w:szCs w:val="22"/>
              </w:rPr>
              <w:t>m</w:t>
            </w:r>
            <w:r w:rsidRPr="00107E02">
              <w:rPr>
                <w:rFonts w:ascii="Arial" w:hAnsi="Arial" w:cs="Arial"/>
                <w:szCs w:val="22"/>
              </w:rPr>
              <w:t>edications</w:t>
            </w:r>
          </w:p>
        </w:tc>
      </w:tr>
    </w:tbl>
    <w:p w14:paraId="07FF4E96" w14:textId="77777777" w:rsidR="00192720" w:rsidRPr="009A6C5C" w:rsidRDefault="00192720" w:rsidP="00192720">
      <w:pPr>
        <w:pStyle w:val="BodyText"/>
      </w:pPr>
    </w:p>
    <w:p w14:paraId="68767C79" w14:textId="77777777" w:rsidR="00192720" w:rsidRPr="009A6C5C" w:rsidRDefault="00192720" w:rsidP="00CD78A7">
      <w:r w:rsidRPr="009A6C5C">
        <w:t xml:space="preserve">The </w:t>
      </w:r>
      <w:r>
        <w:t>condition</w:t>
      </w:r>
      <w:r w:rsidRPr="009A6C5C">
        <w:t xml:space="preserve">-specific data will link to the core data via the health service event and </w:t>
      </w:r>
      <w:r>
        <w:t>f</w:t>
      </w:r>
      <w:r w:rsidRPr="009A6C5C">
        <w:t>ollow-up event</w:t>
      </w:r>
      <w:r>
        <w:t>. S</w:t>
      </w:r>
      <w:r w:rsidRPr="009A6C5C">
        <w:t>pecific disease and condition, comorbidities, intervention and outcome data will be collected by the CQR at one or more health service events and, in most cases, one or more follow-up events.</w:t>
      </w:r>
    </w:p>
    <w:p w14:paraId="24921FB3" w14:textId="77777777" w:rsidR="00192720" w:rsidRPr="009A6C5C" w:rsidRDefault="00192720" w:rsidP="00CD78A7">
      <w:r w:rsidRPr="009A6C5C">
        <w:t xml:space="preserve">Both the core and </w:t>
      </w:r>
      <w:r>
        <w:t>condition</w:t>
      </w:r>
      <w:r w:rsidRPr="009A6C5C">
        <w:t xml:space="preserve">-specific data </w:t>
      </w:r>
      <w:r>
        <w:t xml:space="preserve">elements </w:t>
      </w:r>
      <w:r w:rsidRPr="009A6C5C">
        <w:t xml:space="preserve">represented in the </w:t>
      </w:r>
      <w:r>
        <w:t>logical design</w:t>
      </w:r>
      <w:r w:rsidRPr="009A6C5C">
        <w:t xml:space="preserve"> diagram are concerned </w:t>
      </w:r>
      <w:r w:rsidRPr="009B7E83">
        <w:t>with how CQR data are stored once collected for a patient</w:t>
      </w:r>
      <w:r>
        <w:t xml:space="preserve">. </w:t>
      </w:r>
      <w:r w:rsidRPr="009A6C5C">
        <w:t>The means by which the data</w:t>
      </w:r>
      <w:r>
        <w:t xml:space="preserve"> are</w:t>
      </w:r>
      <w:r w:rsidRPr="009A6C5C">
        <w:t xml:space="preserve"> physically collected (e.g. paper forms, electronic data forms, direct feed from other systems) is not important when considering this information model.</w:t>
      </w:r>
    </w:p>
    <w:p w14:paraId="14D6E587" w14:textId="77777777" w:rsidR="00192720" w:rsidRDefault="00192720" w:rsidP="00CD78A7">
      <w:r w:rsidRPr="009A6C5C">
        <w:t xml:space="preserve">The </w:t>
      </w:r>
      <w:r>
        <w:t>condition</w:t>
      </w:r>
      <w:r w:rsidRPr="009A6C5C">
        <w:t>-specific analysis and reporting data categories represent physical structures that have been designed and optimised for the unique output requirements of a CQR</w:t>
      </w:r>
      <w:r>
        <w:t xml:space="preserve">. </w:t>
      </w:r>
      <w:r w:rsidRPr="009A6C5C">
        <w:t>A data transformation process will allow the CQR to determine clinical-focused outcomes, such as appropriateness of care and effectiveness of care</w:t>
      </w:r>
      <w:r>
        <w:t xml:space="preserve">. </w:t>
      </w:r>
      <w:r w:rsidRPr="009A6C5C">
        <w:t>The CQR will also generate business-focused outcomes, such as determining data quality.</w:t>
      </w:r>
    </w:p>
    <w:p w14:paraId="13303B2C" w14:textId="77777777" w:rsidR="00192720" w:rsidRPr="009A6C5C" w:rsidRDefault="00192720" w:rsidP="00192720">
      <w:pPr>
        <w:pStyle w:val="BodyText"/>
      </w:pPr>
    </w:p>
    <w:tbl>
      <w:tblPr>
        <w:tblStyle w:val="SurveyQuestions"/>
        <w:tblW w:w="5000" w:type="pct"/>
        <w:tblLook w:val="04A0" w:firstRow="1" w:lastRow="0" w:firstColumn="1" w:lastColumn="0" w:noHBand="0" w:noVBand="1"/>
      </w:tblPr>
      <w:tblGrid>
        <w:gridCol w:w="4814"/>
        <w:gridCol w:w="4815"/>
      </w:tblGrid>
      <w:tr w:rsidR="00192720" w:rsidRPr="00107E02" w14:paraId="465C5C05" w14:textId="77777777" w:rsidTr="00CD78A7">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4076" w:type="dxa"/>
            <w:vAlign w:val="center"/>
          </w:tcPr>
          <w:p w14:paraId="3C5AB344" w14:textId="77777777" w:rsidR="00192720" w:rsidRPr="00CD78A7" w:rsidRDefault="00192720" w:rsidP="00CD78A7">
            <w:pPr>
              <w:pStyle w:val="TableHeading"/>
              <w:rPr>
                <w:rFonts w:ascii="Arial" w:hAnsi="Arial" w:cs="Arial"/>
                <w:b/>
                <w:bCs/>
                <w:sz w:val="22"/>
                <w:szCs w:val="22"/>
              </w:rPr>
            </w:pPr>
            <w:r w:rsidRPr="00CD78A7">
              <w:rPr>
                <w:rFonts w:ascii="Arial" w:hAnsi="Arial" w:cs="Arial"/>
                <w:b/>
                <w:bCs/>
                <w:sz w:val="22"/>
                <w:szCs w:val="22"/>
              </w:rPr>
              <w:t>Conceptual data categories</w:t>
            </w:r>
          </w:p>
        </w:tc>
        <w:tc>
          <w:tcPr>
            <w:tcW w:w="4077" w:type="dxa"/>
            <w:vAlign w:val="center"/>
          </w:tcPr>
          <w:p w14:paraId="7E9C1EF3" w14:textId="77777777" w:rsidR="00192720" w:rsidRPr="00CD78A7" w:rsidRDefault="00192720" w:rsidP="00CD78A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bCs/>
                <w:sz w:val="22"/>
                <w:szCs w:val="22"/>
              </w:rPr>
            </w:pPr>
            <w:r w:rsidRPr="00CD78A7">
              <w:rPr>
                <w:rFonts w:ascii="Arial" w:hAnsi="Arial" w:cs="Arial"/>
                <w:b/>
                <w:bCs/>
                <w:sz w:val="22"/>
                <w:szCs w:val="22"/>
              </w:rPr>
              <w:t>Examples</w:t>
            </w:r>
          </w:p>
        </w:tc>
      </w:tr>
      <w:tr w:rsidR="00192720" w:rsidRPr="00107E02" w14:paraId="4EABE1D6" w14:textId="77777777" w:rsidTr="00CD78A7">
        <w:tc>
          <w:tcPr>
            <w:cnfStyle w:val="001000000000" w:firstRow="0" w:lastRow="0" w:firstColumn="1" w:lastColumn="0" w:oddVBand="0" w:evenVBand="0" w:oddHBand="0" w:evenHBand="0" w:firstRowFirstColumn="0" w:firstRowLastColumn="0" w:lastRowFirstColumn="0" w:lastRowLastColumn="0"/>
            <w:tcW w:w="4076" w:type="dxa"/>
          </w:tcPr>
          <w:p w14:paraId="6042FC83" w14:textId="77777777" w:rsidR="00192720" w:rsidRPr="00107E02" w:rsidRDefault="00192720" w:rsidP="00F07AF8">
            <w:pPr>
              <w:pStyle w:val="TableText"/>
              <w:rPr>
                <w:rFonts w:ascii="Arial" w:hAnsi="Arial" w:cs="Arial"/>
                <w:sz w:val="22"/>
                <w:szCs w:val="22"/>
              </w:rPr>
            </w:pPr>
            <w:r w:rsidRPr="00107E02">
              <w:rPr>
                <w:rFonts w:ascii="Arial" w:hAnsi="Arial" w:cs="Arial"/>
                <w:sz w:val="22"/>
                <w:szCs w:val="22"/>
              </w:rPr>
              <w:t>Appropriateness of care</w:t>
            </w:r>
          </w:p>
        </w:tc>
        <w:tc>
          <w:tcPr>
            <w:tcW w:w="4077" w:type="dxa"/>
          </w:tcPr>
          <w:p w14:paraId="04DE1F7C" w14:textId="77777777" w:rsidR="00192720" w:rsidRPr="00107E02" w:rsidRDefault="00192720">
            <w:pPr>
              <w:pStyle w:val="ListParagraph"/>
              <w:numPr>
                <w:ilvl w:val="0"/>
                <w:numId w:val="63"/>
              </w:numPr>
              <w:cnfStyle w:val="000000000000" w:firstRow="0" w:lastRow="0" w:firstColumn="0" w:lastColumn="0" w:oddVBand="0" w:evenVBand="0" w:oddHBand="0" w:evenHBand="0" w:firstRowFirstColumn="0" w:firstRowLastColumn="0" w:lastRowFirstColumn="0" w:lastRowLastColumn="0"/>
            </w:pPr>
            <w:r w:rsidRPr="00107E02">
              <w:t>Proportion of patients admitted to a specific type of unit</w:t>
            </w:r>
          </w:p>
          <w:p w14:paraId="586A8F1E" w14:textId="77777777" w:rsidR="00192720" w:rsidRPr="00107E02" w:rsidRDefault="00192720">
            <w:pPr>
              <w:pStyle w:val="ListParagraph"/>
              <w:numPr>
                <w:ilvl w:val="0"/>
                <w:numId w:val="63"/>
              </w:numPr>
              <w:cnfStyle w:val="000000000000" w:firstRow="0" w:lastRow="0" w:firstColumn="0" w:lastColumn="0" w:oddVBand="0" w:evenVBand="0" w:oddHBand="0" w:evenHBand="0" w:firstRowFirstColumn="0" w:firstRowLastColumn="0" w:lastRowFirstColumn="0" w:lastRowLastColumn="0"/>
            </w:pPr>
            <w:r w:rsidRPr="00107E02">
              <w:t>Proportion of patients who received a specific type of test</w:t>
            </w:r>
          </w:p>
          <w:p w14:paraId="0B015F26" w14:textId="77777777" w:rsidR="00192720" w:rsidRPr="00107E02" w:rsidRDefault="00192720">
            <w:pPr>
              <w:pStyle w:val="ListParagraph"/>
              <w:numPr>
                <w:ilvl w:val="0"/>
                <w:numId w:val="63"/>
              </w:numPr>
              <w:cnfStyle w:val="000000000000" w:firstRow="0" w:lastRow="0" w:firstColumn="0" w:lastColumn="0" w:oddVBand="0" w:evenVBand="0" w:oddHBand="0" w:evenHBand="0" w:firstRowFirstColumn="0" w:firstRowLastColumn="0" w:lastRowFirstColumn="0" w:lastRowLastColumn="0"/>
            </w:pPr>
            <w:r w:rsidRPr="00107E02">
              <w:t>Treatment at the acute phase</w:t>
            </w:r>
          </w:p>
        </w:tc>
      </w:tr>
      <w:tr w:rsidR="00192720" w:rsidRPr="00107E02" w14:paraId="38198FBF" w14:textId="77777777" w:rsidTr="00CD78A7">
        <w:tc>
          <w:tcPr>
            <w:cnfStyle w:val="001000000000" w:firstRow="0" w:lastRow="0" w:firstColumn="1" w:lastColumn="0" w:oddVBand="0" w:evenVBand="0" w:oddHBand="0" w:evenHBand="0" w:firstRowFirstColumn="0" w:firstRowLastColumn="0" w:lastRowFirstColumn="0" w:lastRowLastColumn="0"/>
            <w:tcW w:w="4076" w:type="dxa"/>
          </w:tcPr>
          <w:p w14:paraId="3303AEF4" w14:textId="77777777" w:rsidR="00192720" w:rsidRPr="00107E02" w:rsidRDefault="00192720" w:rsidP="00F07AF8">
            <w:pPr>
              <w:pStyle w:val="TableText"/>
              <w:rPr>
                <w:rFonts w:ascii="Arial" w:hAnsi="Arial" w:cs="Arial"/>
                <w:sz w:val="22"/>
                <w:szCs w:val="22"/>
              </w:rPr>
            </w:pPr>
            <w:r w:rsidRPr="00107E02">
              <w:rPr>
                <w:rFonts w:ascii="Arial" w:hAnsi="Arial" w:cs="Arial"/>
                <w:sz w:val="22"/>
                <w:szCs w:val="22"/>
              </w:rPr>
              <w:t>Effectiveness of care</w:t>
            </w:r>
          </w:p>
        </w:tc>
        <w:tc>
          <w:tcPr>
            <w:tcW w:w="4077" w:type="dxa"/>
          </w:tcPr>
          <w:p w14:paraId="2F5B82CF" w14:textId="77777777" w:rsidR="00192720" w:rsidRPr="00107E02" w:rsidRDefault="00192720">
            <w:pPr>
              <w:pStyle w:val="ListParagraph"/>
              <w:numPr>
                <w:ilvl w:val="0"/>
                <w:numId w:val="64"/>
              </w:numPr>
              <w:cnfStyle w:val="000000000000" w:firstRow="0" w:lastRow="0" w:firstColumn="0" w:lastColumn="0" w:oddVBand="0" w:evenVBand="0" w:oddHBand="0" w:evenHBand="0" w:firstRowFirstColumn="0" w:firstRowLastColumn="0" w:lastRowFirstColumn="0" w:lastRowLastColumn="0"/>
            </w:pPr>
            <w:r w:rsidRPr="00107E02">
              <w:t>Joint replacement revision</w:t>
            </w:r>
          </w:p>
          <w:p w14:paraId="64B61391" w14:textId="77777777" w:rsidR="00192720" w:rsidRPr="00107E02" w:rsidRDefault="00192720">
            <w:pPr>
              <w:pStyle w:val="ListParagraph"/>
              <w:numPr>
                <w:ilvl w:val="0"/>
                <w:numId w:val="64"/>
              </w:numPr>
              <w:cnfStyle w:val="000000000000" w:firstRow="0" w:lastRow="0" w:firstColumn="0" w:lastColumn="0" w:oddVBand="0" w:evenVBand="0" w:oddHBand="0" w:evenHBand="0" w:firstRowFirstColumn="0" w:firstRowLastColumn="0" w:lastRowFirstColumn="0" w:lastRowLastColumn="0"/>
            </w:pPr>
            <w:r w:rsidRPr="00107E02">
              <w:lastRenderedPageBreak/>
              <w:t>Complication rates</w:t>
            </w:r>
          </w:p>
        </w:tc>
      </w:tr>
      <w:tr w:rsidR="00192720" w:rsidRPr="00107E02" w14:paraId="4F745BED" w14:textId="77777777" w:rsidTr="00CD78A7">
        <w:tc>
          <w:tcPr>
            <w:cnfStyle w:val="001000000000" w:firstRow="0" w:lastRow="0" w:firstColumn="1" w:lastColumn="0" w:oddVBand="0" w:evenVBand="0" w:oddHBand="0" w:evenHBand="0" w:firstRowFirstColumn="0" w:firstRowLastColumn="0" w:lastRowFirstColumn="0" w:lastRowLastColumn="0"/>
            <w:tcW w:w="4076" w:type="dxa"/>
          </w:tcPr>
          <w:p w14:paraId="47AC65B5" w14:textId="77777777" w:rsidR="00192720" w:rsidRPr="00107E02" w:rsidRDefault="00192720" w:rsidP="00F07AF8">
            <w:pPr>
              <w:pStyle w:val="TableText"/>
              <w:rPr>
                <w:rFonts w:ascii="Arial" w:hAnsi="Arial" w:cs="Arial"/>
                <w:sz w:val="22"/>
                <w:szCs w:val="22"/>
              </w:rPr>
            </w:pPr>
            <w:r w:rsidRPr="00107E02">
              <w:rPr>
                <w:rFonts w:ascii="Arial" w:hAnsi="Arial" w:cs="Arial"/>
                <w:sz w:val="22"/>
                <w:szCs w:val="22"/>
              </w:rPr>
              <w:lastRenderedPageBreak/>
              <w:t>Data quality</w:t>
            </w:r>
          </w:p>
        </w:tc>
        <w:tc>
          <w:tcPr>
            <w:tcW w:w="4077" w:type="dxa"/>
          </w:tcPr>
          <w:p w14:paraId="3BC6A9FE" w14:textId="77777777" w:rsidR="00192720" w:rsidRPr="00107E02" w:rsidRDefault="00192720">
            <w:pPr>
              <w:pStyle w:val="ListParagraph"/>
              <w:numPr>
                <w:ilvl w:val="0"/>
                <w:numId w:val="65"/>
              </w:numPr>
              <w:cnfStyle w:val="000000000000" w:firstRow="0" w:lastRow="0" w:firstColumn="0" w:lastColumn="0" w:oddVBand="0" w:evenVBand="0" w:oddHBand="0" w:evenHBand="0" w:firstRowFirstColumn="0" w:firstRowLastColumn="0" w:lastRowFirstColumn="0" w:lastRowLastColumn="0"/>
            </w:pPr>
            <w:r w:rsidRPr="00107E02">
              <w:t>Determine completeness of data via comparison with external data sources (e.g. admitted patient data).</w:t>
            </w:r>
          </w:p>
        </w:tc>
      </w:tr>
    </w:tbl>
    <w:p w14:paraId="3DF76718" w14:textId="77777777" w:rsidR="00192720" w:rsidRPr="009A6C5C" w:rsidRDefault="00192720" w:rsidP="00192720">
      <w:pPr>
        <w:pStyle w:val="BodyText"/>
      </w:pPr>
    </w:p>
    <w:p w14:paraId="062201D8" w14:textId="61B43341" w:rsidR="00192720" w:rsidRPr="009A6C5C" w:rsidRDefault="00192720" w:rsidP="00CD78A7">
      <w:r w:rsidRPr="009A6C5C">
        <w:t xml:space="preserve">External to the CQR Information Model is a set of other data sources </w:t>
      </w:r>
      <w:r>
        <w:t>that</w:t>
      </w:r>
      <w:r w:rsidRPr="009A6C5C">
        <w:t xml:space="preserve"> may provide supplementary data and allow a CQR to perform data quality and data completeness analysis</w:t>
      </w:r>
      <w:r>
        <w:t xml:space="preserve">. </w:t>
      </w:r>
      <w:r w:rsidRPr="009A6C5C">
        <w:t>All interaction with other data sources will be performed with due regard to information security and confidentiality.</w:t>
      </w:r>
    </w:p>
    <w:p w14:paraId="61AD6C78" w14:textId="217AC35D" w:rsidR="00192720" w:rsidRPr="00710DCC" w:rsidRDefault="00CD78A7" w:rsidP="00192720">
      <w:pPr>
        <w:pStyle w:val="Heading2"/>
      </w:pPr>
      <w:bookmarkStart w:id="420" w:name="_Toc158583972"/>
      <w:bookmarkStart w:id="421" w:name="_Toc159324745"/>
      <w:bookmarkStart w:id="422" w:name="_Toc175550365"/>
      <w:r>
        <w:t>4.2</w:t>
      </w:r>
      <w:r>
        <w:tab/>
      </w:r>
      <w:r w:rsidR="00192720" w:rsidRPr="00710DCC">
        <w:t>Conceptual representation of the core data</w:t>
      </w:r>
      <w:bookmarkEnd w:id="420"/>
      <w:bookmarkEnd w:id="421"/>
      <w:bookmarkEnd w:id="422"/>
      <w:r w:rsidR="00192720" w:rsidRPr="00710DCC">
        <w:t xml:space="preserve"> </w:t>
      </w:r>
    </w:p>
    <w:p w14:paraId="55272FDA" w14:textId="0D167647" w:rsidR="00192720" w:rsidRPr="009A6C5C" w:rsidRDefault="00192720" w:rsidP="00CD78A7">
      <w:r>
        <w:t xml:space="preserve">The core data model (Figure 8) outlines the storage of and relationships between the basic patient, provider, organisation and service event information that is common to all CQRs. Where possible, the objects and data elements within the core data model </w:t>
      </w:r>
      <w:r w:rsidR="00944C1B">
        <w:t>should align with METEOR, as the Australian metadata standards for health information and data</w:t>
      </w:r>
      <w:r w:rsidR="006B3B45">
        <w:t>.</w:t>
      </w:r>
      <w:r w:rsidR="002A38F7" w:rsidRPr="2E4EEEA3">
        <w:rPr>
          <w:vertAlign w:val="superscript"/>
        </w:rPr>
        <w:t>5</w:t>
      </w:r>
    </w:p>
    <w:p w14:paraId="5B63AC7D" w14:textId="77777777" w:rsidR="00192720" w:rsidRDefault="00192720" w:rsidP="00CD78A7">
      <w:r w:rsidRPr="009A6C5C">
        <w:t xml:space="preserve">It is important that the core data model provides maximum flexibility so </w:t>
      </w:r>
      <w:r>
        <w:t>it</w:t>
      </w:r>
      <w:r w:rsidRPr="009A6C5C">
        <w:t xml:space="preserve"> is a suitable foundation for all CQRs, regardless of their specific data collection and reporting purposes</w:t>
      </w:r>
      <w:r>
        <w:t xml:space="preserve">. </w:t>
      </w:r>
    </w:p>
    <w:p w14:paraId="1EBB045A" w14:textId="77777777" w:rsidR="00C4757B" w:rsidRDefault="00C4757B" w:rsidP="00CD78A7"/>
    <w:p w14:paraId="26FC8ED8" w14:textId="2AE70E89" w:rsidR="00C4757B" w:rsidRPr="00CD4C03" w:rsidRDefault="00C4757B" w:rsidP="00C4757B">
      <w:r w:rsidRPr="00CD4C03">
        <w:rPr>
          <w:i/>
          <w:iCs/>
        </w:rPr>
        <w:t xml:space="preserve">Please see following page for </w:t>
      </w:r>
      <w:r>
        <w:rPr>
          <w:i/>
          <w:iCs/>
        </w:rPr>
        <w:t>Figure 8</w:t>
      </w:r>
      <w:r w:rsidRPr="00CD4C03">
        <w:rPr>
          <w:i/>
          <w:iCs/>
        </w:rPr>
        <w:t>.</w:t>
      </w:r>
    </w:p>
    <w:p w14:paraId="055B9F57" w14:textId="77777777" w:rsidR="00C4757B" w:rsidRPr="009A6C5C" w:rsidRDefault="00C4757B" w:rsidP="00CD78A7"/>
    <w:p w14:paraId="34E1799F" w14:textId="77777777" w:rsidR="00FB5FAD" w:rsidRDefault="00FB5FAD">
      <w:pPr>
        <w:spacing w:before="0" w:after="80"/>
        <w:rPr>
          <w:b/>
        </w:rPr>
      </w:pPr>
      <w:r>
        <w:br w:type="page"/>
      </w:r>
    </w:p>
    <w:p w14:paraId="5BBCA4EF" w14:textId="334338A9" w:rsidR="00CD78A7" w:rsidRDefault="00CD78A7" w:rsidP="00CD78A7">
      <w:pPr>
        <w:pStyle w:val="FigureTableTitle"/>
      </w:pPr>
      <w:r w:rsidRPr="00CD78A7">
        <w:lastRenderedPageBreak/>
        <w:t>Figure 8: The core data model</w:t>
      </w:r>
    </w:p>
    <w:p w14:paraId="2DB2C322" w14:textId="07CB9EFB" w:rsidR="00192720" w:rsidRDefault="00192720" w:rsidP="00CD78A7">
      <w:pPr>
        <w:pStyle w:val="FigureTableTitle"/>
      </w:pPr>
    </w:p>
    <w:p w14:paraId="48D802CF" w14:textId="3A910DDF" w:rsidR="00FB5FAD" w:rsidRPr="00CD78A7" w:rsidRDefault="001715E5" w:rsidP="001715E5">
      <w:pPr>
        <w:pStyle w:val="FigureTableTitle"/>
      </w:pPr>
      <w:r>
        <w:rPr>
          <w:noProof/>
        </w:rPr>
        <w:drawing>
          <wp:inline distT="0" distB="0" distL="0" distR="0" wp14:anchorId="69CE0185" wp14:editId="7D35F37C">
            <wp:extent cx="5840765" cy="7803379"/>
            <wp:effectExtent l="0" t="0" r="1270" b="0"/>
            <wp:docPr id="21475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5759" name="Picture 2"/>
                    <pic:cNvPicPr/>
                  </pic:nvPicPr>
                  <pic:blipFill>
                    <a:blip r:embed="rId36"/>
                    <a:srcRect t="52" b="52"/>
                    <a:stretch>
                      <a:fillRect/>
                    </a:stretch>
                  </pic:blipFill>
                  <pic:spPr bwMode="auto">
                    <a:xfrm>
                      <a:off x="0" y="0"/>
                      <a:ext cx="5840765" cy="7803379"/>
                    </a:xfrm>
                    <a:prstGeom prst="rect">
                      <a:avLst/>
                    </a:prstGeom>
                    <a:ln>
                      <a:noFill/>
                    </a:ln>
                    <a:extLst>
                      <a:ext uri="{53640926-AAD7-44D8-BBD7-CCE9431645EC}">
                        <a14:shadowObscured xmlns:a14="http://schemas.microsoft.com/office/drawing/2010/main"/>
                      </a:ext>
                    </a:extLst>
                  </pic:spPr>
                </pic:pic>
              </a:graphicData>
            </a:graphic>
          </wp:inline>
        </w:drawing>
      </w:r>
    </w:p>
    <w:p w14:paraId="5E63245E" w14:textId="77777777" w:rsidR="00CD78A7" w:rsidRDefault="00CD78A7" w:rsidP="00043C37">
      <w:bookmarkStart w:id="423" w:name="_Toc158583973"/>
      <w:bookmarkStart w:id="424" w:name="_Toc159324746"/>
    </w:p>
    <w:p w14:paraId="25D0E9DA" w14:textId="77777777" w:rsidR="00675990" w:rsidRDefault="00675990">
      <w:pPr>
        <w:spacing w:before="0" w:after="80"/>
        <w:rPr>
          <w:rFonts w:cs="Arial"/>
          <w:b/>
          <w:bCs/>
          <w:iCs/>
          <w:color w:val="005370" w:themeColor="text2"/>
          <w:kern w:val="28"/>
          <w:sz w:val="28"/>
          <w:szCs w:val="26"/>
        </w:rPr>
      </w:pPr>
      <w:r>
        <w:br w:type="page"/>
      </w:r>
    </w:p>
    <w:p w14:paraId="163DD527" w14:textId="0CFECB7B" w:rsidR="00192720" w:rsidRPr="00FA3BC7" w:rsidRDefault="00CD78A7" w:rsidP="00192720">
      <w:pPr>
        <w:pStyle w:val="Heading3"/>
      </w:pPr>
      <w:bookmarkStart w:id="425" w:name="_Toc175550366"/>
      <w:r>
        <w:lastRenderedPageBreak/>
        <w:t>4.2.1</w:t>
      </w:r>
      <w:r>
        <w:tab/>
      </w:r>
      <w:r w:rsidR="00192720" w:rsidRPr="00FA3BC7">
        <w:t>Person</w:t>
      </w:r>
      <w:bookmarkEnd w:id="423"/>
      <w:bookmarkEnd w:id="424"/>
      <w:bookmarkEnd w:id="425"/>
    </w:p>
    <w:p w14:paraId="5D2708F7" w14:textId="413A640A" w:rsidR="00192720" w:rsidRPr="00107E02" w:rsidRDefault="00192720" w:rsidP="00CD78A7">
      <w:pPr>
        <w:rPr>
          <w:rStyle w:val="BodyTextChar"/>
          <w:rFonts w:eastAsiaTheme="minorHAnsi" w:cs="Arial"/>
        </w:rPr>
      </w:pPr>
      <w:r w:rsidRPr="00107E02">
        <w:t xml:space="preserve">A </w:t>
      </w:r>
      <w:r w:rsidRPr="006B2659">
        <w:rPr>
          <w:b/>
          <w:bCs/>
        </w:rPr>
        <w:t>person</w:t>
      </w:r>
      <w:r w:rsidRPr="00107E02">
        <w:t xml:space="preserve"> record can have one or more </w:t>
      </w:r>
      <w:r w:rsidRPr="006B2659">
        <w:rPr>
          <w:b/>
          <w:bCs/>
        </w:rPr>
        <w:t>person identifiers</w:t>
      </w:r>
      <w:r w:rsidRPr="00107E02">
        <w:t xml:space="preserve">. </w:t>
      </w:r>
      <w:r w:rsidRPr="00107E02">
        <w:rPr>
          <w:rStyle w:val="BodyTextChar"/>
          <w:rFonts w:eastAsiaTheme="minorHAnsi" w:cs="Arial"/>
        </w:rPr>
        <w:t xml:space="preserve">Person </w:t>
      </w:r>
      <w:r>
        <w:rPr>
          <w:rStyle w:val="BodyTextChar"/>
          <w:rFonts w:eastAsiaTheme="minorHAnsi" w:cs="Arial"/>
        </w:rPr>
        <w:t>i</w:t>
      </w:r>
      <w:r w:rsidRPr="00107E02">
        <w:rPr>
          <w:rStyle w:val="BodyTextChar"/>
          <w:rFonts w:eastAsiaTheme="minorHAnsi" w:cs="Arial"/>
        </w:rPr>
        <w:t xml:space="preserve">dentifiers may be associated with a </w:t>
      </w:r>
      <w:r w:rsidRPr="006B2659">
        <w:rPr>
          <w:rStyle w:val="BodyTextChar"/>
          <w:rFonts w:eastAsiaTheme="minorHAnsi" w:cs="Arial"/>
          <w:b/>
          <w:bCs/>
        </w:rPr>
        <w:t>service provider organisation</w:t>
      </w:r>
      <w:r w:rsidRPr="00107E02">
        <w:rPr>
          <w:rStyle w:val="BodyTextChar"/>
          <w:rFonts w:eastAsiaTheme="minorHAnsi" w:cs="Arial"/>
        </w:rPr>
        <w:t xml:space="preserve"> (such as the person identifier within a Patient Administration System), a national or state authority (such as Medicare identifier, DVA identifier, </w:t>
      </w:r>
      <w:r>
        <w:rPr>
          <w:rStyle w:val="BodyTextChar"/>
          <w:rFonts w:eastAsiaTheme="minorHAnsi" w:cs="Arial"/>
        </w:rPr>
        <w:t>s</w:t>
      </w:r>
      <w:r w:rsidRPr="00107E02">
        <w:rPr>
          <w:rStyle w:val="BodyTextChar"/>
          <w:rFonts w:eastAsiaTheme="minorHAnsi" w:cs="Arial"/>
        </w:rPr>
        <w:t xml:space="preserve">tate </w:t>
      </w:r>
      <w:r>
        <w:rPr>
          <w:rStyle w:val="BodyTextChar"/>
          <w:rFonts w:eastAsiaTheme="minorHAnsi" w:cs="Arial"/>
        </w:rPr>
        <w:t xml:space="preserve">or territory </w:t>
      </w:r>
      <w:r w:rsidRPr="00107E02">
        <w:rPr>
          <w:rStyle w:val="BodyTextChar"/>
          <w:rFonts w:eastAsiaTheme="minorHAnsi" w:cs="Arial"/>
        </w:rPr>
        <w:t>identifier, or Individual Healthcare Identifier (IHI)</w:t>
      </w:r>
      <w:r w:rsidR="002A38F7" w:rsidRPr="002A38F7">
        <w:rPr>
          <w:rFonts w:eastAsiaTheme="minorHAnsi" w:cs="Arial"/>
          <w:vertAlign w:val="superscript"/>
        </w:rPr>
        <w:t>6</w:t>
      </w:r>
      <w:r w:rsidRPr="00107E02">
        <w:rPr>
          <w:rStyle w:val="BodyTextChar"/>
          <w:rFonts w:eastAsiaTheme="minorHAnsi" w:cs="Arial"/>
        </w:rPr>
        <w:t>) or may be allocated by the CQR.</w:t>
      </w:r>
      <w:r>
        <w:rPr>
          <w:rStyle w:val="BodyTextChar"/>
          <w:rFonts w:eastAsiaTheme="minorHAnsi" w:cs="Arial"/>
        </w:rPr>
        <w:t xml:space="preserve"> </w:t>
      </w:r>
    </w:p>
    <w:p w14:paraId="3D8FD6BB" w14:textId="77777777" w:rsidR="00192720" w:rsidRPr="00431DCB" w:rsidRDefault="00192720" w:rsidP="00CD78A7">
      <w:pPr>
        <w:rPr>
          <w:rFonts w:ascii="Verdana" w:hAnsi="Verdana"/>
          <w:sz w:val="20"/>
        </w:rPr>
      </w:pPr>
      <w:r>
        <w:rPr>
          <w:rStyle w:val="BodyTextChar"/>
          <w:rFonts w:eastAsiaTheme="minorHAnsi"/>
        </w:rPr>
        <w:t xml:space="preserve">Person may also be an individual </w:t>
      </w:r>
      <w:r w:rsidRPr="006B2659">
        <w:rPr>
          <w:rStyle w:val="BodyTextChar"/>
          <w:rFonts w:eastAsiaTheme="minorHAnsi"/>
          <w:b/>
          <w:bCs/>
        </w:rPr>
        <w:t>healthcare provider</w:t>
      </w:r>
      <w:r>
        <w:rPr>
          <w:rStyle w:val="BodyTextChar"/>
          <w:rFonts w:eastAsiaTheme="minorHAnsi"/>
        </w:rPr>
        <w:t xml:space="preserve">; in this case the HPI-I serves as the relevant identifier. </w:t>
      </w:r>
      <w:r w:rsidRPr="00AD7F92">
        <w:t xml:space="preserve">HPI-O </w:t>
      </w:r>
      <w:r>
        <w:t xml:space="preserve">shall also be included, if available, and shall </w:t>
      </w:r>
      <w:r w:rsidRPr="00AD7F92">
        <w:t xml:space="preserve">be </w:t>
      </w:r>
      <w:r>
        <w:t>linked to existing available services.</w:t>
      </w:r>
    </w:p>
    <w:p w14:paraId="522D8618" w14:textId="41B2A077" w:rsidR="00192720" w:rsidRPr="00107E02" w:rsidRDefault="00CD78A7" w:rsidP="00192720">
      <w:pPr>
        <w:pStyle w:val="Heading3"/>
      </w:pPr>
      <w:bookmarkStart w:id="426" w:name="_Toc158583974"/>
      <w:bookmarkStart w:id="427" w:name="_Toc159324747"/>
      <w:bookmarkStart w:id="428" w:name="_Toc175550367"/>
      <w:r>
        <w:t>4.2.2</w:t>
      </w:r>
      <w:r>
        <w:tab/>
      </w:r>
      <w:r w:rsidR="00192720" w:rsidRPr="00107E02">
        <w:t>Service provider organisation</w:t>
      </w:r>
      <w:bookmarkEnd w:id="426"/>
      <w:bookmarkEnd w:id="427"/>
      <w:bookmarkEnd w:id="428"/>
    </w:p>
    <w:p w14:paraId="377E2F78" w14:textId="77777777" w:rsidR="00192720" w:rsidRPr="00107E02" w:rsidRDefault="00192720" w:rsidP="00CD78A7">
      <w:r w:rsidRPr="00107E02">
        <w:t xml:space="preserve">A </w:t>
      </w:r>
      <w:r w:rsidRPr="006B2659">
        <w:rPr>
          <w:b/>
          <w:bCs/>
        </w:rPr>
        <w:t>service provider organisation</w:t>
      </w:r>
      <w:r w:rsidRPr="00107E02">
        <w:t xml:space="preserve"> represents a hospital, institution, or other organisation that provides healthcare services. A hierarchical structure of organisations is supported. Organisations can be identified by one or more identifiers, one of which could be a Healthcare provider identifier</w:t>
      </w:r>
      <w:r>
        <w:t xml:space="preserve"> – </w:t>
      </w:r>
      <w:r w:rsidRPr="00107E02">
        <w:t xml:space="preserve">organisation (HPI-O), if available. </w:t>
      </w:r>
    </w:p>
    <w:p w14:paraId="7EEFE5E2" w14:textId="2AD65529" w:rsidR="00192720" w:rsidRPr="009A6C5C" w:rsidRDefault="00CD78A7" w:rsidP="00192720">
      <w:pPr>
        <w:pStyle w:val="Heading3"/>
      </w:pPr>
      <w:bookmarkStart w:id="429" w:name="_Toc158583975"/>
      <w:bookmarkStart w:id="430" w:name="_Toc159324748"/>
      <w:bookmarkStart w:id="431" w:name="_Toc175550368"/>
      <w:r>
        <w:t>4.2.3</w:t>
      </w:r>
      <w:r>
        <w:tab/>
      </w:r>
      <w:r w:rsidR="00192720" w:rsidRPr="009A6C5C">
        <w:t xml:space="preserve">Health </w:t>
      </w:r>
      <w:r w:rsidR="00192720">
        <w:t>service e</w:t>
      </w:r>
      <w:r w:rsidR="00192720" w:rsidRPr="009A6C5C">
        <w:t>vent</w:t>
      </w:r>
      <w:bookmarkEnd w:id="429"/>
      <w:bookmarkEnd w:id="430"/>
      <w:bookmarkEnd w:id="431"/>
    </w:p>
    <w:p w14:paraId="54530064" w14:textId="77777777" w:rsidR="00192720" w:rsidRPr="009A6C5C" w:rsidRDefault="00192720" w:rsidP="002A38F7">
      <w:r w:rsidRPr="009A6C5C">
        <w:t xml:space="preserve">A </w:t>
      </w:r>
      <w:r w:rsidRPr="006B2659">
        <w:rPr>
          <w:b/>
          <w:bCs/>
        </w:rPr>
        <w:t>health service event</w:t>
      </w:r>
      <w:r w:rsidRPr="009A6C5C">
        <w:t xml:space="preserve"> represents an interaction between one or more </w:t>
      </w:r>
      <w:r>
        <w:t>h</w:t>
      </w:r>
      <w:r w:rsidRPr="009A6C5C">
        <w:t>ealth</w:t>
      </w:r>
      <w:r>
        <w:t>c</w:t>
      </w:r>
      <w:r w:rsidRPr="009A6C5C">
        <w:t xml:space="preserve">are </w:t>
      </w:r>
      <w:r>
        <w:t>p</w:t>
      </w:r>
      <w:r w:rsidRPr="009A6C5C">
        <w:t xml:space="preserve">roviders with one or more </w:t>
      </w:r>
      <w:r>
        <w:t>p</w:t>
      </w:r>
      <w:r w:rsidRPr="009A6C5C">
        <w:t>ersons for assessment, care, consultation</w:t>
      </w:r>
      <w:r>
        <w:t>,</w:t>
      </w:r>
      <w:r w:rsidRPr="009A6C5C">
        <w:t xml:space="preserve"> and/or treatment</w:t>
      </w:r>
      <w:r>
        <w:t xml:space="preserve">. </w:t>
      </w:r>
      <w:r w:rsidRPr="009A6C5C">
        <w:t>Across CQRs, a health service event could represent a wide variety of events, such as a surgical procedure (e.g. Australian Orthopaedic Association National Joint Replacement Registry), diagnostic testing (e.g. National Breast Cancer Audit) or a hospital admission (e.g. Australian &amp; New Zealand Intensive Care Society Adult Patient Database)</w:t>
      </w:r>
      <w:r>
        <w:t xml:space="preserve">. </w:t>
      </w:r>
      <w:r w:rsidRPr="009A6C5C">
        <w:t xml:space="preserve">At each health service event, the CQR will record relevant observations and clinical data for the patient. </w:t>
      </w:r>
    </w:p>
    <w:p w14:paraId="0F42EEBF" w14:textId="03416B93" w:rsidR="00192720" w:rsidRPr="00533F08" w:rsidRDefault="002A38F7" w:rsidP="00192720">
      <w:pPr>
        <w:pStyle w:val="Heading3"/>
      </w:pPr>
      <w:bookmarkStart w:id="432" w:name="_Toc158583976"/>
      <w:bookmarkStart w:id="433" w:name="_Toc159324749"/>
      <w:bookmarkStart w:id="434" w:name="_Toc175550369"/>
      <w:r>
        <w:t>4.2.4</w:t>
      </w:r>
      <w:r>
        <w:tab/>
      </w:r>
      <w:r w:rsidR="00192720" w:rsidRPr="00533F08">
        <w:t xml:space="preserve">Registry </w:t>
      </w:r>
      <w:bookmarkEnd w:id="432"/>
      <w:r w:rsidR="00192720">
        <w:t>e</w:t>
      </w:r>
      <w:r w:rsidR="00192720" w:rsidRPr="00533F08">
        <w:t>pisode</w:t>
      </w:r>
      <w:bookmarkEnd w:id="433"/>
      <w:bookmarkEnd w:id="434"/>
    </w:p>
    <w:p w14:paraId="15CDD6E0" w14:textId="77777777" w:rsidR="00192720" w:rsidRPr="00502ECA" w:rsidRDefault="00192720" w:rsidP="00CF105A">
      <w:r w:rsidRPr="00533F08">
        <w:t xml:space="preserve">A </w:t>
      </w:r>
      <w:r w:rsidRPr="006B2659">
        <w:rPr>
          <w:b/>
          <w:bCs/>
        </w:rPr>
        <w:t>registry episode</w:t>
      </w:r>
      <w:r w:rsidRPr="00533F08">
        <w:t xml:space="preserve"> defines a period of time from diagnosis through</w:t>
      </w:r>
      <w:r>
        <w:t xml:space="preserve"> to</w:t>
      </w:r>
      <w:r w:rsidRPr="00533F08">
        <w:t xml:space="preserve"> the period in which </w:t>
      </w:r>
      <w:r>
        <w:t>the p</w:t>
      </w:r>
      <w:r w:rsidRPr="00533F08">
        <w:t>atient receives health</w:t>
      </w:r>
      <w:r>
        <w:t xml:space="preserve"> </w:t>
      </w:r>
      <w:r w:rsidRPr="00533F08">
        <w:t>care</w:t>
      </w:r>
      <w:r>
        <w:t xml:space="preserve">, </w:t>
      </w:r>
      <w:r w:rsidRPr="00533F08">
        <w:t xml:space="preserve">to the final measurement of outcomes specified in the registry dataset. A </w:t>
      </w:r>
      <w:r>
        <w:t>r</w:t>
      </w:r>
      <w:r w:rsidRPr="00533F08">
        <w:t xml:space="preserve">egistry </w:t>
      </w:r>
      <w:r>
        <w:t>e</w:t>
      </w:r>
      <w:r w:rsidRPr="00533F08">
        <w:t xml:space="preserve">pisode will consist of one or more health </w:t>
      </w:r>
      <w:r>
        <w:t>s</w:t>
      </w:r>
      <w:r w:rsidRPr="00533F08">
        <w:t xml:space="preserve">ervice </w:t>
      </w:r>
      <w:r>
        <w:t>e</w:t>
      </w:r>
      <w:r w:rsidRPr="00533F08">
        <w:t>vents (e.g. a diagnostic consultation event, and a therapeutic intervention). The data model supports the definition for one or more episodes for a patient.</w:t>
      </w:r>
    </w:p>
    <w:p w14:paraId="14B91FC7" w14:textId="4C689B39" w:rsidR="00192720" w:rsidRPr="00502ECA" w:rsidRDefault="00CF105A" w:rsidP="00192720">
      <w:pPr>
        <w:pStyle w:val="Heading3"/>
      </w:pPr>
      <w:bookmarkStart w:id="435" w:name="_Toc158583977"/>
      <w:bookmarkStart w:id="436" w:name="_Toc159324750"/>
      <w:bookmarkStart w:id="437" w:name="_Toc175550370"/>
      <w:r>
        <w:t>4.2.5</w:t>
      </w:r>
      <w:r>
        <w:tab/>
      </w:r>
      <w:r w:rsidR="00192720" w:rsidRPr="00502ECA">
        <w:t xml:space="preserve">Follow-up </w:t>
      </w:r>
      <w:r w:rsidR="00192720">
        <w:t>e</w:t>
      </w:r>
      <w:r w:rsidR="00192720" w:rsidRPr="00502ECA">
        <w:t>vent</w:t>
      </w:r>
      <w:bookmarkEnd w:id="435"/>
      <w:bookmarkEnd w:id="436"/>
      <w:bookmarkEnd w:id="437"/>
    </w:p>
    <w:p w14:paraId="1D04C4F3" w14:textId="77777777" w:rsidR="00192720" w:rsidRPr="009A6C5C" w:rsidRDefault="00192720" w:rsidP="00CF105A">
      <w:r w:rsidRPr="009A6C5C">
        <w:t xml:space="preserve">The </w:t>
      </w:r>
      <w:r w:rsidRPr="006B2659">
        <w:rPr>
          <w:b/>
          <w:bCs/>
        </w:rPr>
        <w:t>follow-up event</w:t>
      </w:r>
      <w:r w:rsidRPr="009A6C5C">
        <w:t xml:space="preserve"> is an event where additional data </w:t>
      </w:r>
      <w:r>
        <w:t>are</w:t>
      </w:r>
      <w:r w:rsidRPr="009A6C5C">
        <w:t xml:space="preserve"> collected about a patient following </w:t>
      </w:r>
      <w:r>
        <w:t xml:space="preserve">the </w:t>
      </w:r>
      <w:r w:rsidRPr="009A6C5C">
        <w:t>initial event</w:t>
      </w:r>
      <w:r>
        <w:t xml:space="preserve">. </w:t>
      </w:r>
      <w:r w:rsidRPr="009A6C5C">
        <w:t xml:space="preserve">The data model supports the definition of one or more </w:t>
      </w:r>
      <w:r>
        <w:t>f</w:t>
      </w:r>
      <w:r w:rsidRPr="009A6C5C">
        <w:t>ollow-up events</w:t>
      </w:r>
      <w:r>
        <w:t xml:space="preserve">. </w:t>
      </w:r>
      <w:r w:rsidRPr="009A6C5C">
        <w:t xml:space="preserve">Some CQRs will collect follow-up data at set intervals after an initial </w:t>
      </w:r>
      <w:r>
        <w:t>event</w:t>
      </w:r>
      <w:r w:rsidRPr="009A6C5C">
        <w:t xml:space="preserve"> for a pre-defined period of time, whereas other CQRs may collect follow-up data for the life of the patient</w:t>
      </w:r>
      <w:r>
        <w:t xml:space="preserve">. </w:t>
      </w:r>
      <w:r w:rsidRPr="009A6C5C">
        <w:t xml:space="preserve">The </w:t>
      </w:r>
      <w:r>
        <w:t>f</w:t>
      </w:r>
      <w:r w:rsidRPr="009A6C5C">
        <w:t xml:space="preserve">ollow-up event can relate to a patient via a particular registry episode (indicating that it is follow-up data for one or more preceding events) or it may be related directly to the patient (indicating that the follow-up data </w:t>
      </w:r>
      <w:r>
        <w:t xml:space="preserve">are </w:t>
      </w:r>
      <w:r w:rsidRPr="009A6C5C">
        <w:t xml:space="preserve">relevant across all registry episodes, if this </w:t>
      </w:r>
      <w:r>
        <w:t xml:space="preserve">is </w:t>
      </w:r>
      <w:r w:rsidRPr="009A6C5C">
        <w:t>applicable for a CQR)</w:t>
      </w:r>
      <w:r>
        <w:t xml:space="preserve">. </w:t>
      </w:r>
    </w:p>
    <w:p w14:paraId="5B0465D5" w14:textId="77777777" w:rsidR="00192720" w:rsidRPr="009A6C5C" w:rsidRDefault="00192720" w:rsidP="00CF105A">
      <w:r>
        <w:t xml:space="preserve">Follow-up may also be recorded via PROMs data collections. </w:t>
      </w:r>
    </w:p>
    <w:p w14:paraId="52C38820" w14:textId="4036D2A2" w:rsidR="00192720" w:rsidRPr="009A6C5C" w:rsidRDefault="00CF105A" w:rsidP="00192720">
      <w:pPr>
        <w:pStyle w:val="Heading3"/>
      </w:pPr>
      <w:bookmarkStart w:id="438" w:name="_Toc159324751"/>
      <w:bookmarkStart w:id="439" w:name="_Toc175550371"/>
      <w:bookmarkStart w:id="440" w:name="_Toc158583978"/>
      <w:r>
        <w:t>4.2.6</w:t>
      </w:r>
      <w:r>
        <w:tab/>
      </w:r>
      <w:r w:rsidR="00192720" w:rsidRPr="009A6C5C">
        <w:t>CQR data subset</w:t>
      </w:r>
      <w:bookmarkEnd w:id="438"/>
      <w:bookmarkEnd w:id="439"/>
      <w:r w:rsidR="00192720" w:rsidRPr="009A6C5C">
        <w:t xml:space="preserve"> </w:t>
      </w:r>
      <w:bookmarkEnd w:id="440"/>
    </w:p>
    <w:p w14:paraId="324A151C" w14:textId="77777777" w:rsidR="00192720" w:rsidRPr="009A6C5C" w:rsidRDefault="00192720" w:rsidP="00CF105A">
      <w:r w:rsidRPr="009A6C5C">
        <w:t xml:space="preserve">The </w:t>
      </w:r>
      <w:r w:rsidRPr="006B2659">
        <w:rPr>
          <w:b/>
          <w:bCs/>
        </w:rPr>
        <w:t>CQR data subset</w:t>
      </w:r>
      <w:r w:rsidRPr="009A6C5C">
        <w:t xml:space="preserve"> instance represents data collected for a patient at </w:t>
      </w:r>
      <w:r>
        <w:t xml:space="preserve">the initial </w:t>
      </w:r>
      <w:r w:rsidRPr="009A6C5C">
        <w:t xml:space="preserve">event </w:t>
      </w:r>
      <w:r>
        <w:t>and</w:t>
      </w:r>
      <w:r w:rsidRPr="009A6C5C">
        <w:t xml:space="preserve"> </w:t>
      </w:r>
      <w:r>
        <w:t>f</w:t>
      </w:r>
      <w:r w:rsidRPr="009A6C5C">
        <w:t>ollow-up event</w:t>
      </w:r>
      <w:r>
        <w:t xml:space="preserve">. </w:t>
      </w:r>
      <w:r w:rsidRPr="009A6C5C">
        <w:t xml:space="preserve">The CQR Data Subset instance is analogous to an instance of a </w:t>
      </w:r>
      <w:r>
        <w:t xml:space="preserve">legacy </w:t>
      </w:r>
      <w:r w:rsidRPr="009A6C5C">
        <w:t>data collection form template, which contains the values of observations and clinical details that were collected about a patient at a given point in time.</w:t>
      </w:r>
      <w:r>
        <w:t xml:space="preserve"> This may correlate to an ‘episode’ in an electronic medical record.</w:t>
      </w:r>
    </w:p>
    <w:p w14:paraId="5F1892B6" w14:textId="77777777" w:rsidR="00192720" w:rsidRPr="009A6C5C" w:rsidRDefault="00192720" w:rsidP="00CF105A">
      <w:r w:rsidRPr="009A6C5C">
        <w:lastRenderedPageBreak/>
        <w:t>The reason that the term 'subset' is used is to support the notion that of all possible observations a CQR is interested in collecting, some observations or clinical details might not be relevant in all cases</w:t>
      </w:r>
      <w:r>
        <w:t xml:space="preserve">. </w:t>
      </w:r>
      <w:r w:rsidRPr="009A6C5C">
        <w:t>For example, a follow-up data collection form may not be identical to an initial consultation data collection form</w:t>
      </w:r>
      <w:r>
        <w:t xml:space="preserve">. </w:t>
      </w:r>
      <w:r w:rsidRPr="009A6C5C">
        <w:t xml:space="preserve">By modelling the data collection subsets in this way, the CQR system will be able to streamline the data collection process for particular circumstances. </w:t>
      </w:r>
    </w:p>
    <w:p w14:paraId="4CC12B28" w14:textId="77777777" w:rsidR="00192720" w:rsidRPr="00FA3BC7" w:rsidRDefault="00192720" w:rsidP="00CF105A">
      <w:pPr>
        <w:rPr>
          <w:rFonts w:cs="Arial"/>
        </w:rPr>
      </w:pPr>
      <w:r w:rsidRPr="00FA3BC7">
        <w:rPr>
          <w:rFonts w:cs="Arial"/>
        </w:rPr>
        <w:t xml:space="preserve">The set of observations included in a CQR data subset instance will consist of observations that can be classified across most, if not all, of the condition-specific data categories (that is, disease or condition data, comorbidities, intervention data and outcome data). </w:t>
      </w:r>
    </w:p>
    <w:p w14:paraId="29A16B9C" w14:textId="77777777" w:rsidR="00192720" w:rsidRPr="009A6C5C" w:rsidRDefault="00192720" w:rsidP="00CF105A">
      <w:pPr>
        <w:rPr>
          <w:rFonts w:ascii="Verdana" w:hAnsi="Verdana"/>
          <w:sz w:val="20"/>
        </w:rPr>
      </w:pPr>
      <w:r w:rsidRPr="006F27A2">
        <w:rPr>
          <w:rStyle w:val="BodyTextChar"/>
          <w:rFonts w:eastAsiaTheme="minorHAnsi"/>
        </w:rPr>
        <w:t xml:space="preserve">The following section presents guidelines for how </w:t>
      </w:r>
      <w:r>
        <w:rPr>
          <w:rStyle w:val="BodyTextChar"/>
          <w:rFonts w:eastAsiaTheme="minorHAnsi"/>
        </w:rPr>
        <w:t>condition</w:t>
      </w:r>
      <w:r w:rsidRPr="006F27A2">
        <w:rPr>
          <w:rStyle w:val="BodyTextChar"/>
          <w:rFonts w:eastAsiaTheme="minorHAnsi"/>
        </w:rPr>
        <w:t xml:space="preserve">-specific data elements </w:t>
      </w:r>
      <w:r>
        <w:rPr>
          <w:rStyle w:val="BodyTextChar"/>
          <w:rFonts w:eastAsiaTheme="minorHAnsi"/>
        </w:rPr>
        <w:t>shall</w:t>
      </w:r>
      <w:r w:rsidRPr="006F27A2">
        <w:rPr>
          <w:rStyle w:val="BodyTextChar"/>
          <w:rFonts w:eastAsiaTheme="minorHAnsi"/>
        </w:rPr>
        <w:t xml:space="preserve"> be defined in a logical information model.</w:t>
      </w:r>
    </w:p>
    <w:p w14:paraId="30A9FD7D" w14:textId="53791940" w:rsidR="00192720" w:rsidRPr="00224EA8" w:rsidRDefault="00CF105A" w:rsidP="00192720">
      <w:pPr>
        <w:pStyle w:val="Heading2"/>
      </w:pPr>
      <w:bookmarkStart w:id="441" w:name="_Toc158583979"/>
      <w:bookmarkStart w:id="442" w:name="_Toc159324752"/>
      <w:bookmarkStart w:id="443" w:name="_Toc175550372"/>
      <w:r>
        <w:t>4.3</w:t>
      </w:r>
      <w:r>
        <w:tab/>
      </w:r>
      <w:r w:rsidR="00192720" w:rsidRPr="00224EA8">
        <w:t>Design guidelines for condition-specific data</w:t>
      </w:r>
      <w:bookmarkEnd w:id="441"/>
      <w:bookmarkEnd w:id="442"/>
      <w:bookmarkEnd w:id="443"/>
      <w:r w:rsidR="00192720" w:rsidRPr="00224EA8">
        <w:t xml:space="preserve"> </w:t>
      </w:r>
    </w:p>
    <w:p w14:paraId="046E78A2" w14:textId="77777777" w:rsidR="00192720" w:rsidRPr="009A6C5C" w:rsidRDefault="00192720" w:rsidP="00CF105A">
      <w:r w:rsidRPr="009A6C5C">
        <w:t xml:space="preserve">The following is a set of pragmatic guidelines that can be used when modelling the </w:t>
      </w:r>
      <w:r>
        <w:rPr>
          <w:rStyle w:val="BodyTextChar"/>
          <w:rFonts w:eastAsiaTheme="minorHAnsi"/>
        </w:rPr>
        <w:t>condition</w:t>
      </w:r>
      <w:r w:rsidRPr="009A6C5C">
        <w:t>-specific aspects of the data model</w:t>
      </w:r>
      <w:r>
        <w:t xml:space="preserve">. </w:t>
      </w:r>
    </w:p>
    <w:p w14:paraId="1D1698A0" w14:textId="77777777" w:rsidR="00192720" w:rsidRPr="00107E02" w:rsidRDefault="00192720" w:rsidP="00CF105A">
      <w:pPr>
        <w:rPr>
          <w:rFonts w:cs="Arial"/>
        </w:rPr>
      </w:pPr>
      <w:r w:rsidRPr="00107E02">
        <w:rPr>
          <w:rFonts w:cs="Arial"/>
        </w:rPr>
        <w:t>The guidelines provide a basis for:</w:t>
      </w:r>
    </w:p>
    <w:p w14:paraId="06E9E754" w14:textId="77777777" w:rsidR="00192720" w:rsidRPr="00107E02" w:rsidRDefault="00192720">
      <w:pPr>
        <w:pStyle w:val="ListParagraph"/>
        <w:numPr>
          <w:ilvl w:val="0"/>
          <w:numId w:val="65"/>
        </w:numPr>
      </w:pPr>
      <w:r w:rsidRPr="00107E02">
        <w:t xml:space="preserve">how </w:t>
      </w:r>
      <w:r w:rsidRPr="00107E02">
        <w:rPr>
          <w:rStyle w:val="BodyTextChar"/>
          <w:rFonts w:eastAsiaTheme="minorHAnsi" w:cs="Arial"/>
          <w:szCs w:val="22"/>
        </w:rPr>
        <w:t>condition</w:t>
      </w:r>
      <w:r w:rsidRPr="00107E02">
        <w:t xml:space="preserve">-specific data elements can be categorised in the model for consistency </w:t>
      </w:r>
    </w:p>
    <w:p w14:paraId="565C33A4" w14:textId="77777777" w:rsidR="00192720" w:rsidRPr="00107E02" w:rsidRDefault="00192720">
      <w:pPr>
        <w:pStyle w:val="ListParagraph"/>
        <w:numPr>
          <w:ilvl w:val="0"/>
          <w:numId w:val="65"/>
        </w:numPr>
      </w:pPr>
      <w:r w:rsidRPr="00107E02">
        <w:t xml:space="preserve">how </w:t>
      </w:r>
      <w:r w:rsidRPr="00107E02">
        <w:rPr>
          <w:rStyle w:val="BodyTextChar"/>
          <w:rFonts w:eastAsiaTheme="minorHAnsi" w:cs="Arial"/>
          <w:szCs w:val="22"/>
        </w:rPr>
        <w:t>condition</w:t>
      </w:r>
      <w:r w:rsidRPr="00107E02">
        <w:t xml:space="preserve">-specific data elements will link to the core information model </w:t>
      </w:r>
    </w:p>
    <w:p w14:paraId="2A360846" w14:textId="77777777" w:rsidR="00192720" w:rsidRDefault="00192720">
      <w:pPr>
        <w:pStyle w:val="ListParagraph"/>
        <w:numPr>
          <w:ilvl w:val="0"/>
          <w:numId w:val="65"/>
        </w:numPr>
      </w:pPr>
      <w:r w:rsidRPr="00107E02">
        <w:t xml:space="preserve">how </w:t>
      </w:r>
      <w:r w:rsidRPr="00107E02">
        <w:rPr>
          <w:rStyle w:val="BodyTextChar"/>
          <w:rFonts w:eastAsiaTheme="minorHAnsi" w:cs="Arial"/>
          <w:szCs w:val="22"/>
        </w:rPr>
        <w:t>condition</w:t>
      </w:r>
      <w:r w:rsidRPr="00107E02">
        <w:t xml:space="preserve">-specific reference sets </w:t>
      </w:r>
      <w:r>
        <w:t>should</w:t>
      </w:r>
      <w:r w:rsidRPr="00107E02">
        <w:t xml:space="preserve"> be modelled </w:t>
      </w:r>
    </w:p>
    <w:p w14:paraId="75E83C45" w14:textId="77777777" w:rsidR="00192720" w:rsidRPr="00107E02" w:rsidRDefault="00192720">
      <w:pPr>
        <w:pStyle w:val="ListParagraph"/>
        <w:numPr>
          <w:ilvl w:val="0"/>
          <w:numId w:val="65"/>
        </w:numPr>
      </w:pPr>
      <w:r w:rsidRPr="00107E02">
        <w:t xml:space="preserve">how data subsets can be defined to suit particular data collection scenarios, and </w:t>
      </w:r>
    </w:p>
    <w:p w14:paraId="695D10E9" w14:textId="77777777" w:rsidR="00192720" w:rsidRPr="00107E02" w:rsidRDefault="00192720">
      <w:pPr>
        <w:pStyle w:val="ListParagraph"/>
        <w:numPr>
          <w:ilvl w:val="0"/>
          <w:numId w:val="65"/>
        </w:numPr>
      </w:pPr>
      <w:r w:rsidRPr="00107E02">
        <w:t xml:space="preserve">how the completed data model </w:t>
      </w:r>
      <w:r>
        <w:t>should</w:t>
      </w:r>
      <w:r w:rsidRPr="00107E02">
        <w:t xml:space="preserve"> be formalised into a data dictionary.</w:t>
      </w:r>
    </w:p>
    <w:p w14:paraId="325E9F6D" w14:textId="77777777" w:rsidR="00192720" w:rsidRPr="009A6C5C" w:rsidRDefault="00192720" w:rsidP="00CF105A">
      <w:r w:rsidRPr="009A6C5C">
        <w:t>In order to be applicable across all CQRs, these guidelines are intentionally high level and do not cover specific implementation details</w:t>
      </w:r>
      <w:r>
        <w:t xml:space="preserve">. </w:t>
      </w:r>
      <w:r w:rsidRPr="009A6C5C">
        <w:t>However, by following these guidelines, a practical level of uniformity across CQR information designs can be achieved</w:t>
      </w:r>
      <w:r>
        <w:t xml:space="preserve">. </w:t>
      </w:r>
    </w:p>
    <w:p w14:paraId="7316D7D6" w14:textId="6501B8BA" w:rsidR="00192720" w:rsidRPr="009A6C5C" w:rsidRDefault="00CF105A" w:rsidP="00192720">
      <w:pPr>
        <w:pStyle w:val="Heading3"/>
      </w:pPr>
      <w:bookmarkStart w:id="444" w:name="_Toc158583980"/>
      <w:bookmarkStart w:id="445" w:name="_Toc159324753"/>
      <w:bookmarkStart w:id="446" w:name="_Toc175550373"/>
      <w:r>
        <w:t>4.3.1</w:t>
      </w:r>
      <w:r w:rsidR="00C63905">
        <w:tab/>
      </w:r>
      <w:r w:rsidR="00192720" w:rsidRPr="009A6C5C">
        <w:t xml:space="preserve">Logically categorising </w:t>
      </w:r>
      <w:r w:rsidR="00192720" w:rsidRPr="00165D3D">
        <w:t>condition</w:t>
      </w:r>
      <w:r w:rsidR="00192720" w:rsidRPr="009A6C5C">
        <w:t>-specific data elements</w:t>
      </w:r>
      <w:bookmarkEnd w:id="444"/>
      <w:bookmarkEnd w:id="445"/>
      <w:bookmarkEnd w:id="446"/>
    </w:p>
    <w:p w14:paraId="4E631245" w14:textId="77777777" w:rsidR="00192720" w:rsidRPr="009A6C5C" w:rsidRDefault="00192720" w:rsidP="00CF105A">
      <w:r w:rsidRPr="009A6C5C">
        <w:t xml:space="preserve">When the CQR's minimum dataset has been determined </w:t>
      </w:r>
      <w:r w:rsidRPr="00E50751">
        <w:t xml:space="preserve">(refer to </w:t>
      </w:r>
      <w:r w:rsidRPr="006B2659">
        <w:rPr>
          <w:i/>
          <w:iCs/>
        </w:rPr>
        <w:t>Operating principle 1: Organisation and governance</w:t>
      </w:r>
      <w:r w:rsidRPr="00E50751">
        <w:t xml:space="preserve"> in </w:t>
      </w:r>
      <w:r w:rsidRPr="00E50751">
        <w:rPr>
          <w:szCs w:val="20"/>
        </w:rPr>
        <w:t>the Framework)</w:t>
      </w:r>
      <w:r w:rsidRPr="00E50751">
        <w:t>,</w:t>
      </w:r>
      <w:r w:rsidRPr="009A6C5C">
        <w:t xml:space="preserve"> all </w:t>
      </w:r>
      <w:r>
        <w:rPr>
          <w:rStyle w:val="BodyTextChar"/>
          <w:rFonts w:eastAsiaTheme="minorHAnsi"/>
        </w:rPr>
        <w:t>condition</w:t>
      </w:r>
      <w:r w:rsidRPr="009A6C5C">
        <w:t xml:space="preserve">-specific data elements can be logically categorised into one of the following: </w:t>
      </w:r>
    </w:p>
    <w:p w14:paraId="49C0BFB3" w14:textId="77777777" w:rsidR="00192720" w:rsidRPr="00107E02" w:rsidRDefault="00192720">
      <w:pPr>
        <w:pStyle w:val="ListParagraph"/>
        <w:numPr>
          <w:ilvl w:val="0"/>
          <w:numId w:val="66"/>
        </w:numPr>
      </w:pPr>
      <w:r w:rsidRPr="00107E02">
        <w:t>disease or condition data</w:t>
      </w:r>
    </w:p>
    <w:p w14:paraId="02871FAE" w14:textId="77777777" w:rsidR="00192720" w:rsidRPr="00107E02" w:rsidRDefault="00192720">
      <w:pPr>
        <w:pStyle w:val="ListParagraph"/>
        <w:numPr>
          <w:ilvl w:val="0"/>
          <w:numId w:val="66"/>
        </w:numPr>
      </w:pPr>
      <w:r w:rsidRPr="00107E02">
        <w:t>risk factor and comorbidity</w:t>
      </w:r>
    </w:p>
    <w:p w14:paraId="14D70E09" w14:textId="77777777" w:rsidR="00192720" w:rsidRPr="00107E02" w:rsidRDefault="00192720">
      <w:pPr>
        <w:pStyle w:val="ListParagraph"/>
        <w:numPr>
          <w:ilvl w:val="0"/>
          <w:numId w:val="66"/>
        </w:numPr>
      </w:pPr>
      <w:r w:rsidRPr="00107E02">
        <w:t>intervention</w:t>
      </w:r>
    </w:p>
    <w:p w14:paraId="19422F1D" w14:textId="77777777" w:rsidR="00192720" w:rsidRPr="00107E02" w:rsidRDefault="00192720">
      <w:pPr>
        <w:pStyle w:val="ListParagraph"/>
        <w:numPr>
          <w:ilvl w:val="0"/>
          <w:numId w:val="66"/>
        </w:numPr>
      </w:pPr>
      <w:r w:rsidRPr="00107E02">
        <w:t>outcome</w:t>
      </w:r>
      <w:r>
        <w:t>.</w:t>
      </w:r>
    </w:p>
    <w:p w14:paraId="1B162CBA" w14:textId="77777777" w:rsidR="00192720" w:rsidRPr="009A6C5C" w:rsidRDefault="00192720" w:rsidP="00CF105A">
      <w:r w:rsidRPr="009A6C5C">
        <w:t xml:space="preserve">Even though different CQRs are unlikely to share specific data elements, modelling </w:t>
      </w:r>
      <w:r>
        <w:rPr>
          <w:rStyle w:val="BodyTextChar"/>
          <w:rFonts w:eastAsiaTheme="minorHAnsi"/>
        </w:rPr>
        <w:t>condition</w:t>
      </w:r>
      <w:r w:rsidRPr="009A6C5C">
        <w:t>-specific data elements into these categories will provide the basis for achieving a practical level of consistency across CQR logical information models.</w:t>
      </w:r>
    </w:p>
    <w:p w14:paraId="3CBE9018" w14:textId="69CF69BC" w:rsidR="00192720" w:rsidRPr="009A6C5C" w:rsidRDefault="00CF105A" w:rsidP="00192720">
      <w:pPr>
        <w:pStyle w:val="Heading3"/>
      </w:pPr>
      <w:bookmarkStart w:id="447" w:name="_Toc158583981"/>
      <w:bookmarkStart w:id="448" w:name="_Toc159324754"/>
      <w:bookmarkStart w:id="449" w:name="_Toc175550374"/>
      <w:r>
        <w:t>4.3.2</w:t>
      </w:r>
      <w:r>
        <w:tab/>
      </w:r>
      <w:r w:rsidR="00192720" w:rsidRPr="009A6C5C">
        <w:t xml:space="preserve">Linking </w:t>
      </w:r>
      <w:r w:rsidR="00192720" w:rsidRPr="000B6845">
        <w:t>condition</w:t>
      </w:r>
      <w:r w:rsidR="00192720" w:rsidRPr="009A6C5C">
        <w:t>-specific data elements to the core model</w:t>
      </w:r>
      <w:bookmarkEnd w:id="447"/>
      <w:bookmarkEnd w:id="448"/>
      <w:bookmarkEnd w:id="449"/>
    </w:p>
    <w:p w14:paraId="75AACF38" w14:textId="77777777" w:rsidR="00192720" w:rsidRPr="009A6C5C" w:rsidRDefault="00192720" w:rsidP="00CF105A">
      <w:r w:rsidRPr="009A6C5C">
        <w:t xml:space="preserve">The majority of the </w:t>
      </w:r>
      <w:r>
        <w:rPr>
          <w:rStyle w:val="BodyTextChar"/>
          <w:rFonts w:eastAsiaTheme="minorHAnsi"/>
        </w:rPr>
        <w:t>condition</w:t>
      </w:r>
      <w:r w:rsidRPr="009A6C5C">
        <w:t>-specific data elements will capture data about a patient at a particular moment in time</w:t>
      </w:r>
      <w:r>
        <w:t xml:space="preserve">. </w:t>
      </w:r>
      <w:r w:rsidRPr="009A6C5C">
        <w:t xml:space="preserve">Therefore, the values recorded against these </w:t>
      </w:r>
      <w:r>
        <w:rPr>
          <w:rStyle w:val="BodyTextChar"/>
          <w:rFonts w:eastAsiaTheme="minorHAnsi"/>
        </w:rPr>
        <w:t>condition</w:t>
      </w:r>
      <w:r w:rsidRPr="009A6C5C">
        <w:t>-specific data elements will relate to the patient via either a</w:t>
      </w:r>
      <w:r>
        <w:t xml:space="preserve"> </w:t>
      </w:r>
      <w:r w:rsidRPr="004C286E">
        <w:t xml:space="preserve">health service event or </w:t>
      </w:r>
      <w:r w:rsidRPr="009A6C5C">
        <w:t>follow-up event in the core model</w:t>
      </w:r>
      <w:r>
        <w:t xml:space="preserve">. </w:t>
      </w:r>
    </w:p>
    <w:p w14:paraId="34DC83C4" w14:textId="77777777" w:rsidR="00192720" w:rsidRPr="009A6C5C" w:rsidRDefault="00192720" w:rsidP="00CF105A">
      <w:r>
        <w:t>R</w:t>
      </w:r>
      <w:r w:rsidRPr="009A6C5C">
        <w:t>elating these data elements to a health or follow-up event</w:t>
      </w:r>
      <w:r>
        <w:t xml:space="preserve"> </w:t>
      </w:r>
      <w:r w:rsidRPr="009A6C5C">
        <w:t>will ensure that the observations are 'time stamped' and allow relevant facts about a patient to be compared and analysed over time</w:t>
      </w:r>
      <w:r>
        <w:t xml:space="preserve">. </w:t>
      </w:r>
      <w:r w:rsidRPr="009A6C5C">
        <w:t xml:space="preserve"> </w:t>
      </w:r>
    </w:p>
    <w:p w14:paraId="0AB7C9C0" w14:textId="77777777" w:rsidR="00192720" w:rsidRPr="009A6C5C" w:rsidRDefault="00192720" w:rsidP="00CF105A">
      <w:r w:rsidRPr="009A6C5C">
        <w:t>There may be instances where a CQR needs to collect additional static data about a patient for which comparison over time is not relevant</w:t>
      </w:r>
      <w:r>
        <w:t xml:space="preserve">. </w:t>
      </w:r>
      <w:r w:rsidRPr="009A6C5C">
        <w:t xml:space="preserve">In these instances, the </w:t>
      </w:r>
      <w:r>
        <w:rPr>
          <w:rStyle w:val="BodyTextChar"/>
          <w:rFonts w:eastAsiaTheme="minorHAnsi"/>
        </w:rPr>
        <w:t>condition</w:t>
      </w:r>
      <w:r w:rsidRPr="009A6C5C">
        <w:t>-specific data elements can be added directly to the patient object class in the core model.</w:t>
      </w:r>
    </w:p>
    <w:p w14:paraId="47C39288" w14:textId="06A0B664" w:rsidR="00192720" w:rsidRPr="009A6C5C" w:rsidRDefault="00CF105A" w:rsidP="00192720">
      <w:pPr>
        <w:pStyle w:val="Heading3"/>
      </w:pPr>
      <w:bookmarkStart w:id="450" w:name="_Toc158583982"/>
      <w:bookmarkStart w:id="451" w:name="_Toc159324755"/>
      <w:bookmarkStart w:id="452" w:name="_Toc175550375"/>
      <w:r>
        <w:lastRenderedPageBreak/>
        <w:t>4.3.3</w:t>
      </w:r>
      <w:r>
        <w:tab/>
      </w:r>
      <w:r w:rsidR="00192720" w:rsidRPr="009A6C5C">
        <w:t>Modelling reference sets</w:t>
      </w:r>
      <w:bookmarkEnd w:id="450"/>
      <w:bookmarkEnd w:id="451"/>
      <w:bookmarkEnd w:id="452"/>
    </w:p>
    <w:p w14:paraId="34D945B2" w14:textId="05A3AFA1" w:rsidR="00192720" w:rsidRPr="009A6C5C" w:rsidRDefault="00192720" w:rsidP="00CF105A">
      <w:r w:rsidRPr="009A6C5C">
        <w:t xml:space="preserve">Standard definitions, terminology and specifications </w:t>
      </w:r>
      <w:r>
        <w:t>shall</w:t>
      </w:r>
      <w:r w:rsidRPr="009A6C5C">
        <w:t xml:space="preserve"> be used in CQRs wherever possible to enable meaningful comparisons to be made and to allow maximum benefit to be gained from linkage to other data sources </w:t>
      </w:r>
      <w:r w:rsidRPr="00E50751">
        <w:t xml:space="preserve">(refer to </w:t>
      </w:r>
      <w:r w:rsidRPr="00566550">
        <w:rPr>
          <w:i/>
          <w:iCs/>
        </w:rPr>
        <w:t>Operating principle 3: Data collection</w:t>
      </w:r>
      <w:r w:rsidRPr="00E50751">
        <w:t xml:space="preserve"> in </w:t>
      </w:r>
      <w:r w:rsidRPr="00E50751">
        <w:rPr>
          <w:szCs w:val="20"/>
        </w:rPr>
        <w:t>the Framework</w:t>
      </w:r>
      <w:r>
        <w:rPr>
          <w:szCs w:val="20"/>
        </w:rPr>
        <w:t xml:space="preserve">). </w:t>
      </w:r>
      <w:r w:rsidRPr="009A6C5C">
        <w:t>In some cases</w:t>
      </w:r>
      <w:r>
        <w:t>,</w:t>
      </w:r>
      <w:r w:rsidRPr="009A6C5C">
        <w:t xml:space="preserve"> this may require </w:t>
      </w:r>
      <w:r w:rsidRPr="004C286E">
        <w:t xml:space="preserve">using terminology </w:t>
      </w:r>
      <w:r w:rsidRPr="009A6C5C">
        <w:t>services and reference datasets such as SNOMED CT-AU</w:t>
      </w:r>
      <w:r w:rsidR="00CF105A">
        <w:rPr>
          <w:vertAlign w:val="superscript"/>
        </w:rPr>
        <w:t>7,</w:t>
      </w:r>
      <w:r w:rsidRPr="009A6C5C">
        <w:t xml:space="preserve"> the Australian Medicines Terminology (AMT)</w:t>
      </w:r>
      <w:r w:rsidR="00CF105A">
        <w:rPr>
          <w:vertAlign w:val="superscript"/>
        </w:rPr>
        <w:t>8</w:t>
      </w:r>
      <w:r w:rsidRPr="009A6C5C">
        <w:t xml:space="preserve"> and the National Product Catalogue (NPC)</w:t>
      </w:r>
      <w:r>
        <w:t>.</w:t>
      </w:r>
      <w:r w:rsidR="00CF105A">
        <w:rPr>
          <w:vertAlign w:val="superscript"/>
        </w:rPr>
        <w:t>9</w:t>
      </w:r>
    </w:p>
    <w:p w14:paraId="0E5392C9" w14:textId="77777777" w:rsidR="00192720" w:rsidRDefault="00192720" w:rsidP="00CF105A">
      <w:r w:rsidRPr="009A6C5C">
        <w:t xml:space="preserve">Where reference sets are used, </w:t>
      </w:r>
      <w:r w:rsidRPr="004C286E">
        <w:t xml:space="preserve">whether from a published standard or </w:t>
      </w:r>
      <w:r w:rsidRPr="009A6C5C">
        <w:t xml:space="preserve">unique to the CQR, they </w:t>
      </w:r>
      <w:r>
        <w:t>shall</w:t>
      </w:r>
      <w:r w:rsidRPr="009A6C5C">
        <w:t xml:space="preserve"> be defined in the information model to ensure that appropriate validation can be implemented</w:t>
      </w:r>
      <w:r>
        <w:t xml:space="preserve">. </w:t>
      </w:r>
      <w:r w:rsidRPr="00F95E08">
        <w:fldChar w:fldCharType="begin"/>
      </w:r>
      <w:r w:rsidRPr="00F95E08">
        <w:instrText xml:space="preserve"> REF _Ref103354470 \h </w:instrText>
      </w:r>
      <w:r w:rsidRPr="00371B33">
        <w:instrText xml:space="preserve"> \* MERGEFORMAT </w:instrText>
      </w:r>
      <w:r w:rsidRPr="00F95E08">
        <w:fldChar w:fldCharType="separate"/>
      </w:r>
      <w:r w:rsidRPr="0084386D">
        <w:rPr>
          <w:szCs w:val="20"/>
        </w:rPr>
        <w:t xml:space="preserve">Figure </w:t>
      </w:r>
      <w:r>
        <w:rPr>
          <w:noProof/>
          <w:szCs w:val="20"/>
        </w:rPr>
        <w:t>9</w:t>
      </w:r>
      <w:r w:rsidRPr="00F95E08">
        <w:fldChar w:fldCharType="end"/>
      </w:r>
      <w:r w:rsidRPr="009A6C5C">
        <w:t xml:space="preserve"> </w:t>
      </w:r>
      <w:r>
        <w:t>s</w:t>
      </w:r>
      <w:r w:rsidRPr="009A6C5C">
        <w:t>hows a representation of three example reference sets that would be included in an information model for the National Breast Cancer Audit registry.</w:t>
      </w:r>
    </w:p>
    <w:p w14:paraId="71BABA99" w14:textId="23957E96" w:rsidR="00CF105A" w:rsidRDefault="00CF105A" w:rsidP="00CF105A">
      <w:pPr>
        <w:pStyle w:val="FigureTableTitle"/>
      </w:pPr>
      <w:r w:rsidRPr="004C286E">
        <w:t>Figure 9: Example reference sets for condition-specific data elements from the National Breast Cancer Audit</w:t>
      </w:r>
    </w:p>
    <w:p w14:paraId="3732E9AF" w14:textId="6F55EF52" w:rsidR="00192720" w:rsidRDefault="00192720" w:rsidP="00CF105A">
      <w:pPr>
        <w:pStyle w:val="FigureTableTitle"/>
      </w:pPr>
    </w:p>
    <w:p w14:paraId="2BBC9721" w14:textId="1EC100C8" w:rsidR="00FB5FAD" w:rsidRPr="009A6C5C" w:rsidRDefault="006553BA" w:rsidP="00397A00">
      <w:pPr>
        <w:pStyle w:val="FigureTableTitle"/>
      </w:pPr>
      <w:r>
        <w:rPr>
          <w:noProof/>
        </w:rPr>
        <w:drawing>
          <wp:inline distT="0" distB="0" distL="0" distR="0" wp14:anchorId="6D47C169" wp14:editId="32412B05">
            <wp:extent cx="3185611" cy="2168320"/>
            <wp:effectExtent l="0" t="0" r="2540" b="3810"/>
            <wp:docPr id="1552572161" name="Picture 3" descr="Figure 9: Example reference sets for condition-specific data elements from the National Breast Cancer Au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72161" name="Picture 3" descr="Figure 9: Example reference sets for condition-specific data elements from the National Breast Cancer Audit"/>
                    <pic:cNvPicPr/>
                  </pic:nvPicPr>
                  <pic:blipFill>
                    <a:blip r:embed="rId37"/>
                    <a:srcRect l="401" r="401"/>
                    <a:stretch>
                      <a:fillRect/>
                    </a:stretch>
                  </pic:blipFill>
                  <pic:spPr bwMode="auto">
                    <a:xfrm>
                      <a:off x="0" y="0"/>
                      <a:ext cx="3185611" cy="2168320"/>
                    </a:xfrm>
                    <a:prstGeom prst="rect">
                      <a:avLst/>
                    </a:prstGeom>
                    <a:ln>
                      <a:noFill/>
                    </a:ln>
                    <a:extLst>
                      <a:ext uri="{53640926-AAD7-44D8-BBD7-CCE9431645EC}">
                        <a14:shadowObscured xmlns:a14="http://schemas.microsoft.com/office/drawing/2010/main"/>
                      </a:ext>
                    </a:extLst>
                  </pic:spPr>
                </pic:pic>
              </a:graphicData>
            </a:graphic>
          </wp:inline>
        </w:drawing>
      </w:r>
    </w:p>
    <w:p w14:paraId="1B92E5C5" w14:textId="1E21D78A" w:rsidR="00192720" w:rsidRPr="009A6C5C" w:rsidRDefault="00192720" w:rsidP="00CF105A">
      <w:r w:rsidRPr="009A6C5C">
        <w:t>If the reference set of permissible values for a data element is large, such as a data element that represents a Principal diagnosis (ICD-10-AM), the external classification scheme should be referenced in the information model.</w:t>
      </w:r>
    </w:p>
    <w:p w14:paraId="6D857C52" w14:textId="78894310" w:rsidR="00192720" w:rsidRPr="009A6C5C" w:rsidRDefault="00CF105A" w:rsidP="00192720">
      <w:pPr>
        <w:pStyle w:val="Heading3"/>
      </w:pPr>
      <w:bookmarkStart w:id="453" w:name="_Toc158583983"/>
      <w:bookmarkStart w:id="454" w:name="_Toc159324756"/>
      <w:bookmarkStart w:id="455" w:name="_Toc175550376"/>
      <w:r>
        <w:t>4.3.4</w:t>
      </w:r>
      <w:r>
        <w:tab/>
      </w:r>
      <w:r w:rsidR="00192720" w:rsidRPr="009A6C5C">
        <w:t>Defining data subsets</w:t>
      </w:r>
      <w:bookmarkEnd w:id="453"/>
      <w:bookmarkEnd w:id="454"/>
      <w:bookmarkEnd w:id="455"/>
    </w:p>
    <w:p w14:paraId="34FF5A1D" w14:textId="77777777" w:rsidR="00192720" w:rsidRPr="009A6C5C" w:rsidRDefault="00192720" w:rsidP="00CF105A">
      <w:r w:rsidRPr="006F27A2">
        <w:rPr>
          <w:rStyle w:val="BodyTextChar"/>
          <w:rFonts w:eastAsia="Calibri"/>
        </w:rPr>
        <w:t xml:space="preserve">Within the CQR minimum dataset, a CQR can define one or more 'subsets' of data that represent the data elements that will be collected for a specific type of event (i.e. </w:t>
      </w:r>
      <w:r w:rsidRPr="00437962">
        <w:t xml:space="preserve">health services event </w:t>
      </w:r>
      <w:r w:rsidRPr="009A6C5C">
        <w:t xml:space="preserve">or </w:t>
      </w:r>
      <w:r>
        <w:t>f</w:t>
      </w:r>
      <w:r w:rsidRPr="009A6C5C">
        <w:t xml:space="preserve">ollow-up </w:t>
      </w:r>
      <w:r>
        <w:t>e</w:t>
      </w:r>
      <w:r w:rsidRPr="009A6C5C">
        <w:t>vent) or patient diagnosis</w:t>
      </w:r>
      <w:r>
        <w:t xml:space="preserve">. </w:t>
      </w:r>
    </w:p>
    <w:p w14:paraId="4330DBD5" w14:textId="089A4CF7" w:rsidR="00192720" w:rsidRPr="009A6C5C" w:rsidRDefault="00CF105A" w:rsidP="00192720">
      <w:pPr>
        <w:pStyle w:val="Heading3"/>
      </w:pPr>
      <w:bookmarkStart w:id="456" w:name="_Toc158583984"/>
      <w:bookmarkStart w:id="457" w:name="_Toc159324757"/>
      <w:bookmarkStart w:id="458" w:name="_Toc175550377"/>
      <w:r>
        <w:t>4.3.5</w:t>
      </w:r>
      <w:r>
        <w:tab/>
      </w:r>
      <w:r w:rsidR="00192720" w:rsidRPr="009A6C5C">
        <w:t>Formalising a data dictionary</w:t>
      </w:r>
      <w:bookmarkEnd w:id="456"/>
      <w:bookmarkEnd w:id="457"/>
      <w:bookmarkEnd w:id="458"/>
    </w:p>
    <w:p w14:paraId="446E574A" w14:textId="77777777" w:rsidR="00192720" w:rsidRPr="009A6C5C" w:rsidRDefault="00192720" w:rsidP="00CF105A">
      <w:r w:rsidRPr="009A6C5C">
        <w:t>Once the CQR information model has been defined, the publication of a data dictionary describing the model is an important step</w:t>
      </w:r>
      <w:r>
        <w:t xml:space="preserve">. </w:t>
      </w:r>
      <w:r w:rsidRPr="009A6C5C">
        <w:t>This will ensure that multiple organisations and institutions can readily contribute to and use the CQR data.</w:t>
      </w:r>
    </w:p>
    <w:p w14:paraId="581794B6" w14:textId="77777777" w:rsidR="00192720" w:rsidRPr="009A6C5C" w:rsidRDefault="00192720" w:rsidP="00CF105A">
      <w:r w:rsidRPr="009A6C5C">
        <w:t xml:space="preserve">A data dictionary must provide unambiguous definitions for all data elements, specify format, data-type information, usage guidelines and acceptable range or permissible values from a reference set, where applicable. </w:t>
      </w:r>
    </w:p>
    <w:p w14:paraId="1BB0FA5D" w14:textId="77777777" w:rsidR="00192720" w:rsidRPr="009A6C5C" w:rsidRDefault="00192720" w:rsidP="00CF105A">
      <w:r w:rsidRPr="009A6C5C">
        <w:t>Th</w:t>
      </w:r>
      <w:r>
        <w:t>is logical design, including a</w:t>
      </w:r>
      <w:r w:rsidRPr="009A6C5C">
        <w:t xml:space="preserve"> data dictionary describing the core information model</w:t>
      </w:r>
      <w:r>
        <w:t>,</w:t>
      </w:r>
      <w:r w:rsidRPr="009A6C5C">
        <w:t xml:space="preserve"> will form part of the CQR data dictionary.</w:t>
      </w:r>
      <w:r>
        <w:t xml:space="preserve"> This data dictionary is included in </w:t>
      </w:r>
      <w:r w:rsidRPr="00427134">
        <w:t xml:space="preserve">Section </w:t>
      </w:r>
      <w:r>
        <w:t>6</w:t>
      </w:r>
      <w:r w:rsidRPr="00427134">
        <w:t>.</w:t>
      </w:r>
      <w:r>
        <w:t>3</w:t>
      </w:r>
      <w:r w:rsidRPr="00427134">
        <w:t>.</w:t>
      </w:r>
    </w:p>
    <w:p w14:paraId="6F817901" w14:textId="77777777" w:rsidR="00192720" w:rsidRPr="00D60D69" w:rsidRDefault="00192720" w:rsidP="00CF105A">
      <w:r w:rsidRPr="009A6C5C">
        <w:t>Ideally</w:t>
      </w:r>
      <w:r>
        <w:t>,</w:t>
      </w:r>
      <w:r w:rsidRPr="009A6C5C">
        <w:t xml:space="preserve"> the complete data dictionary will be published to a central </w:t>
      </w:r>
      <w:r>
        <w:t>national resource providing a single point of reference for all CQRs.</w:t>
      </w:r>
    </w:p>
    <w:p w14:paraId="550C168B" w14:textId="77777777" w:rsidR="00192720" w:rsidRPr="00D60D69" w:rsidRDefault="00192720" w:rsidP="00192720">
      <w:pPr>
        <w:keepLines/>
        <w:rPr>
          <w:rFonts w:ascii="Verdana" w:hAnsi="Verdana"/>
          <w:sz w:val="20"/>
        </w:rPr>
        <w:sectPr w:rsidR="00192720" w:rsidRPr="00D60D69" w:rsidSect="007E6134">
          <w:pgSz w:w="11900" w:h="16840" w:code="9"/>
          <w:pgMar w:top="1418" w:right="843" w:bottom="1418" w:left="1418" w:header="680" w:footer="454" w:gutter="0"/>
          <w:cols w:space="708"/>
          <w:docGrid w:linePitch="360"/>
        </w:sectPr>
      </w:pPr>
    </w:p>
    <w:p w14:paraId="4BC9C403" w14:textId="7895D053" w:rsidR="00192720" w:rsidRDefault="00CF105A" w:rsidP="00192720">
      <w:pPr>
        <w:pStyle w:val="Heading1"/>
      </w:pPr>
      <w:bookmarkStart w:id="459" w:name="_5._Definitions,_acronyms"/>
      <w:bookmarkStart w:id="460" w:name="_Toc340679738"/>
      <w:bookmarkStart w:id="461" w:name="_Toc158583985"/>
      <w:bookmarkStart w:id="462" w:name="_Toc159324758"/>
      <w:bookmarkStart w:id="463" w:name="_Toc175550378"/>
      <w:bookmarkEnd w:id="459"/>
      <w:r>
        <w:lastRenderedPageBreak/>
        <w:t>5.</w:t>
      </w:r>
      <w:r>
        <w:tab/>
      </w:r>
      <w:r w:rsidR="00192720" w:rsidRPr="0007541F">
        <w:t xml:space="preserve">Definitions, </w:t>
      </w:r>
      <w:r w:rsidR="00192720">
        <w:t>a</w:t>
      </w:r>
      <w:r w:rsidR="00192720" w:rsidRPr="0007541F">
        <w:t xml:space="preserve">cronyms and </w:t>
      </w:r>
      <w:bookmarkEnd w:id="460"/>
      <w:r w:rsidR="00192720">
        <w:t>a</w:t>
      </w:r>
      <w:r w:rsidR="00192720" w:rsidRPr="0007541F">
        <w:t>bbreviations</w:t>
      </w:r>
      <w:bookmarkEnd w:id="461"/>
      <w:bookmarkEnd w:id="462"/>
      <w:bookmarkEnd w:id="463"/>
    </w:p>
    <w:p w14:paraId="1671880D" w14:textId="77777777" w:rsidR="00192720" w:rsidRPr="0007541F" w:rsidRDefault="00192720" w:rsidP="00192720">
      <w:pPr>
        <w:pStyle w:val="BodyText"/>
      </w:pPr>
    </w:p>
    <w:tbl>
      <w:tblPr>
        <w:tblStyle w:val="SurveyQuestions"/>
        <w:tblW w:w="5000" w:type="pct"/>
        <w:tblLook w:val="04A0" w:firstRow="1" w:lastRow="0" w:firstColumn="1" w:lastColumn="0" w:noHBand="0" w:noVBand="1"/>
      </w:tblPr>
      <w:tblGrid>
        <w:gridCol w:w="3326"/>
        <w:gridCol w:w="6302"/>
      </w:tblGrid>
      <w:tr w:rsidR="00192720" w:rsidRPr="000D0525" w14:paraId="189A7384" w14:textId="77777777" w:rsidTr="00CF105A">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727" w:type="pct"/>
            <w:vAlign w:val="center"/>
          </w:tcPr>
          <w:p w14:paraId="1C7D0FD9" w14:textId="77777777" w:rsidR="00192720" w:rsidRPr="00CF105A" w:rsidRDefault="00192720" w:rsidP="00CF105A">
            <w:pPr>
              <w:pStyle w:val="TableHeading"/>
              <w:rPr>
                <w:rFonts w:ascii="Arial" w:hAnsi="Arial" w:cs="Arial"/>
                <w:b/>
                <w:bCs/>
                <w:sz w:val="22"/>
                <w:szCs w:val="22"/>
              </w:rPr>
            </w:pPr>
            <w:r w:rsidRPr="00CF105A">
              <w:rPr>
                <w:rFonts w:ascii="Arial" w:hAnsi="Arial" w:cs="Arial"/>
                <w:b/>
                <w:bCs/>
                <w:sz w:val="22"/>
                <w:szCs w:val="22"/>
              </w:rPr>
              <w:t>Term / Acronym / Abbreviation</w:t>
            </w:r>
          </w:p>
        </w:tc>
        <w:tc>
          <w:tcPr>
            <w:tcW w:w="3273" w:type="pct"/>
            <w:vAlign w:val="center"/>
          </w:tcPr>
          <w:p w14:paraId="04D5C95C" w14:textId="77777777" w:rsidR="00192720" w:rsidRPr="00CF105A" w:rsidRDefault="00192720" w:rsidP="00CF105A">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bCs/>
                <w:sz w:val="22"/>
                <w:szCs w:val="22"/>
              </w:rPr>
            </w:pPr>
            <w:r w:rsidRPr="00CF105A">
              <w:rPr>
                <w:rFonts w:ascii="Arial" w:hAnsi="Arial" w:cs="Arial"/>
                <w:b/>
                <w:bCs/>
                <w:sz w:val="22"/>
                <w:szCs w:val="22"/>
              </w:rPr>
              <w:t>Definition</w:t>
            </w:r>
          </w:p>
        </w:tc>
      </w:tr>
      <w:tr w:rsidR="00192720" w:rsidRPr="000D0525" w14:paraId="66034E3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84E3F0E"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ACPR</w:t>
            </w:r>
          </w:p>
        </w:tc>
        <w:tc>
          <w:tcPr>
            <w:tcW w:w="3273" w:type="pct"/>
          </w:tcPr>
          <w:p w14:paraId="6CD5ED73"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Australian Cardiac Procedures Registry</w:t>
            </w:r>
          </w:p>
        </w:tc>
      </w:tr>
      <w:tr w:rsidR="00192720" w:rsidRPr="000D0525" w14:paraId="02F5342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27DD3E92"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ACSQHC</w:t>
            </w:r>
          </w:p>
        </w:tc>
        <w:tc>
          <w:tcPr>
            <w:tcW w:w="3273" w:type="pct"/>
          </w:tcPr>
          <w:p w14:paraId="6DB63AA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Australian Commission on Safety and Quality in Health Care</w:t>
            </w:r>
          </w:p>
        </w:tc>
      </w:tr>
      <w:tr w:rsidR="00192720" w:rsidRPr="000D0525" w14:paraId="72FA7AA7"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13DE45B0" w14:textId="77777777" w:rsidR="00192720" w:rsidRPr="000D0525" w:rsidRDefault="00192720" w:rsidP="00F07AF8">
            <w:pPr>
              <w:pStyle w:val="TableText"/>
              <w:rPr>
                <w:rFonts w:ascii="Arial" w:hAnsi="Arial" w:cs="Arial"/>
                <w:sz w:val="22"/>
                <w:szCs w:val="22"/>
              </w:rPr>
            </w:pPr>
            <w:r>
              <w:rPr>
                <w:rFonts w:ascii="Arial" w:hAnsi="Arial" w:cs="Arial"/>
                <w:sz w:val="22"/>
                <w:szCs w:val="22"/>
              </w:rPr>
              <w:t>ADHA</w:t>
            </w:r>
          </w:p>
        </w:tc>
        <w:tc>
          <w:tcPr>
            <w:tcW w:w="3273" w:type="pct"/>
          </w:tcPr>
          <w:p w14:paraId="5124270A"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Australian Digital Health Agency</w:t>
            </w:r>
          </w:p>
        </w:tc>
      </w:tr>
      <w:tr w:rsidR="00192720" w:rsidRPr="000D0525" w14:paraId="78412F45"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E405893"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AIHW </w:t>
            </w:r>
          </w:p>
        </w:tc>
        <w:tc>
          <w:tcPr>
            <w:tcW w:w="3273" w:type="pct"/>
          </w:tcPr>
          <w:p w14:paraId="5592B546"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Australian Institute of Health and Welfare </w:t>
            </w:r>
          </w:p>
        </w:tc>
      </w:tr>
      <w:tr w:rsidR="00192720" w:rsidRPr="000D0525" w14:paraId="3BCEAB25"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7BF5908"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AMT </w:t>
            </w:r>
          </w:p>
        </w:tc>
        <w:tc>
          <w:tcPr>
            <w:tcW w:w="3273" w:type="pct"/>
          </w:tcPr>
          <w:p w14:paraId="02C7889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Australian Medicines Terminology (AMT) – a national extension of SNOMED CT for use within information systems within Australia. </w:t>
            </w:r>
          </w:p>
        </w:tc>
      </w:tr>
      <w:tr w:rsidR="00192720" w:rsidRPr="000D0525" w14:paraId="0D018647"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2887214"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ANZICS </w:t>
            </w:r>
          </w:p>
        </w:tc>
        <w:tc>
          <w:tcPr>
            <w:tcW w:w="3273" w:type="pct"/>
          </w:tcPr>
          <w:p w14:paraId="478D2642"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Australian and New Zealand Intensive Care Society </w:t>
            </w:r>
          </w:p>
        </w:tc>
      </w:tr>
      <w:tr w:rsidR="00192720" w:rsidRPr="000D0525" w14:paraId="20150C1D"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E89032D"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AOM</w:t>
            </w:r>
          </w:p>
        </w:tc>
        <w:tc>
          <w:tcPr>
            <w:tcW w:w="3273" w:type="pct"/>
          </w:tcPr>
          <w:p w14:paraId="394B7D5C"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Adaptive Object Modelling</w:t>
            </w:r>
          </w:p>
        </w:tc>
      </w:tr>
      <w:tr w:rsidR="00192720" w:rsidRPr="000D0525" w14:paraId="20CB308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27E7845"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API</w:t>
            </w:r>
          </w:p>
        </w:tc>
        <w:tc>
          <w:tcPr>
            <w:tcW w:w="3273" w:type="pct"/>
          </w:tcPr>
          <w:p w14:paraId="28D8D0B3"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Application Programming Interface. A software intermediary that allows two applications to talk to each other. It consists of a s</w:t>
            </w:r>
            <w:r w:rsidRPr="000D0525">
              <w:rPr>
                <w:rFonts w:ascii="Arial" w:hAnsi="Arial" w:cs="Arial"/>
                <w:sz w:val="22"/>
                <w:szCs w:val="22"/>
              </w:rPr>
              <w:t xml:space="preserve">et of commands, functions, and protocols </w:t>
            </w:r>
            <w:r>
              <w:rPr>
                <w:rFonts w:ascii="Arial" w:hAnsi="Arial" w:cs="Arial"/>
                <w:sz w:val="22"/>
                <w:szCs w:val="22"/>
              </w:rPr>
              <w:t>that</w:t>
            </w:r>
            <w:r w:rsidRPr="000D0525">
              <w:rPr>
                <w:rFonts w:ascii="Arial" w:hAnsi="Arial" w:cs="Arial"/>
                <w:sz w:val="22"/>
                <w:szCs w:val="22"/>
              </w:rPr>
              <w:t xml:space="preserve"> programmers can use when building software. </w:t>
            </w:r>
            <w:r>
              <w:rPr>
                <w:rFonts w:ascii="Arial" w:hAnsi="Arial" w:cs="Arial"/>
                <w:sz w:val="22"/>
                <w:szCs w:val="22"/>
              </w:rPr>
              <w:t>It a</w:t>
            </w:r>
            <w:r w:rsidRPr="000D0525">
              <w:rPr>
                <w:rFonts w:ascii="Arial" w:hAnsi="Arial" w:cs="Arial"/>
                <w:sz w:val="22"/>
                <w:szCs w:val="22"/>
              </w:rPr>
              <w:t>llows the use of predefined functions to interact with a system, instead of writing them from scratch.</w:t>
            </w:r>
          </w:p>
        </w:tc>
      </w:tr>
      <w:tr w:rsidR="00192720" w:rsidRPr="000D0525" w14:paraId="347D2A7B"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2E1097A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Audit </w:t>
            </w:r>
          </w:p>
        </w:tc>
        <w:tc>
          <w:tcPr>
            <w:tcW w:w="3273" w:type="pct"/>
          </w:tcPr>
          <w:p w14:paraId="4D96FD3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An examination or review that </w:t>
            </w:r>
            <w:r w:rsidRPr="00F40D02">
              <w:rPr>
                <w:rFonts w:ascii="Arial" w:hAnsi="Arial" w:cs="Arial"/>
                <w:sz w:val="22"/>
                <w:szCs w:val="22"/>
              </w:rPr>
              <w:t>establishes</w:t>
            </w:r>
            <w:r w:rsidRPr="00922E09">
              <w:rPr>
                <w:rFonts w:ascii="Arial" w:hAnsi="Arial" w:cs="Arial"/>
                <w:color w:val="FF2F92"/>
                <w:sz w:val="22"/>
                <w:szCs w:val="22"/>
              </w:rPr>
              <w:t xml:space="preserve"> </w:t>
            </w:r>
            <w:r w:rsidRPr="000D0525">
              <w:rPr>
                <w:rFonts w:ascii="Arial" w:hAnsi="Arial" w:cs="Arial"/>
                <w:sz w:val="22"/>
                <w:szCs w:val="22"/>
              </w:rPr>
              <w:t xml:space="preserve">the extent to which a condition, process or performance conforms to predetermined standards or criteria. Audits may be carried out on the provision of care, compliance, community response and completeness of records. </w:t>
            </w:r>
          </w:p>
        </w:tc>
      </w:tr>
      <w:tr w:rsidR="00192720" w:rsidRPr="000D0525" w14:paraId="3416807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40D3820E"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AUSCR</w:t>
            </w:r>
          </w:p>
        </w:tc>
        <w:tc>
          <w:tcPr>
            <w:tcW w:w="3273" w:type="pct"/>
          </w:tcPr>
          <w:p w14:paraId="0D3136F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Australian Stroke Clinical Registry</w:t>
            </w:r>
          </w:p>
        </w:tc>
      </w:tr>
      <w:tr w:rsidR="00192720" w:rsidRPr="000D0525" w14:paraId="4C7D9DE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E4A394E"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Benchmark</w:t>
            </w:r>
            <w:r>
              <w:rPr>
                <w:rFonts w:ascii="Arial" w:hAnsi="Arial" w:cs="Arial"/>
                <w:sz w:val="22"/>
                <w:szCs w:val="22"/>
              </w:rPr>
              <w:t>ing</w:t>
            </w:r>
            <w:r w:rsidRPr="000D0525">
              <w:rPr>
                <w:rFonts w:ascii="Arial" w:hAnsi="Arial" w:cs="Arial"/>
                <w:sz w:val="22"/>
                <w:szCs w:val="22"/>
              </w:rPr>
              <w:t xml:space="preserve"> </w:t>
            </w:r>
          </w:p>
        </w:tc>
        <w:tc>
          <w:tcPr>
            <w:tcW w:w="3273" w:type="pct"/>
          </w:tcPr>
          <w:p w14:paraId="60853F66" w14:textId="688A8977" w:rsidR="00192720" w:rsidRPr="00380EE4"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cs="Arial"/>
                <w:bCs w:val="0"/>
                <w:sz w:val="22"/>
                <w:szCs w:val="22"/>
              </w:rPr>
            </w:pPr>
            <w:r w:rsidRPr="00380EE4">
              <w:rPr>
                <w:rFonts w:ascii="Arial" w:hAnsi="Arial" w:cs="Arial"/>
                <w:sz w:val="22"/>
                <w:szCs w:val="22"/>
              </w:rPr>
              <w:t>Benchmarking is the process of measuring patient care and outcomes against other comparable healthcare organisations or practices</w:t>
            </w:r>
            <w:r w:rsidR="001C2D39" w:rsidRPr="001C2D39">
              <w:rPr>
                <w:rFonts w:ascii="Arial" w:hAnsi="Arial" w:cs="Arial"/>
                <w:sz w:val="22"/>
                <w:szCs w:val="22"/>
                <w:vertAlign w:val="superscript"/>
              </w:rPr>
              <w:t>10</w:t>
            </w:r>
            <w:r w:rsidRPr="00380EE4">
              <w:rPr>
                <w:rFonts w:ascii="Arial" w:hAnsi="Arial" w:cs="Arial"/>
                <w:sz w:val="22"/>
                <w:szCs w:val="22"/>
              </w:rPr>
              <w:t>. Risk-adjusted models must be applied to the data.</w:t>
            </w:r>
          </w:p>
          <w:p w14:paraId="72DE12A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192720" w:rsidRPr="000D0525" w14:paraId="49E5466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A1E9017"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Clinical governance </w:t>
            </w:r>
          </w:p>
        </w:tc>
        <w:tc>
          <w:tcPr>
            <w:tcW w:w="3273" w:type="pct"/>
          </w:tcPr>
          <w:p w14:paraId="518A838B" w14:textId="449C27EB"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w:t>
            </w:r>
            <w:r w:rsidRPr="00811820">
              <w:rPr>
                <w:rFonts w:ascii="Arial" w:hAnsi="Arial" w:cs="Arial"/>
                <w:sz w:val="22"/>
                <w:szCs w:val="22"/>
              </w:rPr>
              <w:t>n integrated component of corporate governance of health service organisations. It ensures that everyone – from frontline clinicians to managers and members of governing bodies, such as boards – is accountable to patients and the community for assuring the delivery of safe, effective and high-quality services. It is the set of relationships and responsibilities established by a health service organisation between its governing body, executive, clinicians, patients and consumers, to deliver safe and quality health care. Clinical governance systems provide confidence to the community and the healthcare organisation that systems are in place to deliver safe and high-quality health care</w:t>
            </w:r>
            <w:r w:rsidR="001C2D39" w:rsidRPr="001C2D39">
              <w:rPr>
                <w:vertAlign w:val="superscript"/>
              </w:rPr>
              <w:t>11</w:t>
            </w:r>
            <w:r w:rsidRPr="00811820">
              <w:rPr>
                <w:rFonts w:ascii="Arial" w:hAnsi="Arial" w:cs="Arial"/>
                <w:sz w:val="22"/>
                <w:szCs w:val="22"/>
              </w:rPr>
              <w:t>.</w:t>
            </w:r>
          </w:p>
        </w:tc>
      </w:tr>
      <w:tr w:rsidR="00192720" w:rsidRPr="000D0525" w14:paraId="77A98015"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BCA041A"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Clinical Quality Registry</w:t>
            </w:r>
          </w:p>
        </w:tc>
        <w:tc>
          <w:tcPr>
            <w:tcW w:w="3273" w:type="pct"/>
          </w:tcPr>
          <w:p w14:paraId="7FDA6033" w14:textId="0D7D3B4B" w:rsidR="00192720" w:rsidRPr="000D0525" w:rsidRDefault="00192720" w:rsidP="00313193">
            <w:pPr>
              <w:pStyle w:val="TableText"/>
              <w:cnfStyle w:val="000000000000" w:firstRow="0" w:lastRow="0" w:firstColumn="0" w:lastColumn="0" w:oddVBand="0" w:evenVBand="0" w:oddHBand="0" w:evenHBand="0" w:firstRowFirstColumn="0" w:firstRowLastColumn="0" w:lastRowFirstColumn="0" w:lastRowLastColumn="0"/>
            </w:pPr>
            <w:r w:rsidRPr="000D0525">
              <w:rPr>
                <w:rFonts w:ascii="Arial" w:hAnsi="Arial" w:cs="Arial"/>
                <w:sz w:val="22"/>
                <w:szCs w:val="22"/>
                <w:lang w:val="en-US"/>
              </w:rPr>
              <w:t xml:space="preserve">Clinical </w:t>
            </w:r>
            <w:r>
              <w:rPr>
                <w:rFonts w:ascii="Arial" w:hAnsi="Arial" w:cs="Arial"/>
                <w:sz w:val="22"/>
                <w:szCs w:val="22"/>
                <w:lang w:val="en-US"/>
              </w:rPr>
              <w:t>Q</w:t>
            </w:r>
            <w:r w:rsidRPr="000D0525">
              <w:rPr>
                <w:rFonts w:ascii="Arial" w:hAnsi="Arial" w:cs="Arial"/>
                <w:sz w:val="22"/>
                <w:szCs w:val="22"/>
                <w:lang w:val="en-US"/>
              </w:rPr>
              <w:t xml:space="preserve">uality </w:t>
            </w:r>
            <w:r>
              <w:rPr>
                <w:rFonts w:ascii="Arial" w:hAnsi="Arial" w:cs="Arial"/>
                <w:sz w:val="22"/>
                <w:szCs w:val="22"/>
                <w:lang w:val="en-US"/>
              </w:rPr>
              <w:t>R</w:t>
            </w:r>
            <w:r w:rsidRPr="000D0525">
              <w:rPr>
                <w:rFonts w:ascii="Arial" w:hAnsi="Arial" w:cs="Arial"/>
                <w:sz w:val="22"/>
                <w:szCs w:val="22"/>
                <w:lang w:val="en-US"/>
              </w:rPr>
              <w:t xml:space="preserve">egistries </w:t>
            </w:r>
            <w:r w:rsidR="007B7CF7">
              <w:rPr>
                <w:rFonts w:ascii="Arial" w:hAnsi="Arial" w:cs="Arial"/>
                <w:sz w:val="22"/>
                <w:szCs w:val="22"/>
                <w:lang w:val="en-US"/>
              </w:rPr>
              <w:t xml:space="preserve">are a specific type of clinical registry focused on routinely collecting and analysing health outcome data, and generating risk-adjusted reports, for the purpose of driving ongoing improvements in safety and quality. </w:t>
            </w:r>
          </w:p>
        </w:tc>
      </w:tr>
      <w:tr w:rsidR="00192720" w:rsidRPr="000D0525" w14:paraId="681DC87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CA393B3"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lastRenderedPageBreak/>
              <w:t xml:space="preserve">Clinical trial </w:t>
            </w:r>
          </w:p>
        </w:tc>
        <w:tc>
          <w:tcPr>
            <w:tcW w:w="3273" w:type="pct"/>
          </w:tcPr>
          <w:p w14:paraId="6A660D6C"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Any research project that prospectively assigns human participants or groups to one or more health-related interventions to evaluate the effects on health outcomes. </w:t>
            </w:r>
          </w:p>
        </w:tc>
      </w:tr>
      <w:tr w:rsidR="00192720" w:rsidRPr="000D0525" w14:paraId="10607F3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99F7995"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Clinician </w:t>
            </w:r>
          </w:p>
        </w:tc>
        <w:tc>
          <w:tcPr>
            <w:tcW w:w="3273" w:type="pct"/>
          </w:tcPr>
          <w:p w14:paraId="56081D7F"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 health professional whose practice is based on direct observation and treatment of a patient, as distinguished </w:t>
            </w:r>
            <w:r w:rsidRPr="00F40D02">
              <w:rPr>
                <w:rFonts w:ascii="Arial" w:hAnsi="Arial" w:cs="Arial"/>
                <w:sz w:val="22"/>
                <w:szCs w:val="22"/>
              </w:rPr>
              <w:t xml:space="preserve">from </w:t>
            </w:r>
            <w:r w:rsidRPr="000D0525">
              <w:rPr>
                <w:rFonts w:ascii="Arial" w:hAnsi="Arial" w:cs="Arial"/>
                <w:sz w:val="22"/>
                <w:szCs w:val="22"/>
              </w:rPr>
              <w:t xml:space="preserve">other types of health workers, such as laboratory technicians and those employed for research. </w:t>
            </w:r>
          </w:p>
        </w:tc>
      </w:tr>
      <w:tr w:rsidR="00192720" w:rsidRPr="000D0525" w14:paraId="5A2D393B"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0FCE793"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CQR</w:t>
            </w:r>
          </w:p>
        </w:tc>
        <w:tc>
          <w:tcPr>
            <w:tcW w:w="3273" w:type="pct"/>
          </w:tcPr>
          <w:p w14:paraId="614CCBA4"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Clinical Quality Registry</w:t>
            </w:r>
          </w:p>
        </w:tc>
      </w:tr>
      <w:tr w:rsidR="00192720" w:rsidRPr="000D0525" w14:paraId="37ED445D"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13F9606E"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CSV</w:t>
            </w:r>
          </w:p>
        </w:tc>
        <w:tc>
          <w:tcPr>
            <w:tcW w:w="3273" w:type="pct"/>
          </w:tcPr>
          <w:p w14:paraId="60F5273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Comma Separated Values</w:t>
            </w:r>
          </w:p>
        </w:tc>
      </w:tr>
      <w:tr w:rsidR="00192720" w:rsidRPr="000D0525" w14:paraId="3CC6A91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24647B27"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DMZ</w:t>
            </w:r>
          </w:p>
        </w:tc>
        <w:tc>
          <w:tcPr>
            <w:tcW w:w="3273" w:type="pct"/>
          </w:tcPr>
          <w:p w14:paraId="3DD5591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De-Militarised Zone. Computer or small subnetwork that</w:t>
            </w:r>
            <w:r>
              <w:rPr>
                <w:rFonts w:ascii="Arial" w:hAnsi="Arial" w:cs="Arial"/>
                <w:sz w:val="22"/>
                <w:szCs w:val="22"/>
              </w:rPr>
              <w:t xml:space="preserve"> is</w:t>
            </w:r>
            <w:r w:rsidRPr="000D0525">
              <w:rPr>
                <w:rFonts w:ascii="Arial" w:hAnsi="Arial" w:cs="Arial"/>
                <w:sz w:val="22"/>
                <w:szCs w:val="22"/>
              </w:rPr>
              <w:t xml:space="preserve"> present between a trusted internal network and untrusted external network(s). Adds an additional layer of security to an organisation's </w:t>
            </w:r>
            <w:r w:rsidRPr="00F40D02">
              <w:rPr>
                <w:rFonts w:ascii="Arial" w:hAnsi="Arial" w:cs="Arial"/>
                <w:sz w:val="22"/>
                <w:szCs w:val="22"/>
              </w:rPr>
              <w:t>local area network (LAN).</w:t>
            </w:r>
          </w:p>
        </w:tc>
      </w:tr>
      <w:tr w:rsidR="00192720" w:rsidRPr="000D0525" w14:paraId="08372239"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2C52590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FHIR</w:t>
            </w:r>
          </w:p>
        </w:tc>
        <w:tc>
          <w:tcPr>
            <w:tcW w:w="3273" w:type="pct"/>
          </w:tcPr>
          <w:p w14:paraId="6E2E7B2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Fast Healthcare Interoperability Resource</w:t>
            </w:r>
          </w:p>
        </w:tc>
      </w:tr>
      <w:tr w:rsidR="00192720" w:rsidRPr="000D0525" w14:paraId="7229909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462887D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Firewall</w:t>
            </w:r>
          </w:p>
        </w:tc>
        <w:tc>
          <w:tcPr>
            <w:tcW w:w="3273" w:type="pct"/>
          </w:tcPr>
          <w:p w14:paraId="1BF070F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Device(s) designed to prevent unauthorised transmission to or from a private network based on a set of rules. Used to protect networks from unauthorised access while permitting legitimate communications to pass through</w:t>
            </w:r>
          </w:p>
        </w:tc>
      </w:tr>
      <w:tr w:rsidR="00192720" w:rsidRPr="000D0525" w14:paraId="589062E9"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F9DA051"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Guideline </w:t>
            </w:r>
          </w:p>
        </w:tc>
        <w:tc>
          <w:tcPr>
            <w:tcW w:w="3273" w:type="pct"/>
          </w:tcPr>
          <w:p w14:paraId="1D1C0FA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 formal statement about a defined task or function. In the terminology developed by the European Community, directives are stronger than recommendations, which are in turn stronger than guidelines.</w:t>
            </w:r>
          </w:p>
        </w:tc>
      </w:tr>
      <w:tr w:rsidR="00192720" w:rsidRPr="000D0525" w14:paraId="2835720F"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62F732A"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HI Services</w:t>
            </w:r>
          </w:p>
        </w:tc>
        <w:tc>
          <w:tcPr>
            <w:tcW w:w="3273" w:type="pct"/>
          </w:tcPr>
          <w:p w14:paraId="5561E906"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Healthcare Identifier Services. Also see HPI and IHI. </w:t>
            </w:r>
          </w:p>
        </w:tc>
      </w:tr>
      <w:tr w:rsidR="00192720" w:rsidRPr="000D0525" w14:paraId="09CE04B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25656BFD" w14:textId="77777777" w:rsidR="00192720" w:rsidRDefault="00192720" w:rsidP="00F07AF8">
            <w:pPr>
              <w:pStyle w:val="TableText"/>
              <w:rPr>
                <w:rFonts w:ascii="Arial" w:hAnsi="Arial" w:cs="Arial"/>
                <w:sz w:val="22"/>
                <w:szCs w:val="22"/>
              </w:rPr>
            </w:pPr>
            <w:r w:rsidRPr="000D0525">
              <w:rPr>
                <w:rFonts w:ascii="Arial" w:hAnsi="Arial" w:cs="Arial"/>
                <w:sz w:val="22"/>
                <w:szCs w:val="22"/>
              </w:rPr>
              <w:t>HL7</w:t>
            </w:r>
          </w:p>
          <w:p w14:paraId="3EEC87C6" w14:textId="77777777" w:rsidR="00192720" w:rsidRDefault="00192720" w:rsidP="00F07AF8">
            <w:pPr>
              <w:pStyle w:val="TableText"/>
              <w:rPr>
                <w:rFonts w:ascii="Arial" w:hAnsi="Arial" w:cs="Arial"/>
                <w:sz w:val="22"/>
                <w:szCs w:val="22"/>
              </w:rPr>
            </w:pPr>
          </w:p>
          <w:p w14:paraId="13219FFB" w14:textId="77777777" w:rsidR="00192720" w:rsidRDefault="00192720" w:rsidP="00F07AF8">
            <w:pPr>
              <w:pStyle w:val="TableText"/>
              <w:rPr>
                <w:rFonts w:ascii="Arial" w:hAnsi="Arial" w:cs="Arial"/>
                <w:sz w:val="22"/>
                <w:szCs w:val="22"/>
              </w:rPr>
            </w:pPr>
          </w:p>
          <w:p w14:paraId="0C032CFD" w14:textId="77777777" w:rsidR="00192720" w:rsidRDefault="00192720" w:rsidP="00F07AF8">
            <w:pPr>
              <w:pStyle w:val="TableText"/>
              <w:rPr>
                <w:rFonts w:ascii="Arial" w:hAnsi="Arial" w:cs="Arial"/>
                <w:sz w:val="22"/>
                <w:szCs w:val="22"/>
              </w:rPr>
            </w:pPr>
          </w:p>
          <w:p w14:paraId="70E1A05A" w14:textId="77777777" w:rsidR="00192720" w:rsidRDefault="00192720" w:rsidP="00F07AF8">
            <w:pPr>
              <w:pStyle w:val="TableText"/>
              <w:rPr>
                <w:rFonts w:ascii="Arial" w:hAnsi="Arial" w:cs="Arial"/>
                <w:sz w:val="22"/>
                <w:szCs w:val="22"/>
              </w:rPr>
            </w:pPr>
          </w:p>
          <w:p w14:paraId="1AD1909D" w14:textId="77777777" w:rsidR="00192720" w:rsidRPr="000D0525" w:rsidRDefault="00192720" w:rsidP="00F07AF8">
            <w:pPr>
              <w:pStyle w:val="TableText"/>
              <w:rPr>
                <w:rFonts w:ascii="Arial" w:hAnsi="Arial" w:cs="Arial"/>
                <w:sz w:val="22"/>
                <w:szCs w:val="22"/>
              </w:rPr>
            </w:pPr>
            <w:r>
              <w:rPr>
                <w:rFonts w:ascii="Arial" w:hAnsi="Arial" w:cs="Arial"/>
                <w:sz w:val="22"/>
                <w:szCs w:val="22"/>
              </w:rPr>
              <w:t>HL7 ORU</w:t>
            </w:r>
          </w:p>
        </w:tc>
        <w:tc>
          <w:tcPr>
            <w:tcW w:w="3273" w:type="pct"/>
          </w:tcPr>
          <w:p w14:paraId="74A58A82" w14:textId="77777777" w:rsidR="00192720"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Health Level Seven (HL7)</w:t>
            </w:r>
            <w:r>
              <w:rPr>
                <w:rFonts w:ascii="Arial" w:hAnsi="Arial" w:cs="Arial"/>
                <w:sz w:val="22"/>
                <w:szCs w:val="22"/>
              </w:rPr>
              <w:t xml:space="preserve"> </w:t>
            </w:r>
            <w:r w:rsidRPr="000D0525">
              <w:rPr>
                <w:rFonts w:ascii="Arial" w:hAnsi="Arial" w:cs="Arial"/>
                <w:sz w:val="22"/>
                <w:szCs w:val="22"/>
              </w:rPr>
              <w:t>is an all-volunteer, not-for-profit organisation involved in development of international healthcare standards. HL7 is also used to refer to some of the specific standards created by the organisation.</w:t>
            </w:r>
          </w:p>
          <w:p w14:paraId="0DBF9544"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76F24">
              <w:rPr>
                <w:rFonts w:ascii="Arial" w:hAnsi="Arial" w:cs="Arial"/>
                <w:sz w:val="22"/>
                <w:szCs w:val="22"/>
              </w:rPr>
              <w:t>An </w:t>
            </w:r>
            <w:r w:rsidRPr="00522056">
              <w:rPr>
                <w:rFonts w:ascii="Arial" w:hAnsi="Arial" w:cs="Arial"/>
                <w:bCs w:val="0"/>
                <w:sz w:val="22"/>
                <w:szCs w:val="22"/>
              </w:rPr>
              <w:t>HL7 Observation Result (ORU) message</w:t>
            </w:r>
            <w:r w:rsidRPr="00576F24">
              <w:rPr>
                <w:rFonts w:ascii="Arial" w:hAnsi="Arial" w:cs="Arial"/>
                <w:bCs w:val="0"/>
                <w:sz w:val="22"/>
                <w:szCs w:val="22"/>
              </w:rPr>
              <w:t> </w:t>
            </w:r>
            <w:r w:rsidRPr="00576F24">
              <w:rPr>
                <w:rFonts w:ascii="Arial" w:hAnsi="Arial" w:cs="Arial"/>
                <w:sz w:val="22"/>
                <w:szCs w:val="22"/>
              </w:rPr>
              <w:t xml:space="preserve">contains information about a patient’s clinical observations and is used in response to an order generated in a clinical system (HL7 </w:t>
            </w:r>
            <w:r>
              <w:rPr>
                <w:rFonts w:ascii="Arial" w:hAnsi="Arial" w:cs="Arial"/>
                <w:sz w:val="22"/>
                <w:szCs w:val="22"/>
              </w:rPr>
              <w:t>ORU</w:t>
            </w:r>
            <w:r w:rsidRPr="00576F24">
              <w:rPr>
                <w:rFonts w:ascii="Arial" w:hAnsi="Arial" w:cs="Arial"/>
                <w:sz w:val="22"/>
                <w:szCs w:val="22"/>
              </w:rPr>
              <w:t xml:space="preserve"> message). ORU messages are most commonly used within the context of EKG studies, laboratory results, imaging studies, and medical interpretations. They have also been used to communicate order and results information for the purpose of clinical trials (e.g. drug development). It is important to note that ORU messages do not natively contain images, but use a combination of text, codes and numbers to communicate results.</w:t>
            </w:r>
          </w:p>
        </w:tc>
      </w:tr>
      <w:tr w:rsidR="00192720" w:rsidRPr="000D0525" w14:paraId="545F6448"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F98482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HPI </w:t>
            </w:r>
          </w:p>
        </w:tc>
        <w:tc>
          <w:tcPr>
            <w:tcW w:w="3273" w:type="pct"/>
          </w:tcPr>
          <w:p w14:paraId="501518A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Healthcare Provider Identifier – for both individual providers (HPI-I) and for provider organisations (HPI-O) </w:t>
            </w:r>
          </w:p>
        </w:tc>
      </w:tr>
      <w:tr w:rsidR="00192720" w:rsidRPr="000D0525" w14:paraId="7B9068CF"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A96FF0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ICD10 </w:t>
            </w:r>
          </w:p>
        </w:tc>
        <w:tc>
          <w:tcPr>
            <w:tcW w:w="3273" w:type="pct"/>
          </w:tcPr>
          <w:p w14:paraId="3DC2F727"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International Statistical Classification of Diseases and Related Health Problems, Tenth Revision </w:t>
            </w:r>
          </w:p>
        </w:tc>
      </w:tr>
      <w:tr w:rsidR="00192720" w:rsidRPr="000D0525" w14:paraId="4D1D615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E11BEA3"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ICD10-AM </w:t>
            </w:r>
          </w:p>
        </w:tc>
        <w:tc>
          <w:tcPr>
            <w:tcW w:w="3273" w:type="pct"/>
          </w:tcPr>
          <w:p w14:paraId="39CB739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International Statistical Classification of Diseases and Related Health Problems, Tenth Revision, Australian Modification </w:t>
            </w:r>
          </w:p>
        </w:tc>
      </w:tr>
      <w:tr w:rsidR="00192720" w:rsidRPr="000D0525" w14:paraId="664B951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B2CDE8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IHI </w:t>
            </w:r>
          </w:p>
        </w:tc>
        <w:tc>
          <w:tcPr>
            <w:tcW w:w="3273" w:type="pct"/>
          </w:tcPr>
          <w:p w14:paraId="03621EFD"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Individual Healthcare Identifier – a unique identifier for users of health care. </w:t>
            </w:r>
          </w:p>
        </w:tc>
      </w:tr>
      <w:tr w:rsidR="00192720" w:rsidRPr="000D0525" w14:paraId="4D3F147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CA2A01D"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ISO </w:t>
            </w:r>
          </w:p>
        </w:tc>
        <w:tc>
          <w:tcPr>
            <w:tcW w:w="3273" w:type="pct"/>
          </w:tcPr>
          <w:p w14:paraId="05E56ACE"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International Organization for Standardization </w:t>
            </w:r>
          </w:p>
        </w:tc>
      </w:tr>
      <w:tr w:rsidR="00192720" w:rsidRPr="000D0525" w14:paraId="24CFC19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800D27B"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lastRenderedPageBreak/>
              <w:t>LAN</w:t>
            </w:r>
          </w:p>
        </w:tc>
        <w:tc>
          <w:tcPr>
            <w:tcW w:w="3273" w:type="pct"/>
          </w:tcPr>
          <w:p w14:paraId="2297637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Loca</w:t>
            </w:r>
            <w:r w:rsidRPr="00F40D02">
              <w:rPr>
                <w:rFonts w:ascii="Arial" w:hAnsi="Arial" w:cs="Arial"/>
                <w:sz w:val="22"/>
                <w:szCs w:val="22"/>
              </w:rPr>
              <w:t xml:space="preserve">l area </w:t>
            </w:r>
            <w:r>
              <w:rPr>
                <w:rFonts w:ascii="Arial" w:hAnsi="Arial" w:cs="Arial"/>
                <w:sz w:val="22"/>
                <w:szCs w:val="22"/>
              </w:rPr>
              <w:t>n</w:t>
            </w:r>
            <w:r w:rsidRPr="000D0525">
              <w:rPr>
                <w:rFonts w:ascii="Arial" w:hAnsi="Arial" w:cs="Arial"/>
                <w:sz w:val="22"/>
                <w:szCs w:val="22"/>
              </w:rPr>
              <w:t>etwork (LAN)</w:t>
            </w:r>
            <w:r>
              <w:rPr>
                <w:rFonts w:ascii="Arial" w:hAnsi="Arial" w:cs="Arial"/>
                <w:sz w:val="22"/>
                <w:szCs w:val="22"/>
              </w:rPr>
              <w:t xml:space="preserve"> – c</w:t>
            </w:r>
            <w:r w:rsidRPr="000D0525">
              <w:rPr>
                <w:rFonts w:ascii="Arial" w:hAnsi="Arial" w:cs="Arial"/>
                <w:sz w:val="22"/>
                <w:szCs w:val="22"/>
              </w:rPr>
              <w:t>omputer network that interconnects computers in a limited area such as an office building providing high data transfer rates</w:t>
            </w:r>
          </w:p>
        </w:tc>
      </w:tr>
      <w:tr w:rsidR="00192720" w:rsidRPr="000D0525" w14:paraId="3B36845E"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141C2BF"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METeOR </w:t>
            </w:r>
          </w:p>
        </w:tc>
        <w:tc>
          <w:tcPr>
            <w:tcW w:w="3273" w:type="pct"/>
          </w:tcPr>
          <w:p w14:paraId="62D908E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Metadata Online Registry – Australia’s repository for national data standards for health, housing and community services statistics and information. </w:t>
            </w:r>
          </w:p>
        </w:tc>
      </w:tr>
      <w:tr w:rsidR="00192720" w:rsidRPr="000D0525" w14:paraId="0D2258B1"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580E1D1"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Minimum dataset </w:t>
            </w:r>
          </w:p>
        </w:tc>
        <w:tc>
          <w:tcPr>
            <w:tcW w:w="3273" w:type="pct"/>
          </w:tcPr>
          <w:p w14:paraId="2C63D65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 widely agreed on and generally accepted set of terms and definitions constituting core data acquired for medical records and employed for developing statistics suitable for diverse types of analyses and users.</w:t>
            </w:r>
          </w:p>
        </w:tc>
      </w:tr>
      <w:tr w:rsidR="00192720" w:rsidRPr="000D0525" w14:paraId="0C7D3DF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9B141A8"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NASH</w:t>
            </w:r>
          </w:p>
        </w:tc>
        <w:tc>
          <w:tcPr>
            <w:tcW w:w="3273" w:type="pct"/>
          </w:tcPr>
          <w:p w14:paraId="2030D58D"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National Authentication Service for Health</w:t>
            </w:r>
          </w:p>
        </w:tc>
      </w:tr>
      <w:tr w:rsidR="00192720" w:rsidRPr="000D0525" w14:paraId="77E6966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BBE1779"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National Health Data Dictionary (NHDD) </w:t>
            </w:r>
          </w:p>
        </w:tc>
        <w:tc>
          <w:tcPr>
            <w:tcW w:w="3273" w:type="pct"/>
          </w:tcPr>
          <w:p w14:paraId="06975D6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The national metadata standards for the health sector are published in the National Health Data Dictionary by the Australian Institute of Health and Welfare. The data dictionary is a reference of standardised, accepted terms and protocols used for data collection in the </w:t>
            </w:r>
            <w:r>
              <w:rPr>
                <w:rFonts w:ascii="Arial" w:hAnsi="Arial" w:cs="Arial"/>
                <w:sz w:val="22"/>
                <w:szCs w:val="22"/>
              </w:rPr>
              <w:t>h</w:t>
            </w:r>
            <w:r w:rsidRPr="000D0525">
              <w:rPr>
                <w:rFonts w:ascii="Arial" w:hAnsi="Arial" w:cs="Arial"/>
                <w:sz w:val="22"/>
                <w:szCs w:val="22"/>
              </w:rPr>
              <w:t>ealth sector.</w:t>
            </w:r>
          </w:p>
        </w:tc>
      </w:tr>
      <w:tr w:rsidR="00192720" w:rsidRPr="000D0525" w14:paraId="0C9B2797"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424B56C"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NBCA</w:t>
            </w:r>
          </w:p>
        </w:tc>
        <w:tc>
          <w:tcPr>
            <w:tcW w:w="3273" w:type="pct"/>
          </w:tcPr>
          <w:p w14:paraId="6F50DF8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National Breast Cancer Audit</w:t>
            </w:r>
          </w:p>
        </w:tc>
      </w:tr>
      <w:tr w:rsidR="00192720" w:rsidRPr="000D0525" w14:paraId="59EFCDF9"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4DB5BBD6"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NHMRC </w:t>
            </w:r>
          </w:p>
        </w:tc>
        <w:tc>
          <w:tcPr>
            <w:tcW w:w="3273" w:type="pct"/>
          </w:tcPr>
          <w:p w14:paraId="4FF3E046"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National Health and Medical Research Council </w:t>
            </w:r>
          </w:p>
        </w:tc>
      </w:tr>
      <w:tr w:rsidR="00192720" w:rsidRPr="000D0525" w14:paraId="103BA564"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FBD9C8D"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NJRR</w:t>
            </w:r>
          </w:p>
        </w:tc>
        <w:tc>
          <w:tcPr>
            <w:tcW w:w="3273" w:type="pct"/>
          </w:tcPr>
          <w:p w14:paraId="082BB7ED"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National Joint Replacement Registry</w:t>
            </w:r>
          </w:p>
        </w:tc>
      </w:tr>
      <w:tr w:rsidR="00192720" w:rsidRPr="000D0525" w14:paraId="198C6CC9"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B4499D6"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NMDS </w:t>
            </w:r>
          </w:p>
        </w:tc>
        <w:tc>
          <w:tcPr>
            <w:tcW w:w="3273" w:type="pct"/>
          </w:tcPr>
          <w:p w14:paraId="71CE7C8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National Minimum Data Set </w:t>
            </w:r>
          </w:p>
        </w:tc>
      </w:tr>
      <w:tr w:rsidR="00192720" w:rsidRPr="000D0525" w14:paraId="0ED9CD6B"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B362CC4"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NPC </w:t>
            </w:r>
          </w:p>
        </w:tc>
        <w:tc>
          <w:tcPr>
            <w:tcW w:w="3273" w:type="pct"/>
          </w:tcPr>
          <w:p w14:paraId="28603B9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National Product Catalogue </w:t>
            </w:r>
          </w:p>
        </w:tc>
      </w:tr>
      <w:tr w:rsidR="00192720" w:rsidRPr="000D0525" w14:paraId="3BC03AC8"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4AA4DFF"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OCR</w:t>
            </w:r>
          </w:p>
        </w:tc>
        <w:tc>
          <w:tcPr>
            <w:tcW w:w="3273" w:type="pct"/>
          </w:tcPr>
          <w:p w14:paraId="247F1E7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Optical Character Recognition</w:t>
            </w:r>
          </w:p>
        </w:tc>
      </w:tr>
      <w:tr w:rsidR="00192720" w:rsidRPr="000D0525" w14:paraId="2506B09F"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89BE10C"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OMG</w:t>
            </w:r>
          </w:p>
        </w:tc>
        <w:tc>
          <w:tcPr>
            <w:tcW w:w="3273" w:type="pct"/>
          </w:tcPr>
          <w:p w14:paraId="6F1573C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Object Management Group – a consortium, originally aimed at setting standards for distributed object-oriented systems, focused on modelling (programs, systems and business processes) and model-based standards.</w:t>
            </w:r>
          </w:p>
        </w:tc>
      </w:tr>
      <w:tr w:rsidR="00192720" w:rsidRPr="000D0525" w14:paraId="5AB426C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CB280D5"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PBS </w:t>
            </w:r>
          </w:p>
        </w:tc>
        <w:tc>
          <w:tcPr>
            <w:tcW w:w="3273" w:type="pct"/>
          </w:tcPr>
          <w:p w14:paraId="37052047"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Pharmaceutical Benefits Scheme </w:t>
            </w:r>
          </w:p>
        </w:tc>
      </w:tr>
      <w:tr w:rsidR="00192720" w:rsidRPr="000D0525" w14:paraId="69BC9880"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4C4051BF"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Quality of care </w:t>
            </w:r>
          </w:p>
        </w:tc>
        <w:tc>
          <w:tcPr>
            <w:tcW w:w="3273" w:type="pct"/>
          </w:tcPr>
          <w:p w14:paraId="5A8CE1BB"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A level of performance or accomplishment that characterises the health care provided. Ultimately, measures of the quality of care always depend on value judgements, but there are </w:t>
            </w:r>
            <w:r>
              <w:rPr>
                <w:rFonts w:ascii="Arial" w:hAnsi="Arial" w:cs="Arial"/>
                <w:sz w:val="22"/>
                <w:szCs w:val="22"/>
              </w:rPr>
              <w:t>elements</w:t>
            </w:r>
            <w:r w:rsidRPr="000D0525">
              <w:rPr>
                <w:rFonts w:ascii="Arial" w:hAnsi="Arial" w:cs="Arial"/>
                <w:sz w:val="22"/>
                <w:szCs w:val="22"/>
              </w:rPr>
              <w:t xml:space="preserve"> and determinants of quality that can be measured objectively. These </w:t>
            </w:r>
            <w:r>
              <w:rPr>
                <w:rFonts w:ascii="Arial" w:hAnsi="Arial" w:cs="Arial"/>
                <w:sz w:val="22"/>
                <w:szCs w:val="22"/>
              </w:rPr>
              <w:t>elements</w:t>
            </w:r>
            <w:r w:rsidRPr="000D0525">
              <w:rPr>
                <w:rFonts w:ascii="Arial" w:hAnsi="Arial" w:cs="Arial"/>
                <w:sz w:val="22"/>
                <w:szCs w:val="22"/>
              </w:rPr>
              <w:t xml:space="preserve"> and determinants can be classified into measures of structure (staff, facilities), process (diagnostic and therapeutic procedures) and outcome (</w:t>
            </w:r>
            <w:r>
              <w:rPr>
                <w:rFonts w:ascii="Arial" w:hAnsi="Arial" w:cs="Arial"/>
                <w:sz w:val="22"/>
                <w:szCs w:val="22"/>
              </w:rPr>
              <w:t>mortality</w:t>
            </w:r>
            <w:r w:rsidRPr="000D0525">
              <w:rPr>
                <w:rFonts w:ascii="Arial" w:hAnsi="Arial" w:cs="Arial"/>
                <w:sz w:val="22"/>
                <w:szCs w:val="22"/>
              </w:rPr>
              <w:t xml:space="preserve"> rates, disability rates, level of patient satisfaction).</w:t>
            </w:r>
          </w:p>
        </w:tc>
      </w:tr>
      <w:tr w:rsidR="00192720" w:rsidRPr="000D0525" w14:paraId="048B1FEA"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033350FA"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Record linkage </w:t>
            </w:r>
          </w:p>
        </w:tc>
        <w:tc>
          <w:tcPr>
            <w:tcW w:w="3273" w:type="pct"/>
          </w:tcPr>
          <w:p w14:paraId="62B63E91"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 method of bringing together the information contained in two or more records – e.g. in different sets of medical charts, and in vital records such as death certificates – and a procedure to ensure that each individual is identified and counted only once. Record linkage makes it possible to relate significant health events that are remote from one another in time and place or to bring together records of different individuals, e.g. members of a family.</w:t>
            </w:r>
          </w:p>
        </w:tc>
      </w:tr>
      <w:tr w:rsidR="00192720" w:rsidRPr="000D0525" w14:paraId="504F6B36"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8541950"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Register </w:t>
            </w:r>
          </w:p>
        </w:tc>
        <w:tc>
          <w:tcPr>
            <w:tcW w:w="3273" w:type="pct"/>
          </w:tcPr>
          <w:p w14:paraId="7D5C12F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The file of data concerning all cases of a particular disease or other health-relevant condition in a defined population such that the cases can be related to a population base. With this information, incidence rates can be calculated. If the cases are followed up, information on remission, exacerbation, prevalence and survival can also be obtained.</w:t>
            </w:r>
          </w:p>
        </w:tc>
      </w:tr>
      <w:tr w:rsidR="00192720" w:rsidRPr="000D0525" w14:paraId="7846906C"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11D0D15C"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lastRenderedPageBreak/>
              <w:t xml:space="preserve">Registry </w:t>
            </w:r>
          </w:p>
        </w:tc>
        <w:tc>
          <w:tcPr>
            <w:tcW w:w="3273" w:type="pct"/>
          </w:tcPr>
          <w:p w14:paraId="12FC68A0"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See Clinical Quality Registry</w:t>
            </w:r>
          </w:p>
        </w:tc>
      </w:tr>
      <w:tr w:rsidR="00192720" w:rsidRPr="000D0525" w14:paraId="7E14003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461F7852"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Reverse </w:t>
            </w:r>
            <w:r>
              <w:rPr>
                <w:rFonts w:ascii="Arial" w:hAnsi="Arial" w:cs="Arial"/>
                <w:sz w:val="22"/>
                <w:szCs w:val="22"/>
              </w:rPr>
              <w:t>p</w:t>
            </w:r>
            <w:r w:rsidRPr="000D0525">
              <w:rPr>
                <w:rFonts w:ascii="Arial" w:hAnsi="Arial" w:cs="Arial"/>
                <w:sz w:val="22"/>
                <w:szCs w:val="22"/>
              </w:rPr>
              <w:t>roxy</w:t>
            </w:r>
          </w:p>
        </w:tc>
        <w:tc>
          <w:tcPr>
            <w:tcW w:w="3273" w:type="pct"/>
          </w:tcPr>
          <w:p w14:paraId="4057A9A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Reverse proxy takes requests from the </w:t>
            </w:r>
            <w:r>
              <w:rPr>
                <w:rFonts w:ascii="Arial" w:hAnsi="Arial" w:cs="Arial"/>
                <w:sz w:val="22"/>
                <w:szCs w:val="22"/>
              </w:rPr>
              <w:t>i</w:t>
            </w:r>
            <w:r w:rsidRPr="000D0525">
              <w:rPr>
                <w:rFonts w:ascii="Arial" w:hAnsi="Arial" w:cs="Arial"/>
                <w:sz w:val="22"/>
                <w:szCs w:val="22"/>
              </w:rPr>
              <w:t>nternet and forwards them to servers in an internal network. Those making requests connect to the proxy and the details/dispersion in the internal network is hidden.</w:t>
            </w:r>
          </w:p>
        </w:tc>
      </w:tr>
      <w:tr w:rsidR="00192720" w:rsidRPr="000D0525" w14:paraId="1A4B3B74"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60587586"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Smart forms</w:t>
            </w:r>
          </w:p>
        </w:tc>
        <w:tc>
          <w:tcPr>
            <w:tcW w:w="3273" w:type="pct"/>
          </w:tcPr>
          <w:p w14:paraId="3CA17D2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Forms that provide for electronic data entry without having to be synchronously connected to an application. Smart forms can be developed without programming knowledge to: validate data; perform calculations; check for errors; bind form fields to XML schemas, databases or web services; </w:t>
            </w:r>
            <w:r>
              <w:rPr>
                <w:rFonts w:ascii="Arial" w:hAnsi="Arial" w:cs="Arial"/>
                <w:sz w:val="22"/>
                <w:szCs w:val="22"/>
              </w:rPr>
              <w:t>u</w:t>
            </w:r>
            <w:r w:rsidRPr="000D0525">
              <w:rPr>
                <w:rFonts w:ascii="Arial" w:hAnsi="Arial" w:cs="Arial"/>
                <w:sz w:val="22"/>
                <w:szCs w:val="22"/>
              </w:rPr>
              <w:t>se digital signatures.</w:t>
            </w:r>
          </w:p>
        </w:tc>
      </w:tr>
      <w:tr w:rsidR="00192720" w:rsidRPr="000D0525" w14:paraId="7577FA6F"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53349566"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SNOMED-CT </w:t>
            </w:r>
          </w:p>
        </w:tc>
        <w:tc>
          <w:tcPr>
            <w:tcW w:w="3273" w:type="pct"/>
          </w:tcPr>
          <w:p w14:paraId="2354561A"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Systematised Nomenclature of Medicine, Clinical Terms </w:t>
            </w:r>
          </w:p>
        </w:tc>
      </w:tr>
      <w:tr w:rsidR="00192720" w:rsidRPr="000D0525" w14:paraId="113D4E53"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16CF701C"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Standard </w:t>
            </w:r>
          </w:p>
        </w:tc>
        <w:tc>
          <w:tcPr>
            <w:tcW w:w="3273" w:type="pct"/>
          </w:tcPr>
          <w:p w14:paraId="2F0C9859"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Something that serves as a basis for comparison; a technical specification or written report drawn up by experts based on the consolidated results of scientific study, technology and experience aimed at optimum benefits and approved by a recognised and representative body.</w:t>
            </w:r>
          </w:p>
        </w:tc>
      </w:tr>
      <w:tr w:rsidR="00192720" w:rsidRPr="000D0525" w14:paraId="202E8E8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77F27E45"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TOGAF</w:t>
            </w:r>
          </w:p>
        </w:tc>
        <w:tc>
          <w:tcPr>
            <w:tcW w:w="3273" w:type="pct"/>
          </w:tcPr>
          <w:p w14:paraId="2CE31F25"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The Open Group Architecture Framework – a framework for Enterprise Architecture providing a comprehensive approach to the design, planning, implementation, and governance of an enterprise information architecture.</w:t>
            </w:r>
          </w:p>
        </w:tc>
      </w:tr>
      <w:tr w:rsidR="00192720" w:rsidRPr="000D0525" w14:paraId="0F5AFF42"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51DD051"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UML </w:t>
            </w:r>
          </w:p>
        </w:tc>
        <w:tc>
          <w:tcPr>
            <w:tcW w:w="3273" w:type="pct"/>
          </w:tcPr>
          <w:p w14:paraId="53CD8B04"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 xml:space="preserve">Unified Modelling Language – a standardised general-purpose software engineering modelling language. UML includes a set of graphical notation techniques to create abstract models of specific systems, referred to as UML model. </w:t>
            </w:r>
          </w:p>
        </w:tc>
      </w:tr>
      <w:tr w:rsidR="00192720" w:rsidRPr="000D0525" w14:paraId="22A1C225"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0FF428C"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 xml:space="preserve">Validity (study) </w:t>
            </w:r>
          </w:p>
        </w:tc>
        <w:tc>
          <w:tcPr>
            <w:tcW w:w="3273" w:type="pct"/>
          </w:tcPr>
          <w:p w14:paraId="4BA8B7D8"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The degree to which the inference drawn from a study, warranted when account is taken of the study methods, the representativeness of the study sample, and the nature of the population from which it is drawn. Two varieties of study validity are distinguished: internal validity and external validity (generalisability).</w:t>
            </w:r>
          </w:p>
        </w:tc>
      </w:tr>
      <w:tr w:rsidR="00192720" w:rsidRPr="000D0525" w14:paraId="628E7C4A" w14:textId="77777777" w:rsidTr="00CF105A">
        <w:tc>
          <w:tcPr>
            <w:cnfStyle w:val="001000000000" w:firstRow="0" w:lastRow="0" w:firstColumn="1" w:lastColumn="0" w:oddVBand="0" w:evenVBand="0" w:oddHBand="0" w:evenHBand="0" w:firstRowFirstColumn="0" w:firstRowLastColumn="0" w:lastRowFirstColumn="0" w:lastRowLastColumn="0"/>
            <w:tcW w:w="1727" w:type="pct"/>
          </w:tcPr>
          <w:p w14:paraId="32A1D5C4" w14:textId="77777777" w:rsidR="00192720" w:rsidRPr="000D0525" w:rsidRDefault="00192720" w:rsidP="00F07AF8">
            <w:pPr>
              <w:pStyle w:val="TableText"/>
              <w:rPr>
                <w:rFonts w:ascii="Arial" w:hAnsi="Arial" w:cs="Arial"/>
                <w:sz w:val="22"/>
                <w:szCs w:val="22"/>
              </w:rPr>
            </w:pPr>
            <w:r w:rsidRPr="000D0525">
              <w:rPr>
                <w:rFonts w:ascii="Arial" w:hAnsi="Arial" w:cs="Arial"/>
                <w:sz w:val="22"/>
                <w:szCs w:val="22"/>
              </w:rPr>
              <w:t>Validity measurement</w:t>
            </w:r>
          </w:p>
        </w:tc>
        <w:tc>
          <w:tcPr>
            <w:tcW w:w="3273" w:type="pct"/>
          </w:tcPr>
          <w:p w14:paraId="05928F42" w14:textId="77777777" w:rsidR="00192720" w:rsidRPr="000D0525" w:rsidRDefault="00192720"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D0525">
              <w:rPr>
                <w:rFonts w:ascii="Arial" w:hAnsi="Arial" w:cs="Arial"/>
                <w:sz w:val="22"/>
                <w:szCs w:val="22"/>
              </w:rPr>
              <w:t>An expression of the degree to which a measurement measures what it purports to measure. Several varieties are distinguished, including construct validity, content validity, and criterion validity (concurrent or predictive validity).</w:t>
            </w:r>
          </w:p>
        </w:tc>
      </w:tr>
    </w:tbl>
    <w:p w14:paraId="0F430E42" w14:textId="77777777" w:rsidR="00192720" w:rsidRDefault="00192720" w:rsidP="00192720">
      <w:pPr>
        <w:pStyle w:val="BodyText"/>
      </w:pPr>
      <w:bookmarkStart w:id="464" w:name="_Ref310518802"/>
      <w:bookmarkStart w:id="465" w:name="_Ref310521811"/>
      <w:bookmarkStart w:id="466" w:name="_Ref310580366"/>
      <w:bookmarkStart w:id="467" w:name="_Ref310586765"/>
      <w:bookmarkStart w:id="468" w:name="_Ref310586961"/>
      <w:bookmarkStart w:id="469" w:name="_Ref310591012"/>
      <w:bookmarkStart w:id="470" w:name="_Ref310591017"/>
      <w:bookmarkStart w:id="471" w:name="_Ref310591270"/>
      <w:bookmarkStart w:id="472" w:name="_Toc310691082"/>
      <w:bookmarkStart w:id="473" w:name="_Toc316386189"/>
      <w:bookmarkStart w:id="474" w:name="_Toc340679739"/>
    </w:p>
    <w:bookmarkEnd w:id="464"/>
    <w:bookmarkEnd w:id="465"/>
    <w:bookmarkEnd w:id="466"/>
    <w:bookmarkEnd w:id="467"/>
    <w:bookmarkEnd w:id="468"/>
    <w:bookmarkEnd w:id="469"/>
    <w:bookmarkEnd w:id="470"/>
    <w:bookmarkEnd w:id="471"/>
    <w:bookmarkEnd w:id="472"/>
    <w:bookmarkEnd w:id="473"/>
    <w:bookmarkEnd w:id="474"/>
    <w:p w14:paraId="1A86B89F" w14:textId="77777777" w:rsidR="00192720" w:rsidRDefault="00192720" w:rsidP="00192720">
      <w:pPr>
        <w:spacing w:after="0"/>
        <w:rPr>
          <w:rFonts w:ascii="Verdana" w:hAnsi="Verdana"/>
          <w:sz w:val="20"/>
        </w:rPr>
      </w:pPr>
      <w:r>
        <w:rPr>
          <w:rFonts w:ascii="Verdana" w:hAnsi="Verdana"/>
          <w:sz w:val="20"/>
        </w:rPr>
        <w:br w:type="page"/>
      </w:r>
    </w:p>
    <w:p w14:paraId="3D65598B" w14:textId="0F866B09" w:rsidR="00192720" w:rsidRDefault="001C2D39" w:rsidP="00192720">
      <w:pPr>
        <w:pStyle w:val="Heading1"/>
      </w:pPr>
      <w:bookmarkStart w:id="475" w:name="_6._Software_industry"/>
      <w:bookmarkStart w:id="476" w:name="_Ref156481035"/>
      <w:bookmarkStart w:id="477" w:name="_Toc158583986"/>
      <w:bookmarkStart w:id="478" w:name="_Toc159324759"/>
      <w:bookmarkStart w:id="479" w:name="_Toc175550379"/>
      <w:bookmarkEnd w:id="475"/>
      <w:r>
        <w:lastRenderedPageBreak/>
        <w:t>6.</w:t>
      </w:r>
      <w:r>
        <w:tab/>
      </w:r>
      <w:r w:rsidR="00192720">
        <w:t>Software industry standards and common information model</w:t>
      </w:r>
      <w:bookmarkEnd w:id="476"/>
      <w:bookmarkEnd w:id="477"/>
      <w:bookmarkEnd w:id="478"/>
      <w:bookmarkEnd w:id="479"/>
    </w:p>
    <w:p w14:paraId="742902A8" w14:textId="5552C3DC" w:rsidR="00192720" w:rsidRPr="00224EA8" w:rsidRDefault="001C2D39" w:rsidP="00192720">
      <w:pPr>
        <w:pStyle w:val="Heading2"/>
      </w:pPr>
      <w:bookmarkStart w:id="480" w:name="_Toc158583987"/>
      <w:bookmarkStart w:id="481" w:name="_Toc159324760"/>
      <w:bookmarkStart w:id="482" w:name="_Toc175550380"/>
      <w:r>
        <w:t>6.1</w:t>
      </w:r>
      <w:r>
        <w:tab/>
      </w:r>
      <w:r w:rsidR="00192720" w:rsidRPr="00224EA8">
        <w:t>Standards</w:t>
      </w:r>
      <w:bookmarkEnd w:id="480"/>
      <w:bookmarkEnd w:id="481"/>
      <w:bookmarkEnd w:id="482"/>
    </w:p>
    <w:p w14:paraId="6457ED13" w14:textId="1FEC9B53" w:rsidR="00192720" w:rsidRDefault="00192720" w:rsidP="001C2D39">
      <w:r>
        <w:t xml:space="preserve">This section aims to direct readers to the established standards relevant to the development of the CQR. Instead of redefining these standards within </w:t>
      </w:r>
      <w:r w:rsidR="006B09C4">
        <w:t xml:space="preserve">this </w:t>
      </w:r>
      <w:r>
        <w:t>document, we aim to provide a clear and concise reference to existing standards, which can be found on the Australian Digital Health Agency (ADHA) website. The inclusion of these references is crucial as it underlines the importance of using a recognised standard in the development of the CQR. Adhering to these standards ensures consistency, reliability, and quality in the CQR data management and reporting.</w:t>
      </w:r>
    </w:p>
    <w:p w14:paraId="4FCB8A53" w14:textId="77777777" w:rsidR="00192720" w:rsidRPr="00F40D02" w:rsidRDefault="00192720" w:rsidP="001C2D39">
      <w:pPr>
        <w:rPr>
          <w:rFonts w:ascii="Arial" w:hAnsi="Arial" w:cs="Arial"/>
        </w:rPr>
      </w:pPr>
      <w:r w:rsidRPr="00F40D02">
        <w:rPr>
          <w:rFonts w:ascii="Arial" w:hAnsi="Arial" w:cs="Arial"/>
          <w:i/>
        </w:rPr>
        <w:t>Standards Map</w:t>
      </w:r>
      <w:r w:rsidRPr="00F40D02">
        <w:rPr>
          <w:rFonts w:ascii="Arial" w:hAnsi="Arial" w:cs="Arial"/>
        </w:rPr>
        <w:t xml:space="preserve"> – a listing or mapping of the various technical standards that may be relevant to a CQR. It is recognised that varying levels of technical sophistication may be required depending on a given CQR’s scope and purpose. The Standards Map identifies the different standards that may apply for each level in the following areas:</w:t>
      </w:r>
    </w:p>
    <w:p w14:paraId="4E86797A" w14:textId="77777777" w:rsidR="00192720" w:rsidRPr="00B13226" w:rsidRDefault="00192720">
      <w:pPr>
        <w:pStyle w:val="ListParagraph"/>
        <w:numPr>
          <w:ilvl w:val="0"/>
          <w:numId w:val="68"/>
        </w:numPr>
      </w:pPr>
      <w:r w:rsidRPr="00B13226">
        <w:t>Interoperability</w:t>
      </w:r>
    </w:p>
    <w:p w14:paraId="17EF29AB" w14:textId="77777777" w:rsidR="00192720" w:rsidRPr="00B13226" w:rsidRDefault="00192720">
      <w:pPr>
        <w:pStyle w:val="ListParagraph"/>
        <w:numPr>
          <w:ilvl w:val="0"/>
          <w:numId w:val="68"/>
        </w:numPr>
      </w:pPr>
      <w:r w:rsidRPr="00B13226">
        <w:t>Clinical communications</w:t>
      </w:r>
    </w:p>
    <w:p w14:paraId="4D1E519F" w14:textId="77777777" w:rsidR="00192720" w:rsidRPr="00B13226" w:rsidRDefault="00192720">
      <w:pPr>
        <w:pStyle w:val="ListParagraph"/>
        <w:numPr>
          <w:ilvl w:val="0"/>
          <w:numId w:val="68"/>
        </w:numPr>
      </w:pPr>
      <w:r w:rsidRPr="00B13226">
        <w:t>Unique healthcare identifiers</w:t>
      </w:r>
    </w:p>
    <w:p w14:paraId="1F2E2C10" w14:textId="77777777" w:rsidR="00192720" w:rsidRPr="00B13226" w:rsidRDefault="00192720">
      <w:pPr>
        <w:pStyle w:val="ListParagraph"/>
        <w:numPr>
          <w:ilvl w:val="0"/>
          <w:numId w:val="68"/>
        </w:numPr>
      </w:pPr>
      <w:r w:rsidRPr="00B13226">
        <w:t>Identity management</w:t>
      </w:r>
    </w:p>
    <w:p w14:paraId="495D197C" w14:textId="77777777" w:rsidR="00192720" w:rsidRPr="00B13226" w:rsidRDefault="00192720">
      <w:pPr>
        <w:pStyle w:val="ListParagraph"/>
        <w:numPr>
          <w:ilvl w:val="0"/>
          <w:numId w:val="68"/>
        </w:numPr>
      </w:pPr>
      <w:r w:rsidRPr="00B13226">
        <w:t>Secure messaging</w:t>
      </w:r>
      <w:r>
        <w:t>.</w:t>
      </w:r>
    </w:p>
    <w:p w14:paraId="13A78251" w14:textId="77777777" w:rsidR="00192720" w:rsidRDefault="00192720" w:rsidP="001C2D39">
      <w:r w:rsidRPr="66668AA2">
        <w:t>Some of the technical standards referred to in this section are industry</w:t>
      </w:r>
      <w:r w:rsidRPr="005A5E9A">
        <w:t>-neutral and not specific to the health sector. They do, however, have application or relevance for CQRs and can be considered as best practice technology standards that can be applied to e-health and to CQRs.</w:t>
      </w:r>
    </w:p>
    <w:p w14:paraId="1C3F0FDB" w14:textId="0C304BD5" w:rsidR="00192720" w:rsidRDefault="001C2D39" w:rsidP="00192720">
      <w:pPr>
        <w:pStyle w:val="Heading3"/>
      </w:pPr>
      <w:bookmarkStart w:id="483" w:name="_Toc158583988"/>
      <w:bookmarkStart w:id="484" w:name="_Toc159324761"/>
      <w:bookmarkStart w:id="485" w:name="_Toc175550381"/>
      <w:r>
        <w:t>6.1.1</w:t>
      </w:r>
      <w:r>
        <w:tab/>
      </w:r>
      <w:r w:rsidR="00192720">
        <w:t>Interoperability and Clinical Communications</w:t>
      </w:r>
      <w:bookmarkEnd w:id="483"/>
      <w:bookmarkEnd w:id="484"/>
      <w:bookmarkEnd w:id="485"/>
    </w:p>
    <w:p w14:paraId="3A500167" w14:textId="77777777" w:rsidR="00192720" w:rsidRDefault="00192720" w:rsidP="001C2D39">
      <w:r>
        <w:t>Interoperability standards are vital for the CQR as they ensure consistent, reliable, and efficient data exchange across different healthcare systems. These standards facilitate the integration of diverse source systems into the CQR, crucial for accurate and comprehensive registry content. Interoperability allows for effective communication between various technological platforms used in health care, enhancing the CQR's functionality and its ability to support healthcare provide</w:t>
      </w:r>
      <w:r w:rsidRPr="005A5E9A">
        <w:t>rs. In addition</w:t>
      </w:r>
      <w:r>
        <w:t xml:space="preserve">, adhering to these standards is essential </w:t>
      </w:r>
      <w:r w:rsidRPr="005E1BEE">
        <w:t xml:space="preserve">for maintaining data integrity. It ensures that the CQR’s information is accurate and up-to-date, which is crucial for informed decision-making in health care. </w:t>
      </w:r>
    </w:p>
    <w:p w14:paraId="4079ACDC" w14:textId="77777777" w:rsidR="001C2D39" w:rsidRDefault="001C2D39" w:rsidP="001C2D39"/>
    <w:tbl>
      <w:tblPr>
        <w:tblStyle w:val="PulloutBox"/>
        <w:tblW w:w="5048" w:type="pct"/>
        <w:shd w:val="clear" w:color="auto" w:fill="F2EFE3"/>
        <w:tblLook w:val="0020" w:firstRow="1" w:lastRow="0" w:firstColumn="0" w:lastColumn="0" w:noHBand="0" w:noVBand="0"/>
        <w:tblDescription w:val="Box 1"/>
      </w:tblPr>
      <w:tblGrid>
        <w:gridCol w:w="9731"/>
      </w:tblGrid>
      <w:tr w:rsidR="001C2D39" w14:paraId="3A314045" w14:textId="77777777" w:rsidTr="001C2D39">
        <w:trPr>
          <w:trHeight w:val="1083"/>
        </w:trPr>
        <w:tc>
          <w:tcPr>
            <w:tcW w:w="5000" w:type="pct"/>
            <w:shd w:val="clear" w:color="auto" w:fill="F2EFE3"/>
            <w:tcMar>
              <w:bottom w:w="0" w:type="dxa"/>
            </w:tcMar>
          </w:tcPr>
          <w:p w14:paraId="6F195726" w14:textId="5D9162ED" w:rsidR="001C2D39" w:rsidRPr="001C2D39" w:rsidRDefault="001C2D39" w:rsidP="001C2D39">
            <w:pPr>
              <w:rPr>
                <w:b/>
                <w:bCs/>
                <w:color w:val="FF2F92"/>
              </w:rPr>
            </w:pPr>
            <w:r w:rsidRPr="001C2D39">
              <w:rPr>
                <w:b/>
                <w:bCs/>
              </w:rPr>
              <w:t xml:space="preserve">For detailed information about interoperability and digital health standards, see the </w:t>
            </w:r>
            <w:hyperlink r:id="rId38" w:tooltip="Interoperability and digital health standards - Australian Digital Health Agency" w:history="1">
              <w:r w:rsidRPr="001C2D39">
                <w:rPr>
                  <w:rStyle w:val="Hyperlink"/>
                  <w:b/>
                  <w:bCs/>
                </w:rPr>
                <w:t>ADHA website</w:t>
              </w:r>
            </w:hyperlink>
            <w:r w:rsidRPr="00DB790A">
              <w:rPr>
                <w:b/>
                <w:bCs/>
                <w:color w:val="000000" w:themeColor="text1"/>
              </w:rPr>
              <w:t>.</w:t>
            </w:r>
          </w:p>
        </w:tc>
      </w:tr>
    </w:tbl>
    <w:p w14:paraId="3CD5A546" w14:textId="4ADB3BEF" w:rsidR="00192720" w:rsidRDefault="001C2D39" w:rsidP="00192720">
      <w:pPr>
        <w:pStyle w:val="Heading3"/>
      </w:pPr>
      <w:bookmarkStart w:id="486" w:name="_Toc158583989"/>
      <w:bookmarkStart w:id="487" w:name="_Toc159324762"/>
      <w:bookmarkStart w:id="488" w:name="_Toc175550382"/>
      <w:r>
        <w:t>6.1.2</w:t>
      </w:r>
      <w:r>
        <w:tab/>
      </w:r>
      <w:r w:rsidR="00192720">
        <w:t>Unique Healthcare Identifiers</w:t>
      </w:r>
      <w:bookmarkEnd w:id="486"/>
      <w:bookmarkEnd w:id="487"/>
      <w:bookmarkEnd w:id="488"/>
    </w:p>
    <w:p w14:paraId="686CC574" w14:textId="4AFCD322" w:rsidR="001C2D39" w:rsidRDefault="00192720" w:rsidP="001C2D39">
      <w:r>
        <w:t>The Healthcare Identifiers Service (HI Service) is integral to the CQR as it provides a system for uniquely identifying individuals, healthcare providers and organisations. This precision ensures the correct association of health information with the appropriate individuals at the point of care. For the CQR, such accurate identification is crucial as it underpins the integrity and reliability of the data linkage within the registry, ensuring consistency across various healthcare settings and supporting effective data analysis and improved CQR reporting.</w:t>
      </w:r>
    </w:p>
    <w:tbl>
      <w:tblPr>
        <w:tblStyle w:val="PulloutBox"/>
        <w:tblW w:w="5048" w:type="pct"/>
        <w:shd w:val="clear" w:color="auto" w:fill="F2EFE3"/>
        <w:tblLook w:val="0020" w:firstRow="1" w:lastRow="0" w:firstColumn="0" w:lastColumn="0" w:noHBand="0" w:noVBand="0"/>
        <w:tblDescription w:val="Box 1"/>
      </w:tblPr>
      <w:tblGrid>
        <w:gridCol w:w="9731"/>
      </w:tblGrid>
      <w:tr w:rsidR="001C2D39" w14:paraId="3D5F0A74" w14:textId="77777777" w:rsidTr="001C2D39">
        <w:trPr>
          <w:trHeight w:val="703"/>
        </w:trPr>
        <w:tc>
          <w:tcPr>
            <w:tcW w:w="5000" w:type="pct"/>
            <w:shd w:val="clear" w:color="auto" w:fill="F2EFE3"/>
            <w:tcMar>
              <w:bottom w:w="0" w:type="dxa"/>
            </w:tcMar>
          </w:tcPr>
          <w:p w14:paraId="2FDFF24C" w14:textId="01F9F9B3" w:rsidR="001C2D39" w:rsidRPr="001C2D39" w:rsidRDefault="001C2D39" w:rsidP="00F07AF8">
            <w:pPr>
              <w:rPr>
                <w:b/>
                <w:bCs/>
              </w:rPr>
            </w:pPr>
            <w:r w:rsidRPr="001C2D39">
              <w:rPr>
                <w:b/>
                <w:bCs/>
              </w:rPr>
              <w:lastRenderedPageBreak/>
              <w:t xml:space="preserve">For detailed information about the HI Service, see the </w:t>
            </w:r>
            <w:hyperlink r:id="rId39" w:tooltip="Healthcare Identifiers Service (HI) Service - Australian Digital Health Agency" w:history="1">
              <w:r w:rsidRPr="001C2D39">
                <w:rPr>
                  <w:rStyle w:val="Hyperlink"/>
                  <w:b/>
                  <w:bCs/>
                </w:rPr>
                <w:t>ADHA website</w:t>
              </w:r>
            </w:hyperlink>
            <w:r w:rsidRPr="001C2D39">
              <w:rPr>
                <w:b/>
                <w:bCs/>
              </w:rPr>
              <w:t>.</w:t>
            </w:r>
          </w:p>
        </w:tc>
      </w:tr>
    </w:tbl>
    <w:p w14:paraId="4C97DCA4" w14:textId="3766CD1C" w:rsidR="00192720" w:rsidRPr="007724FA" w:rsidRDefault="001C2D39" w:rsidP="00192720">
      <w:pPr>
        <w:pStyle w:val="Heading3"/>
      </w:pPr>
      <w:bookmarkStart w:id="489" w:name="_Toc158583990"/>
      <w:bookmarkStart w:id="490" w:name="_Toc159324763"/>
      <w:bookmarkStart w:id="491" w:name="_Toc175550383"/>
      <w:r>
        <w:t>6.1.3</w:t>
      </w:r>
      <w:r>
        <w:tab/>
      </w:r>
      <w:r w:rsidR="00192720" w:rsidRPr="007724FA">
        <w:t>Identity management</w:t>
      </w:r>
      <w:bookmarkEnd w:id="489"/>
      <w:bookmarkEnd w:id="490"/>
      <w:bookmarkEnd w:id="491"/>
    </w:p>
    <w:p w14:paraId="78F8646E" w14:textId="77777777" w:rsidR="00192720" w:rsidRPr="00DB5D7F" w:rsidRDefault="00192720" w:rsidP="001C2D39">
      <w:r w:rsidRPr="00DB5D7F">
        <w:t xml:space="preserve">Identity management </w:t>
      </w:r>
      <w:r w:rsidRPr="005A5E9A">
        <w:t xml:space="preserve">makes sure that </w:t>
      </w:r>
      <w:r w:rsidRPr="00DB5D7F">
        <w:t xml:space="preserve">users only gain access to the information they are entitled to view. Identity management (IdM) can be regarded as an integrated system of policies, processes and technologies </w:t>
      </w:r>
      <w:r>
        <w:t>which</w:t>
      </w:r>
      <w:r w:rsidRPr="00DB5D7F">
        <w:t xml:space="preserve"> allow organisations to facilitate and control users’ access to applications and information while protecting confidential personal and business information from unauthorised users.</w:t>
      </w:r>
    </w:p>
    <w:p w14:paraId="6C31D388" w14:textId="77777777" w:rsidR="00192720" w:rsidRPr="00DB5D7F" w:rsidRDefault="00192720" w:rsidP="001C2D39">
      <w:r w:rsidRPr="00DB5D7F">
        <w:t>A number of standards</w:t>
      </w:r>
      <w:r w:rsidRPr="00F33F5D">
        <w:t xml:space="preserve"> are </w:t>
      </w:r>
      <w:r w:rsidRPr="00DB5D7F">
        <w:t xml:space="preserve">pertinent to identity management for </w:t>
      </w:r>
      <w:r>
        <w:t>CQRs</w:t>
      </w:r>
      <w:r w:rsidRPr="00DB5D7F">
        <w:t>. These include:</w:t>
      </w:r>
    </w:p>
    <w:p w14:paraId="4E8D071C" w14:textId="1F9EFCA9" w:rsidR="00192720" w:rsidRPr="00871A4D" w:rsidRDefault="00000000">
      <w:pPr>
        <w:pStyle w:val="ListParagraph"/>
        <w:numPr>
          <w:ilvl w:val="0"/>
          <w:numId w:val="69"/>
        </w:numPr>
        <w:rPr>
          <w:rFonts w:ascii="Arial" w:hAnsi="Arial" w:cs="Arial"/>
        </w:rPr>
      </w:pPr>
      <w:hyperlink r:id="rId40" w:tooltip="National eHealth Security and Access Framework v4.0 - Australian Digital Health Agency" w:history="1">
        <w:r w:rsidR="00192720" w:rsidRPr="000436FD">
          <w:rPr>
            <w:rStyle w:val="Hyperlink"/>
            <w:rFonts w:ascii="Arial" w:hAnsi="Arial" w:cs="Arial"/>
          </w:rPr>
          <w:t>National eHealth Security and Access Framework</w:t>
        </w:r>
      </w:hyperlink>
    </w:p>
    <w:p w14:paraId="13569D02" w14:textId="19ADD223" w:rsidR="00192720" w:rsidRDefault="00000000">
      <w:pPr>
        <w:pStyle w:val="ListParagraph"/>
        <w:numPr>
          <w:ilvl w:val="0"/>
          <w:numId w:val="69"/>
        </w:numPr>
        <w:rPr>
          <w:rFonts w:ascii="Arial" w:hAnsi="Arial" w:cs="Arial"/>
        </w:rPr>
      </w:pPr>
      <w:hyperlink r:id="rId41" w:tooltip="National Authentication Service for Health (NASH) - Australian Digital Health Agency" w:history="1">
        <w:r w:rsidR="00192720" w:rsidRPr="000436FD">
          <w:rPr>
            <w:rStyle w:val="Hyperlink"/>
            <w:rFonts w:ascii="Arial" w:hAnsi="Arial" w:cs="Arial"/>
          </w:rPr>
          <w:t>National Authentication Service for Health (NASH)</w:t>
        </w:r>
      </w:hyperlink>
    </w:p>
    <w:p w14:paraId="7CD2156A" w14:textId="695FF621" w:rsidR="00192720" w:rsidRDefault="00000000">
      <w:pPr>
        <w:pStyle w:val="ListParagraph"/>
        <w:numPr>
          <w:ilvl w:val="0"/>
          <w:numId w:val="69"/>
        </w:numPr>
        <w:rPr>
          <w:rFonts w:ascii="Arial" w:hAnsi="Arial" w:cs="Arial"/>
        </w:rPr>
      </w:pPr>
      <w:hyperlink r:id="rId42" w:tooltip="OASIS eXtensible Access Control Markup Language (XACML) TC V3.0" w:history="1">
        <w:r w:rsidR="00192720" w:rsidRPr="000436FD">
          <w:rPr>
            <w:rStyle w:val="Hyperlink"/>
            <w:rFonts w:ascii="Arial" w:hAnsi="Arial" w:cs="Arial"/>
          </w:rPr>
          <w:t>OASIS eXtensible Access Control Markup Language (XACML) TC V3.0</w:t>
        </w:r>
      </w:hyperlink>
    </w:p>
    <w:p w14:paraId="228C6C7C" w14:textId="70925C5E" w:rsidR="00192720" w:rsidRDefault="00000000">
      <w:pPr>
        <w:pStyle w:val="ListParagraph"/>
        <w:numPr>
          <w:ilvl w:val="0"/>
          <w:numId w:val="69"/>
        </w:numPr>
        <w:rPr>
          <w:rFonts w:ascii="Arial" w:hAnsi="Arial" w:cs="Arial"/>
        </w:rPr>
      </w:pPr>
      <w:hyperlink r:id="rId43" w:tooltip="OASIS Security Services (SAML) TC v2.0" w:history="1">
        <w:r w:rsidR="00192720" w:rsidRPr="002A4CEE">
          <w:rPr>
            <w:rStyle w:val="Hyperlink"/>
            <w:rFonts w:ascii="Arial" w:hAnsi="Arial" w:cs="Arial"/>
          </w:rPr>
          <w:t>OASIS Security Services (SAML) TC v2.0</w:t>
        </w:r>
      </w:hyperlink>
    </w:p>
    <w:p w14:paraId="002A96F6" w14:textId="5943FDF1" w:rsidR="00192720" w:rsidRPr="00871A4D" w:rsidRDefault="00000000">
      <w:pPr>
        <w:pStyle w:val="ListParagraph"/>
        <w:numPr>
          <w:ilvl w:val="0"/>
          <w:numId w:val="69"/>
        </w:numPr>
        <w:rPr>
          <w:rFonts w:ascii="Arial" w:hAnsi="Arial" w:cs="Arial"/>
        </w:rPr>
      </w:pPr>
      <w:hyperlink r:id="rId44" w:tooltip="OpenId" w:history="1">
        <w:r w:rsidR="00192720" w:rsidRPr="008C0361">
          <w:rPr>
            <w:rStyle w:val="Hyperlink"/>
            <w:rFonts w:ascii="Arial" w:hAnsi="Arial" w:cs="Arial"/>
          </w:rPr>
          <w:t>OpenId</w:t>
        </w:r>
      </w:hyperlink>
      <w:r w:rsidR="00192720">
        <w:rPr>
          <w:rStyle w:val="Hyperlink"/>
          <w:rFonts w:ascii="Arial" w:hAnsi="Arial" w:cs="Arial"/>
        </w:rPr>
        <w:t>.</w:t>
      </w:r>
    </w:p>
    <w:p w14:paraId="7CEDFA89" w14:textId="4098CB57" w:rsidR="00192720" w:rsidRDefault="001C2D39" w:rsidP="00192720">
      <w:pPr>
        <w:pStyle w:val="Heading3"/>
      </w:pPr>
      <w:bookmarkStart w:id="492" w:name="_Toc156398972"/>
      <w:bookmarkStart w:id="493" w:name="_Toc156655822"/>
      <w:bookmarkStart w:id="494" w:name="_Toc158583991"/>
      <w:bookmarkStart w:id="495" w:name="_Toc159324764"/>
      <w:bookmarkStart w:id="496" w:name="_Toc175550384"/>
      <w:bookmarkEnd w:id="492"/>
      <w:bookmarkEnd w:id="493"/>
      <w:r>
        <w:t>6.1.4</w:t>
      </w:r>
      <w:r>
        <w:tab/>
      </w:r>
      <w:r w:rsidR="00192720">
        <w:t>Secure messaging</w:t>
      </w:r>
      <w:bookmarkEnd w:id="494"/>
      <w:bookmarkEnd w:id="495"/>
      <w:bookmarkEnd w:id="496"/>
    </w:p>
    <w:p w14:paraId="50B14930" w14:textId="77777777" w:rsidR="00192720" w:rsidRDefault="00192720" w:rsidP="001C2D39">
      <w:r>
        <w:t xml:space="preserve">Secure messaging ensures source system data are transported securely between healthcare organisations and the CQR. </w:t>
      </w:r>
      <w:r w:rsidRPr="007C675A">
        <w:t xml:space="preserve">Relevant </w:t>
      </w:r>
      <w:r>
        <w:t xml:space="preserve">standards, developed in collaboration with various industry partners and Standards Australia, </w:t>
      </w:r>
      <w:r w:rsidRPr="007C675A">
        <w:t xml:space="preserve">can facilitate </w:t>
      </w:r>
      <w:r>
        <w:t xml:space="preserve">the protected and efficient communication of sensitive health information. Secure messaging is essential for the CQR as it underpins the confidentiality of the health data being shared, and maintains the trust and privacy standards expected in healthcare communications. </w:t>
      </w:r>
    </w:p>
    <w:p w14:paraId="2ED6208A" w14:textId="77777777" w:rsidR="001C2D39" w:rsidRDefault="001C2D39" w:rsidP="001C2D39"/>
    <w:tbl>
      <w:tblPr>
        <w:tblStyle w:val="PulloutBox"/>
        <w:tblW w:w="5048" w:type="pct"/>
        <w:shd w:val="clear" w:color="auto" w:fill="F2EFE3"/>
        <w:tblLook w:val="0020" w:firstRow="1" w:lastRow="0" w:firstColumn="0" w:lastColumn="0" w:noHBand="0" w:noVBand="0"/>
        <w:tblDescription w:val="Box 1"/>
      </w:tblPr>
      <w:tblGrid>
        <w:gridCol w:w="9731"/>
      </w:tblGrid>
      <w:tr w:rsidR="001C2D39" w14:paraId="3C1C2E4D" w14:textId="77777777" w:rsidTr="001C2D39">
        <w:trPr>
          <w:trHeight w:val="812"/>
        </w:trPr>
        <w:tc>
          <w:tcPr>
            <w:tcW w:w="5000" w:type="pct"/>
            <w:shd w:val="clear" w:color="auto" w:fill="F2EFE3"/>
            <w:tcMar>
              <w:bottom w:w="0" w:type="dxa"/>
            </w:tcMar>
          </w:tcPr>
          <w:p w14:paraId="7AF24A60" w14:textId="2F402855" w:rsidR="001C2D39" w:rsidRPr="001C2D39" w:rsidRDefault="001C2D39" w:rsidP="00F07AF8">
            <w:pPr>
              <w:rPr>
                <w:b/>
                <w:bCs/>
              </w:rPr>
            </w:pPr>
            <w:r w:rsidRPr="001C2D39">
              <w:rPr>
                <w:b/>
                <w:bCs/>
              </w:rPr>
              <w:t xml:space="preserve">For detailed information please visit </w:t>
            </w:r>
            <w:hyperlink r:id="rId45" w:tooltip="Secure development practices - Australian Digital Health Agency" w:history="1">
              <w:r w:rsidRPr="001C2D39">
                <w:rPr>
                  <w:rStyle w:val="Hyperlink"/>
                  <w:b/>
                  <w:bCs/>
                </w:rPr>
                <w:t>ADHA Secure Messaging website</w:t>
              </w:r>
            </w:hyperlink>
            <w:r w:rsidRPr="001C2D39">
              <w:rPr>
                <w:b/>
                <w:bCs/>
              </w:rPr>
              <w:t>.</w:t>
            </w:r>
          </w:p>
        </w:tc>
      </w:tr>
    </w:tbl>
    <w:p w14:paraId="22D0662C" w14:textId="48650EF8" w:rsidR="00192720" w:rsidRPr="00224EA8" w:rsidRDefault="001C2D39" w:rsidP="00192720">
      <w:pPr>
        <w:pStyle w:val="Heading2"/>
      </w:pPr>
      <w:bookmarkStart w:id="497" w:name="_Toc158583992"/>
      <w:bookmarkStart w:id="498" w:name="_Toc159324765"/>
      <w:bookmarkStart w:id="499" w:name="_Toc175550385"/>
      <w:r>
        <w:t>6.2</w:t>
      </w:r>
      <w:r>
        <w:tab/>
      </w:r>
      <w:r w:rsidR="00192720" w:rsidRPr="00224EA8">
        <w:t>Core information model data dictionary</w:t>
      </w:r>
      <w:bookmarkEnd w:id="497"/>
      <w:bookmarkEnd w:id="498"/>
      <w:bookmarkEnd w:id="499"/>
    </w:p>
    <w:p w14:paraId="2FEC5929" w14:textId="77777777" w:rsidR="00192720" w:rsidRDefault="00192720" w:rsidP="001C2D39">
      <w:r>
        <w:t>This section documents the data dictionary for the core information model for CQRs.</w:t>
      </w:r>
    </w:p>
    <w:p w14:paraId="1925560F" w14:textId="11E977E0" w:rsidR="00192720" w:rsidRPr="002064F6" w:rsidRDefault="001C2D39" w:rsidP="00192720">
      <w:pPr>
        <w:pStyle w:val="Heading3"/>
      </w:pPr>
      <w:bookmarkStart w:id="500" w:name="_Toc158583993"/>
      <w:bookmarkStart w:id="501" w:name="_Toc159324766"/>
      <w:bookmarkStart w:id="502" w:name="_Toc175550386"/>
      <w:r>
        <w:t>6.2.1</w:t>
      </w:r>
      <w:r>
        <w:tab/>
      </w:r>
      <w:r w:rsidR="00192720" w:rsidRPr="002064F6">
        <w:t>Data item index</w:t>
      </w:r>
      <w:bookmarkEnd w:id="500"/>
      <w:bookmarkEnd w:id="501"/>
      <w:bookmarkEnd w:id="502"/>
    </w:p>
    <w:p w14:paraId="236476DD" w14:textId="17C2236D" w:rsidR="00965F4D" w:rsidRDefault="00192720" w:rsidP="001C2D39">
      <w:r w:rsidRPr="009A6C5C">
        <w:t>The following table describes the hierarchy of object classes and data elements that constitute the core CQR collection dataset</w:t>
      </w:r>
      <w:r>
        <w:t xml:space="preserve">. </w:t>
      </w:r>
      <w:r w:rsidRPr="009A6C5C">
        <w:t>The sub-section column refers to the appropriate entry for the data item in the data dictionary.</w:t>
      </w:r>
    </w:p>
    <w:p w14:paraId="7F8F9661" w14:textId="77777777" w:rsidR="00675990" w:rsidRDefault="00675990" w:rsidP="001C2D39"/>
    <w:p w14:paraId="1CF536FA" w14:textId="2F688024" w:rsidR="00675990" w:rsidRPr="00675990" w:rsidRDefault="00675990" w:rsidP="001C2D39">
      <w:pPr>
        <w:rPr>
          <w:i/>
          <w:iCs/>
        </w:rPr>
      </w:pPr>
      <w:r>
        <w:rPr>
          <w:i/>
          <w:iCs/>
        </w:rPr>
        <w:t>Please see following page for table.</w:t>
      </w:r>
    </w:p>
    <w:p w14:paraId="39808FC4" w14:textId="5708AD62" w:rsidR="00675990" w:rsidRDefault="00675990">
      <w:pPr>
        <w:spacing w:before="0" w:after="80"/>
      </w:pPr>
      <w:r>
        <w:br w:type="page"/>
      </w:r>
    </w:p>
    <w:p w14:paraId="02F06D4F" w14:textId="77777777" w:rsidR="00C251DB" w:rsidRPr="009A6C5C" w:rsidRDefault="00C251DB" w:rsidP="001C2D39"/>
    <w:tbl>
      <w:tblPr>
        <w:tblStyle w:val="SurveyQuestions"/>
        <w:tblW w:w="0" w:type="auto"/>
        <w:tblLook w:val="04A0" w:firstRow="1" w:lastRow="0" w:firstColumn="1" w:lastColumn="0" w:noHBand="0" w:noVBand="1"/>
      </w:tblPr>
      <w:tblGrid>
        <w:gridCol w:w="2462"/>
        <w:gridCol w:w="3770"/>
      </w:tblGrid>
      <w:tr w:rsidR="00C90D94" w:rsidRPr="00DC4A4F" w14:paraId="29C2750D" w14:textId="03D979A1" w:rsidTr="00033B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2" w:type="dxa"/>
          </w:tcPr>
          <w:p w14:paraId="5006A3B0" w14:textId="60C8F5FD" w:rsidR="00C90D94" w:rsidRPr="00DC4A4F" w:rsidRDefault="00C90D94" w:rsidP="00F07AF8">
            <w:pPr>
              <w:pStyle w:val="TableText"/>
              <w:rPr>
                <w:rFonts w:ascii="Arial" w:hAnsi="Arial" w:cs="Arial"/>
                <w:sz w:val="22"/>
                <w:szCs w:val="22"/>
              </w:rPr>
            </w:pPr>
            <w:r>
              <w:rPr>
                <w:rFonts w:ascii="Arial" w:hAnsi="Arial" w:cs="Arial"/>
                <w:sz w:val="22"/>
                <w:szCs w:val="22"/>
              </w:rPr>
              <w:t>Data item</w:t>
            </w:r>
          </w:p>
        </w:tc>
        <w:tc>
          <w:tcPr>
            <w:tcW w:w="3770" w:type="dxa"/>
          </w:tcPr>
          <w:p w14:paraId="491BD03B" w14:textId="5DF9505D" w:rsidR="00C90D94" w:rsidRDefault="00C90D94" w:rsidP="00F07AF8">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Data entry</w:t>
            </w:r>
          </w:p>
        </w:tc>
      </w:tr>
      <w:tr w:rsidR="00C251DB" w:rsidRPr="00DC4A4F" w14:paraId="2CB03A78" w14:textId="4B1050DB"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4BFAD134" w14:textId="41C3C752" w:rsidR="00C251DB" w:rsidRPr="00DC4A4F" w:rsidRDefault="00C251DB" w:rsidP="00F07AF8">
            <w:pPr>
              <w:pStyle w:val="TableText"/>
              <w:rPr>
                <w:rFonts w:ascii="Arial" w:hAnsi="Arial" w:cs="Arial"/>
                <w:sz w:val="22"/>
                <w:szCs w:val="22"/>
              </w:rPr>
            </w:pPr>
            <w:r w:rsidRPr="00DC4A4F">
              <w:rPr>
                <w:rFonts w:ascii="Arial" w:hAnsi="Arial" w:cs="Arial"/>
                <w:sz w:val="22"/>
                <w:szCs w:val="22"/>
              </w:rPr>
              <w:t>Patient</w:t>
            </w:r>
          </w:p>
        </w:tc>
      </w:tr>
      <w:tr w:rsidR="00C251DB" w:rsidRPr="00DC4A4F" w14:paraId="003305CA" w14:textId="70388417" w:rsidTr="00033BBF">
        <w:tc>
          <w:tcPr>
            <w:cnfStyle w:val="001000000000" w:firstRow="0" w:lastRow="0" w:firstColumn="1" w:lastColumn="0" w:oddVBand="0" w:evenVBand="0" w:oddHBand="0" w:evenHBand="0" w:firstRowFirstColumn="0" w:firstRowLastColumn="0" w:lastRowFirstColumn="0" w:lastRowLastColumn="0"/>
            <w:tcW w:w="2462" w:type="dxa"/>
            <w:vMerge w:val="restart"/>
            <w:shd w:val="clear" w:color="auto" w:fill="auto"/>
          </w:tcPr>
          <w:p w14:paraId="2A54544E" w14:textId="7902487C" w:rsidR="00C251DB" w:rsidRPr="00DC4A4F" w:rsidRDefault="00C251DB" w:rsidP="00C90D94">
            <w:pPr>
              <w:pStyle w:val="TableText"/>
              <w:rPr>
                <w:rFonts w:ascii="Arial" w:hAnsi="Arial" w:cs="Arial"/>
                <w:sz w:val="22"/>
                <w:szCs w:val="22"/>
              </w:rPr>
            </w:pPr>
          </w:p>
        </w:tc>
        <w:tc>
          <w:tcPr>
            <w:tcW w:w="3770" w:type="dxa"/>
          </w:tcPr>
          <w:p w14:paraId="43305C25" w14:textId="32379E5E" w:rsidR="00C251DB" w:rsidRPr="00DC4A4F" w:rsidRDefault="00C251DB" w:rsidP="00C90D9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Date of diagnosis</w:t>
            </w:r>
          </w:p>
        </w:tc>
      </w:tr>
      <w:tr w:rsidR="00C251DB" w:rsidRPr="00DC4A4F" w14:paraId="04A0AA48" w14:textId="314BBF99"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13F3A229" w14:textId="06E4223E" w:rsidR="00C251DB" w:rsidRPr="00DC4A4F" w:rsidRDefault="00C251DB" w:rsidP="00C90D94">
            <w:pPr>
              <w:pStyle w:val="TableText"/>
              <w:rPr>
                <w:rFonts w:ascii="Arial" w:hAnsi="Arial" w:cs="Arial"/>
                <w:sz w:val="22"/>
                <w:szCs w:val="22"/>
              </w:rPr>
            </w:pPr>
          </w:p>
        </w:tc>
        <w:tc>
          <w:tcPr>
            <w:tcW w:w="3770" w:type="dxa"/>
          </w:tcPr>
          <w:p w14:paraId="42022759" w14:textId="1AC35624" w:rsidR="00C251DB" w:rsidRPr="00DC4A4F" w:rsidRDefault="00C251DB" w:rsidP="00C90D9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Principle diagnosis</w:t>
            </w:r>
          </w:p>
        </w:tc>
      </w:tr>
      <w:tr w:rsidR="00C251DB" w:rsidRPr="00DC4A4F" w14:paraId="0CC6198F" w14:textId="67AC6835"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5C26A227" w14:textId="02A21650" w:rsidR="00C251DB" w:rsidRPr="00DC4A4F" w:rsidRDefault="00C251DB" w:rsidP="00C90D94">
            <w:pPr>
              <w:pStyle w:val="TableText"/>
              <w:rPr>
                <w:rFonts w:ascii="Arial" w:hAnsi="Arial" w:cs="Arial"/>
                <w:sz w:val="22"/>
                <w:szCs w:val="22"/>
              </w:rPr>
            </w:pPr>
            <w:r w:rsidRPr="00DC4A4F">
              <w:rPr>
                <w:rFonts w:ascii="Arial" w:hAnsi="Arial" w:cs="Arial"/>
                <w:sz w:val="22"/>
                <w:szCs w:val="22"/>
              </w:rPr>
              <w:t>Person</w:t>
            </w:r>
          </w:p>
        </w:tc>
      </w:tr>
      <w:tr w:rsidR="00C251DB" w:rsidRPr="00DC4A4F" w14:paraId="0E0D2C95" w14:textId="51279765" w:rsidTr="00033BBF">
        <w:tc>
          <w:tcPr>
            <w:cnfStyle w:val="001000000000" w:firstRow="0" w:lastRow="0" w:firstColumn="1" w:lastColumn="0" w:oddVBand="0" w:evenVBand="0" w:oddHBand="0" w:evenHBand="0" w:firstRowFirstColumn="0" w:firstRowLastColumn="0" w:lastRowFirstColumn="0" w:lastRowLastColumn="0"/>
            <w:tcW w:w="2462" w:type="dxa"/>
            <w:vMerge w:val="restart"/>
            <w:shd w:val="clear" w:color="auto" w:fill="auto"/>
          </w:tcPr>
          <w:p w14:paraId="230B92D8" w14:textId="58F4FF25" w:rsidR="00C251DB" w:rsidRPr="00DC4A4F" w:rsidRDefault="00C251DB" w:rsidP="00C251DB">
            <w:pPr>
              <w:pStyle w:val="TableText"/>
              <w:rPr>
                <w:rFonts w:ascii="Arial" w:hAnsi="Arial" w:cs="Arial"/>
                <w:sz w:val="22"/>
                <w:szCs w:val="22"/>
              </w:rPr>
            </w:pPr>
            <w:r>
              <w:rPr>
                <w:rFonts w:ascii="Arial" w:hAnsi="Arial" w:cs="Arial"/>
                <w:sz w:val="22"/>
                <w:szCs w:val="22"/>
              </w:rPr>
              <w:t xml:space="preserve"> </w:t>
            </w:r>
          </w:p>
        </w:tc>
        <w:tc>
          <w:tcPr>
            <w:tcW w:w="3770" w:type="dxa"/>
          </w:tcPr>
          <w:p w14:paraId="76E7E6BD" w14:textId="611F41DE"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Person identifier</w:t>
            </w:r>
          </w:p>
        </w:tc>
      </w:tr>
      <w:tr w:rsidR="00C251DB" w:rsidRPr="00DC4A4F" w14:paraId="4601412F" w14:textId="398BD3D3"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16E76458" w14:textId="2014CC79" w:rsidR="00C251DB" w:rsidRPr="00DC4A4F" w:rsidRDefault="00C251DB" w:rsidP="00C251DB">
            <w:pPr>
              <w:pStyle w:val="TableText"/>
              <w:rPr>
                <w:rFonts w:ascii="Arial" w:hAnsi="Arial" w:cs="Arial"/>
                <w:sz w:val="22"/>
                <w:szCs w:val="22"/>
              </w:rPr>
            </w:pPr>
          </w:p>
        </w:tc>
        <w:tc>
          <w:tcPr>
            <w:tcW w:w="3770" w:type="dxa"/>
          </w:tcPr>
          <w:p w14:paraId="444A2689" w14:textId="072ED21F"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Family name</w:t>
            </w:r>
          </w:p>
        </w:tc>
      </w:tr>
      <w:tr w:rsidR="00C251DB" w:rsidRPr="00DC4A4F" w14:paraId="798ECEBC" w14:textId="6BB52A49"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5F3B1B2F" w14:textId="6F82D920" w:rsidR="00C251DB" w:rsidRPr="00DC4A4F" w:rsidRDefault="00C251DB" w:rsidP="00C251DB">
            <w:pPr>
              <w:pStyle w:val="TableText"/>
              <w:rPr>
                <w:rFonts w:ascii="Arial" w:hAnsi="Arial" w:cs="Arial"/>
                <w:sz w:val="22"/>
                <w:szCs w:val="22"/>
              </w:rPr>
            </w:pPr>
          </w:p>
        </w:tc>
        <w:tc>
          <w:tcPr>
            <w:tcW w:w="3770" w:type="dxa"/>
          </w:tcPr>
          <w:p w14:paraId="20242E87" w14:textId="2A3F9507"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Given name</w:t>
            </w:r>
          </w:p>
        </w:tc>
      </w:tr>
      <w:tr w:rsidR="00C251DB" w:rsidRPr="00DC4A4F" w14:paraId="6F6864B5" w14:textId="2719BC33"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111BB7D7" w14:textId="46E4171C" w:rsidR="00C251DB" w:rsidRPr="00DC4A4F" w:rsidRDefault="00C251DB" w:rsidP="00C251DB">
            <w:pPr>
              <w:pStyle w:val="TableText"/>
              <w:rPr>
                <w:rFonts w:ascii="Arial" w:hAnsi="Arial" w:cs="Arial"/>
                <w:sz w:val="22"/>
                <w:szCs w:val="22"/>
              </w:rPr>
            </w:pPr>
          </w:p>
        </w:tc>
        <w:tc>
          <w:tcPr>
            <w:tcW w:w="3770" w:type="dxa"/>
          </w:tcPr>
          <w:p w14:paraId="2155AB20" w14:textId="6444F5FF"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Date of birth</w:t>
            </w:r>
          </w:p>
        </w:tc>
      </w:tr>
      <w:tr w:rsidR="00C251DB" w:rsidRPr="00DC4A4F" w14:paraId="73876301" w14:textId="6E929FBF"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49B9AF50" w14:textId="185D61E5" w:rsidR="00C251DB" w:rsidRPr="00DC4A4F" w:rsidRDefault="00C251DB" w:rsidP="00C251DB">
            <w:pPr>
              <w:pStyle w:val="TableText"/>
              <w:rPr>
                <w:rFonts w:ascii="Arial" w:hAnsi="Arial" w:cs="Arial"/>
                <w:sz w:val="22"/>
                <w:szCs w:val="22"/>
              </w:rPr>
            </w:pPr>
          </w:p>
        </w:tc>
        <w:tc>
          <w:tcPr>
            <w:tcW w:w="3770" w:type="dxa"/>
          </w:tcPr>
          <w:p w14:paraId="0A075A47" w14:textId="449E2A47"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Age</w:t>
            </w:r>
          </w:p>
        </w:tc>
      </w:tr>
      <w:tr w:rsidR="00C251DB" w:rsidRPr="00DC4A4F" w14:paraId="1698016F" w14:textId="571EFAE2"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57A60198" w14:textId="0B033CCF" w:rsidR="00C251DB" w:rsidRPr="00DC4A4F" w:rsidRDefault="00C251DB" w:rsidP="00C251DB">
            <w:pPr>
              <w:pStyle w:val="TableText"/>
              <w:rPr>
                <w:rFonts w:ascii="Arial" w:hAnsi="Arial" w:cs="Arial"/>
                <w:sz w:val="22"/>
                <w:szCs w:val="22"/>
              </w:rPr>
            </w:pPr>
          </w:p>
        </w:tc>
        <w:tc>
          <w:tcPr>
            <w:tcW w:w="3770" w:type="dxa"/>
          </w:tcPr>
          <w:p w14:paraId="02C8BC30"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Sex</w:t>
            </w:r>
            <w:r>
              <w:rPr>
                <w:rFonts w:ascii="Arial" w:hAnsi="Arial" w:cs="Arial"/>
                <w:sz w:val="22"/>
                <w:szCs w:val="22"/>
              </w:rPr>
              <w:t xml:space="preserve"> recorded at birth:</w:t>
            </w:r>
          </w:p>
          <w:p w14:paraId="69E84178"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Male</w:t>
            </w:r>
          </w:p>
          <w:p w14:paraId="0E24961B"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Female</w:t>
            </w:r>
          </w:p>
          <w:p w14:paraId="5A8B8691" w14:textId="2C9F3771"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Another term</w:t>
            </w:r>
          </w:p>
        </w:tc>
      </w:tr>
      <w:tr w:rsidR="00C251DB" w:rsidRPr="00DC4A4F" w14:paraId="0FB91B44" w14:textId="35B65A0B"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4E8998D6" w14:textId="77BA0C6C" w:rsidR="00C251DB" w:rsidRPr="00DC4A4F" w:rsidRDefault="00C251DB" w:rsidP="00C251DB">
            <w:pPr>
              <w:pStyle w:val="TableText"/>
              <w:rPr>
                <w:rFonts w:ascii="Arial" w:hAnsi="Arial" w:cs="Arial"/>
                <w:sz w:val="22"/>
                <w:szCs w:val="22"/>
              </w:rPr>
            </w:pPr>
          </w:p>
        </w:tc>
        <w:tc>
          <w:tcPr>
            <w:tcW w:w="3770" w:type="dxa"/>
          </w:tcPr>
          <w:p w14:paraId="731EB547"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What is your gender:</w:t>
            </w:r>
          </w:p>
          <w:p w14:paraId="7C1D4CB7"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Male</w:t>
            </w:r>
          </w:p>
          <w:p w14:paraId="0B15064A"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Female</w:t>
            </w:r>
          </w:p>
          <w:p w14:paraId="409EF776"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Non-binary</w:t>
            </w:r>
          </w:p>
          <w:p w14:paraId="2D8834A6" w14:textId="77777777"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Another term (please specify)</w:t>
            </w:r>
          </w:p>
          <w:p w14:paraId="2FA92B05" w14:textId="5D58826B" w:rsidR="00C251DB"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Prefer not to answer </w:t>
            </w:r>
          </w:p>
        </w:tc>
      </w:tr>
      <w:tr w:rsidR="00C251DB" w:rsidRPr="00DC4A4F" w14:paraId="492DEC63" w14:textId="07E41C30"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2A4F8F01" w14:textId="75ECC97B" w:rsidR="00C251DB" w:rsidRPr="00DC4A4F" w:rsidRDefault="00C251DB" w:rsidP="00C251DB">
            <w:pPr>
              <w:pStyle w:val="TableText"/>
              <w:rPr>
                <w:rFonts w:ascii="Arial" w:hAnsi="Arial" w:cs="Arial"/>
                <w:sz w:val="22"/>
                <w:szCs w:val="22"/>
              </w:rPr>
            </w:pPr>
          </w:p>
        </w:tc>
        <w:tc>
          <w:tcPr>
            <w:tcW w:w="3770" w:type="dxa"/>
          </w:tcPr>
          <w:p w14:paraId="551A07D9" w14:textId="279032F7"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Country of birth code</w:t>
            </w:r>
          </w:p>
        </w:tc>
      </w:tr>
      <w:tr w:rsidR="00C251DB" w:rsidRPr="00DC4A4F" w14:paraId="55897EC0" w14:textId="62ABE254"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2040159A" w14:textId="6DAC7ABD" w:rsidR="00C251DB" w:rsidRPr="00DC4A4F" w:rsidRDefault="00C251DB" w:rsidP="00C251DB">
            <w:pPr>
              <w:pStyle w:val="TableText"/>
              <w:rPr>
                <w:rFonts w:ascii="Arial" w:hAnsi="Arial" w:cs="Arial"/>
                <w:sz w:val="22"/>
                <w:szCs w:val="22"/>
              </w:rPr>
            </w:pPr>
          </w:p>
        </w:tc>
        <w:tc>
          <w:tcPr>
            <w:tcW w:w="3770" w:type="dxa"/>
          </w:tcPr>
          <w:p w14:paraId="771689D4" w14:textId="61FFFD61"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Indigenous status code</w:t>
            </w:r>
          </w:p>
        </w:tc>
      </w:tr>
      <w:tr w:rsidR="00C251DB" w:rsidRPr="00DC4A4F" w14:paraId="5940B6D4" w14:textId="36B277A3"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534A0222" w14:textId="0CED9056" w:rsidR="00C251DB" w:rsidRPr="00DC4A4F" w:rsidRDefault="00C251DB" w:rsidP="00C251DB">
            <w:pPr>
              <w:pStyle w:val="TableText"/>
              <w:rPr>
                <w:rFonts w:ascii="Arial" w:hAnsi="Arial" w:cs="Arial"/>
                <w:sz w:val="22"/>
                <w:szCs w:val="22"/>
              </w:rPr>
            </w:pPr>
          </w:p>
        </w:tc>
        <w:tc>
          <w:tcPr>
            <w:tcW w:w="3770" w:type="dxa"/>
          </w:tcPr>
          <w:p w14:paraId="77A47829" w14:textId="34A84F4D"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Australian postcode</w:t>
            </w:r>
          </w:p>
        </w:tc>
      </w:tr>
      <w:tr w:rsidR="00C251DB" w:rsidRPr="00DC4A4F" w14:paraId="67401019" w14:textId="7BA2B5D3"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27AE5D5A" w14:textId="10C6E778" w:rsidR="00C251DB" w:rsidRPr="00DC4A4F" w:rsidRDefault="00C251DB" w:rsidP="00C251DB">
            <w:pPr>
              <w:pStyle w:val="TableText"/>
              <w:rPr>
                <w:rFonts w:ascii="Arial" w:hAnsi="Arial" w:cs="Arial"/>
                <w:sz w:val="22"/>
                <w:szCs w:val="22"/>
              </w:rPr>
            </w:pPr>
          </w:p>
        </w:tc>
        <w:tc>
          <w:tcPr>
            <w:tcW w:w="3770" w:type="dxa"/>
          </w:tcPr>
          <w:p w14:paraId="2C26664D" w14:textId="37F70761"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Australian Statistical Geography Standard SA1 code</w:t>
            </w:r>
          </w:p>
        </w:tc>
      </w:tr>
      <w:tr w:rsidR="00C251DB" w:rsidRPr="00DC4A4F" w14:paraId="7090DE88" w14:textId="582F5B2F"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35935782" w14:textId="39AAB139" w:rsidR="00C251DB" w:rsidRPr="00DC4A4F" w:rsidRDefault="00C251DB" w:rsidP="00C251DB">
            <w:pPr>
              <w:pStyle w:val="TableText"/>
              <w:rPr>
                <w:rFonts w:ascii="Arial" w:hAnsi="Arial" w:cs="Arial"/>
                <w:sz w:val="22"/>
                <w:szCs w:val="22"/>
              </w:rPr>
            </w:pPr>
          </w:p>
        </w:tc>
        <w:tc>
          <w:tcPr>
            <w:tcW w:w="3770" w:type="dxa"/>
          </w:tcPr>
          <w:p w14:paraId="2BC9F14B" w14:textId="1AE2D5E1"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Date of death</w:t>
            </w:r>
          </w:p>
        </w:tc>
      </w:tr>
      <w:tr w:rsidR="00C251DB" w:rsidRPr="00DC4A4F" w14:paraId="6AD0E47C" w14:textId="7D3A8E34"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4A6E576D" w14:textId="359B5386" w:rsidR="00C251DB" w:rsidRPr="00DC4A4F" w:rsidRDefault="00C251DB" w:rsidP="00C251DB">
            <w:pPr>
              <w:pStyle w:val="TableText"/>
              <w:rPr>
                <w:rFonts w:ascii="Arial" w:hAnsi="Arial" w:cs="Arial"/>
                <w:sz w:val="22"/>
                <w:szCs w:val="22"/>
              </w:rPr>
            </w:pPr>
            <w:r w:rsidRPr="00DC4A4F">
              <w:rPr>
                <w:rFonts w:ascii="Arial" w:hAnsi="Arial" w:cs="Arial"/>
                <w:sz w:val="22"/>
                <w:szCs w:val="22"/>
              </w:rPr>
              <w:t>Service provider organisation</w:t>
            </w:r>
          </w:p>
        </w:tc>
      </w:tr>
      <w:tr w:rsidR="00C251DB" w:rsidRPr="00DC4A4F" w14:paraId="6DB3DCB0" w14:textId="061CD814" w:rsidTr="00033BBF">
        <w:tc>
          <w:tcPr>
            <w:cnfStyle w:val="001000000000" w:firstRow="0" w:lastRow="0" w:firstColumn="1" w:lastColumn="0" w:oddVBand="0" w:evenVBand="0" w:oddHBand="0" w:evenHBand="0" w:firstRowFirstColumn="0" w:firstRowLastColumn="0" w:lastRowFirstColumn="0" w:lastRowLastColumn="0"/>
            <w:tcW w:w="2462" w:type="dxa"/>
            <w:vMerge w:val="restart"/>
            <w:shd w:val="clear" w:color="auto" w:fill="auto"/>
          </w:tcPr>
          <w:p w14:paraId="18FAEF1D" w14:textId="5FE9547A" w:rsidR="00C251DB" w:rsidRPr="00DC4A4F" w:rsidRDefault="00C251DB" w:rsidP="00C251DB">
            <w:pPr>
              <w:pStyle w:val="TableText"/>
              <w:rPr>
                <w:rFonts w:ascii="Arial" w:hAnsi="Arial" w:cs="Arial"/>
                <w:sz w:val="22"/>
                <w:szCs w:val="22"/>
              </w:rPr>
            </w:pPr>
          </w:p>
        </w:tc>
        <w:tc>
          <w:tcPr>
            <w:tcW w:w="3770" w:type="dxa"/>
          </w:tcPr>
          <w:p w14:paraId="1B9A24D3" w14:textId="3957091F"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Organisation name</w:t>
            </w:r>
          </w:p>
        </w:tc>
      </w:tr>
      <w:tr w:rsidR="00C251DB" w:rsidRPr="00DC4A4F" w14:paraId="5993EA99" w14:textId="038376EB"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0E29183F" w14:textId="2292418C" w:rsidR="00C251DB" w:rsidRPr="00DC4A4F" w:rsidRDefault="00C251DB" w:rsidP="00C251DB">
            <w:pPr>
              <w:pStyle w:val="TableText"/>
              <w:rPr>
                <w:rFonts w:ascii="Arial" w:hAnsi="Arial" w:cs="Arial"/>
                <w:sz w:val="22"/>
                <w:szCs w:val="22"/>
              </w:rPr>
            </w:pPr>
          </w:p>
        </w:tc>
        <w:tc>
          <w:tcPr>
            <w:tcW w:w="3770" w:type="dxa"/>
          </w:tcPr>
          <w:p w14:paraId="6575B4B0" w14:textId="5B05C6F2"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Organisation identifier</w:t>
            </w:r>
          </w:p>
        </w:tc>
      </w:tr>
      <w:tr w:rsidR="00C251DB" w:rsidRPr="00DC4A4F" w14:paraId="0983B7F2" w14:textId="6FA1C14A"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2B812FAA" w14:textId="402907E5" w:rsidR="00C251DB" w:rsidRPr="00DC4A4F" w:rsidRDefault="00C251DB" w:rsidP="00C251DB">
            <w:pPr>
              <w:pStyle w:val="TableText"/>
              <w:rPr>
                <w:rFonts w:ascii="Arial" w:hAnsi="Arial" w:cs="Arial"/>
                <w:sz w:val="22"/>
                <w:szCs w:val="22"/>
              </w:rPr>
            </w:pPr>
            <w:r w:rsidRPr="00DC4A4F">
              <w:rPr>
                <w:rFonts w:ascii="Arial" w:hAnsi="Arial" w:cs="Arial"/>
                <w:sz w:val="22"/>
                <w:szCs w:val="22"/>
              </w:rPr>
              <w:t>Health service event</w:t>
            </w:r>
          </w:p>
        </w:tc>
      </w:tr>
      <w:tr w:rsidR="00C251DB" w:rsidRPr="00DC4A4F" w14:paraId="1D344B6E" w14:textId="160E694C" w:rsidTr="00033BBF">
        <w:tc>
          <w:tcPr>
            <w:cnfStyle w:val="001000000000" w:firstRow="0" w:lastRow="0" w:firstColumn="1" w:lastColumn="0" w:oddVBand="0" w:evenVBand="0" w:oddHBand="0" w:evenHBand="0" w:firstRowFirstColumn="0" w:firstRowLastColumn="0" w:lastRowFirstColumn="0" w:lastRowLastColumn="0"/>
            <w:tcW w:w="2462" w:type="dxa"/>
            <w:vMerge w:val="restart"/>
            <w:shd w:val="clear" w:color="auto" w:fill="auto"/>
          </w:tcPr>
          <w:p w14:paraId="0006BAAE" w14:textId="5AC34E69" w:rsidR="00C251DB" w:rsidRPr="00DC4A4F" w:rsidRDefault="00C251DB" w:rsidP="00C251DB">
            <w:pPr>
              <w:pStyle w:val="TableText"/>
              <w:rPr>
                <w:rFonts w:ascii="Arial" w:hAnsi="Arial" w:cs="Arial"/>
                <w:sz w:val="22"/>
                <w:szCs w:val="22"/>
              </w:rPr>
            </w:pPr>
          </w:p>
        </w:tc>
        <w:tc>
          <w:tcPr>
            <w:tcW w:w="3770" w:type="dxa"/>
          </w:tcPr>
          <w:p w14:paraId="41EA4899" w14:textId="3F4E12FB"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Date</w:t>
            </w:r>
          </w:p>
        </w:tc>
      </w:tr>
      <w:tr w:rsidR="00C251DB" w:rsidRPr="00DC4A4F" w14:paraId="5A572787" w14:textId="53EFF411"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7AE2655A" w14:textId="3F3E7961" w:rsidR="00C251DB" w:rsidRPr="00DC4A4F" w:rsidRDefault="00C251DB" w:rsidP="00C251DB">
            <w:pPr>
              <w:pStyle w:val="TableText"/>
              <w:rPr>
                <w:rFonts w:ascii="Arial" w:hAnsi="Arial" w:cs="Arial"/>
                <w:sz w:val="22"/>
                <w:szCs w:val="22"/>
              </w:rPr>
            </w:pPr>
          </w:p>
        </w:tc>
        <w:tc>
          <w:tcPr>
            <w:tcW w:w="3770" w:type="dxa"/>
          </w:tcPr>
          <w:p w14:paraId="37730BE4" w14:textId="313AFE67"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Record completion status</w:t>
            </w:r>
          </w:p>
        </w:tc>
      </w:tr>
      <w:tr w:rsidR="00C251DB" w:rsidRPr="00DC4A4F" w14:paraId="39F82FDC" w14:textId="539BE9E4"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1F68B549" w14:textId="65402793" w:rsidR="00C251DB" w:rsidRPr="00DC4A4F" w:rsidRDefault="00C251DB" w:rsidP="00C251DB">
            <w:pPr>
              <w:pStyle w:val="TableText"/>
              <w:rPr>
                <w:rFonts w:ascii="Arial" w:hAnsi="Arial" w:cs="Arial"/>
                <w:sz w:val="22"/>
                <w:szCs w:val="22"/>
              </w:rPr>
            </w:pPr>
            <w:r w:rsidRPr="00DC4A4F">
              <w:rPr>
                <w:rFonts w:ascii="Arial" w:hAnsi="Arial" w:cs="Arial"/>
                <w:sz w:val="22"/>
                <w:szCs w:val="22"/>
              </w:rPr>
              <w:t>Follow-up event</w:t>
            </w:r>
          </w:p>
        </w:tc>
      </w:tr>
      <w:tr w:rsidR="00C251DB" w:rsidRPr="00DC4A4F" w14:paraId="070C8C51" w14:textId="0EFF62C0" w:rsidTr="00033BBF">
        <w:tc>
          <w:tcPr>
            <w:cnfStyle w:val="001000000000" w:firstRow="0" w:lastRow="0" w:firstColumn="1" w:lastColumn="0" w:oddVBand="0" w:evenVBand="0" w:oddHBand="0" w:evenHBand="0" w:firstRowFirstColumn="0" w:firstRowLastColumn="0" w:lastRowFirstColumn="0" w:lastRowLastColumn="0"/>
            <w:tcW w:w="2462" w:type="dxa"/>
            <w:vMerge w:val="restart"/>
            <w:shd w:val="clear" w:color="auto" w:fill="auto"/>
          </w:tcPr>
          <w:p w14:paraId="163B9695" w14:textId="6A3EB0A6" w:rsidR="00C251DB" w:rsidRPr="00DC4A4F" w:rsidRDefault="00C251DB" w:rsidP="00C251DB">
            <w:pPr>
              <w:pStyle w:val="TableText"/>
              <w:rPr>
                <w:rFonts w:ascii="Arial" w:hAnsi="Arial" w:cs="Arial"/>
                <w:sz w:val="22"/>
                <w:szCs w:val="22"/>
              </w:rPr>
            </w:pPr>
          </w:p>
        </w:tc>
        <w:tc>
          <w:tcPr>
            <w:tcW w:w="3770" w:type="dxa"/>
          </w:tcPr>
          <w:p w14:paraId="767C202F" w14:textId="425FD1A2"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Date</w:t>
            </w:r>
          </w:p>
        </w:tc>
      </w:tr>
      <w:tr w:rsidR="00C251DB" w:rsidRPr="00DC4A4F" w14:paraId="456A0ACE" w14:textId="12EBB35F" w:rsidTr="00033BBF">
        <w:tc>
          <w:tcPr>
            <w:cnfStyle w:val="001000000000" w:firstRow="0" w:lastRow="0" w:firstColumn="1" w:lastColumn="0" w:oddVBand="0" w:evenVBand="0" w:oddHBand="0" w:evenHBand="0" w:firstRowFirstColumn="0" w:firstRowLastColumn="0" w:lastRowFirstColumn="0" w:lastRowLastColumn="0"/>
            <w:tcW w:w="2462" w:type="dxa"/>
            <w:vMerge/>
            <w:shd w:val="clear" w:color="auto" w:fill="auto"/>
          </w:tcPr>
          <w:p w14:paraId="0BBBF9C7" w14:textId="423444C2" w:rsidR="00C251DB" w:rsidRPr="00DC4A4F" w:rsidRDefault="00C251DB" w:rsidP="00C251DB">
            <w:pPr>
              <w:pStyle w:val="TableText"/>
              <w:rPr>
                <w:rFonts w:ascii="Arial" w:hAnsi="Arial" w:cs="Arial"/>
                <w:sz w:val="22"/>
                <w:szCs w:val="22"/>
              </w:rPr>
            </w:pPr>
          </w:p>
        </w:tc>
        <w:tc>
          <w:tcPr>
            <w:tcW w:w="3770" w:type="dxa"/>
          </w:tcPr>
          <w:p w14:paraId="774D0692" w14:textId="70FA0239" w:rsidR="00C251DB" w:rsidRPr="00DC4A4F" w:rsidRDefault="00C251DB" w:rsidP="00C251DB">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C4A4F">
              <w:rPr>
                <w:rFonts w:ascii="Arial" w:hAnsi="Arial" w:cs="Arial"/>
                <w:sz w:val="22"/>
                <w:szCs w:val="22"/>
              </w:rPr>
              <w:t>Record completion status</w:t>
            </w:r>
          </w:p>
        </w:tc>
      </w:tr>
      <w:tr w:rsidR="00C251DB" w:rsidRPr="00DC4A4F" w14:paraId="2B5314D7" w14:textId="6101FEAE" w:rsidTr="00033BBF">
        <w:tc>
          <w:tcPr>
            <w:cnfStyle w:val="001000000000" w:firstRow="0" w:lastRow="0" w:firstColumn="1" w:lastColumn="0" w:oddVBand="0" w:evenVBand="0" w:oddHBand="0" w:evenHBand="0" w:firstRowFirstColumn="0" w:firstRowLastColumn="0" w:lastRowFirstColumn="0" w:lastRowLastColumn="0"/>
            <w:tcW w:w="6232" w:type="dxa"/>
            <w:gridSpan w:val="2"/>
          </w:tcPr>
          <w:p w14:paraId="24944BC7" w14:textId="1B3AB79B" w:rsidR="00C251DB" w:rsidRPr="00DC4A4F" w:rsidRDefault="00C251DB" w:rsidP="00C251DB">
            <w:pPr>
              <w:pStyle w:val="TableText"/>
              <w:rPr>
                <w:rFonts w:ascii="Arial" w:hAnsi="Arial" w:cs="Arial"/>
                <w:sz w:val="22"/>
                <w:szCs w:val="22"/>
              </w:rPr>
            </w:pPr>
            <w:r w:rsidRPr="00DC4A4F">
              <w:rPr>
                <w:rFonts w:ascii="Arial" w:hAnsi="Arial" w:cs="Arial"/>
                <w:sz w:val="22"/>
                <w:szCs w:val="22"/>
              </w:rPr>
              <w:t>Registry episode</w:t>
            </w:r>
          </w:p>
        </w:tc>
      </w:tr>
    </w:tbl>
    <w:p w14:paraId="52E9382C" w14:textId="77777777" w:rsidR="00353F49" w:rsidRDefault="00353F49" w:rsidP="00192720">
      <w:pPr>
        <w:pStyle w:val="Heading2"/>
      </w:pPr>
      <w:bookmarkStart w:id="503" w:name="_Ref311964127"/>
      <w:bookmarkStart w:id="504" w:name="_Toc158583994"/>
      <w:bookmarkStart w:id="505" w:name="_Toc159324767"/>
    </w:p>
    <w:p w14:paraId="6271E117" w14:textId="77777777" w:rsidR="00353F49" w:rsidRDefault="00353F49">
      <w:pPr>
        <w:spacing w:before="0" w:after="80"/>
        <w:rPr>
          <w:rFonts w:cs="Arial"/>
          <w:b/>
          <w:iCs/>
          <w:color w:val="005370" w:themeColor="text2"/>
          <w:kern w:val="28"/>
          <w:sz w:val="32"/>
          <w:szCs w:val="28"/>
        </w:rPr>
      </w:pPr>
      <w:r>
        <w:br w:type="page"/>
      </w:r>
    </w:p>
    <w:p w14:paraId="2D53557F" w14:textId="581CC301" w:rsidR="00192720" w:rsidRPr="00224EA8" w:rsidRDefault="001C2D39" w:rsidP="00192720">
      <w:pPr>
        <w:pStyle w:val="Heading2"/>
      </w:pPr>
      <w:bookmarkStart w:id="506" w:name="_Toc175550387"/>
      <w:r>
        <w:lastRenderedPageBreak/>
        <w:t>6.3</w:t>
      </w:r>
      <w:r>
        <w:tab/>
      </w:r>
      <w:r w:rsidR="00192720" w:rsidRPr="00224EA8">
        <w:t>Data dictionary</w:t>
      </w:r>
      <w:bookmarkEnd w:id="503"/>
      <w:bookmarkEnd w:id="504"/>
      <w:bookmarkEnd w:id="505"/>
      <w:bookmarkEnd w:id="506"/>
    </w:p>
    <w:p w14:paraId="7103B75C" w14:textId="77777777" w:rsidR="00192720" w:rsidRPr="009A6C5C" w:rsidRDefault="00192720" w:rsidP="001C2D39">
      <w:r w:rsidRPr="009A6C5C">
        <w:t>This section defines the object classes and data elements in alphabetical order.</w:t>
      </w:r>
      <w:r>
        <w:t xml:space="preserve"> Where the object or data element is specified in METeOR, a link is provided to the METeOR entry.</w:t>
      </w:r>
    </w:p>
    <w:p w14:paraId="369E368A" w14:textId="4F50BE5F" w:rsidR="00192720" w:rsidRPr="009A6C5C" w:rsidRDefault="001C2D39" w:rsidP="00192720">
      <w:pPr>
        <w:pStyle w:val="Heading3"/>
      </w:pPr>
      <w:bookmarkStart w:id="507" w:name="_Ref310595636"/>
      <w:bookmarkStart w:id="508" w:name="_Toc158583995"/>
      <w:bookmarkStart w:id="509" w:name="_Toc159324768"/>
      <w:bookmarkStart w:id="510" w:name="_Toc175550388"/>
      <w:bookmarkStart w:id="511" w:name="_Ref310255763"/>
      <w:bookmarkStart w:id="512" w:name="_Ref310340690"/>
      <w:bookmarkStart w:id="513" w:name="_Ref310422028"/>
      <w:r>
        <w:t>6.3.1</w:t>
      </w:r>
      <w:r>
        <w:tab/>
      </w:r>
      <w:r w:rsidR="00192720" w:rsidRPr="009A6C5C">
        <w:t xml:space="preserve">CQR data </w:t>
      </w:r>
      <w:bookmarkEnd w:id="507"/>
      <w:r w:rsidR="00192720" w:rsidRPr="009A6C5C">
        <w:t>subset instance</w:t>
      </w:r>
      <w:bookmarkEnd w:id="508"/>
      <w:bookmarkEnd w:id="509"/>
      <w:bookmarkEnd w:id="510"/>
    </w:p>
    <w:p w14:paraId="6E9F182F" w14:textId="77777777" w:rsidR="00192720" w:rsidRPr="009A6C5C" w:rsidRDefault="00192720" w:rsidP="001C2D39">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DC4A4F" w14:paraId="6E54DC27" w14:textId="77777777" w:rsidTr="009018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686FAAEC" w14:textId="24D1C0F6" w:rsidR="00192720" w:rsidRPr="00CC60F7" w:rsidRDefault="00192720" w:rsidP="00E31524">
            <w:r w:rsidRPr="009018CD">
              <w:rPr>
                <w:color w:val="000000" w:themeColor="text1"/>
              </w:rPr>
              <w:t>Metadata item type</w:t>
            </w:r>
          </w:p>
        </w:tc>
        <w:tc>
          <w:tcPr>
            <w:tcW w:w="4061" w:type="dxa"/>
            <w:shd w:val="clear" w:color="auto" w:fill="auto"/>
          </w:tcPr>
          <w:p w14:paraId="1EFD1680" w14:textId="77777777" w:rsidR="00192720" w:rsidRPr="009018CD" w:rsidRDefault="00192720" w:rsidP="009018CD">
            <w:pPr>
              <w:cnfStyle w:val="100000000000" w:firstRow="1" w:lastRow="0" w:firstColumn="0" w:lastColumn="0" w:oddVBand="0" w:evenVBand="0" w:oddHBand="0" w:evenHBand="0" w:firstRowFirstColumn="0" w:firstRowLastColumn="0" w:lastRowFirstColumn="0" w:lastRowLastColumn="0"/>
              <w:rPr>
                <w:b w:val="0"/>
                <w:bCs/>
              </w:rPr>
            </w:pPr>
            <w:r w:rsidRPr="009018CD">
              <w:rPr>
                <w:b w:val="0"/>
                <w:bCs/>
                <w:color w:val="000000" w:themeColor="text1"/>
              </w:rPr>
              <w:t>Object Class</w:t>
            </w:r>
          </w:p>
        </w:tc>
      </w:tr>
      <w:tr w:rsidR="00192720" w:rsidRPr="00DC4A4F" w14:paraId="77ADD102" w14:textId="77777777" w:rsidTr="2E4EEEA3">
        <w:tc>
          <w:tcPr>
            <w:cnfStyle w:val="001000000000" w:firstRow="0" w:lastRow="0" w:firstColumn="1" w:lastColumn="0" w:oddVBand="0" w:evenVBand="0" w:oddHBand="0" w:evenHBand="0" w:firstRowFirstColumn="0" w:firstRowLastColumn="0" w:lastRowFirstColumn="0" w:lastRowLastColumn="0"/>
            <w:tcW w:w="4092" w:type="dxa"/>
          </w:tcPr>
          <w:p w14:paraId="488EB216" w14:textId="1DE460E1" w:rsidR="00192720" w:rsidRPr="00CC60F7" w:rsidRDefault="00192720" w:rsidP="00E31524">
            <w:r w:rsidRPr="00CC60F7">
              <w:t>Definition</w:t>
            </w:r>
          </w:p>
        </w:tc>
        <w:tc>
          <w:tcPr>
            <w:tcW w:w="4061" w:type="dxa"/>
          </w:tcPr>
          <w:p w14:paraId="2552E1D1" w14:textId="5CFC094A" w:rsidR="00192720" w:rsidRPr="00DC4A4F" w:rsidRDefault="00192720" w:rsidP="00E31524">
            <w:pPr>
              <w:cnfStyle w:val="000000000000" w:firstRow="0" w:lastRow="0" w:firstColumn="0" w:lastColumn="0" w:oddVBand="0" w:evenVBand="0" w:oddHBand="0" w:evenHBand="0" w:firstRowFirstColumn="0" w:firstRowLastColumn="0" w:lastRowFirstColumn="0" w:lastRowLastColumn="0"/>
            </w:pPr>
            <w:r w:rsidRPr="00DC4A4F">
              <w:t xml:space="preserve">An instance of a data subset that will be used to collect clinical data values for a particular health </w:t>
            </w:r>
            <w:r>
              <w:t>s</w:t>
            </w:r>
            <w:r w:rsidRPr="00DC4A4F">
              <w:t xml:space="preserve">ervice </w:t>
            </w:r>
            <w:r>
              <w:t>e</w:t>
            </w:r>
            <w:r w:rsidRPr="00DC4A4F">
              <w:t xml:space="preserve">vent or follow-up </w:t>
            </w:r>
            <w:r>
              <w:t>e</w:t>
            </w:r>
            <w:r w:rsidRPr="00DC4A4F">
              <w:t>vent</w:t>
            </w:r>
          </w:p>
        </w:tc>
      </w:tr>
    </w:tbl>
    <w:p w14:paraId="623841DF" w14:textId="279D3175" w:rsidR="00192720" w:rsidRPr="009A6C5C" w:rsidRDefault="001C2D39" w:rsidP="00192720">
      <w:pPr>
        <w:pStyle w:val="Heading3"/>
      </w:pPr>
      <w:bookmarkStart w:id="514" w:name="_Ref310595642"/>
      <w:bookmarkStart w:id="515" w:name="_Toc158583996"/>
      <w:bookmarkStart w:id="516" w:name="_Toc159324769"/>
      <w:bookmarkStart w:id="517" w:name="_Toc175550389"/>
      <w:r>
        <w:t>6.3.2</w:t>
      </w:r>
      <w:r>
        <w:tab/>
      </w:r>
      <w:r w:rsidR="00192720" w:rsidRPr="009A6C5C">
        <w:t>CQR data subset instance</w:t>
      </w:r>
      <w:r w:rsidR="00192720">
        <w:t xml:space="preserve"> – </w:t>
      </w:r>
      <w:r w:rsidR="00192720" w:rsidRPr="009A6C5C">
        <w:t>completion date</w:t>
      </w:r>
      <w:bookmarkEnd w:id="514"/>
      <w:bookmarkEnd w:id="515"/>
      <w:bookmarkEnd w:id="516"/>
      <w:bookmarkEnd w:id="517"/>
    </w:p>
    <w:p w14:paraId="022DADF8" w14:textId="50734AE3" w:rsidR="00192720" w:rsidRDefault="00192720" w:rsidP="009018CD">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9018CD" w:rsidRPr="00DC4A4F" w14:paraId="2F0F4C84" w14:textId="77777777" w:rsidTr="00EB5D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45EDE96D" w14:textId="77777777" w:rsidR="009018CD" w:rsidRPr="00CC60F7" w:rsidRDefault="009018CD" w:rsidP="00EB5D8A">
            <w:r w:rsidRPr="009018CD">
              <w:rPr>
                <w:color w:val="000000" w:themeColor="text1"/>
              </w:rPr>
              <w:t>Metadata item type</w:t>
            </w:r>
          </w:p>
        </w:tc>
        <w:tc>
          <w:tcPr>
            <w:tcW w:w="4061" w:type="dxa"/>
            <w:shd w:val="clear" w:color="auto" w:fill="auto"/>
          </w:tcPr>
          <w:p w14:paraId="5320DEC7" w14:textId="2458E7C1" w:rsidR="009018CD" w:rsidRPr="009018CD" w:rsidRDefault="009018CD" w:rsidP="009018CD">
            <w:pPr>
              <w:cnfStyle w:val="100000000000" w:firstRow="1" w:lastRow="0" w:firstColumn="0" w:lastColumn="0" w:oddVBand="0" w:evenVBand="0" w:oddHBand="0" w:evenHBand="0" w:firstRowFirstColumn="0" w:firstRowLastColumn="0" w:lastRowFirstColumn="0" w:lastRowLastColumn="0"/>
              <w:rPr>
                <w:b w:val="0"/>
                <w:bCs/>
              </w:rPr>
            </w:pPr>
            <w:r w:rsidRPr="009018CD">
              <w:rPr>
                <w:b w:val="0"/>
                <w:bCs/>
                <w:color w:val="000000" w:themeColor="text1"/>
              </w:rPr>
              <w:t>Data Element</w:t>
            </w:r>
          </w:p>
        </w:tc>
      </w:tr>
      <w:tr w:rsidR="009018CD" w:rsidRPr="00DC4A4F" w14:paraId="0C4EE70F" w14:textId="77777777" w:rsidTr="00EB5D8A">
        <w:tc>
          <w:tcPr>
            <w:cnfStyle w:val="001000000000" w:firstRow="0" w:lastRow="0" w:firstColumn="1" w:lastColumn="0" w:oddVBand="0" w:evenVBand="0" w:oddHBand="0" w:evenHBand="0" w:firstRowFirstColumn="0" w:firstRowLastColumn="0" w:lastRowFirstColumn="0" w:lastRowLastColumn="0"/>
            <w:tcW w:w="4092" w:type="dxa"/>
          </w:tcPr>
          <w:p w14:paraId="78F71DB8" w14:textId="77777777" w:rsidR="009018CD" w:rsidRPr="00CC60F7" w:rsidRDefault="009018CD" w:rsidP="00EB5D8A">
            <w:r w:rsidRPr="00CC60F7">
              <w:t>Definition</w:t>
            </w:r>
          </w:p>
        </w:tc>
        <w:tc>
          <w:tcPr>
            <w:tcW w:w="4061" w:type="dxa"/>
          </w:tcPr>
          <w:p w14:paraId="3B3C1DC5" w14:textId="76D47AAE" w:rsidR="009018CD" w:rsidRPr="00DC4A4F" w:rsidRDefault="009018CD" w:rsidP="00EB5D8A">
            <w:pPr>
              <w:cnfStyle w:val="000000000000" w:firstRow="0" w:lastRow="0" w:firstColumn="0" w:lastColumn="0" w:oddVBand="0" w:evenVBand="0" w:oddHBand="0" w:evenHBand="0" w:firstRowFirstColumn="0" w:firstRowLastColumn="0" w:lastRowFirstColumn="0" w:lastRowLastColumn="0"/>
            </w:pPr>
            <w:r w:rsidRPr="00DC4A4F">
              <w:t>The date on which the information was recorded about the patient</w:t>
            </w:r>
          </w:p>
        </w:tc>
      </w:tr>
    </w:tbl>
    <w:p w14:paraId="1625DF22" w14:textId="77777777" w:rsidR="009018CD" w:rsidRPr="009A6C5C" w:rsidRDefault="009018CD" w:rsidP="00192720">
      <w:pPr>
        <w:pStyle w:val="BodyText"/>
      </w:pPr>
    </w:p>
    <w:p w14:paraId="2D77C0FC" w14:textId="77777777" w:rsidR="00192720" w:rsidRPr="009A6C5C" w:rsidRDefault="00192720" w:rsidP="00192720">
      <w:pPr>
        <w:pStyle w:val="BodyText"/>
      </w:pPr>
      <w:r w:rsidRPr="009A6C5C">
        <w:t>Representational attributes</w:t>
      </w:r>
    </w:p>
    <w:tbl>
      <w:tblPr>
        <w:tblStyle w:val="SurveyQuestions"/>
        <w:tblW w:w="0" w:type="auto"/>
        <w:tblLook w:val="04A0" w:firstRow="1" w:lastRow="0" w:firstColumn="1" w:lastColumn="0" w:noHBand="0" w:noVBand="1"/>
      </w:tblPr>
      <w:tblGrid>
        <w:gridCol w:w="4092"/>
        <w:gridCol w:w="4061"/>
      </w:tblGrid>
      <w:tr w:rsidR="00192720" w:rsidRPr="00DC4A4F" w14:paraId="605DE0EE" w14:textId="77777777" w:rsidTr="009018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66335EBC" w14:textId="7741199D" w:rsidR="00192720" w:rsidRPr="009018CD" w:rsidRDefault="00192720" w:rsidP="001C2D39">
            <w:r w:rsidRPr="009018CD">
              <w:rPr>
                <w:color w:val="000000" w:themeColor="text1"/>
              </w:rPr>
              <w:t>Representation class</w:t>
            </w:r>
          </w:p>
        </w:tc>
        <w:tc>
          <w:tcPr>
            <w:tcW w:w="4061" w:type="dxa"/>
            <w:shd w:val="clear" w:color="auto" w:fill="auto"/>
          </w:tcPr>
          <w:p w14:paraId="5BC6454F" w14:textId="77777777" w:rsidR="00192720" w:rsidRPr="009018CD" w:rsidRDefault="00192720" w:rsidP="009018CD">
            <w:pPr>
              <w:cnfStyle w:val="100000000000" w:firstRow="1" w:lastRow="0" w:firstColumn="0" w:lastColumn="0" w:oddVBand="0" w:evenVBand="0" w:oddHBand="0" w:evenHBand="0" w:firstRowFirstColumn="0" w:firstRowLastColumn="0" w:lastRowFirstColumn="0" w:lastRowLastColumn="0"/>
              <w:rPr>
                <w:b w:val="0"/>
                <w:bCs/>
              </w:rPr>
            </w:pPr>
            <w:r w:rsidRPr="009018CD">
              <w:rPr>
                <w:b w:val="0"/>
                <w:bCs/>
                <w:color w:val="000000" w:themeColor="text1"/>
              </w:rPr>
              <w:t>Date</w:t>
            </w:r>
          </w:p>
        </w:tc>
      </w:tr>
      <w:tr w:rsidR="00192720" w:rsidRPr="00DC4A4F" w14:paraId="59DB1841"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C8B069F" w14:textId="178085B0" w:rsidR="00192720" w:rsidRPr="00CC60F7" w:rsidRDefault="00192720" w:rsidP="001C2D39">
            <w:r w:rsidRPr="00CC60F7">
              <w:t>Data type</w:t>
            </w:r>
          </w:p>
        </w:tc>
        <w:tc>
          <w:tcPr>
            <w:tcW w:w="4061" w:type="dxa"/>
          </w:tcPr>
          <w:p w14:paraId="4C89B46A" w14:textId="77777777" w:rsidR="00192720" w:rsidRPr="00DC4A4F" w:rsidRDefault="00192720" w:rsidP="001C2D39">
            <w:pPr>
              <w:cnfStyle w:val="000000000000" w:firstRow="0" w:lastRow="0" w:firstColumn="0" w:lastColumn="0" w:oddVBand="0" w:evenVBand="0" w:oddHBand="0" w:evenHBand="0" w:firstRowFirstColumn="0" w:firstRowLastColumn="0" w:lastRowFirstColumn="0" w:lastRowLastColumn="0"/>
            </w:pPr>
            <w:r w:rsidRPr="00DC4A4F">
              <w:t>Date/Time</w:t>
            </w:r>
          </w:p>
        </w:tc>
      </w:tr>
      <w:tr w:rsidR="00192720" w:rsidRPr="00DC4A4F" w14:paraId="39E38F71"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453E55F9" w14:textId="389568C3" w:rsidR="00192720" w:rsidRPr="00CC60F7" w:rsidRDefault="00192720" w:rsidP="001C2D39">
            <w:r w:rsidRPr="00CC60F7">
              <w:t>Format</w:t>
            </w:r>
          </w:p>
        </w:tc>
        <w:tc>
          <w:tcPr>
            <w:tcW w:w="4061" w:type="dxa"/>
          </w:tcPr>
          <w:p w14:paraId="0374FB91" w14:textId="77777777" w:rsidR="00192720" w:rsidRPr="00DC4A4F" w:rsidRDefault="00192720" w:rsidP="001C2D39">
            <w:pPr>
              <w:cnfStyle w:val="000000000000" w:firstRow="0" w:lastRow="0" w:firstColumn="0" w:lastColumn="0" w:oddVBand="0" w:evenVBand="0" w:oddHBand="0" w:evenHBand="0" w:firstRowFirstColumn="0" w:firstRowLastColumn="0" w:lastRowFirstColumn="0" w:lastRowLastColumn="0"/>
            </w:pPr>
            <w:r w:rsidRPr="00DC4A4F">
              <w:t>DDMMYYYY</w:t>
            </w:r>
          </w:p>
        </w:tc>
      </w:tr>
      <w:tr w:rsidR="00192720" w:rsidRPr="00DC4A4F" w14:paraId="49FD7041"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6A02AA81" w14:textId="56E0C0AD" w:rsidR="00192720" w:rsidRPr="00CC60F7" w:rsidRDefault="00192720" w:rsidP="001C2D39">
            <w:r w:rsidRPr="00CC60F7">
              <w:t>Maximum character length</w:t>
            </w:r>
          </w:p>
        </w:tc>
        <w:tc>
          <w:tcPr>
            <w:tcW w:w="4061" w:type="dxa"/>
          </w:tcPr>
          <w:p w14:paraId="03540982" w14:textId="77777777" w:rsidR="00192720" w:rsidRPr="00DC4A4F" w:rsidRDefault="00192720" w:rsidP="001C2D39">
            <w:pPr>
              <w:cnfStyle w:val="000000000000" w:firstRow="0" w:lastRow="0" w:firstColumn="0" w:lastColumn="0" w:oddVBand="0" w:evenVBand="0" w:oddHBand="0" w:evenHBand="0" w:firstRowFirstColumn="0" w:firstRowLastColumn="0" w:lastRowFirstColumn="0" w:lastRowLastColumn="0"/>
            </w:pPr>
            <w:r w:rsidRPr="00DC4A4F">
              <w:t>8</w:t>
            </w:r>
          </w:p>
        </w:tc>
      </w:tr>
    </w:tbl>
    <w:p w14:paraId="1AC85804" w14:textId="02A1BAD4" w:rsidR="00192720" w:rsidRPr="009A6C5C" w:rsidRDefault="001C2D39" w:rsidP="00192720">
      <w:pPr>
        <w:pStyle w:val="Heading3"/>
      </w:pPr>
      <w:bookmarkStart w:id="518" w:name="_Ref310595647"/>
      <w:bookmarkStart w:id="519" w:name="_Toc158583997"/>
      <w:bookmarkStart w:id="520" w:name="_Toc159324770"/>
      <w:bookmarkStart w:id="521" w:name="_Toc175550390"/>
      <w:r>
        <w:t>6.3.3</w:t>
      </w:r>
      <w:r>
        <w:tab/>
      </w:r>
      <w:r w:rsidR="00192720" w:rsidRPr="009A6C5C">
        <w:t>CQR data subset instance</w:t>
      </w:r>
      <w:r w:rsidR="00192720">
        <w:t xml:space="preserve"> – </w:t>
      </w:r>
      <w:r w:rsidR="00192720" w:rsidRPr="009A6C5C">
        <w:t>completed by</w:t>
      </w:r>
      <w:bookmarkEnd w:id="518"/>
      <w:bookmarkEnd w:id="519"/>
      <w:bookmarkEnd w:id="520"/>
      <w:bookmarkEnd w:id="521"/>
    </w:p>
    <w:p w14:paraId="12E5593D" w14:textId="77777777" w:rsidR="00192720" w:rsidRPr="009A6C5C" w:rsidRDefault="00192720" w:rsidP="001C2D39">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48746B33" w14:textId="77777777" w:rsidTr="009018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039D2D17" w14:textId="074CA3C3" w:rsidR="00192720" w:rsidRPr="00CC60F7" w:rsidRDefault="00192720" w:rsidP="001C2D39">
            <w:r w:rsidRPr="009018CD">
              <w:rPr>
                <w:color w:val="000000" w:themeColor="text1"/>
              </w:rPr>
              <w:t>Metadata item type</w:t>
            </w:r>
          </w:p>
        </w:tc>
        <w:tc>
          <w:tcPr>
            <w:tcW w:w="4061" w:type="dxa"/>
            <w:shd w:val="clear" w:color="auto" w:fill="auto"/>
          </w:tcPr>
          <w:p w14:paraId="3FD77A1C" w14:textId="77777777" w:rsidR="00192720" w:rsidRPr="009018CD" w:rsidRDefault="00192720" w:rsidP="001C2D39">
            <w:pPr>
              <w:cnfStyle w:val="100000000000" w:firstRow="1" w:lastRow="0" w:firstColumn="0" w:lastColumn="0" w:oddVBand="0" w:evenVBand="0" w:oddHBand="0" w:evenHBand="0" w:firstRowFirstColumn="0" w:firstRowLastColumn="0" w:lastRowFirstColumn="0" w:lastRowLastColumn="0"/>
              <w:rPr>
                <w:b w:val="0"/>
                <w:bCs/>
              </w:rPr>
            </w:pPr>
            <w:r w:rsidRPr="009018CD">
              <w:rPr>
                <w:b w:val="0"/>
                <w:bCs/>
                <w:color w:val="000000" w:themeColor="text1"/>
              </w:rPr>
              <w:t>Data Element</w:t>
            </w:r>
          </w:p>
        </w:tc>
      </w:tr>
      <w:tr w:rsidR="00192720" w:rsidRPr="00C47A81" w14:paraId="0ED58D59"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5415400" w14:textId="22332D6F" w:rsidR="00192720" w:rsidRPr="00CC60F7" w:rsidRDefault="00192720" w:rsidP="001C2D39">
            <w:r w:rsidRPr="00CC60F7">
              <w:t>Definition</w:t>
            </w:r>
          </w:p>
        </w:tc>
        <w:tc>
          <w:tcPr>
            <w:tcW w:w="4061" w:type="dxa"/>
          </w:tcPr>
          <w:p w14:paraId="264060FD" w14:textId="506C790E"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pPr>
            <w:r w:rsidRPr="00C47A81">
              <w:t>The user identifier of the person who entered the data collection form into the system</w:t>
            </w:r>
          </w:p>
        </w:tc>
      </w:tr>
    </w:tbl>
    <w:p w14:paraId="319C5517" w14:textId="77777777" w:rsidR="00192720" w:rsidRPr="009A6C5C" w:rsidRDefault="00192720" w:rsidP="00192720">
      <w:pPr>
        <w:pStyle w:val="BodyText"/>
      </w:pPr>
    </w:p>
    <w:p w14:paraId="1D328246" w14:textId="77777777" w:rsidR="00353F49" w:rsidRDefault="00353F49">
      <w:pPr>
        <w:spacing w:before="0" w:after="80"/>
      </w:pPr>
      <w:r>
        <w:br w:type="page"/>
      </w:r>
    </w:p>
    <w:p w14:paraId="55793151" w14:textId="45D5267E" w:rsidR="00192720" w:rsidRPr="009A6C5C" w:rsidRDefault="00192720" w:rsidP="001C2D39">
      <w:r w:rsidRPr="009A6C5C">
        <w:lastRenderedPageBreak/>
        <w:t>Representational attributes</w:t>
      </w:r>
    </w:p>
    <w:tbl>
      <w:tblPr>
        <w:tblStyle w:val="SurveyQuestions"/>
        <w:tblW w:w="0" w:type="auto"/>
        <w:tblLook w:val="04A0" w:firstRow="1" w:lastRow="0" w:firstColumn="1" w:lastColumn="0" w:noHBand="0" w:noVBand="1"/>
      </w:tblPr>
      <w:tblGrid>
        <w:gridCol w:w="4092"/>
        <w:gridCol w:w="4061"/>
      </w:tblGrid>
      <w:tr w:rsidR="00192720" w:rsidRPr="00C47A81" w14:paraId="7A7568BA"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565C1BA" w14:textId="2062BAA4" w:rsidR="00192720" w:rsidRPr="00CC60F7" w:rsidRDefault="00192720" w:rsidP="001C2D39">
            <w:r w:rsidRPr="007A6356">
              <w:rPr>
                <w:color w:val="000000" w:themeColor="text1"/>
              </w:rPr>
              <w:t>Representation class</w:t>
            </w:r>
          </w:p>
        </w:tc>
        <w:tc>
          <w:tcPr>
            <w:tcW w:w="4061" w:type="dxa"/>
            <w:shd w:val="clear" w:color="auto" w:fill="auto"/>
          </w:tcPr>
          <w:p w14:paraId="4BC5B31E"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b w:val="0"/>
                <w:bCs/>
              </w:rPr>
            </w:pPr>
            <w:r w:rsidRPr="007A6356">
              <w:rPr>
                <w:b w:val="0"/>
                <w:bCs/>
                <w:color w:val="000000" w:themeColor="text1"/>
              </w:rPr>
              <w:t>Identifier</w:t>
            </w:r>
          </w:p>
        </w:tc>
      </w:tr>
      <w:tr w:rsidR="00192720" w:rsidRPr="00C47A81" w14:paraId="3DD05AA0"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53F97D1" w14:textId="069EEBB7" w:rsidR="00192720" w:rsidRPr="00CC60F7" w:rsidRDefault="00192720" w:rsidP="001C2D39">
            <w:r w:rsidRPr="00CC60F7">
              <w:t>Data type</w:t>
            </w:r>
          </w:p>
        </w:tc>
        <w:tc>
          <w:tcPr>
            <w:tcW w:w="4061" w:type="dxa"/>
          </w:tcPr>
          <w:p w14:paraId="73AFE425"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pPr>
            <w:r w:rsidRPr="00C47A81">
              <w:t>String</w:t>
            </w:r>
          </w:p>
        </w:tc>
      </w:tr>
      <w:tr w:rsidR="00192720" w:rsidRPr="00C47A81" w14:paraId="09FE043E"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D317746" w14:textId="19C57F8F" w:rsidR="00192720" w:rsidRPr="00CC60F7" w:rsidRDefault="00192720" w:rsidP="001C2D39">
            <w:r w:rsidRPr="00CC60F7">
              <w:t>Format</w:t>
            </w:r>
          </w:p>
        </w:tc>
        <w:tc>
          <w:tcPr>
            <w:tcW w:w="4061" w:type="dxa"/>
          </w:tcPr>
          <w:p w14:paraId="6DB9BFBF"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pPr>
            <w:r w:rsidRPr="00C47A81">
              <w:t>X(20)</w:t>
            </w:r>
          </w:p>
        </w:tc>
      </w:tr>
      <w:tr w:rsidR="00192720" w:rsidRPr="00C47A81" w14:paraId="67738EE6"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0F569C1" w14:textId="48BB4DA4" w:rsidR="00192720" w:rsidRPr="00CC60F7" w:rsidRDefault="00192720" w:rsidP="001C2D39">
            <w:r w:rsidRPr="00CC60F7">
              <w:t>Maximum character length</w:t>
            </w:r>
          </w:p>
        </w:tc>
        <w:tc>
          <w:tcPr>
            <w:tcW w:w="4061" w:type="dxa"/>
          </w:tcPr>
          <w:p w14:paraId="11E709E7"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pPr>
            <w:r w:rsidRPr="00C47A81">
              <w:t>20</w:t>
            </w:r>
          </w:p>
        </w:tc>
      </w:tr>
    </w:tbl>
    <w:p w14:paraId="573DFF4B" w14:textId="573C2406" w:rsidR="00192720" w:rsidRPr="009A6C5C" w:rsidRDefault="001C2D39" w:rsidP="00192720">
      <w:pPr>
        <w:pStyle w:val="Heading3"/>
      </w:pPr>
      <w:bookmarkStart w:id="522" w:name="_Ref312068607"/>
      <w:bookmarkStart w:id="523" w:name="_Toc158583998"/>
      <w:bookmarkStart w:id="524" w:name="_Toc159324771"/>
      <w:bookmarkStart w:id="525" w:name="_Toc175550391"/>
      <w:bookmarkStart w:id="526" w:name="_Ref310255838"/>
      <w:bookmarkEnd w:id="511"/>
      <w:bookmarkEnd w:id="512"/>
      <w:bookmarkEnd w:id="513"/>
      <w:r>
        <w:t>6.3.4</w:t>
      </w:r>
      <w:r>
        <w:tab/>
      </w:r>
      <w:r w:rsidR="00192720" w:rsidRPr="009A6C5C">
        <w:t xml:space="preserve">Follow-up </w:t>
      </w:r>
      <w:r w:rsidR="00192720">
        <w:t>event</w:t>
      </w:r>
      <w:bookmarkEnd w:id="522"/>
      <w:bookmarkEnd w:id="523"/>
      <w:bookmarkEnd w:id="524"/>
      <w:bookmarkEnd w:id="525"/>
    </w:p>
    <w:p w14:paraId="0077D61D" w14:textId="77777777" w:rsidR="00192720" w:rsidRPr="009A6C5C" w:rsidRDefault="00192720" w:rsidP="001C2D39">
      <w:r w:rsidRPr="009A6C5C">
        <w:t>Identifying and definitional attributes</w:t>
      </w:r>
    </w:p>
    <w:tbl>
      <w:tblPr>
        <w:tblStyle w:val="SurveyQuestions"/>
        <w:tblW w:w="0" w:type="auto"/>
        <w:tblLook w:val="04A0" w:firstRow="1" w:lastRow="0" w:firstColumn="1" w:lastColumn="0" w:noHBand="0" w:noVBand="1"/>
      </w:tblPr>
      <w:tblGrid>
        <w:gridCol w:w="4087"/>
        <w:gridCol w:w="4066"/>
      </w:tblGrid>
      <w:tr w:rsidR="00192720" w:rsidRPr="00C47A81" w14:paraId="1B84455E"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7" w:type="dxa"/>
            <w:shd w:val="clear" w:color="auto" w:fill="E6F1F8" w:themeFill="accent2"/>
          </w:tcPr>
          <w:p w14:paraId="105DBF4D" w14:textId="549E6B5D" w:rsidR="00192720" w:rsidRPr="007A6356" w:rsidRDefault="00192720" w:rsidP="001C2D39">
            <w:pPr>
              <w:rPr>
                <w:rFonts w:ascii="Arial" w:hAnsi="Arial" w:cs="Arial"/>
                <w:color w:val="000000" w:themeColor="text1"/>
              </w:rPr>
            </w:pPr>
            <w:r w:rsidRPr="007A6356">
              <w:rPr>
                <w:rFonts w:ascii="Arial" w:hAnsi="Arial" w:cs="Arial"/>
                <w:color w:val="000000" w:themeColor="text1"/>
              </w:rPr>
              <w:t>Metadata item type</w:t>
            </w:r>
          </w:p>
        </w:tc>
        <w:tc>
          <w:tcPr>
            <w:tcW w:w="4066" w:type="dxa"/>
            <w:shd w:val="clear" w:color="auto" w:fill="auto"/>
          </w:tcPr>
          <w:p w14:paraId="77809941"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Object Class</w:t>
            </w:r>
          </w:p>
        </w:tc>
      </w:tr>
      <w:tr w:rsidR="00192720" w:rsidRPr="00C47A81" w14:paraId="75DA1A3A" w14:textId="77777777" w:rsidTr="00CC60F7">
        <w:tc>
          <w:tcPr>
            <w:cnfStyle w:val="001000000000" w:firstRow="0" w:lastRow="0" w:firstColumn="1" w:lastColumn="0" w:oddVBand="0" w:evenVBand="0" w:oddHBand="0" w:evenHBand="0" w:firstRowFirstColumn="0" w:firstRowLastColumn="0" w:lastRowFirstColumn="0" w:lastRowLastColumn="0"/>
            <w:tcW w:w="4087" w:type="dxa"/>
          </w:tcPr>
          <w:p w14:paraId="3C65F4DA" w14:textId="5C89A002" w:rsidR="00192720" w:rsidRPr="00CC60F7" w:rsidRDefault="00192720" w:rsidP="001C2D39">
            <w:pPr>
              <w:rPr>
                <w:rFonts w:ascii="Arial" w:hAnsi="Arial" w:cs="Arial"/>
              </w:rPr>
            </w:pPr>
            <w:r w:rsidRPr="00CC60F7">
              <w:rPr>
                <w:rFonts w:ascii="Arial" w:hAnsi="Arial" w:cs="Arial"/>
              </w:rPr>
              <w:t>Definition</w:t>
            </w:r>
          </w:p>
        </w:tc>
        <w:tc>
          <w:tcPr>
            <w:tcW w:w="4066" w:type="dxa"/>
          </w:tcPr>
          <w:p w14:paraId="2E6F1089" w14:textId="6C6CDF28"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An interaction between one or more healthcare providers with one or more persons for assessment, care, consultation and/or treatment</w:t>
            </w:r>
          </w:p>
        </w:tc>
      </w:tr>
    </w:tbl>
    <w:p w14:paraId="4B2D27B1" w14:textId="7801524C" w:rsidR="00192720" w:rsidRPr="009A6C5C" w:rsidRDefault="001C2D39" w:rsidP="00192720">
      <w:pPr>
        <w:pStyle w:val="Heading3"/>
      </w:pPr>
      <w:bookmarkStart w:id="527" w:name="_Ref312068645"/>
      <w:bookmarkStart w:id="528" w:name="_Toc158583999"/>
      <w:bookmarkStart w:id="529" w:name="_Toc159324772"/>
      <w:bookmarkStart w:id="530" w:name="_Toc175550392"/>
      <w:r>
        <w:t>6.3.5</w:t>
      </w:r>
      <w:r>
        <w:tab/>
      </w:r>
      <w:r w:rsidR="00192720" w:rsidRPr="009A6C5C">
        <w:t>Follow-up event</w:t>
      </w:r>
      <w:r w:rsidR="00192720">
        <w:t xml:space="preserve"> – </w:t>
      </w:r>
      <w:r w:rsidR="00192720" w:rsidRPr="009A6C5C">
        <w:t>date</w:t>
      </w:r>
      <w:bookmarkEnd w:id="527"/>
      <w:bookmarkEnd w:id="528"/>
      <w:bookmarkEnd w:id="529"/>
      <w:bookmarkEnd w:id="530"/>
    </w:p>
    <w:p w14:paraId="1E589E79" w14:textId="77777777" w:rsidR="00192720" w:rsidRPr="009A6C5C" w:rsidRDefault="00192720" w:rsidP="001C2D39">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4C30E79E"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48C45462" w14:textId="26CC42AC" w:rsidR="00192720" w:rsidRPr="007A6356" w:rsidRDefault="00192720" w:rsidP="001C2D39">
            <w:pPr>
              <w:rPr>
                <w:rFonts w:ascii="Arial" w:hAnsi="Arial" w:cs="Arial"/>
                <w:color w:val="000000" w:themeColor="text1"/>
              </w:rPr>
            </w:pPr>
            <w:r w:rsidRPr="007A6356">
              <w:rPr>
                <w:rFonts w:ascii="Arial" w:hAnsi="Arial" w:cs="Arial"/>
                <w:color w:val="000000" w:themeColor="text1"/>
              </w:rPr>
              <w:t>Metadata item type</w:t>
            </w:r>
          </w:p>
        </w:tc>
        <w:tc>
          <w:tcPr>
            <w:tcW w:w="4061" w:type="dxa"/>
            <w:shd w:val="clear" w:color="auto" w:fill="auto"/>
          </w:tcPr>
          <w:p w14:paraId="2EE617EF"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Data Element</w:t>
            </w:r>
          </w:p>
        </w:tc>
      </w:tr>
      <w:tr w:rsidR="00192720" w:rsidRPr="00C47A81" w14:paraId="1823869D"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B32704B" w14:textId="05268114" w:rsidR="00192720" w:rsidRPr="00CC60F7" w:rsidRDefault="00192720" w:rsidP="001C2D39">
            <w:pPr>
              <w:rPr>
                <w:rFonts w:ascii="Arial" w:hAnsi="Arial" w:cs="Arial"/>
              </w:rPr>
            </w:pPr>
            <w:r w:rsidRPr="00CC60F7">
              <w:rPr>
                <w:rFonts w:ascii="Arial" w:hAnsi="Arial" w:cs="Arial"/>
              </w:rPr>
              <w:t>METeOR identifier</w:t>
            </w:r>
          </w:p>
        </w:tc>
        <w:tc>
          <w:tcPr>
            <w:tcW w:w="4061" w:type="dxa"/>
          </w:tcPr>
          <w:p w14:paraId="290AA332"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N/A</w:t>
            </w:r>
          </w:p>
        </w:tc>
      </w:tr>
      <w:tr w:rsidR="00192720" w:rsidRPr="00C47A81" w14:paraId="0F07B7EA"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5EFF986" w14:textId="31327F69" w:rsidR="00192720" w:rsidRPr="00CC60F7" w:rsidRDefault="00192720" w:rsidP="001C2D39">
            <w:pPr>
              <w:rPr>
                <w:rFonts w:ascii="Arial" w:hAnsi="Arial" w:cs="Arial"/>
              </w:rPr>
            </w:pPr>
            <w:r w:rsidRPr="00CC60F7">
              <w:rPr>
                <w:rFonts w:ascii="Arial" w:hAnsi="Arial" w:cs="Arial"/>
              </w:rPr>
              <w:t>Registration status</w:t>
            </w:r>
          </w:p>
        </w:tc>
        <w:tc>
          <w:tcPr>
            <w:tcW w:w="4061" w:type="dxa"/>
          </w:tcPr>
          <w:p w14:paraId="02443DE9"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N/A</w:t>
            </w:r>
          </w:p>
        </w:tc>
      </w:tr>
      <w:tr w:rsidR="00192720" w:rsidRPr="00C47A81" w14:paraId="2D603658"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6273C31" w14:textId="794E99E3" w:rsidR="00192720" w:rsidRPr="00CC60F7" w:rsidRDefault="00192720" w:rsidP="001C2D39">
            <w:pPr>
              <w:rPr>
                <w:rFonts w:ascii="Arial" w:hAnsi="Arial" w:cs="Arial"/>
              </w:rPr>
            </w:pPr>
            <w:r w:rsidRPr="00CC60F7">
              <w:rPr>
                <w:rFonts w:ascii="Arial" w:hAnsi="Arial" w:cs="Arial"/>
              </w:rPr>
              <w:t>Definition</w:t>
            </w:r>
          </w:p>
        </w:tc>
        <w:tc>
          <w:tcPr>
            <w:tcW w:w="4061" w:type="dxa"/>
          </w:tcPr>
          <w:p w14:paraId="1A3CE66A" w14:textId="27B9EFE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The date on which the follow-up data was collected about a patient</w:t>
            </w:r>
          </w:p>
        </w:tc>
      </w:tr>
    </w:tbl>
    <w:p w14:paraId="5F118C88" w14:textId="77777777" w:rsidR="00192720" w:rsidRPr="009A6C5C" w:rsidRDefault="00192720" w:rsidP="00192720">
      <w:pPr>
        <w:pStyle w:val="BodyText"/>
      </w:pPr>
    </w:p>
    <w:p w14:paraId="3F4930F2" w14:textId="77777777" w:rsidR="00192720" w:rsidRPr="009A6C5C" w:rsidRDefault="00192720" w:rsidP="001C2D39">
      <w:r w:rsidRPr="009A6C5C">
        <w:t>Representational attributes</w:t>
      </w:r>
    </w:p>
    <w:tbl>
      <w:tblPr>
        <w:tblStyle w:val="SurveyQuestions"/>
        <w:tblW w:w="0" w:type="auto"/>
        <w:tblLook w:val="04A0" w:firstRow="1" w:lastRow="0" w:firstColumn="1" w:lastColumn="0" w:noHBand="0" w:noVBand="1"/>
      </w:tblPr>
      <w:tblGrid>
        <w:gridCol w:w="4092"/>
        <w:gridCol w:w="4061"/>
      </w:tblGrid>
      <w:tr w:rsidR="00192720" w:rsidRPr="00C47A81" w14:paraId="34F05D61"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5E79132" w14:textId="577282E3" w:rsidR="00192720" w:rsidRPr="007A6356" w:rsidRDefault="00192720" w:rsidP="001C2D39">
            <w:pPr>
              <w:rPr>
                <w:rFonts w:ascii="Arial" w:hAnsi="Arial" w:cs="Arial"/>
                <w:color w:val="000000" w:themeColor="text1"/>
              </w:rPr>
            </w:pPr>
            <w:r w:rsidRPr="007A6356">
              <w:rPr>
                <w:rFonts w:ascii="Arial" w:hAnsi="Arial" w:cs="Arial"/>
                <w:color w:val="000000" w:themeColor="text1"/>
              </w:rPr>
              <w:t>Representation class</w:t>
            </w:r>
          </w:p>
        </w:tc>
        <w:tc>
          <w:tcPr>
            <w:tcW w:w="4061" w:type="dxa"/>
            <w:shd w:val="clear" w:color="auto" w:fill="auto"/>
          </w:tcPr>
          <w:p w14:paraId="4FBA30D6"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Date</w:t>
            </w:r>
          </w:p>
        </w:tc>
      </w:tr>
      <w:tr w:rsidR="00192720" w:rsidRPr="00C47A81" w14:paraId="6D61F260"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43B31B3" w14:textId="5F142E2E" w:rsidR="00192720" w:rsidRPr="00CC60F7" w:rsidRDefault="00192720" w:rsidP="001C2D39">
            <w:pPr>
              <w:rPr>
                <w:rFonts w:ascii="Arial" w:hAnsi="Arial" w:cs="Arial"/>
              </w:rPr>
            </w:pPr>
            <w:r w:rsidRPr="00CC60F7">
              <w:rPr>
                <w:rFonts w:ascii="Arial" w:hAnsi="Arial" w:cs="Arial"/>
              </w:rPr>
              <w:t>Data type</w:t>
            </w:r>
          </w:p>
        </w:tc>
        <w:tc>
          <w:tcPr>
            <w:tcW w:w="4061" w:type="dxa"/>
          </w:tcPr>
          <w:p w14:paraId="6DEE633C"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Date/Time</w:t>
            </w:r>
          </w:p>
        </w:tc>
      </w:tr>
      <w:tr w:rsidR="00192720" w:rsidRPr="00C47A81" w14:paraId="7C12ED5F"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619C3732" w14:textId="243C943F" w:rsidR="00192720" w:rsidRPr="00CC60F7" w:rsidRDefault="00192720" w:rsidP="001C2D39">
            <w:pPr>
              <w:rPr>
                <w:rFonts w:ascii="Arial" w:hAnsi="Arial" w:cs="Arial"/>
              </w:rPr>
            </w:pPr>
            <w:r w:rsidRPr="00CC60F7">
              <w:rPr>
                <w:rFonts w:ascii="Arial" w:hAnsi="Arial" w:cs="Arial"/>
              </w:rPr>
              <w:t>Format</w:t>
            </w:r>
          </w:p>
        </w:tc>
        <w:tc>
          <w:tcPr>
            <w:tcW w:w="4061" w:type="dxa"/>
          </w:tcPr>
          <w:p w14:paraId="40FE6FC7"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DDMMYYYY</w:t>
            </w:r>
          </w:p>
        </w:tc>
      </w:tr>
      <w:tr w:rsidR="00192720" w:rsidRPr="00C47A81" w14:paraId="6D416727"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D294BAC" w14:textId="43100031" w:rsidR="00192720" w:rsidRPr="00CC60F7" w:rsidRDefault="00192720" w:rsidP="001C2D39">
            <w:pPr>
              <w:rPr>
                <w:rFonts w:ascii="Arial" w:hAnsi="Arial" w:cs="Arial"/>
              </w:rPr>
            </w:pPr>
            <w:r w:rsidRPr="00CC60F7">
              <w:rPr>
                <w:rFonts w:ascii="Arial" w:hAnsi="Arial" w:cs="Arial"/>
              </w:rPr>
              <w:t>Maximum character length</w:t>
            </w:r>
          </w:p>
        </w:tc>
        <w:tc>
          <w:tcPr>
            <w:tcW w:w="4061" w:type="dxa"/>
          </w:tcPr>
          <w:p w14:paraId="3448F08F"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8</w:t>
            </w:r>
          </w:p>
        </w:tc>
      </w:tr>
    </w:tbl>
    <w:p w14:paraId="2242D8A7" w14:textId="77777777" w:rsidR="00353F49" w:rsidRDefault="00353F49" w:rsidP="00192720">
      <w:pPr>
        <w:pStyle w:val="Heading3"/>
      </w:pPr>
      <w:bookmarkStart w:id="531" w:name="_Ref312068656"/>
      <w:bookmarkStart w:id="532" w:name="_Toc158584000"/>
      <w:bookmarkStart w:id="533" w:name="_Toc159324773"/>
    </w:p>
    <w:p w14:paraId="7D64386C" w14:textId="77777777" w:rsidR="00353F49" w:rsidRDefault="00353F49">
      <w:pPr>
        <w:spacing w:before="0" w:after="80"/>
        <w:rPr>
          <w:rFonts w:cs="Arial"/>
          <w:b/>
          <w:bCs/>
          <w:iCs/>
          <w:color w:val="005370" w:themeColor="text2"/>
          <w:kern w:val="28"/>
          <w:sz w:val="28"/>
          <w:szCs w:val="26"/>
        </w:rPr>
      </w:pPr>
      <w:r>
        <w:br w:type="page"/>
      </w:r>
    </w:p>
    <w:p w14:paraId="2451E8C0" w14:textId="797E4D31" w:rsidR="00192720" w:rsidRPr="009A6C5C" w:rsidRDefault="001C2D39" w:rsidP="00192720">
      <w:pPr>
        <w:pStyle w:val="Heading3"/>
      </w:pPr>
      <w:bookmarkStart w:id="534" w:name="_Toc175550393"/>
      <w:r>
        <w:lastRenderedPageBreak/>
        <w:t>6.3.6</w:t>
      </w:r>
      <w:r>
        <w:tab/>
      </w:r>
      <w:r w:rsidR="00192720" w:rsidRPr="009A6C5C">
        <w:t xml:space="preserve">Follow-up </w:t>
      </w:r>
      <w:r w:rsidR="00192720">
        <w:t>e</w:t>
      </w:r>
      <w:r w:rsidR="00192720" w:rsidRPr="009A6C5C">
        <w:t>vent</w:t>
      </w:r>
      <w:r w:rsidR="00192720">
        <w:t xml:space="preserve"> – </w:t>
      </w:r>
      <w:r w:rsidR="00192720" w:rsidRPr="009A6C5C">
        <w:t>record completion status</w:t>
      </w:r>
      <w:bookmarkEnd w:id="531"/>
      <w:bookmarkEnd w:id="532"/>
      <w:bookmarkEnd w:id="533"/>
      <w:bookmarkEnd w:id="534"/>
    </w:p>
    <w:p w14:paraId="755AD588" w14:textId="77777777" w:rsidR="00192720" w:rsidRPr="009A6C5C" w:rsidRDefault="00192720" w:rsidP="001C2D39">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1FB646F7"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38BEA832" w14:textId="57E42055" w:rsidR="00192720" w:rsidRPr="007A6356" w:rsidRDefault="00192720" w:rsidP="001C2D39">
            <w:pPr>
              <w:rPr>
                <w:rFonts w:ascii="Arial" w:hAnsi="Arial" w:cs="Arial"/>
                <w:color w:val="000000" w:themeColor="text1"/>
              </w:rPr>
            </w:pPr>
            <w:r w:rsidRPr="007A6356">
              <w:rPr>
                <w:rFonts w:ascii="Arial" w:hAnsi="Arial" w:cs="Arial"/>
                <w:color w:val="000000" w:themeColor="text1"/>
              </w:rPr>
              <w:t>Metadata item type</w:t>
            </w:r>
          </w:p>
        </w:tc>
        <w:tc>
          <w:tcPr>
            <w:tcW w:w="4061" w:type="dxa"/>
            <w:shd w:val="clear" w:color="auto" w:fill="auto"/>
          </w:tcPr>
          <w:p w14:paraId="054769E6"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Data Element</w:t>
            </w:r>
          </w:p>
        </w:tc>
      </w:tr>
      <w:tr w:rsidR="00192720" w:rsidRPr="00C47A81" w14:paraId="2AC92339"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ECD443A" w14:textId="65B9301F" w:rsidR="00192720" w:rsidRPr="00910847" w:rsidRDefault="00192720" w:rsidP="001C2D39">
            <w:pPr>
              <w:rPr>
                <w:rFonts w:ascii="Arial" w:hAnsi="Arial" w:cs="Arial"/>
              </w:rPr>
            </w:pPr>
            <w:r w:rsidRPr="00910847">
              <w:rPr>
                <w:rFonts w:ascii="Arial" w:hAnsi="Arial" w:cs="Arial"/>
              </w:rPr>
              <w:t>Definition</w:t>
            </w:r>
          </w:p>
        </w:tc>
        <w:tc>
          <w:tcPr>
            <w:tcW w:w="4061" w:type="dxa"/>
          </w:tcPr>
          <w:p w14:paraId="13BF3E63" w14:textId="233539D3"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Whether the record has been completed, as represented by a code</w:t>
            </w:r>
          </w:p>
        </w:tc>
      </w:tr>
    </w:tbl>
    <w:p w14:paraId="1E7A7247" w14:textId="08D58F88" w:rsidR="001B0B93" w:rsidRDefault="001B0B93">
      <w:pPr>
        <w:spacing w:before="0" w:after="80"/>
      </w:pPr>
    </w:p>
    <w:p w14:paraId="51044CBB" w14:textId="3BF0C320" w:rsidR="00192720" w:rsidRPr="009A6C5C" w:rsidRDefault="00192720" w:rsidP="001C2D39">
      <w:r w:rsidRPr="009A6C5C">
        <w:t>Representational attributes</w:t>
      </w:r>
    </w:p>
    <w:tbl>
      <w:tblPr>
        <w:tblStyle w:val="SurveyQuestions"/>
        <w:tblW w:w="0" w:type="auto"/>
        <w:tblLook w:val="04A0" w:firstRow="1" w:lastRow="0" w:firstColumn="1" w:lastColumn="0" w:noHBand="0" w:noVBand="1"/>
      </w:tblPr>
      <w:tblGrid>
        <w:gridCol w:w="4092"/>
        <w:gridCol w:w="4061"/>
      </w:tblGrid>
      <w:tr w:rsidR="00192720" w:rsidRPr="00C47A81" w14:paraId="7BD10821"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D008657" w14:textId="0D098EEE" w:rsidR="00192720" w:rsidRPr="007A6356" w:rsidRDefault="00192720" w:rsidP="001C2D39">
            <w:pPr>
              <w:rPr>
                <w:rFonts w:ascii="Arial" w:hAnsi="Arial" w:cs="Arial"/>
                <w:color w:val="000000" w:themeColor="text1"/>
              </w:rPr>
            </w:pPr>
            <w:r w:rsidRPr="007A6356">
              <w:rPr>
                <w:rFonts w:ascii="Arial" w:hAnsi="Arial" w:cs="Arial"/>
                <w:color w:val="000000" w:themeColor="text1"/>
              </w:rPr>
              <w:t>Representation class</w:t>
            </w:r>
          </w:p>
        </w:tc>
        <w:tc>
          <w:tcPr>
            <w:tcW w:w="4061" w:type="dxa"/>
            <w:shd w:val="clear" w:color="auto" w:fill="auto"/>
          </w:tcPr>
          <w:p w14:paraId="082E85D6" w14:textId="77777777" w:rsidR="00192720" w:rsidRPr="007A6356" w:rsidRDefault="00192720" w:rsidP="001C2D39">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Code</w:t>
            </w:r>
          </w:p>
        </w:tc>
      </w:tr>
      <w:tr w:rsidR="00192720" w:rsidRPr="00C47A81" w14:paraId="1EBB8493"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D31CC55" w14:textId="42BCE9E5" w:rsidR="00192720" w:rsidRPr="00CC60F7" w:rsidRDefault="00192720" w:rsidP="001C2D39">
            <w:pPr>
              <w:rPr>
                <w:rFonts w:ascii="Arial" w:hAnsi="Arial" w:cs="Arial"/>
              </w:rPr>
            </w:pPr>
            <w:r w:rsidRPr="00CC60F7">
              <w:rPr>
                <w:rFonts w:ascii="Arial" w:hAnsi="Arial" w:cs="Arial"/>
              </w:rPr>
              <w:t>Format</w:t>
            </w:r>
          </w:p>
        </w:tc>
        <w:tc>
          <w:tcPr>
            <w:tcW w:w="4061" w:type="dxa"/>
          </w:tcPr>
          <w:p w14:paraId="1A789367"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w:t>
            </w:r>
          </w:p>
        </w:tc>
      </w:tr>
      <w:tr w:rsidR="00192720" w:rsidRPr="00C47A81" w14:paraId="6D2696AD"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AD9D10C" w14:textId="6465E130" w:rsidR="00192720" w:rsidRPr="00CC60F7" w:rsidRDefault="00192720" w:rsidP="001C2D39">
            <w:pPr>
              <w:rPr>
                <w:rFonts w:ascii="Arial" w:hAnsi="Arial" w:cs="Arial"/>
              </w:rPr>
            </w:pPr>
            <w:r w:rsidRPr="00CC60F7">
              <w:rPr>
                <w:rFonts w:ascii="Arial" w:hAnsi="Arial" w:cs="Arial"/>
              </w:rPr>
              <w:t>Maximum character length</w:t>
            </w:r>
          </w:p>
        </w:tc>
        <w:tc>
          <w:tcPr>
            <w:tcW w:w="4061" w:type="dxa"/>
          </w:tcPr>
          <w:p w14:paraId="31358470"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1</w:t>
            </w:r>
          </w:p>
        </w:tc>
      </w:tr>
      <w:tr w:rsidR="00192720" w:rsidRPr="00C47A81" w14:paraId="567563B0"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C6F4A74" w14:textId="337CD6F7" w:rsidR="00192720" w:rsidRPr="00CC60F7" w:rsidRDefault="00192720" w:rsidP="001C2D39">
            <w:pPr>
              <w:rPr>
                <w:rFonts w:ascii="Arial" w:hAnsi="Arial" w:cs="Arial"/>
              </w:rPr>
            </w:pPr>
            <w:r w:rsidRPr="00CC60F7">
              <w:rPr>
                <w:rFonts w:ascii="Arial" w:hAnsi="Arial" w:cs="Arial"/>
              </w:rPr>
              <w:t>Permissible values</w:t>
            </w:r>
          </w:p>
        </w:tc>
        <w:tc>
          <w:tcPr>
            <w:tcW w:w="4061" w:type="dxa"/>
          </w:tcPr>
          <w:p w14:paraId="54883BA6"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1</w:t>
            </w:r>
            <w:r>
              <w:rPr>
                <w:rFonts w:ascii="Arial" w:hAnsi="Arial" w:cs="Arial"/>
              </w:rPr>
              <w:t xml:space="preserve"> – </w:t>
            </w:r>
            <w:r w:rsidRPr="00C47A81">
              <w:rPr>
                <w:rFonts w:ascii="Arial" w:hAnsi="Arial" w:cs="Arial"/>
              </w:rPr>
              <w:t>Provisional</w:t>
            </w:r>
          </w:p>
          <w:p w14:paraId="096544B9"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2</w:t>
            </w:r>
            <w:r>
              <w:rPr>
                <w:rFonts w:ascii="Arial" w:hAnsi="Arial" w:cs="Arial"/>
              </w:rPr>
              <w:t xml:space="preserve"> – </w:t>
            </w:r>
            <w:r w:rsidRPr="00C47A81">
              <w:rPr>
                <w:rFonts w:ascii="Arial" w:hAnsi="Arial" w:cs="Arial"/>
              </w:rPr>
              <w:t>Final</w:t>
            </w:r>
          </w:p>
          <w:p w14:paraId="0D0A1286" w14:textId="77777777" w:rsidR="00192720" w:rsidRPr="00C47A81" w:rsidRDefault="00192720" w:rsidP="001C2D3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3</w:t>
            </w:r>
            <w:r>
              <w:rPr>
                <w:rFonts w:ascii="Arial" w:hAnsi="Arial" w:cs="Arial"/>
              </w:rPr>
              <w:t xml:space="preserve"> – </w:t>
            </w:r>
            <w:r w:rsidRPr="00C47A81">
              <w:rPr>
                <w:rFonts w:ascii="Arial" w:hAnsi="Arial" w:cs="Arial"/>
              </w:rPr>
              <w:t>Locked</w:t>
            </w:r>
          </w:p>
        </w:tc>
      </w:tr>
    </w:tbl>
    <w:p w14:paraId="707E3BF0" w14:textId="699836C7" w:rsidR="00192720" w:rsidRPr="009A6C5C" w:rsidRDefault="00CA729C" w:rsidP="00192720">
      <w:pPr>
        <w:pStyle w:val="Heading3"/>
      </w:pPr>
      <w:bookmarkStart w:id="535" w:name="_Ref312068583"/>
      <w:bookmarkStart w:id="536" w:name="_Toc158584001"/>
      <w:bookmarkStart w:id="537" w:name="_Toc159324774"/>
      <w:bookmarkStart w:id="538" w:name="_Toc175550394"/>
      <w:r>
        <w:t>6.3.7</w:t>
      </w:r>
      <w:r>
        <w:tab/>
      </w:r>
      <w:r w:rsidR="00192720" w:rsidRPr="009A6C5C">
        <w:t xml:space="preserve">Health </w:t>
      </w:r>
      <w:r w:rsidR="00192720">
        <w:t>s</w:t>
      </w:r>
      <w:r w:rsidR="00192720" w:rsidRPr="009A6C5C">
        <w:t xml:space="preserve">ervice </w:t>
      </w:r>
      <w:r w:rsidR="00192720">
        <w:t>e</w:t>
      </w:r>
      <w:r w:rsidR="00192720" w:rsidRPr="009A6C5C">
        <w:t>vent</w:t>
      </w:r>
      <w:bookmarkEnd w:id="526"/>
      <w:bookmarkEnd w:id="535"/>
      <w:bookmarkEnd w:id="536"/>
      <w:bookmarkEnd w:id="537"/>
      <w:bookmarkEnd w:id="538"/>
    </w:p>
    <w:p w14:paraId="35CE60B2" w14:textId="77777777" w:rsidR="00192720" w:rsidRPr="009A6C5C" w:rsidRDefault="00192720" w:rsidP="00CA729C">
      <w:r w:rsidRPr="009A6C5C">
        <w:t>Identifying and definitional attributes</w:t>
      </w:r>
    </w:p>
    <w:tbl>
      <w:tblPr>
        <w:tblStyle w:val="SurveyQuestions"/>
        <w:tblW w:w="0" w:type="auto"/>
        <w:tblLook w:val="04A0" w:firstRow="1" w:lastRow="0" w:firstColumn="1" w:lastColumn="0" w:noHBand="0" w:noVBand="1"/>
      </w:tblPr>
      <w:tblGrid>
        <w:gridCol w:w="4087"/>
        <w:gridCol w:w="4066"/>
      </w:tblGrid>
      <w:tr w:rsidR="00CC60F7" w:rsidRPr="00C47A81" w14:paraId="2B3DF609"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7" w:type="dxa"/>
            <w:shd w:val="clear" w:color="auto" w:fill="E6F1F8" w:themeFill="accent2"/>
          </w:tcPr>
          <w:p w14:paraId="496065E7" w14:textId="574F841E" w:rsidR="00CC60F7" w:rsidRPr="007A6356" w:rsidRDefault="00CC60F7" w:rsidP="00CC60F7">
            <w:pPr>
              <w:rPr>
                <w:rFonts w:ascii="Arial" w:hAnsi="Arial" w:cs="Arial"/>
                <w:color w:val="000000" w:themeColor="text1"/>
              </w:rPr>
            </w:pPr>
            <w:r w:rsidRPr="007A6356">
              <w:rPr>
                <w:rFonts w:ascii="Arial" w:hAnsi="Arial" w:cs="Arial"/>
                <w:color w:val="000000" w:themeColor="text1"/>
              </w:rPr>
              <w:t>Metadata item type</w:t>
            </w:r>
          </w:p>
        </w:tc>
        <w:tc>
          <w:tcPr>
            <w:tcW w:w="4066" w:type="dxa"/>
            <w:shd w:val="clear" w:color="auto" w:fill="auto"/>
          </w:tcPr>
          <w:p w14:paraId="12323593" w14:textId="77777777" w:rsidR="00CC60F7" w:rsidRPr="007A6356" w:rsidRDefault="00CC60F7"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Object Class</w:t>
            </w:r>
          </w:p>
        </w:tc>
      </w:tr>
      <w:tr w:rsidR="00CC60F7" w:rsidRPr="00C47A81" w14:paraId="405D7F2E" w14:textId="77777777" w:rsidTr="00CC60F7">
        <w:tc>
          <w:tcPr>
            <w:cnfStyle w:val="001000000000" w:firstRow="0" w:lastRow="0" w:firstColumn="1" w:lastColumn="0" w:oddVBand="0" w:evenVBand="0" w:oddHBand="0" w:evenHBand="0" w:firstRowFirstColumn="0" w:firstRowLastColumn="0" w:lastRowFirstColumn="0" w:lastRowLastColumn="0"/>
            <w:tcW w:w="4087" w:type="dxa"/>
          </w:tcPr>
          <w:p w14:paraId="03148280" w14:textId="208C4A31" w:rsidR="00CC60F7" w:rsidRPr="00CC60F7" w:rsidRDefault="00CC60F7" w:rsidP="00CC60F7">
            <w:pPr>
              <w:rPr>
                <w:rFonts w:ascii="Arial" w:hAnsi="Arial" w:cs="Arial"/>
              </w:rPr>
            </w:pPr>
            <w:r w:rsidRPr="00CC60F7">
              <w:rPr>
                <w:rFonts w:ascii="Arial" w:hAnsi="Arial" w:cs="Arial"/>
              </w:rPr>
              <w:t>METeOR link</w:t>
            </w:r>
          </w:p>
        </w:tc>
        <w:tc>
          <w:tcPr>
            <w:tcW w:w="4066" w:type="dxa"/>
          </w:tcPr>
          <w:p w14:paraId="44DF2A10" w14:textId="3F96B2BD" w:rsidR="00CC60F7" w:rsidRPr="00C47A81"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46" w:tooltip="Health service event - METEOR" w:history="1">
              <w:r w:rsidR="00CC60F7" w:rsidRPr="00C47A81">
                <w:rPr>
                  <w:rStyle w:val="Hyperlink"/>
                  <w:rFonts w:ascii="Arial" w:hAnsi="Arial" w:cs="Arial"/>
                  <w:szCs w:val="22"/>
                </w:rPr>
                <w:t>Health service event (aihw.gov.au)</w:t>
              </w:r>
            </w:hyperlink>
          </w:p>
        </w:tc>
      </w:tr>
    </w:tbl>
    <w:p w14:paraId="5DE4F09C" w14:textId="21165BD8" w:rsidR="00192720" w:rsidRPr="009A6C5C" w:rsidRDefault="00CA729C" w:rsidP="00192720">
      <w:pPr>
        <w:pStyle w:val="Heading3"/>
      </w:pPr>
      <w:bookmarkStart w:id="539" w:name="_Ref310255852"/>
      <w:bookmarkStart w:id="540" w:name="_Toc158584002"/>
      <w:bookmarkStart w:id="541" w:name="_Toc159324775"/>
      <w:bookmarkStart w:id="542" w:name="_Toc175550395"/>
      <w:r>
        <w:t>6.3.8</w:t>
      </w:r>
      <w:r>
        <w:tab/>
      </w:r>
      <w:r w:rsidR="00192720" w:rsidRPr="009A6C5C">
        <w:t xml:space="preserve">Health </w:t>
      </w:r>
      <w:r w:rsidR="00192720">
        <w:t>s</w:t>
      </w:r>
      <w:r w:rsidR="00192720" w:rsidRPr="009A6C5C">
        <w:t xml:space="preserve">ervice </w:t>
      </w:r>
      <w:r w:rsidR="00192720">
        <w:t>e</w:t>
      </w:r>
      <w:r w:rsidR="00192720" w:rsidRPr="009A6C5C">
        <w:t>vent</w:t>
      </w:r>
      <w:r w:rsidR="00192720">
        <w:t xml:space="preserve"> – </w:t>
      </w:r>
      <w:r w:rsidR="00192720" w:rsidRPr="009A6C5C">
        <w:t>presentation date</w:t>
      </w:r>
      <w:bookmarkEnd w:id="539"/>
      <w:bookmarkEnd w:id="540"/>
      <w:bookmarkEnd w:id="541"/>
      <w:bookmarkEnd w:id="542"/>
    </w:p>
    <w:p w14:paraId="32EF75E7" w14:textId="77777777" w:rsidR="00192720" w:rsidRPr="009A6C5C" w:rsidRDefault="00192720" w:rsidP="00CA729C">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435946FB"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78AE19B" w14:textId="410704BB" w:rsidR="00192720" w:rsidRPr="007A6356" w:rsidRDefault="00192720" w:rsidP="00CA729C">
            <w:pPr>
              <w:rPr>
                <w:rFonts w:ascii="Arial" w:hAnsi="Arial" w:cs="Arial"/>
                <w:color w:val="000000" w:themeColor="text1"/>
              </w:rPr>
            </w:pPr>
            <w:r w:rsidRPr="007A6356">
              <w:rPr>
                <w:rFonts w:ascii="Arial" w:hAnsi="Arial" w:cs="Arial"/>
                <w:color w:val="000000" w:themeColor="text1"/>
              </w:rPr>
              <w:t>Metadata item type</w:t>
            </w:r>
          </w:p>
        </w:tc>
        <w:tc>
          <w:tcPr>
            <w:tcW w:w="4061" w:type="dxa"/>
            <w:shd w:val="clear" w:color="auto" w:fill="auto"/>
          </w:tcPr>
          <w:p w14:paraId="15FDC41D" w14:textId="77777777" w:rsidR="00192720" w:rsidRPr="007A6356" w:rsidRDefault="00192720" w:rsidP="00CA729C">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Data Element</w:t>
            </w:r>
          </w:p>
        </w:tc>
      </w:tr>
      <w:tr w:rsidR="00192720" w:rsidRPr="00C47A81" w14:paraId="7A1FF683"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5304D8BC" w14:textId="454D45FC" w:rsidR="00192720" w:rsidRPr="00CC60F7" w:rsidRDefault="00192720" w:rsidP="00CA729C">
            <w:pPr>
              <w:rPr>
                <w:rFonts w:ascii="Arial" w:hAnsi="Arial" w:cs="Arial"/>
              </w:rPr>
            </w:pPr>
            <w:r w:rsidRPr="00CC60F7">
              <w:rPr>
                <w:rFonts w:ascii="Arial" w:hAnsi="Arial" w:cs="Arial"/>
              </w:rPr>
              <w:t>METeOR link</w:t>
            </w:r>
          </w:p>
        </w:tc>
        <w:tc>
          <w:tcPr>
            <w:tcW w:w="4061" w:type="dxa"/>
          </w:tcPr>
          <w:p w14:paraId="7BFB7E0F" w14:textId="4857DF86" w:rsidR="00192720" w:rsidRPr="00C47A81" w:rsidRDefault="00000000" w:rsidP="00CA729C">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47" w:tooltip="Health service event—presentation date, DDMMYYYY - METEOR" w:history="1">
              <w:r w:rsidR="00192720">
                <w:rPr>
                  <w:rStyle w:val="Hyperlink"/>
                  <w:rFonts w:ascii="Arial" w:hAnsi="Arial" w:cs="Arial"/>
                  <w:szCs w:val="22"/>
                </w:rPr>
                <w:t>H</w:t>
              </w:r>
              <w:r w:rsidR="00192720" w:rsidRPr="00C47A81">
                <w:rPr>
                  <w:rStyle w:val="Hyperlink"/>
                  <w:rFonts w:ascii="Arial" w:hAnsi="Arial" w:cs="Arial"/>
                  <w:szCs w:val="22"/>
                </w:rPr>
                <w:t xml:space="preserve">ealth </w:t>
              </w:r>
              <w:r w:rsidR="00192720">
                <w:rPr>
                  <w:rStyle w:val="Hyperlink"/>
                  <w:rFonts w:ascii="Arial" w:hAnsi="Arial" w:cs="Arial"/>
                  <w:szCs w:val="22"/>
                </w:rPr>
                <w:t>s</w:t>
              </w:r>
              <w:r w:rsidR="00192720" w:rsidRPr="00C47A81">
                <w:rPr>
                  <w:rStyle w:val="Hyperlink"/>
                  <w:rFonts w:ascii="Arial" w:hAnsi="Arial" w:cs="Arial"/>
                  <w:szCs w:val="22"/>
                </w:rPr>
                <w:t xml:space="preserve">ervice </w:t>
              </w:r>
              <w:r w:rsidR="00192720">
                <w:rPr>
                  <w:rStyle w:val="Hyperlink"/>
                  <w:rFonts w:ascii="Arial" w:hAnsi="Arial" w:cs="Arial"/>
                  <w:szCs w:val="22"/>
                </w:rPr>
                <w:t>e</w:t>
              </w:r>
              <w:r w:rsidR="00192720" w:rsidRPr="00C47A81">
                <w:rPr>
                  <w:rStyle w:val="Hyperlink"/>
                  <w:rFonts w:ascii="Arial" w:hAnsi="Arial" w:cs="Arial"/>
                  <w:szCs w:val="22"/>
                </w:rPr>
                <w:t>vent—presentation date, DDMMYYYY (aihw.gov.au)</w:t>
              </w:r>
            </w:hyperlink>
          </w:p>
        </w:tc>
      </w:tr>
    </w:tbl>
    <w:p w14:paraId="54319A07" w14:textId="78770058" w:rsidR="00192720" w:rsidRPr="009A6C5C" w:rsidRDefault="00CC60F7" w:rsidP="00192720">
      <w:pPr>
        <w:pStyle w:val="Heading3"/>
      </w:pPr>
      <w:bookmarkStart w:id="543" w:name="_Ref310340949"/>
      <w:bookmarkStart w:id="544" w:name="_Toc158584003"/>
      <w:bookmarkStart w:id="545" w:name="_Toc159324776"/>
      <w:bookmarkStart w:id="546" w:name="_Toc175550396"/>
      <w:bookmarkStart w:id="547" w:name="_Ref310255649"/>
      <w:r>
        <w:t>6.3.9</w:t>
      </w:r>
      <w:r>
        <w:tab/>
      </w:r>
      <w:r w:rsidR="00192720" w:rsidRPr="009A6C5C">
        <w:t xml:space="preserve">Health service event </w:t>
      </w:r>
      <w:r w:rsidR="00192720">
        <w:t xml:space="preserve">– </w:t>
      </w:r>
      <w:r w:rsidR="00192720" w:rsidRPr="009A6C5C">
        <w:t>record completion status</w:t>
      </w:r>
      <w:bookmarkEnd w:id="543"/>
      <w:bookmarkEnd w:id="544"/>
      <w:bookmarkEnd w:id="545"/>
      <w:bookmarkEnd w:id="546"/>
    </w:p>
    <w:p w14:paraId="0DEED0AB" w14:textId="77777777" w:rsidR="00192720" w:rsidRPr="009A6C5C" w:rsidRDefault="00192720" w:rsidP="00192720">
      <w:pPr>
        <w:pStyle w:val="BodyTextkeepwithnext0"/>
      </w:pPr>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C60F7" w:rsidRPr="00C47A81" w14:paraId="51F5C0A1"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1DC7E699" w14:textId="4082BC66" w:rsidR="00CC60F7" w:rsidRPr="007A6356" w:rsidRDefault="00CC60F7" w:rsidP="00CC60F7">
            <w:pPr>
              <w:rPr>
                <w:color w:val="000000" w:themeColor="text1"/>
              </w:rPr>
            </w:pPr>
            <w:r w:rsidRPr="007A6356">
              <w:rPr>
                <w:color w:val="000000" w:themeColor="text1"/>
              </w:rPr>
              <w:t>Metadata item type</w:t>
            </w:r>
          </w:p>
        </w:tc>
        <w:tc>
          <w:tcPr>
            <w:tcW w:w="4061" w:type="dxa"/>
            <w:shd w:val="clear" w:color="auto" w:fill="auto"/>
          </w:tcPr>
          <w:p w14:paraId="18E63115" w14:textId="77777777" w:rsidR="00CC60F7" w:rsidRPr="007A6356" w:rsidRDefault="00CC60F7" w:rsidP="00CC60F7">
            <w:pPr>
              <w:cnfStyle w:val="100000000000" w:firstRow="1" w:lastRow="0" w:firstColumn="0" w:lastColumn="0" w:oddVBand="0" w:evenVBand="0" w:oddHBand="0" w:evenHBand="0" w:firstRowFirstColumn="0" w:firstRowLastColumn="0" w:lastRowFirstColumn="0" w:lastRowLastColumn="0"/>
              <w:rPr>
                <w:b w:val="0"/>
                <w:bCs/>
                <w:color w:val="000000" w:themeColor="text1"/>
              </w:rPr>
            </w:pPr>
            <w:r w:rsidRPr="007A6356">
              <w:rPr>
                <w:b w:val="0"/>
                <w:bCs/>
                <w:color w:val="000000" w:themeColor="text1"/>
              </w:rPr>
              <w:t>Data Element</w:t>
            </w:r>
          </w:p>
        </w:tc>
      </w:tr>
      <w:tr w:rsidR="00CC60F7" w:rsidRPr="00C47A81" w14:paraId="158679E9"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5BEBBDB3" w14:textId="72826573" w:rsidR="00CC60F7" w:rsidRPr="00CC60F7" w:rsidRDefault="00CC60F7" w:rsidP="00CC60F7">
            <w:r w:rsidRPr="00CC60F7">
              <w:t>Definition</w:t>
            </w:r>
          </w:p>
        </w:tc>
        <w:tc>
          <w:tcPr>
            <w:tcW w:w="4061" w:type="dxa"/>
          </w:tcPr>
          <w:p w14:paraId="7DD9545D" w14:textId="4BF82360"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Whether the record has been completed, as represented by a code</w:t>
            </w:r>
          </w:p>
        </w:tc>
      </w:tr>
    </w:tbl>
    <w:p w14:paraId="62FF985D" w14:textId="77777777" w:rsidR="00192720" w:rsidRPr="009A6C5C" w:rsidRDefault="00192720" w:rsidP="00CC60F7"/>
    <w:p w14:paraId="2CC11FE0" w14:textId="77777777" w:rsidR="00353F49" w:rsidRDefault="00353F49">
      <w:pPr>
        <w:spacing w:before="0" w:after="80"/>
      </w:pPr>
      <w:r>
        <w:br w:type="page"/>
      </w:r>
    </w:p>
    <w:p w14:paraId="028514E3" w14:textId="03F01779" w:rsidR="00192720" w:rsidRPr="009A6C5C" w:rsidRDefault="00192720" w:rsidP="00CC60F7">
      <w:r w:rsidRPr="009A6C5C">
        <w:lastRenderedPageBreak/>
        <w:t>Representational attributes</w:t>
      </w:r>
    </w:p>
    <w:tbl>
      <w:tblPr>
        <w:tblStyle w:val="SurveyQuestions"/>
        <w:tblW w:w="0" w:type="auto"/>
        <w:tblLook w:val="04A0" w:firstRow="1" w:lastRow="0" w:firstColumn="1" w:lastColumn="0" w:noHBand="0" w:noVBand="1"/>
      </w:tblPr>
      <w:tblGrid>
        <w:gridCol w:w="4092"/>
        <w:gridCol w:w="4061"/>
      </w:tblGrid>
      <w:tr w:rsidR="00CC60F7" w:rsidRPr="00C47A81" w14:paraId="7287DED6"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467EE78F" w14:textId="0F7AE929" w:rsidR="00CC60F7" w:rsidRPr="007A6356" w:rsidRDefault="00CC60F7" w:rsidP="00CC60F7">
            <w:pPr>
              <w:rPr>
                <w:color w:val="000000" w:themeColor="text1"/>
              </w:rPr>
            </w:pPr>
            <w:r w:rsidRPr="007A6356">
              <w:rPr>
                <w:color w:val="000000" w:themeColor="text1"/>
              </w:rPr>
              <w:t>Representation class</w:t>
            </w:r>
          </w:p>
        </w:tc>
        <w:tc>
          <w:tcPr>
            <w:tcW w:w="4061" w:type="dxa"/>
            <w:shd w:val="clear" w:color="auto" w:fill="auto"/>
          </w:tcPr>
          <w:p w14:paraId="0D864168" w14:textId="77777777" w:rsidR="00CC60F7" w:rsidRPr="007A6356" w:rsidRDefault="00CC60F7" w:rsidP="00CC60F7">
            <w:pPr>
              <w:cnfStyle w:val="100000000000" w:firstRow="1" w:lastRow="0" w:firstColumn="0" w:lastColumn="0" w:oddVBand="0" w:evenVBand="0" w:oddHBand="0" w:evenHBand="0" w:firstRowFirstColumn="0" w:firstRowLastColumn="0" w:lastRowFirstColumn="0" w:lastRowLastColumn="0"/>
              <w:rPr>
                <w:color w:val="000000" w:themeColor="text1"/>
              </w:rPr>
            </w:pPr>
            <w:r w:rsidRPr="007A6356">
              <w:rPr>
                <w:b w:val="0"/>
                <w:bCs/>
                <w:color w:val="000000" w:themeColor="text1"/>
              </w:rPr>
              <w:t>Code</w:t>
            </w:r>
          </w:p>
        </w:tc>
      </w:tr>
      <w:tr w:rsidR="00CC60F7" w:rsidRPr="00C47A81" w14:paraId="589E26AF"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617CB073" w14:textId="794F9173" w:rsidR="00CC60F7" w:rsidRPr="00CC60F7" w:rsidRDefault="00CC60F7" w:rsidP="00CC60F7">
            <w:r w:rsidRPr="00CC60F7">
              <w:t>Format</w:t>
            </w:r>
          </w:p>
        </w:tc>
        <w:tc>
          <w:tcPr>
            <w:tcW w:w="4061" w:type="dxa"/>
          </w:tcPr>
          <w:p w14:paraId="078A1D99"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N</w:t>
            </w:r>
          </w:p>
        </w:tc>
      </w:tr>
      <w:tr w:rsidR="00CC60F7" w:rsidRPr="00C47A81" w14:paraId="6C12ACC4"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463EF8F1" w14:textId="7C8BD485" w:rsidR="00CC60F7" w:rsidRPr="00CC60F7" w:rsidRDefault="00CC60F7" w:rsidP="00CC60F7">
            <w:r w:rsidRPr="00CC60F7">
              <w:t>Maximum character length</w:t>
            </w:r>
          </w:p>
        </w:tc>
        <w:tc>
          <w:tcPr>
            <w:tcW w:w="4061" w:type="dxa"/>
          </w:tcPr>
          <w:p w14:paraId="78E10891"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1</w:t>
            </w:r>
          </w:p>
        </w:tc>
      </w:tr>
      <w:tr w:rsidR="00CC60F7" w:rsidRPr="00C47A81" w14:paraId="4ECFA29A"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37AD26B" w14:textId="1B64FA2A" w:rsidR="00CC60F7" w:rsidRPr="00CC60F7" w:rsidRDefault="00CC60F7" w:rsidP="00CC60F7">
            <w:r w:rsidRPr="00CC60F7">
              <w:t>Permissible values</w:t>
            </w:r>
          </w:p>
        </w:tc>
        <w:tc>
          <w:tcPr>
            <w:tcW w:w="4061" w:type="dxa"/>
          </w:tcPr>
          <w:p w14:paraId="39E7060C"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1</w:t>
            </w:r>
            <w:r>
              <w:t xml:space="preserve"> – </w:t>
            </w:r>
            <w:r w:rsidRPr="00C47A81">
              <w:t>Provisional</w:t>
            </w:r>
          </w:p>
          <w:p w14:paraId="6EDFD685"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2</w:t>
            </w:r>
            <w:r>
              <w:t xml:space="preserve"> – </w:t>
            </w:r>
            <w:r w:rsidRPr="00C47A81">
              <w:t>Final</w:t>
            </w:r>
          </w:p>
          <w:p w14:paraId="1C359631"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pPr>
            <w:r w:rsidRPr="00C47A81">
              <w:t>3</w:t>
            </w:r>
            <w:r>
              <w:t xml:space="preserve"> – </w:t>
            </w:r>
            <w:r w:rsidRPr="00C47A81">
              <w:t>Locked</w:t>
            </w:r>
          </w:p>
        </w:tc>
      </w:tr>
    </w:tbl>
    <w:p w14:paraId="0E9DCEC2" w14:textId="542B13B0" w:rsidR="00192720" w:rsidRPr="009A6C5C" w:rsidRDefault="00CC60F7" w:rsidP="00192720">
      <w:pPr>
        <w:pStyle w:val="Heading3"/>
      </w:pPr>
      <w:bookmarkStart w:id="548" w:name="_Ref310340482"/>
      <w:bookmarkStart w:id="549" w:name="_Toc158584004"/>
      <w:bookmarkStart w:id="550" w:name="_Toc159324777"/>
      <w:bookmarkStart w:id="551" w:name="_Toc175550397"/>
      <w:r>
        <w:t xml:space="preserve">6.3.10 </w:t>
      </w:r>
      <w:r w:rsidR="00192720" w:rsidRPr="009A6C5C">
        <w:t>Patient</w:t>
      </w:r>
      <w:bookmarkEnd w:id="547"/>
      <w:bookmarkEnd w:id="548"/>
      <w:bookmarkEnd w:id="549"/>
      <w:bookmarkEnd w:id="550"/>
      <w:bookmarkEnd w:id="551"/>
    </w:p>
    <w:p w14:paraId="57118FAA"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76"/>
        <w:gridCol w:w="4077"/>
      </w:tblGrid>
      <w:tr w:rsidR="00192720" w:rsidRPr="00C47A81" w14:paraId="2894861D" w14:textId="77777777" w:rsidTr="007A63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6" w:type="dxa"/>
            <w:shd w:val="clear" w:color="auto" w:fill="E6F1F8" w:themeFill="accent2"/>
          </w:tcPr>
          <w:p w14:paraId="57C14685" w14:textId="0BDDDCE0" w:rsidR="00192720" w:rsidRPr="007A6356" w:rsidRDefault="00192720" w:rsidP="00CC60F7">
            <w:pPr>
              <w:rPr>
                <w:rFonts w:ascii="Arial" w:hAnsi="Arial" w:cs="Arial"/>
                <w:color w:val="000000" w:themeColor="text1"/>
              </w:rPr>
            </w:pPr>
            <w:r w:rsidRPr="007A6356">
              <w:rPr>
                <w:rFonts w:ascii="Arial" w:hAnsi="Arial" w:cs="Arial"/>
                <w:color w:val="000000" w:themeColor="text1"/>
              </w:rPr>
              <w:t>Metadata item type</w:t>
            </w:r>
          </w:p>
        </w:tc>
        <w:tc>
          <w:tcPr>
            <w:tcW w:w="4077" w:type="dxa"/>
            <w:shd w:val="clear" w:color="auto" w:fill="auto"/>
          </w:tcPr>
          <w:p w14:paraId="2CBB4D62" w14:textId="77777777" w:rsidR="00192720" w:rsidRPr="007A6356"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7A6356">
              <w:rPr>
                <w:rFonts w:ascii="Arial" w:hAnsi="Arial" w:cs="Arial"/>
                <w:b w:val="0"/>
                <w:bCs/>
                <w:color w:val="000000" w:themeColor="text1"/>
              </w:rPr>
              <w:t>Object Class</w:t>
            </w:r>
          </w:p>
        </w:tc>
      </w:tr>
      <w:tr w:rsidR="00192720" w:rsidRPr="00C47A81" w14:paraId="17BA69BF" w14:textId="77777777" w:rsidTr="00CC60F7">
        <w:tc>
          <w:tcPr>
            <w:cnfStyle w:val="001000000000" w:firstRow="0" w:lastRow="0" w:firstColumn="1" w:lastColumn="0" w:oddVBand="0" w:evenVBand="0" w:oddHBand="0" w:evenHBand="0" w:firstRowFirstColumn="0" w:firstRowLastColumn="0" w:lastRowFirstColumn="0" w:lastRowLastColumn="0"/>
            <w:tcW w:w="4076" w:type="dxa"/>
          </w:tcPr>
          <w:p w14:paraId="64E9D462" w14:textId="596F3904" w:rsidR="00192720" w:rsidRPr="00CC60F7" w:rsidRDefault="00192720" w:rsidP="00CC60F7">
            <w:pPr>
              <w:rPr>
                <w:rFonts w:ascii="Arial" w:hAnsi="Arial" w:cs="Arial"/>
              </w:rPr>
            </w:pPr>
            <w:r w:rsidRPr="00CC60F7">
              <w:rPr>
                <w:rFonts w:ascii="Arial" w:hAnsi="Arial" w:cs="Arial"/>
              </w:rPr>
              <w:t>METeOR link</w:t>
            </w:r>
          </w:p>
        </w:tc>
        <w:tc>
          <w:tcPr>
            <w:tcW w:w="4077" w:type="dxa"/>
          </w:tcPr>
          <w:p w14:paraId="7985A93C" w14:textId="7083FA1F" w:rsidR="00192720" w:rsidRPr="00C47A81"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48" w:tooltip="Patient - METEOR" w:history="1">
              <w:r w:rsidR="00192720" w:rsidRPr="00C47A81">
                <w:rPr>
                  <w:rStyle w:val="Hyperlink"/>
                  <w:rFonts w:ascii="Arial" w:hAnsi="Arial" w:cs="Arial"/>
                  <w:szCs w:val="22"/>
                </w:rPr>
                <w:t>Patient (aihw.gov.au)</w:t>
              </w:r>
            </w:hyperlink>
          </w:p>
        </w:tc>
      </w:tr>
      <w:tr w:rsidR="00192720" w:rsidRPr="00C47A81" w14:paraId="1A43C6BE" w14:textId="77777777" w:rsidTr="00CC60F7">
        <w:tc>
          <w:tcPr>
            <w:cnfStyle w:val="001000000000" w:firstRow="0" w:lastRow="0" w:firstColumn="1" w:lastColumn="0" w:oddVBand="0" w:evenVBand="0" w:oddHBand="0" w:evenHBand="0" w:firstRowFirstColumn="0" w:firstRowLastColumn="0" w:lastRowFirstColumn="0" w:lastRowLastColumn="0"/>
            <w:tcW w:w="4076" w:type="dxa"/>
          </w:tcPr>
          <w:p w14:paraId="65777D1B" w14:textId="1AEB3EC6" w:rsidR="00192720" w:rsidRPr="00CC60F7" w:rsidRDefault="00192720" w:rsidP="00CC60F7">
            <w:pPr>
              <w:rPr>
                <w:rFonts w:ascii="Arial" w:hAnsi="Arial" w:cs="Arial"/>
              </w:rPr>
            </w:pPr>
            <w:r w:rsidRPr="00CC60F7">
              <w:rPr>
                <w:rFonts w:ascii="Arial" w:hAnsi="Arial" w:cs="Arial"/>
              </w:rPr>
              <w:t>Registration status</w:t>
            </w:r>
          </w:p>
        </w:tc>
        <w:tc>
          <w:tcPr>
            <w:tcW w:w="4077" w:type="dxa"/>
          </w:tcPr>
          <w:p w14:paraId="340761E8"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Health, Standard 01/03/2005</w:t>
            </w:r>
          </w:p>
        </w:tc>
      </w:tr>
      <w:tr w:rsidR="00192720" w:rsidRPr="00C47A81" w14:paraId="6A28840D" w14:textId="77777777" w:rsidTr="00CC60F7">
        <w:tc>
          <w:tcPr>
            <w:cnfStyle w:val="001000000000" w:firstRow="0" w:lastRow="0" w:firstColumn="1" w:lastColumn="0" w:oddVBand="0" w:evenVBand="0" w:oddHBand="0" w:evenHBand="0" w:firstRowFirstColumn="0" w:firstRowLastColumn="0" w:lastRowFirstColumn="0" w:lastRowLastColumn="0"/>
            <w:tcW w:w="4076" w:type="dxa"/>
          </w:tcPr>
          <w:p w14:paraId="352C291C" w14:textId="4DD3F01F" w:rsidR="00192720" w:rsidRPr="00CC60F7" w:rsidRDefault="00192720" w:rsidP="00CC60F7">
            <w:pPr>
              <w:rPr>
                <w:rFonts w:ascii="Arial" w:hAnsi="Arial" w:cs="Arial"/>
              </w:rPr>
            </w:pPr>
            <w:r w:rsidRPr="00CC60F7">
              <w:rPr>
                <w:rFonts w:ascii="Arial" w:hAnsi="Arial" w:cs="Arial"/>
              </w:rPr>
              <w:t>Definition</w:t>
            </w:r>
          </w:p>
        </w:tc>
        <w:tc>
          <w:tcPr>
            <w:tcW w:w="4077" w:type="dxa"/>
          </w:tcPr>
          <w:p w14:paraId="7A31F8F3" w14:textId="0971FDE8"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 xml:space="preserve">A person for whom a health service </w:t>
            </w:r>
            <w:r>
              <w:rPr>
                <w:rFonts w:ascii="Arial" w:hAnsi="Arial" w:cs="Arial"/>
              </w:rPr>
              <w:t xml:space="preserve">organisation </w:t>
            </w:r>
            <w:r w:rsidRPr="00C47A81">
              <w:rPr>
                <w:rFonts w:ascii="Arial" w:hAnsi="Arial" w:cs="Arial"/>
              </w:rPr>
              <w:t>accepts responsibility for treatment and or care</w:t>
            </w:r>
          </w:p>
        </w:tc>
      </w:tr>
      <w:tr w:rsidR="00192720" w:rsidRPr="00C47A81" w14:paraId="238B7443" w14:textId="77777777" w:rsidTr="00CC60F7">
        <w:tc>
          <w:tcPr>
            <w:cnfStyle w:val="001000000000" w:firstRow="0" w:lastRow="0" w:firstColumn="1" w:lastColumn="0" w:oddVBand="0" w:evenVBand="0" w:oddHBand="0" w:evenHBand="0" w:firstRowFirstColumn="0" w:firstRowLastColumn="0" w:lastRowFirstColumn="0" w:lastRowLastColumn="0"/>
            <w:tcW w:w="4076" w:type="dxa"/>
          </w:tcPr>
          <w:p w14:paraId="2F5ED7A4" w14:textId="69DEAEF0" w:rsidR="00192720" w:rsidRPr="00CC60F7" w:rsidRDefault="00192720" w:rsidP="00CC60F7">
            <w:pPr>
              <w:rPr>
                <w:rFonts w:ascii="Arial" w:hAnsi="Arial" w:cs="Arial"/>
              </w:rPr>
            </w:pPr>
            <w:r w:rsidRPr="00CC60F7">
              <w:rPr>
                <w:rFonts w:ascii="Arial" w:hAnsi="Arial" w:cs="Arial"/>
              </w:rPr>
              <w:t>Specialisation of</w:t>
            </w:r>
            <w:r w:rsidR="00910847">
              <w:rPr>
                <w:rFonts w:ascii="Arial" w:hAnsi="Arial" w:cs="Arial"/>
              </w:rPr>
              <w:t xml:space="preserve"> ...</w:t>
            </w:r>
          </w:p>
        </w:tc>
        <w:tc>
          <w:tcPr>
            <w:tcW w:w="4077" w:type="dxa"/>
          </w:tcPr>
          <w:p w14:paraId="64837E26"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Person/group of persons</w:t>
            </w:r>
          </w:p>
        </w:tc>
      </w:tr>
    </w:tbl>
    <w:p w14:paraId="37F7FCDE" w14:textId="32146A2D" w:rsidR="00192720" w:rsidRPr="009A6C5C" w:rsidRDefault="00CC60F7" w:rsidP="00192720">
      <w:pPr>
        <w:pStyle w:val="Heading3"/>
      </w:pPr>
      <w:bookmarkStart w:id="552" w:name="_Ref310255712"/>
      <w:bookmarkStart w:id="553" w:name="_Toc158584005"/>
      <w:bookmarkStart w:id="554" w:name="_Toc159324778"/>
      <w:bookmarkStart w:id="555" w:name="_Toc175550398"/>
      <w:r>
        <w:t>6.3.11 Patient</w:t>
      </w:r>
      <w:r w:rsidR="00192720">
        <w:t xml:space="preserve"> – </w:t>
      </w:r>
      <w:r w:rsidR="00192720" w:rsidRPr="009A6C5C">
        <w:t>diagnosis date</w:t>
      </w:r>
      <w:bookmarkEnd w:id="552"/>
      <w:bookmarkEnd w:id="553"/>
      <w:bookmarkEnd w:id="554"/>
      <w:bookmarkEnd w:id="555"/>
    </w:p>
    <w:p w14:paraId="3FAC91E9" w14:textId="77777777" w:rsidR="00192720" w:rsidRPr="009A6C5C" w:rsidRDefault="00192720" w:rsidP="00192720">
      <w:pPr>
        <w:pStyle w:val="BodyTextkeepwithnext0"/>
      </w:pPr>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C60F7" w:rsidRPr="00C47A81" w14:paraId="20FE7589" w14:textId="77777777" w:rsidTr="00112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5A667980" w14:textId="1EEA27EC" w:rsidR="00CC60F7" w:rsidRPr="007A6356" w:rsidRDefault="00CC60F7" w:rsidP="00CC60F7">
            <w:pPr>
              <w:rPr>
                <w:color w:val="000000" w:themeColor="text1"/>
              </w:rPr>
            </w:pPr>
            <w:r w:rsidRPr="007A6356">
              <w:rPr>
                <w:color w:val="000000" w:themeColor="text1"/>
              </w:rPr>
              <w:t>Metadata item type</w:t>
            </w:r>
          </w:p>
        </w:tc>
        <w:tc>
          <w:tcPr>
            <w:tcW w:w="4061" w:type="dxa"/>
            <w:shd w:val="clear" w:color="auto" w:fill="auto"/>
          </w:tcPr>
          <w:p w14:paraId="285005E2" w14:textId="77777777" w:rsidR="00CC60F7" w:rsidRPr="00112A26" w:rsidRDefault="00CC60F7" w:rsidP="00CC60F7">
            <w:pPr>
              <w:cnfStyle w:val="100000000000" w:firstRow="1" w:lastRow="0" w:firstColumn="0" w:lastColumn="0" w:oddVBand="0" w:evenVBand="0" w:oddHBand="0" w:evenHBand="0" w:firstRowFirstColumn="0" w:firstRowLastColumn="0" w:lastRowFirstColumn="0" w:lastRowLastColumn="0"/>
              <w:rPr>
                <w:b w:val="0"/>
                <w:bCs/>
                <w:color w:val="000000" w:themeColor="text1"/>
              </w:rPr>
            </w:pPr>
            <w:r w:rsidRPr="00112A26">
              <w:rPr>
                <w:b w:val="0"/>
                <w:bCs/>
                <w:color w:val="000000" w:themeColor="text1"/>
              </w:rPr>
              <w:t>Data Element</w:t>
            </w:r>
          </w:p>
        </w:tc>
      </w:tr>
      <w:tr w:rsidR="00CC60F7" w:rsidRPr="00244F14" w14:paraId="2A900BCB"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5CEFD8B7" w14:textId="180A5072" w:rsidR="00CC60F7" w:rsidRPr="00CC60F7" w:rsidRDefault="00CC60F7" w:rsidP="00CC60F7">
            <w:r w:rsidRPr="00CC60F7">
              <w:t>METeORlink</w:t>
            </w:r>
          </w:p>
        </w:tc>
        <w:tc>
          <w:tcPr>
            <w:tcW w:w="4061" w:type="dxa"/>
          </w:tcPr>
          <w:p w14:paraId="7859DD69" w14:textId="6EFB2C67" w:rsidR="00CC60F7" w:rsidRPr="00C47A81" w:rsidRDefault="00000000" w:rsidP="00CC60F7">
            <w:pPr>
              <w:cnfStyle w:val="000000000000" w:firstRow="0" w:lastRow="0" w:firstColumn="0" w:lastColumn="0" w:oddVBand="0" w:evenVBand="0" w:oddHBand="0" w:evenHBand="0" w:firstRowFirstColumn="0" w:firstRowLastColumn="0" w:lastRowFirstColumn="0" w:lastRowLastColumn="0"/>
              <w:rPr>
                <w:lang w:val="fr-FR"/>
              </w:rPr>
            </w:pPr>
            <w:hyperlink r:id="rId49" w:tooltip="Patient—diagnosis date, DDMMYYYY - METEOR" w:history="1">
              <w:r w:rsidR="00CC60F7" w:rsidRPr="00C47A81">
                <w:rPr>
                  <w:rStyle w:val="Hyperlink"/>
                  <w:rFonts w:ascii="Arial" w:hAnsi="Arial" w:cs="Arial"/>
                  <w:szCs w:val="22"/>
                  <w:lang w:val="fr-FR"/>
                </w:rPr>
                <w:t>Patient</w:t>
              </w:r>
              <w:r w:rsidR="00CC60F7">
                <w:rPr>
                  <w:rStyle w:val="Hyperlink"/>
                  <w:rFonts w:ascii="Arial" w:hAnsi="Arial" w:cs="Arial"/>
                  <w:szCs w:val="22"/>
                  <w:lang w:val="fr-FR"/>
                </w:rPr>
                <w:t xml:space="preserve"> – </w:t>
              </w:r>
              <w:r w:rsidR="00CC60F7" w:rsidRPr="00C47A81">
                <w:rPr>
                  <w:rStyle w:val="Hyperlink"/>
                  <w:rFonts w:ascii="Arial" w:hAnsi="Arial" w:cs="Arial"/>
                  <w:szCs w:val="22"/>
                  <w:lang w:val="fr-FR"/>
                </w:rPr>
                <w:t>diagnosis date (aihw.gov.au)</w:t>
              </w:r>
            </w:hyperlink>
          </w:p>
        </w:tc>
      </w:tr>
    </w:tbl>
    <w:p w14:paraId="5AECE738" w14:textId="2BD108B7" w:rsidR="00192720" w:rsidRPr="009A6C5C" w:rsidRDefault="00CC60F7" w:rsidP="00192720">
      <w:pPr>
        <w:pStyle w:val="Heading3"/>
      </w:pPr>
      <w:bookmarkStart w:id="556" w:name="_Toc90017365"/>
      <w:bookmarkStart w:id="557" w:name="_Toc90017378"/>
      <w:bookmarkStart w:id="558" w:name="_Toc90017379"/>
      <w:bookmarkStart w:id="559" w:name="_Ref310340381"/>
      <w:bookmarkStart w:id="560" w:name="_Ref310340585"/>
      <w:bookmarkStart w:id="561" w:name="_Toc158584006"/>
      <w:bookmarkStart w:id="562" w:name="_Toc159324779"/>
      <w:bookmarkStart w:id="563" w:name="_Toc175550399"/>
      <w:bookmarkStart w:id="564" w:name="_Ref310255727"/>
      <w:bookmarkEnd w:id="556"/>
      <w:bookmarkEnd w:id="557"/>
      <w:bookmarkEnd w:id="558"/>
      <w:r>
        <w:t>6.3.12 Patient</w:t>
      </w:r>
      <w:r w:rsidR="00192720">
        <w:t xml:space="preserve"> – </w:t>
      </w:r>
      <w:r w:rsidR="00192720" w:rsidRPr="009A6C5C">
        <w:t>informed of participation</w:t>
      </w:r>
      <w:bookmarkEnd w:id="559"/>
      <w:bookmarkEnd w:id="560"/>
      <w:bookmarkEnd w:id="561"/>
      <w:bookmarkEnd w:id="562"/>
      <w:bookmarkEnd w:id="563"/>
    </w:p>
    <w:p w14:paraId="4D6F39AB"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2CD7AE21" w14:textId="77777777" w:rsidTr="00112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3F04254B" w14:textId="5EBCD25F" w:rsidR="00192720" w:rsidRPr="00112A26" w:rsidRDefault="00192720" w:rsidP="00CC60F7">
            <w:pPr>
              <w:rPr>
                <w:rFonts w:ascii="Arial" w:hAnsi="Arial" w:cs="Arial"/>
                <w:color w:val="000000" w:themeColor="text1"/>
              </w:rPr>
            </w:pPr>
            <w:r w:rsidRPr="00112A26">
              <w:rPr>
                <w:rFonts w:ascii="Arial" w:hAnsi="Arial" w:cs="Arial"/>
                <w:color w:val="000000" w:themeColor="text1"/>
              </w:rPr>
              <w:t>Metadata item type</w:t>
            </w:r>
          </w:p>
        </w:tc>
        <w:tc>
          <w:tcPr>
            <w:tcW w:w="4061" w:type="dxa"/>
            <w:shd w:val="clear" w:color="auto" w:fill="auto"/>
          </w:tcPr>
          <w:p w14:paraId="1D1795B9" w14:textId="77777777" w:rsidR="00192720" w:rsidRPr="00112A26"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112A26">
              <w:rPr>
                <w:rFonts w:ascii="Arial" w:hAnsi="Arial" w:cs="Arial"/>
                <w:b w:val="0"/>
                <w:bCs/>
                <w:color w:val="000000" w:themeColor="text1"/>
              </w:rPr>
              <w:t>Data Element</w:t>
            </w:r>
          </w:p>
        </w:tc>
      </w:tr>
      <w:tr w:rsidR="00192720" w:rsidRPr="00C47A81" w14:paraId="2C645FD1"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693FEC3F" w14:textId="0CDF5FC1" w:rsidR="00192720" w:rsidRPr="00CC60F7" w:rsidRDefault="00192720" w:rsidP="00CC60F7">
            <w:pPr>
              <w:rPr>
                <w:rFonts w:ascii="Arial" w:hAnsi="Arial" w:cs="Arial"/>
              </w:rPr>
            </w:pPr>
            <w:r w:rsidRPr="00CC60F7">
              <w:rPr>
                <w:rFonts w:ascii="Arial" w:hAnsi="Arial" w:cs="Arial"/>
              </w:rPr>
              <w:t>METeOR identifier</w:t>
            </w:r>
          </w:p>
        </w:tc>
        <w:tc>
          <w:tcPr>
            <w:tcW w:w="4061" w:type="dxa"/>
          </w:tcPr>
          <w:p w14:paraId="545718EF"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N/A</w:t>
            </w:r>
          </w:p>
        </w:tc>
      </w:tr>
      <w:tr w:rsidR="00192720" w:rsidRPr="00C47A81" w14:paraId="6E021136"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1BCAA59" w14:textId="70692F66" w:rsidR="00192720" w:rsidRPr="00CC60F7" w:rsidRDefault="00192720" w:rsidP="00CC60F7">
            <w:pPr>
              <w:rPr>
                <w:rFonts w:ascii="Arial" w:hAnsi="Arial" w:cs="Arial"/>
              </w:rPr>
            </w:pPr>
            <w:r w:rsidRPr="00CC60F7">
              <w:rPr>
                <w:rFonts w:ascii="Arial" w:hAnsi="Arial" w:cs="Arial"/>
              </w:rPr>
              <w:t>Registration status</w:t>
            </w:r>
          </w:p>
        </w:tc>
        <w:tc>
          <w:tcPr>
            <w:tcW w:w="4061" w:type="dxa"/>
          </w:tcPr>
          <w:p w14:paraId="5DDFCE81"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N/A</w:t>
            </w:r>
          </w:p>
        </w:tc>
      </w:tr>
      <w:tr w:rsidR="00192720" w:rsidRPr="00C47A81" w14:paraId="070B24DA"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605B4977" w14:textId="0E4C566A" w:rsidR="00192720" w:rsidRPr="00CC60F7" w:rsidRDefault="00192720" w:rsidP="00CC60F7">
            <w:pPr>
              <w:rPr>
                <w:rFonts w:ascii="Arial" w:hAnsi="Arial" w:cs="Arial"/>
              </w:rPr>
            </w:pPr>
            <w:r w:rsidRPr="00CC60F7">
              <w:rPr>
                <w:rFonts w:ascii="Arial" w:hAnsi="Arial" w:cs="Arial"/>
              </w:rPr>
              <w:t>Definition</w:t>
            </w:r>
          </w:p>
        </w:tc>
        <w:tc>
          <w:tcPr>
            <w:tcW w:w="4061" w:type="dxa"/>
          </w:tcPr>
          <w:p w14:paraId="291E3605" w14:textId="75267390"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 xml:space="preserve">Whether the patient has been informed that their records will be included </w:t>
            </w:r>
            <w:r>
              <w:rPr>
                <w:rFonts w:ascii="Arial" w:hAnsi="Arial" w:cs="Arial"/>
              </w:rPr>
              <w:t xml:space="preserve">in </w:t>
            </w:r>
            <w:r w:rsidRPr="00C47A81">
              <w:rPr>
                <w:rFonts w:ascii="Arial" w:hAnsi="Arial" w:cs="Arial"/>
              </w:rPr>
              <w:t>Clinical Quality Registry reports, as represented by a code</w:t>
            </w:r>
          </w:p>
        </w:tc>
      </w:tr>
    </w:tbl>
    <w:p w14:paraId="51917A2A" w14:textId="77777777" w:rsidR="00192720" w:rsidRPr="009A6C5C" w:rsidRDefault="00192720" w:rsidP="00CC60F7"/>
    <w:p w14:paraId="55087539" w14:textId="77777777" w:rsidR="00192720" w:rsidRPr="009A6C5C" w:rsidRDefault="00192720" w:rsidP="00CC60F7">
      <w:r w:rsidRPr="009A6C5C">
        <w:lastRenderedPageBreak/>
        <w:t>Representational attributes</w:t>
      </w:r>
    </w:p>
    <w:tbl>
      <w:tblPr>
        <w:tblStyle w:val="SurveyQuestions"/>
        <w:tblW w:w="0" w:type="auto"/>
        <w:tblLook w:val="04A0" w:firstRow="1" w:lastRow="0" w:firstColumn="1" w:lastColumn="0" w:noHBand="0" w:noVBand="1"/>
      </w:tblPr>
      <w:tblGrid>
        <w:gridCol w:w="4092"/>
        <w:gridCol w:w="4061"/>
      </w:tblGrid>
      <w:tr w:rsidR="00192720" w:rsidRPr="00C47A81" w14:paraId="1F8A4206" w14:textId="77777777" w:rsidTr="00112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4085EEFD" w14:textId="219BEBD0" w:rsidR="00192720" w:rsidRPr="00112A26" w:rsidRDefault="00192720" w:rsidP="00CC60F7">
            <w:pPr>
              <w:rPr>
                <w:rFonts w:ascii="Arial" w:hAnsi="Arial" w:cs="Arial"/>
                <w:color w:val="000000" w:themeColor="text1"/>
              </w:rPr>
            </w:pPr>
            <w:r w:rsidRPr="00112A26">
              <w:rPr>
                <w:rFonts w:ascii="Arial" w:hAnsi="Arial" w:cs="Arial"/>
                <w:color w:val="000000" w:themeColor="text1"/>
              </w:rPr>
              <w:t>Representation class</w:t>
            </w:r>
          </w:p>
        </w:tc>
        <w:tc>
          <w:tcPr>
            <w:tcW w:w="4061" w:type="dxa"/>
            <w:shd w:val="clear" w:color="auto" w:fill="auto"/>
          </w:tcPr>
          <w:p w14:paraId="6D2E2D3C" w14:textId="77777777" w:rsidR="00192720" w:rsidRPr="00112A26"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112A26">
              <w:rPr>
                <w:rFonts w:ascii="Arial" w:hAnsi="Arial" w:cs="Arial"/>
                <w:b w:val="0"/>
                <w:bCs/>
                <w:color w:val="000000" w:themeColor="text1"/>
              </w:rPr>
              <w:t>Code</w:t>
            </w:r>
          </w:p>
        </w:tc>
      </w:tr>
      <w:tr w:rsidR="00192720" w:rsidRPr="00C47A81" w14:paraId="0FA79FB8"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61390F6" w14:textId="75B25317" w:rsidR="00192720" w:rsidRPr="00CC60F7" w:rsidRDefault="00192720" w:rsidP="00CC60F7">
            <w:pPr>
              <w:rPr>
                <w:rFonts w:ascii="Arial" w:hAnsi="Arial" w:cs="Arial"/>
              </w:rPr>
            </w:pPr>
            <w:r w:rsidRPr="00CC60F7">
              <w:rPr>
                <w:rFonts w:ascii="Arial" w:hAnsi="Arial" w:cs="Arial"/>
              </w:rPr>
              <w:t>Data type</w:t>
            </w:r>
          </w:p>
        </w:tc>
        <w:tc>
          <w:tcPr>
            <w:tcW w:w="4061" w:type="dxa"/>
          </w:tcPr>
          <w:p w14:paraId="07ACEA5D"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Boolean</w:t>
            </w:r>
          </w:p>
        </w:tc>
      </w:tr>
      <w:tr w:rsidR="00192720" w:rsidRPr="00C47A81" w14:paraId="03B99EE8"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CA71695" w14:textId="552A92F7" w:rsidR="00192720" w:rsidRPr="00CC60F7" w:rsidRDefault="00192720" w:rsidP="00CC60F7">
            <w:pPr>
              <w:rPr>
                <w:rFonts w:ascii="Arial" w:hAnsi="Arial" w:cs="Arial"/>
              </w:rPr>
            </w:pPr>
            <w:r w:rsidRPr="00CC60F7">
              <w:rPr>
                <w:rFonts w:ascii="Arial" w:hAnsi="Arial" w:cs="Arial"/>
              </w:rPr>
              <w:t>Format</w:t>
            </w:r>
          </w:p>
        </w:tc>
        <w:tc>
          <w:tcPr>
            <w:tcW w:w="4061" w:type="dxa"/>
          </w:tcPr>
          <w:p w14:paraId="211A2993"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w:t>
            </w:r>
          </w:p>
        </w:tc>
      </w:tr>
      <w:tr w:rsidR="00192720" w:rsidRPr="00C47A81" w14:paraId="1548105D"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311EE18" w14:textId="5D54E013" w:rsidR="00192720" w:rsidRPr="00CC60F7" w:rsidRDefault="00192720" w:rsidP="00CC60F7">
            <w:pPr>
              <w:rPr>
                <w:rFonts w:ascii="Arial" w:hAnsi="Arial" w:cs="Arial"/>
              </w:rPr>
            </w:pPr>
            <w:r w:rsidRPr="00CC60F7">
              <w:rPr>
                <w:rFonts w:ascii="Arial" w:hAnsi="Arial" w:cs="Arial"/>
              </w:rPr>
              <w:t>Maximum character length</w:t>
            </w:r>
          </w:p>
        </w:tc>
        <w:tc>
          <w:tcPr>
            <w:tcW w:w="4061" w:type="dxa"/>
          </w:tcPr>
          <w:p w14:paraId="61E7D0F4"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1</w:t>
            </w:r>
          </w:p>
        </w:tc>
      </w:tr>
      <w:tr w:rsidR="00192720" w:rsidRPr="00C47A81" w14:paraId="0EB9201D"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8A88399" w14:textId="1C252AA5" w:rsidR="00192720" w:rsidRPr="00CC60F7" w:rsidRDefault="00192720" w:rsidP="00CC60F7">
            <w:pPr>
              <w:rPr>
                <w:rFonts w:ascii="Arial" w:hAnsi="Arial" w:cs="Arial"/>
              </w:rPr>
            </w:pPr>
            <w:r w:rsidRPr="00CC60F7">
              <w:rPr>
                <w:rFonts w:ascii="Arial" w:hAnsi="Arial" w:cs="Arial"/>
              </w:rPr>
              <w:t>Permissible values</w:t>
            </w:r>
          </w:p>
        </w:tc>
        <w:tc>
          <w:tcPr>
            <w:tcW w:w="4061" w:type="dxa"/>
          </w:tcPr>
          <w:p w14:paraId="43CD46D2"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1</w:t>
            </w:r>
            <w:r>
              <w:rPr>
                <w:rFonts w:ascii="Arial" w:hAnsi="Arial" w:cs="Arial"/>
              </w:rPr>
              <w:t xml:space="preserve"> – </w:t>
            </w:r>
            <w:r w:rsidRPr="00C47A81">
              <w:rPr>
                <w:rFonts w:ascii="Arial" w:hAnsi="Arial" w:cs="Arial"/>
              </w:rPr>
              <w:t>Yes</w:t>
            </w:r>
          </w:p>
          <w:p w14:paraId="3522AFA5"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2</w:t>
            </w:r>
            <w:r>
              <w:rPr>
                <w:rFonts w:ascii="Arial" w:hAnsi="Arial" w:cs="Arial"/>
              </w:rPr>
              <w:t xml:space="preserve"> – </w:t>
            </w:r>
            <w:r w:rsidRPr="00C47A81">
              <w:rPr>
                <w:rFonts w:ascii="Arial" w:hAnsi="Arial" w:cs="Arial"/>
              </w:rPr>
              <w:t>No</w:t>
            </w:r>
          </w:p>
        </w:tc>
      </w:tr>
    </w:tbl>
    <w:p w14:paraId="6F11C3D6" w14:textId="7D377C6D" w:rsidR="00192720" w:rsidRPr="009A6C5C" w:rsidRDefault="00CC60F7" w:rsidP="00192720">
      <w:pPr>
        <w:pStyle w:val="Heading3"/>
      </w:pPr>
      <w:bookmarkStart w:id="565" w:name="_Ref310340388"/>
      <w:bookmarkStart w:id="566" w:name="_Ref310340595"/>
      <w:bookmarkStart w:id="567" w:name="_Toc158584007"/>
      <w:bookmarkStart w:id="568" w:name="_Toc159324780"/>
      <w:bookmarkStart w:id="569" w:name="_Toc175550400"/>
      <w:r>
        <w:t xml:space="preserve">6.3.13 </w:t>
      </w:r>
      <w:r w:rsidR="00192720" w:rsidRPr="009A6C5C">
        <w:t>Patient</w:t>
      </w:r>
      <w:r w:rsidR="00192720">
        <w:t xml:space="preserve"> – </w:t>
      </w:r>
      <w:r w:rsidR="00192720" w:rsidRPr="009A6C5C">
        <w:t>opt-out date</w:t>
      </w:r>
      <w:bookmarkEnd w:id="565"/>
      <w:bookmarkEnd w:id="566"/>
      <w:bookmarkEnd w:id="567"/>
      <w:bookmarkEnd w:id="568"/>
      <w:bookmarkEnd w:id="569"/>
    </w:p>
    <w:p w14:paraId="1792D7A4"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6FA2797C" w14:textId="77777777" w:rsidTr="00112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7675B75" w14:textId="58E1CB70" w:rsidR="00192720" w:rsidRPr="00112A26" w:rsidRDefault="00192720" w:rsidP="00CC60F7">
            <w:pPr>
              <w:rPr>
                <w:rFonts w:ascii="Arial" w:hAnsi="Arial" w:cs="Arial"/>
                <w:color w:val="000000" w:themeColor="text1"/>
              </w:rPr>
            </w:pPr>
            <w:r w:rsidRPr="00112A26">
              <w:rPr>
                <w:rFonts w:ascii="Arial" w:hAnsi="Arial" w:cs="Arial"/>
                <w:color w:val="000000" w:themeColor="text1"/>
              </w:rPr>
              <w:t>Metadata item type</w:t>
            </w:r>
          </w:p>
        </w:tc>
        <w:tc>
          <w:tcPr>
            <w:tcW w:w="4061" w:type="dxa"/>
            <w:shd w:val="clear" w:color="auto" w:fill="auto"/>
          </w:tcPr>
          <w:p w14:paraId="532C9023" w14:textId="77777777" w:rsidR="00192720" w:rsidRPr="00112A26"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112A26">
              <w:rPr>
                <w:rFonts w:ascii="Arial" w:hAnsi="Arial" w:cs="Arial"/>
                <w:color w:val="000000" w:themeColor="text1"/>
              </w:rPr>
              <w:t>Data Element</w:t>
            </w:r>
          </w:p>
        </w:tc>
      </w:tr>
      <w:tr w:rsidR="00192720" w:rsidRPr="00C47A81" w14:paraId="24710433"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471B8408" w14:textId="69467D2C" w:rsidR="00192720" w:rsidRPr="00CC60F7" w:rsidRDefault="00192720" w:rsidP="00CC60F7">
            <w:pPr>
              <w:rPr>
                <w:rFonts w:ascii="Arial" w:hAnsi="Arial" w:cs="Arial"/>
              </w:rPr>
            </w:pPr>
            <w:r w:rsidRPr="00CC60F7">
              <w:rPr>
                <w:rFonts w:ascii="Arial" w:hAnsi="Arial" w:cs="Arial"/>
              </w:rPr>
              <w:t>Definition</w:t>
            </w:r>
          </w:p>
        </w:tc>
        <w:tc>
          <w:tcPr>
            <w:tcW w:w="4061" w:type="dxa"/>
          </w:tcPr>
          <w:p w14:paraId="05A4F5A9" w14:textId="5F2C43B0"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 xml:space="preserve">The date on which a patient elected that all their associated records </w:t>
            </w:r>
            <w:r>
              <w:rPr>
                <w:rFonts w:ascii="Arial" w:hAnsi="Arial" w:cs="Arial"/>
              </w:rPr>
              <w:t>shall</w:t>
            </w:r>
            <w:r w:rsidRPr="00C47A81">
              <w:rPr>
                <w:rFonts w:ascii="Arial" w:hAnsi="Arial" w:cs="Arial"/>
              </w:rPr>
              <w:t xml:space="preserve"> not be included in the Clinical Quality Registry reports</w:t>
            </w:r>
          </w:p>
        </w:tc>
      </w:tr>
    </w:tbl>
    <w:p w14:paraId="54C791ED" w14:textId="77777777" w:rsidR="00CC60F7" w:rsidRDefault="00CC60F7" w:rsidP="00CC60F7"/>
    <w:p w14:paraId="044A1953" w14:textId="5ADFBFA2" w:rsidR="00192720" w:rsidRPr="009A6C5C" w:rsidRDefault="00192720" w:rsidP="00CC60F7">
      <w:r w:rsidRPr="009A6C5C">
        <w:t>Representational attributes</w:t>
      </w:r>
    </w:p>
    <w:tbl>
      <w:tblPr>
        <w:tblStyle w:val="SurveyQuestions"/>
        <w:tblW w:w="0" w:type="auto"/>
        <w:tblLook w:val="04A0" w:firstRow="1" w:lastRow="0" w:firstColumn="1" w:lastColumn="0" w:noHBand="0" w:noVBand="1"/>
      </w:tblPr>
      <w:tblGrid>
        <w:gridCol w:w="4092"/>
        <w:gridCol w:w="4061"/>
      </w:tblGrid>
      <w:tr w:rsidR="00192720" w:rsidRPr="00C47A81" w14:paraId="38C7340A" w14:textId="77777777" w:rsidTr="000038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9BA4106" w14:textId="503CF9FE" w:rsidR="00192720" w:rsidRPr="00CC60F7" w:rsidRDefault="00192720" w:rsidP="00CC60F7">
            <w:pPr>
              <w:rPr>
                <w:rFonts w:ascii="Arial" w:hAnsi="Arial" w:cs="Arial"/>
              </w:rPr>
            </w:pPr>
            <w:r w:rsidRPr="00003882">
              <w:rPr>
                <w:rFonts w:ascii="Arial" w:hAnsi="Arial" w:cs="Arial"/>
                <w:color w:val="000000" w:themeColor="text1"/>
              </w:rPr>
              <w:t>Representation class</w:t>
            </w:r>
          </w:p>
        </w:tc>
        <w:tc>
          <w:tcPr>
            <w:tcW w:w="4061" w:type="dxa"/>
            <w:shd w:val="clear" w:color="auto" w:fill="auto"/>
          </w:tcPr>
          <w:p w14:paraId="695D3BAC" w14:textId="77777777" w:rsidR="00192720" w:rsidRPr="00003882"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003882">
              <w:rPr>
                <w:rFonts w:ascii="Arial" w:hAnsi="Arial" w:cs="Arial"/>
                <w:b w:val="0"/>
                <w:bCs/>
                <w:color w:val="000000" w:themeColor="text1"/>
              </w:rPr>
              <w:t>Date</w:t>
            </w:r>
          </w:p>
        </w:tc>
      </w:tr>
      <w:tr w:rsidR="00192720" w:rsidRPr="00C47A81" w14:paraId="4B83E394"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4D243574" w14:textId="4E4F6C86" w:rsidR="00192720" w:rsidRPr="00CC60F7" w:rsidRDefault="00192720" w:rsidP="00CC60F7">
            <w:pPr>
              <w:rPr>
                <w:rFonts w:ascii="Arial" w:hAnsi="Arial" w:cs="Arial"/>
              </w:rPr>
            </w:pPr>
            <w:r w:rsidRPr="00CC60F7">
              <w:rPr>
                <w:rFonts w:ascii="Arial" w:hAnsi="Arial" w:cs="Arial"/>
              </w:rPr>
              <w:t>Data type</w:t>
            </w:r>
          </w:p>
        </w:tc>
        <w:tc>
          <w:tcPr>
            <w:tcW w:w="4061" w:type="dxa"/>
          </w:tcPr>
          <w:p w14:paraId="01238A79"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Date/Time</w:t>
            </w:r>
          </w:p>
        </w:tc>
      </w:tr>
      <w:tr w:rsidR="00192720" w:rsidRPr="00C47A81" w14:paraId="25458F40"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DBE7145" w14:textId="5803360E" w:rsidR="00192720" w:rsidRPr="00CC60F7" w:rsidRDefault="00192720" w:rsidP="00CC60F7">
            <w:pPr>
              <w:rPr>
                <w:rFonts w:ascii="Arial" w:hAnsi="Arial" w:cs="Arial"/>
              </w:rPr>
            </w:pPr>
            <w:r w:rsidRPr="00CC60F7">
              <w:rPr>
                <w:rFonts w:ascii="Arial" w:hAnsi="Arial" w:cs="Arial"/>
              </w:rPr>
              <w:t>Format</w:t>
            </w:r>
          </w:p>
        </w:tc>
        <w:tc>
          <w:tcPr>
            <w:tcW w:w="4061" w:type="dxa"/>
          </w:tcPr>
          <w:p w14:paraId="2E0C3477"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DDMMYYYY</w:t>
            </w:r>
          </w:p>
        </w:tc>
      </w:tr>
      <w:tr w:rsidR="00192720" w:rsidRPr="00C47A81" w14:paraId="5311309C"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89551CE" w14:textId="0E3DAE13" w:rsidR="00192720" w:rsidRPr="00CC60F7" w:rsidRDefault="00192720" w:rsidP="00CC60F7">
            <w:pPr>
              <w:rPr>
                <w:rFonts w:ascii="Arial" w:hAnsi="Arial" w:cs="Arial"/>
              </w:rPr>
            </w:pPr>
            <w:r w:rsidRPr="00CC60F7">
              <w:rPr>
                <w:rFonts w:ascii="Arial" w:hAnsi="Arial" w:cs="Arial"/>
              </w:rPr>
              <w:t>Maximum character length</w:t>
            </w:r>
          </w:p>
        </w:tc>
        <w:tc>
          <w:tcPr>
            <w:tcW w:w="4061" w:type="dxa"/>
          </w:tcPr>
          <w:p w14:paraId="13703796"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8</w:t>
            </w:r>
          </w:p>
        </w:tc>
      </w:tr>
    </w:tbl>
    <w:p w14:paraId="5582B693" w14:textId="12D365C7" w:rsidR="00192720" w:rsidRPr="002064F6" w:rsidRDefault="00CC60F7" w:rsidP="00192720">
      <w:pPr>
        <w:pStyle w:val="Heading3"/>
        <w:rPr>
          <w:rFonts w:cs="Times New Roman"/>
          <w:szCs w:val="20"/>
        </w:rPr>
      </w:pPr>
      <w:bookmarkStart w:id="570" w:name="_Ref312068308"/>
      <w:bookmarkStart w:id="571" w:name="_Toc158584008"/>
      <w:bookmarkStart w:id="572" w:name="_Toc159324781"/>
      <w:bookmarkStart w:id="573" w:name="_Toc175550401"/>
      <w:bookmarkStart w:id="574" w:name="_Ref310340606"/>
      <w:bookmarkStart w:id="575" w:name="_Ref310428336"/>
      <w:r>
        <w:t xml:space="preserve">6.3.14 </w:t>
      </w:r>
      <w:r w:rsidR="00192720" w:rsidRPr="009A6C5C">
        <w:t>Patient</w:t>
      </w:r>
      <w:r w:rsidR="00192720">
        <w:t xml:space="preserve"> – </w:t>
      </w:r>
      <w:r w:rsidR="00192720" w:rsidRPr="009A6C5C">
        <w:t>principal diagnosis</w:t>
      </w:r>
      <w:bookmarkEnd w:id="570"/>
      <w:bookmarkEnd w:id="571"/>
      <w:bookmarkEnd w:id="572"/>
      <w:bookmarkEnd w:id="573"/>
    </w:p>
    <w:p w14:paraId="12A30071"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C47A81" w14:paraId="07A3AB0F"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1254BD21" w14:textId="6F4BD376" w:rsidR="00192720" w:rsidRPr="00F43E62" w:rsidRDefault="00192720" w:rsidP="00CC60F7">
            <w:pPr>
              <w:rPr>
                <w:rFonts w:ascii="Arial" w:hAnsi="Arial" w:cs="Arial"/>
                <w:color w:val="000000" w:themeColor="text1"/>
              </w:rPr>
            </w:pPr>
            <w:r w:rsidRPr="00F43E62">
              <w:rPr>
                <w:rFonts w:ascii="Arial" w:hAnsi="Arial" w:cs="Arial"/>
                <w:color w:val="000000" w:themeColor="text1"/>
              </w:rPr>
              <w:t>Metadata item type</w:t>
            </w:r>
          </w:p>
        </w:tc>
        <w:tc>
          <w:tcPr>
            <w:tcW w:w="4061" w:type="dxa"/>
            <w:shd w:val="clear" w:color="auto" w:fill="auto"/>
          </w:tcPr>
          <w:p w14:paraId="57E858CE" w14:textId="77777777" w:rsidR="00192720" w:rsidRPr="00F43E62"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F43E62">
              <w:rPr>
                <w:rFonts w:ascii="Arial" w:hAnsi="Arial" w:cs="Arial"/>
                <w:b w:val="0"/>
                <w:bCs/>
                <w:color w:val="000000" w:themeColor="text1"/>
              </w:rPr>
              <w:t>Data Element</w:t>
            </w:r>
          </w:p>
        </w:tc>
      </w:tr>
      <w:tr w:rsidR="00192720" w:rsidRPr="00244F14" w14:paraId="21A257C6"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CE61838" w14:textId="4AFC376C" w:rsidR="00192720" w:rsidRPr="00CC60F7" w:rsidRDefault="00192720" w:rsidP="00CC60F7">
            <w:pPr>
              <w:rPr>
                <w:rFonts w:ascii="Arial" w:hAnsi="Arial" w:cs="Arial"/>
              </w:rPr>
            </w:pPr>
            <w:r w:rsidRPr="00CC60F7">
              <w:rPr>
                <w:rFonts w:ascii="Arial" w:hAnsi="Arial" w:cs="Arial"/>
              </w:rPr>
              <w:t>METeOR link</w:t>
            </w:r>
          </w:p>
        </w:tc>
        <w:tc>
          <w:tcPr>
            <w:tcW w:w="4061" w:type="dxa"/>
          </w:tcPr>
          <w:p w14:paraId="123BF7E9" w14:textId="28407AEE" w:rsidR="00192720" w:rsidRPr="00C47A81"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hyperlink r:id="rId50" w:tooltip="Patient—principal diagnosis, (ICD-10-AM 7th edn) ANN{.N[N]} - METEOR" w:history="1">
              <w:r w:rsidR="00192720" w:rsidRPr="00C47A81">
                <w:rPr>
                  <w:rStyle w:val="Hyperlink"/>
                  <w:rFonts w:ascii="Arial" w:hAnsi="Arial" w:cs="Arial"/>
                  <w:szCs w:val="22"/>
                  <w:lang w:val="fr-FR"/>
                </w:rPr>
                <w:t>Patient</w:t>
              </w:r>
              <w:r w:rsidR="00192720">
                <w:rPr>
                  <w:rStyle w:val="Hyperlink"/>
                  <w:rFonts w:ascii="Arial" w:hAnsi="Arial" w:cs="Arial"/>
                  <w:szCs w:val="22"/>
                  <w:lang w:val="fr-FR"/>
                </w:rPr>
                <w:t xml:space="preserve"> – </w:t>
              </w:r>
              <w:r w:rsidR="00192720" w:rsidRPr="00C47A81">
                <w:rPr>
                  <w:rStyle w:val="Hyperlink"/>
                  <w:rFonts w:ascii="Arial" w:hAnsi="Arial" w:cs="Arial"/>
                  <w:szCs w:val="22"/>
                  <w:lang w:val="fr-FR"/>
                </w:rPr>
                <w:t>principal diagnosis (aihw.gov.au)</w:t>
              </w:r>
            </w:hyperlink>
          </w:p>
        </w:tc>
      </w:tr>
    </w:tbl>
    <w:p w14:paraId="354D1D31" w14:textId="77777777" w:rsidR="00353F49" w:rsidRDefault="00353F49" w:rsidP="00192720">
      <w:pPr>
        <w:pStyle w:val="Heading3"/>
      </w:pPr>
      <w:bookmarkStart w:id="576" w:name="_Toc90017391"/>
      <w:bookmarkStart w:id="577" w:name="_Toc90017392"/>
      <w:bookmarkStart w:id="578" w:name="_Ref312068330"/>
      <w:bookmarkStart w:id="579" w:name="_Toc158584009"/>
      <w:bookmarkStart w:id="580" w:name="_Toc159324782"/>
      <w:bookmarkEnd w:id="576"/>
      <w:bookmarkEnd w:id="577"/>
    </w:p>
    <w:p w14:paraId="590F95C5" w14:textId="77777777" w:rsidR="00353F49" w:rsidRDefault="00353F49">
      <w:pPr>
        <w:spacing w:before="0" w:after="80"/>
        <w:rPr>
          <w:rFonts w:cs="Arial"/>
          <w:b/>
          <w:bCs/>
          <w:iCs/>
          <w:color w:val="005370" w:themeColor="text2"/>
          <w:kern w:val="28"/>
          <w:sz w:val="28"/>
          <w:szCs w:val="26"/>
        </w:rPr>
      </w:pPr>
      <w:r>
        <w:br w:type="page"/>
      </w:r>
    </w:p>
    <w:p w14:paraId="7245F72E" w14:textId="6A65A8F4" w:rsidR="00192720" w:rsidRPr="007F4176" w:rsidRDefault="00CC60F7" w:rsidP="00192720">
      <w:pPr>
        <w:pStyle w:val="Heading3"/>
      </w:pPr>
      <w:bookmarkStart w:id="581" w:name="_Toc175550402"/>
      <w:r>
        <w:lastRenderedPageBreak/>
        <w:t xml:space="preserve">6.3.15 </w:t>
      </w:r>
      <w:r w:rsidR="00192720" w:rsidRPr="007F4176">
        <w:t>Person</w:t>
      </w:r>
      <w:bookmarkEnd w:id="564"/>
      <w:bookmarkEnd w:id="574"/>
      <w:bookmarkEnd w:id="575"/>
      <w:bookmarkEnd w:id="578"/>
      <w:bookmarkEnd w:id="579"/>
      <w:bookmarkEnd w:id="580"/>
      <w:bookmarkEnd w:id="581"/>
    </w:p>
    <w:p w14:paraId="01288DA3"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3964"/>
        <w:gridCol w:w="4111"/>
      </w:tblGrid>
      <w:tr w:rsidR="00CC60F7" w:rsidRPr="00C47A81" w14:paraId="284F2F17"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shd w:val="clear" w:color="auto" w:fill="E6F1F8" w:themeFill="accent2"/>
          </w:tcPr>
          <w:p w14:paraId="0BCE4550" w14:textId="48E7171B" w:rsidR="00CC60F7" w:rsidRPr="00F43E62" w:rsidRDefault="00CC60F7" w:rsidP="00CC60F7">
            <w:pPr>
              <w:rPr>
                <w:rFonts w:ascii="Arial" w:hAnsi="Arial" w:cs="Arial"/>
                <w:color w:val="000000" w:themeColor="text1"/>
              </w:rPr>
            </w:pPr>
            <w:r w:rsidRPr="00F43E62">
              <w:rPr>
                <w:rFonts w:ascii="Arial" w:hAnsi="Arial" w:cs="Arial"/>
                <w:color w:val="000000" w:themeColor="text1"/>
              </w:rPr>
              <w:t>Metadata item type</w:t>
            </w:r>
          </w:p>
        </w:tc>
        <w:tc>
          <w:tcPr>
            <w:tcW w:w="4111" w:type="dxa"/>
            <w:shd w:val="clear" w:color="auto" w:fill="auto"/>
          </w:tcPr>
          <w:p w14:paraId="0345D028" w14:textId="77777777" w:rsidR="00CC60F7" w:rsidRPr="00F43E62" w:rsidRDefault="00CC60F7"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F43E62">
              <w:rPr>
                <w:rFonts w:ascii="Arial" w:hAnsi="Arial" w:cs="Arial"/>
                <w:b w:val="0"/>
                <w:bCs/>
                <w:color w:val="000000" w:themeColor="text1"/>
              </w:rPr>
              <w:t>Object Class</w:t>
            </w:r>
          </w:p>
        </w:tc>
      </w:tr>
      <w:tr w:rsidR="00CC60F7" w:rsidRPr="00C47A81" w14:paraId="0D9E72BE" w14:textId="77777777" w:rsidTr="00CC60F7">
        <w:tc>
          <w:tcPr>
            <w:cnfStyle w:val="001000000000" w:firstRow="0" w:lastRow="0" w:firstColumn="1" w:lastColumn="0" w:oddVBand="0" w:evenVBand="0" w:oddHBand="0" w:evenHBand="0" w:firstRowFirstColumn="0" w:firstRowLastColumn="0" w:lastRowFirstColumn="0" w:lastRowLastColumn="0"/>
            <w:tcW w:w="3964" w:type="dxa"/>
          </w:tcPr>
          <w:p w14:paraId="00CE490F" w14:textId="646E3DB9" w:rsidR="00CC60F7" w:rsidRPr="00CC60F7" w:rsidRDefault="00CC60F7" w:rsidP="00CC60F7">
            <w:pPr>
              <w:rPr>
                <w:rFonts w:ascii="Arial" w:hAnsi="Arial" w:cs="Arial"/>
              </w:rPr>
            </w:pPr>
            <w:r w:rsidRPr="00CC60F7">
              <w:rPr>
                <w:rFonts w:ascii="Arial" w:hAnsi="Arial" w:cs="Arial"/>
              </w:rPr>
              <w:t>METeOR identifier</w:t>
            </w:r>
          </w:p>
        </w:tc>
        <w:tc>
          <w:tcPr>
            <w:tcW w:w="4111" w:type="dxa"/>
          </w:tcPr>
          <w:p w14:paraId="04D5800F"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268955</w:t>
            </w:r>
          </w:p>
        </w:tc>
      </w:tr>
      <w:tr w:rsidR="00CC60F7" w:rsidRPr="00C47A81" w14:paraId="105F57F1" w14:textId="77777777" w:rsidTr="00CC60F7">
        <w:tc>
          <w:tcPr>
            <w:cnfStyle w:val="001000000000" w:firstRow="0" w:lastRow="0" w:firstColumn="1" w:lastColumn="0" w:oddVBand="0" w:evenVBand="0" w:oddHBand="0" w:evenHBand="0" w:firstRowFirstColumn="0" w:firstRowLastColumn="0" w:lastRowFirstColumn="0" w:lastRowLastColumn="0"/>
            <w:tcW w:w="3964" w:type="dxa"/>
          </w:tcPr>
          <w:p w14:paraId="12A49B99" w14:textId="7442D704" w:rsidR="00CC60F7" w:rsidRPr="00CC60F7" w:rsidRDefault="00CC60F7" w:rsidP="00CC60F7">
            <w:pPr>
              <w:rPr>
                <w:rFonts w:ascii="Arial" w:hAnsi="Arial" w:cs="Arial"/>
              </w:rPr>
            </w:pPr>
            <w:r w:rsidRPr="00CC60F7">
              <w:rPr>
                <w:rFonts w:ascii="Arial" w:hAnsi="Arial" w:cs="Arial"/>
              </w:rPr>
              <w:t>Registration status</w:t>
            </w:r>
          </w:p>
        </w:tc>
        <w:tc>
          <w:tcPr>
            <w:tcW w:w="4111" w:type="dxa"/>
          </w:tcPr>
          <w:p w14:paraId="4FF1F561" w14:textId="747B488B"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Refer to the online registration by clicking the following </w:t>
            </w:r>
            <w:hyperlink r:id="rId51" w:tooltip="Person - METEOR" w:history="1">
              <w:r w:rsidRPr="000217A2">
                <w:rPr>
                  <w:rStyle w:val="Hyperlink"/>
                  <w:rFonts w:ascii="Arial" w:hAnsi="Arial" w:cs="Arial"/>
                  <w:szCs w:val="22"/>
                </w:rPr>
                <w:t>link</w:t>
              </w:r>
            </w:hyperlink>
          </w:p>
        </w:tc>
      </w:tr>
      <w:tr w:rsidR="00CC60F7" w:rsidRPr="00C47A81" w14:paraId="046B0F26" w14:textId="77777777" w:rsidTr="00CC60F7">
        <w:tc>
          <w:tcPr>
            <w:cnfStyle w:val="001000000000" w:firstRow="0" w:lastRow="0" w:firstColumn="1" w:lastColumn="0" w:oddVBand="0" w:evenVBand="0" w:oddHBand="0" w:evenHBand="0" w:firstRowFirstColumn="0" w:firstRowLastColumn="0" w:lastRowFirstColumn="0" w:lastRowLastColumn="0"/>
            <w:tcW w:w="3964" w:type="dxa"/>
          </w:tcPr>
          <w:p w14:paraId="34BD79E4" w14:textId="433FBB79" w:rsidR="00CC60F7" w:rsidRPr="00CC60F7" w:rsidRDefault="00CC60F7" w:rsidP="00CC60F7">
            <w:pPr>
              <w:rPr>
                <w:rFonts w:ascii="Arial" w:hAnsi="Arial" w:cs="Arial"/>
              </w:rPr>
            </w:pPr>
            <w:r w:rsidRPr="00CC60F7">
              <w:rPr>
                <w:rFonts w:ascii="Arial" w:hAnsi="Arial" w:cs="Arial"/>
              </w:rPr>
              <w:t>Definition</w:t>
            </w:r>
          </w:p>
        </w:tc>
        <w:tc>
          <w:tcPr>
            <w:tcW w:w="4111" w:type="dxa"/>
          </w:tcPr>
          <w:p w14:paraId="63F9E24A" w14:textId="0D28B910"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A human being</w:t>
            </w:r>
          </w:p>
        </w:tc>
      </w:tr>
      <w:tr w:rsidR="00CC60F7" w:rsidRPr="00C47A81" w14:paraId="51B6752D" w14:textId="77777777" w:rsidTr="00CC60F7">
        <w:tc>
          <w:tcPr>
            <w:cnfStyle w:val="001000000000" w:firstRow="0" w:lastRow="0" w:firstColumn="1" w:lastColumn="0" w:oddVBand="0" w:evenVBand="0" w:oddHBand="0" w:evenHBand="0" w:firstRowFirstColumn="0" w:firstRowLastColumn="0" w:lastRowFirstColumn="0" w:lastRowLastColumn="0"/>
            <w:tcW w:w="3964" w:type="dxa"/>
          </w:tcPr>
          <w:p w14:paraId="1A30C540" w14:textId="168E3CE5" w:rsidR="00CC60F7" w:rsidRPr="00CC60F7" w:rsidRDefault="00CC60F7" w:rsidP="00CC60F7">
            <w:pPr>
              <w:rPr>
                <w:rFonts w:ascii="Arial" w:hAnsi="Arial" w:cs="Arial"/>
              </w:rPr>
            </w:pPr>
            <w:r w:rsidRPr="00CC60F7">
              <w:rPr>
                <w:rFonts w:ascii="Arial" w:hAnsi="Arial" w:cs="Arial"/>
              </w:rPr>
              <w:t>Specialisation of</w:t>
            </w:r>
            <w:r w:rsidR="00910847">
              <w:rPr>
                <w:rFonts w:ascii="Arial" w:hAnsi="Arial" w:cs="Arial"/>
              </w:rPr>
              <w:t xml:space="preserve"> ...</w:t>
            </w:r>
          </w:p>
        </w:tc>
        <w:tc>
          <w:tcPr>
            <w:tcW w:w="4111" w:type="dxa"/>
          </w:tcPr>
          <w:p w14:paraId="5C0BF4AD"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Person/group of persons</w:t>
            </w:r>
          </w:p>
        </w:tc>
      </w:tr>
    </w:tbl>
    <w:p w14:paraId="5FBA2181" w14:textId="78601873" w:rsidR="00192720" w:rsidRPr="009A6C5C" w:rsidRDefault="00CC60F7" w:rsidP="00192720">
      <w:pPr>
        <w:pStyle w:val="Heading3"/>
      </w:pPr>
      <w:bookmarkStart w:id="582" w:name="_Ref310255772"/>
      <w:bookmarkStart w:id="583" w:name="_Toc158584010"/>
      <w:bookmarkStart w:id="584" w:name="_Toc159324783"/>
      <w:bookmarkStart w:id="585" w:name="_Toc175550403"/>
      <w:r>
        <w:t xml:space="preserve">6.3.16 </w:t>
      </w:r>
      <w:r w:rsidR="00192720" w:rsidRPr="009A6C5C">
        <w:t>Person</w:t>
      </w:r>
      <w:r w:rsidR="00192720">
        <w:t xml:space="preserve"> – </w:t>
      </w:r>
      <w:r w:rsidR="00192720" w:rsidRPr="009A6C5C">
        <w:t>age</w:t>
      </w:r>
      <w:bookmarkEnd w:id="582"/>
      <w:bookmarkEnd w:id="583"/>
      <w:bookmarkEnd w:id="584"/>
      <w:bookmarkEnd w:id="585"/>
    </w:p>
    <w:p w14:paraId="02A429C2" w14:textId="77777777" w:rsidR="00192720" w:rsidRPr="00FC2D17" w:rsidRDefault="00192720" w:rsidP="00CC60F7">
      <w:r w:rsidRPr="00FC2D17">
        <w:t>Identifying and definitional attributes</w:t>
      </w:r>
    </w:p>
    <w:tbl>
      <w:tblPr>
        <w:tblStyle w:val="SurveyQuestions"/>
        <w:tblW w:w="0" w:type="auto"/>
        <w:tblLook w:val="04A0" w:firstRow="1" w:lastRow="0" w:firstColumn="1" w:lastColumn="0" w:noHBand="0" w:noVBand="1"/>
      </w:tblPr>
      <w:tblGrid>
        <w:gridCol w:w="3964"/>
        <w:gridCol w:w="4111"/>
      </w:tblGrid>
      <w:tr w:rsidR="00F43E62" w:rsidRPr="00C47A81" w14:paraId="4522A7D9"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shd w:val="clear" w:color="auto" w:fill="E6F1F8" w:themeFill="accent2"/>
          </w:tcPr>
          <w:p w14:paraId="6EE2AD6C" w14:textId="501690FB" w:rsidR="00F43E62" w:rsidRPr="00CC60F7" w:rsidRDefault="00F43E62" w:rsidP="00F43E62">
            <w:r w:rsidRPr="00F43E62">
              <w:rPr>
                <w:rFonts w:ascii="Arial" w:hAnsi="Arial" w:cs="Arial"/>
                <w:color w:val="000000" w:themeColor="text1"/>
              </w:rPr>
              <w:t>Metadata item type</w:t>
            </w:r>
          </w:p>
        </w:tc>
        <w:tc>
          <w:tcPr>
            <w:tcW w:w="4111" w:type="dxa"/>
            <w:shd w:val="clear" w:color="auto" w:fill="auto"/>
          </w:tcPr>
          <w:p w14:paraId="0924000D" w14:textId="73000F44" w:rsidR="00F43E62" w:rsidRPr="00C47A81" w:rsidRDefault="00F43E62" w:rsidP="00F43E62">
            <w:pPr>
              <w:cnfStyle w:val="100000000000" w:firstRow="1" w:lastRow="0" w:firstColumn="0" w:lastColumn="0" w:oddVBand="0" w:evenVBand="0" w:oddHBand="0" w:evenHBand="0" w:firstRowFirstColumn="0" w:firstRowLastColumn="0" w:lastRowFirstColumn="0" w:lastRowLastColumn="0"/>
            </w:pPr>
            <w:r w:rsidRPr="00F43E62">
              <w:rPr>
                <w:rFonts w:ascii="Arial" w:hAnsi="Arial" w:cs="Arial"/>
                <w:b w:val="0"/>
                <w:bCs/>
                <w:color w:val="000000" w:themeColor="text1"/>
              </w:rPr>
              <w:t>Data Element</w:t>
            </w:r>
          </w:p>
        </w:tc>
      </w:tr>
      <w:tr w:rsidR="00CC60F7" w:rsidRPr="00C47A81" w14:paraId="6A4A370E" w14:textId="77777777" w:rsidTr="00CC60F7">
        <w:tc>
          <w:tcPr>
            <w:cnfStyle w:val="001000000000" w:firstRow="0" w:lastRow="0" w:firstColumn="1" w:lastColumn="0" w:oddVBand="0" w:evenVBand="0" w:oddHBand="0" w:evenHBand="0" w:firstRowFirstColumn="0" w:firstRowLastColumn="0" w:lastRowFirstColumn="0" w:lastRowLastColumn="0"/>
            <w:tcW w:w="3964" w:type="dxa"/>
          </w:tcPr>
          <w:p w14:paraId="5D8E015A" w14:textId="74C89F64" w:rsidR="00CC60F7" w:rsidRPr="00CC60F7" w:rsidRDefault="00CC60F7" w:rsidP="00CC60F7">
            <w:r w:rsidRPr="00CC60F7">
              <w:t>METeOR link</w:t>
            </w:r>
          </w:p>
        </w:tc>
        <w:tc>
          <w:tcPr>
            <w:tcW w:w="4111" w:type="dxa"/>
          </w:tcPr>
          <w:p w14:paraId="2BD6CB83" w14:textId="59ADF6F5" w:rsidR="00CC60F7" w:rsidRPr="00C47A81" w:rsidRDefault="00000000" w:rsidP="00CC60F7">
            <w:pPr>
              <w:cnfStyle w:val="000000000000" w:firstRow="0" w:lastRow="0" w:firstColumn="0" w:lastColumn="0" w:oddVBand="0" w:evenVBand="0" w:oddHBand="0" w:evenHBand="0" w:firstRowFirstColumn="0" w:firstRowLastColumn="0" w:lastRowFirstColumn="0" w:lastRowLastColumn="0"/>
            </w:pPr>
            <w:hyperlink r:id="rId52" w:tooltip="Person—age, total years N[NN] - METEOR" w:history="1">
              <w:r w:rsidR="00CC60F7" w:rsidRPr="00C47A81">
                <w:rPr>
                  <w:rStyle w:val="Hyperlink"/>
                  <w:rFonts w:ascii="Arial" w:hAnsi="Arial" w:cs="Arial"/>
                  <w:szCs w:val="22"/>
                </w:rPr>
                <w:t>Person</w:t>
              </w:r>
              <w:r w:rsidR="00CC60F7">
                <w:rPr>
                  <w:rStyle w:val="Hyperlink"/>
                  <w:rFonts w:ascii="Arial" w:hAnsi="Arial" w:cs="Arial"/>
                  <w:szCs w:val="22"/>
                </w:rPr>
                <w:t xml:space="preserve"> – </w:t>
              </w:r>
              <w:r w:rsidR="00CC60F7" w:rsidRPr="00C47A81">
                <w:rPr>
                  <w:rStyle w:val="Hyperlink"/>
                  <w:rFonts w:ascii="Arial" w:hAnsi="Arial" w:cs="Arial"/>
                  <w:szCs w:val="22"/>
                </w:rPr>
                <w:t>age, total years (aihw.gov.au)</w:t>
              </w:r>
            </w:hyperlink>
          </w:p>
        </w:tc>
      </w:tr>
    </w:tbl>
    <w:p w14:paraId="3C2F0574" w14:textId="2B8818BB" w:rsidR="00192720" w:rsidRPr="00DD71BF" w:rsidRDefault="00CC60F7" w:rsidP="00192720">
      <w:pPr>
        <w:pStyle w:val="Heading3"/>
      </w:pPr>
      <w:bookmarkStart w:id="586" w:name="_Toc90017413"/>
      <w:bookmarkStart w:id="587" w:name="_Toc90017414"/>
      <w:bookmarkStart w:id="588" w:name="_Toc90017430"/>
      <w:bookmarkStart w:id="589" w:name="_Toc90017431"/>
      <w:bookmarkStart w:id="590" w:name="_Ref310255800"/>
      <w:bookmarkStart w:id="591" w:name="_Toc158584011"/>
      <w:bookmarkStart w:id="592" w:name="_Toc159324784"/>
      <w:bookmarkStart w:id="593" w:name="_Toc175550404"/>
      <w:bookmarkEnd w:id="586"/>
      <w:bookmarkEnd w:id="587"/>
      <w:bookmarkEnd w:id="588"/>
      <w:bookmarkEnd w:id="589"/>
      <w:r>
        <w:t xml:space="preserve">6.3.17 </w:t>
      </w:r>
      <w:r w:rsidR="00192720" w:rsidRPr="007F4176">
        <w:t>Person</w:t>
      </w:r>
      <w:r w:rsidR="00192720">
        <w:t xml:space="preserve"> – </w:t>
      </w:r>
      <w:r w:rsidR="00192720" w:rsidRPr="007F4176">
        <w:t>country of birth</w:t>
      </w:r>
      <w:bookmarkEnd w:id="590"/>
      <w:bookmarkEnd w:id="591"/>
      <w:bookmarkEnd w:id="592"/>
      <w:bookmarkEnd w:id="593"/>
    </w:p>
    <w:p w14:paraId="72F10629" w14:textId="77777777" w:rsidR="00192720" w:rsidRPr="00FC2D17" w:rsidRDefault="00192720" w:rsidP="00CC60F7">
      <w:r w:rsidRPr="00FC2D17">
        <w:t>Identifying and definitional attributes</w:t>
      </w:r>
    </w:p>
    <w:tbl>
      <w:tblPr>
        <w:tblStyle w:val="SurveyQuestions"/>
        <w:tblW w:w="0" w:type="auto"/>
        <w:tblLook w:val="04A0" w:firstRow="1" w:lastRow="0" w:firstColumn="1" w:lastColumn="0" w:noHBand="0" w:noVBand="1"/>
      </w:tblPr>
      <w:tblGrid>
        <w:gridCol w:w="4092"/>
        <w:gridCol w:w="4061"/>
      </w:tblGrid>
      <w:tr w:rsidR="00F43E62" w:rsidRPr="00C47A81" w14:paraId="31C9F1EC"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38636A0" w14:textId="1B04B328" w:rsidR="00F43E62" w:rsidRPr="00CC60F7" w:rsidRDefault="00F43E62" w:rsidP="00F43E62">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6EEA68F8" w14:textId="724C5CB5" w:rsidR="00F43E62" w:rsidRPr="00C47A81" w:rsidRDefault="00F43E62" w:rsidP="00F43E6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192720" w:rsidRPr="00C47A81" w14:paraId="4890C612"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B52BFEE" w14:textId="083D3CF4" w:rsidR="00192720" w:rsidRPr="00CC60F7" w:rsidRDefault="00192720" w:rsidP="00CC60F7">
            <w:pPr>
              <w:rPr>
                <w:rFonts w:ascii="Arial" w:hAnsi="Arial" w:cs="Arial"/>
              </w:rPr>
            </w:pPr>
            <w:r w:rsidRPr="00CC60F7">
              <w:rPr>
                <w:rFonts w:ascii="Arial" w:hAnsi="Arial" w:cs="Arial"/>
              </w:rPr>
              <w:t>METeOR identifier</w:t>
            </w:r>
          </w:p>
        </w:tc>
        <w:tc>
          <w:tcPr>
            <w:tcW w:w="4061" w:type="dxa"/>
          </w:tcPr>
          <w:p w14:paraId="2099D518" w14:textId="77777777"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370943</w:t>
            </w:r>
          </w:p>
        </w:tc>
      </w:tr>
      <w:tr w:rsidR="00192720" w:rsidRPr="00C47A81" w14:paraId="277DB0F9"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50B7DE6" w14:textId="30581F54" w:rsidR="00192720" w:rsidRPr="00CC60F7" w:rsidRDefault="00192720" w:rsidP="00CC60F7">
            <w:pPr>
              <w:rPr>
                <w:rFonts w:ascii="Arial" w:hAnsi="Arial" w:cs="Arial"/>
              </w:rPr>
            </w:pPr>
            <w:r w:rsidRPr="00CC60F7">
              <w:rPr>
                <w:rFonts w:ascii="Arial" w:hAnsi="Arial" w:cs="Arial"/>
              </w:rPr>
              <w:t>Registration status</w:t>
            </w:r>
          </w:p>
        </w:tc>
        <w:tc>
          <w:tcPr>
            <w:tcW w:w="4061" w:type="dxa"/>
          </w:tcPr>
          <w:p w14:paraId="54E9C6D5" w14:textId="6FF61449"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Refer to the online registration by clicking the following </w:t>
            </w:r>
            <w:hyperlink r:id="rId53" w:tooltip="Person—country of birth, code (SACC 2008) NNNN - METEOR" w:history="1">
              <w:r w:rsidRPr="000217A2">
                <w:rPr>
                  <w:rStyle w:val="Hyperlink"/>
                  <w:rFonts w:ascii="Arial" w:hAnsi="Arial" w:cs="Arial"/>
                  <w:szCs w:val="22"/>
                </w:rPr>
                <w:t>link</w:t>
              </w:r>
            </w:hyperlink>
          </w:p>
        </w:tc>
      </w:tr>
      <w:tr w:rsidR="00192720" w:rsidRPr="00C47A81" w14:paraId="43DC159C"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BFB00E6" w14:textId="3FB6A651" w:rsidR="00192720" w:rsidRPr="00CC60F7" w:rsidRDefault="00192720" w:rsidP="00CC60F7">
            <w:pPr>
              <w:rPr>
                <w:rFonts w:ascii="Arial" w:hAnsi="Arial" w:cs="Arial"/>
              </w:rPr>
            </w:pPr>
            <w:r w:rsidRPr="00CC60F7">
              <w:rPr>
                <w:rFonts w:ascii="Arial" w:hAnsi="Arial" w:cs="Arial"/>
              </w:rPr>
              <w:t>Definition</w:t>
            </w:r>
          </w:p>
        </w:tc>
        <w:tc>
          <w:tcPr>
            <w:tcW w:w="4061" w:type="dxa"/>
          </w:tcPr>
          <w:p w14:paraId="075E3320" w14:textId="4BE24DC8" w:rsidR="00192720" w:rsidRPr="00C47A81"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The country in which the person was born, as represented by a code</w:t>
            </w:r>
          </w:p>
        </w:tc>
      </w:tr>
    </w:tbl>
    <w:p w14:paraId="6D35EA58" w14:textId="77777777" w:rsidR="00192720" w:rsidRPr="009A6C5C" w:rsidRDefault="00192720" w:rsidP="00CC60F7"/>
    <w:p w14:paraId="486C28A8" w14:textId="77777777" w:rsidR="00192720" w:rsidRPr="009A6C5C" w:rsidRDefault="00192720" w:rsidP="00CC60F7">
      <w:r w:rsidRPr="009A6C5C">
        <w:t>Representational attributes</w:t>
      </w:r>
    </w:p>
    <w:tbl>
      <w:tblPr>
        <w:tblStyle w:val="SurveyQuestions"/>
        <w:tblW w:w="0" w:type="auto"/>
        <w:tblLook w:val="04A0" w:firstRow="1" w:lastRow="0" w:firstColumn="1" w:lastColumn="0" w:noHBand="0" w:noVBand="1"/>
      </w:tblPr>
      <w:tblGrid>
        <w:gridCol w:w="4092"/>
        <w:gridCol w:w="4061"/>
      </w:tblGrid>
      <w:tr w:rsidR="00CC60F7" w:rsidRPr="00C47A81" w14:paraId="0EE4CCB6"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8608414" w14:textId="5D17523B" w:rsidR="00CC60F7" w:rsidRPr="00F43E62" w:rsidRDefault="00CC60F7" w:rsidP="00CC60F7">
            <w:pPr>
              <w:rPr>
                <w:rFonts w:ascii="Arial" w:hAnsi="Arial" w:cs="Arial"/>
                <w:color w:val="000000" w:themeColor="text1"/>
              </w:rPr>
            </w:pPr>
            <w:r w:rsidRPr="00F43E62">
              <w:rPr>
                <w:rFonts w:ascii="Arial" w:hAnsi="Arial" w:cs="Arial"/>
                <w:color w:val="000000" w:themeColor="text1"/>
              </w:rPr>
              <w:t>Classification scheme</w:t>
            </w:r>
          </w:p>
        </w:tc>
        <w:tc>
          <w:tcPr>
            <w:tcW w:w="4061" w:type="dxa"/>
            <w:shd w:val="clear" w:color="auto" w:fill="auto"/>
          </w:tcPr>
          <w:p w14:paraId="29B7E54F" w14:textId="103617C3" w:rsidR="00CC60F7" w:rsidRPr="00F43E62" w:rsidRDefault="00CC60F7" w:rsidP="00CC60F7">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F43E62">
              <w:rPr>
                <w:rFonts w:ascii="Arial" w:hAnsi="Arial" w:cs="Arial"/>
                <w:color w:val="000000" w:themeColor="text1"/>
              </w:rPr>
              <w:t>SACC 2008</w:t>
            </w:r>
            <w:r w:rsidRPr="00F43E62">
              <w:rPr>
                <w:rFonts w:ascii="Arial" w:hAnsi="Arial" w:cs="Arial"/>
                <w:color w:val="000000" w:themeColor="text1"/>
                <w:vertAlign w:val="superscript"/>
              </w:rPr>
              <w:t>12</w:t>
            </w:r>
          </w:p>
        </w:tc>
      </w:tr>
      <w:tr w:rsidR="00CC60F7" w:rsidRPr="00C47A81" w14:paraId="38B85B01"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A8E20C1" w14:textId="62BA9559" w:rsidR="00CC60F7" w:rsidRPr="00CC60F7" w:rsidRDefault="00CC60F7" w:rsidP="00CC60F7">
            <w:pPr>
              <w:rPr>
                <w:rFonts w:ascii="Arial" w:hAnsi="Arial" w:cs="Arial"/>
              </w:rPr>
            </w:pPr>
            <w:r w:rsidRPr="00CC60F7">
              <w:rPr>
                <w:rFonts w:ascii="Arial" w:hAnsi="Arial" w:cs="Arial"/>
              </w:rPr>
              <w:t>Representation class</w:t>
            </w:r>
          </w:p>
        </w:tc>
        <w:tc>
          <w:tcPr>
            <w:tcW w:w="4061" w:type="dxa"/>
          </w:tcPr>
          <w:p w14:paraId="398B869F"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Code</w:t>
            </w:r>
          </w:p>
        </w:tc>
      </w:tr>
      <w:tr w:rsidR="00CC60F7" w:rsidRPr="00C47A81" w14:paraId="16E2D3FD"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387F5A8" w14:textId="2B005119" w:rsidR="00CC60F7" w:rsidRPr="00CC60F7" w:rsidRDefault="00CC60F7" w:rsidP="00CC60F7">
            <w:pPr>
              <w:rPr>
                <w:rFonts w:ascii="Arial" w:hAnsi="Arial" w:cs="Arial"/>
              </w:rPr>
            </w:pPr>
            <w:r w:rsidRPr="00CC60F7">
              <w:rPr>
                <w:rFonts w:ascii="Arial" w:hAnsi="Arial" w:cs="Arial"/>
              </w:rPr>
              <w:t>Data type</w:t>
            </w:r>
          </w:p>
        </w:tc>
        <w:tc>
          <w:tcPr>
            <w:tcW w:w="4061" w:type="dxa"/>
          </w:tcPr>
          <w:p w14:paraId="61E7DBA9"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Number</w:t>
            </w:r>
          </w:p>
        </w:tc>
      </w:tr>
      <w:tr w:rsidR="00CC60F7" w:rsidRPr="00C47A81" w14:paraId="769D190C"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6EB527A" w14:textId="4633F6C9" w:rsidR="00CC60F7" w:rsidRPr="00CC60F7" w:rsidRDefault="00CC60F7" w:rsidP="00CC60F7">
            <w:pPr>
              <w:rPr>
                <w:rFonts w:ascii="Arial" w:hAnsi="Arial" w:cs="Arial"/>
              </w:rPr>
            </w:pPr>
            <w:r w:rsidRPr="00CC60F7">
              <w:rPr>
                <w:rFonts w:ascii="Arial" w:hAnsi="Arial" w:cs="Arial"/>
              </w:rPr>
              <w:t>Format</w:t>
            </w:r>
          </w:p>
        </w:tc>
        <w:tc>
          <w:tcPr>
            <w:tcW w:w="4061" w:type="dxa"/>
          </w:tcPr>
          <w:p w14:paraId="5CC7C352"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NNNN</w:t>
            </w:r>
          </w:p>
        </w:tc>
      </w:tr>
      <w:tr w:rsidR="00CC60F7" w:rsidRPr="00C47A81" w14:paraId="24C61B12"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03D6CFA8" w14:textId="528F5A87" w:rsidR="00CC60F7" w:rsidRPr="00CC60F7" w:rsidRDefault="00CC60F7" w:rsidP="00CC60F7">
            <w:pPr>
              <w:rPr>
                <w:rFonts w:ascii="Arial" w:hAnsi="Arial" w:cs="Arial"/>
              </w:rPr>
            </w:pPr>
            <w:r w:rsidRPr="00CC60F7">
              <w:rPr>
                <w:rFonts w:ascii="Arial" w:hAnsi="Arial" w:cs="Arial"/>
              </w:rPr>
              <w:t>Maximum character length</w:t>
            </w:r>
          </w:p>
        </w:tc>
        <w:tc>
          <w:tcPr>
            <w:tcW w:w="4061" w:type="dxa"/>
          </w:tcPr>
          <w:p w14:paraId="62E921E4"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4</w:t>
            </w:r>
          </w:p>
        </w:tc>
      </w:tr>
    </w:tbl>
    <w:p w14:paraId="5F0942F3" w14:textId="77777777" w:rsidR="00192720" w:rsidRPr="006F0E6A" w:rsidRDefault="00192720" w:rsidP="00CC60F7"/>
    <w:p w14:paraId="5ECC10F3" w14:textId="77777777" w:rsidR="00353F49" w:rsidRDefault="00353F49">
      <w:pPr>
        <w:spacing w:before="0" w:after="80"/>
      </w:pPr>
      <w:r>
        <w:br w:type="page"/>
      </w:r>
    </w:p>
    <w:p w14:paraId="015A5413" w14:textId="45F18D71" w:rsidR="00192720" w:rsidRPr="009A6C5C" w:rsidRDefault="00192720" w:rsidP="00CC60F7">
      <w:r w:rsidRPr="009A6C5C">
        <w:lastRenderedPageBreak/>
        <w:t>Related attributes</w:t>
      </w:r>
    </w:p>
    <w:tbl>
      <w:tblPr>
        <w:tblStyle w:val="SurveyQuestions"/>
        <w:tblW w:w="0" w:type="auto"/>
        <w:tblLook w:val="04A0" w:firstRow="1" w:lastRow="0" w:firstColumn="1" w:lastColumn="0" w:noHBand="0" w:noVBand="1"/>
      </w:tblPr>
      <w:tblGrid>
        <w:gridCol w:w="4092"/>
        <w:gridCol w:w="4061"/>
      </w:tblGrid>
      <w:tr w:rsidR="00CC60F7" w:rsidRPr="00C47A81" w14:paraId="448EBB74"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015810AF" w14:textId="063A5734" w:rsidR="00CC60F7" w:rsidRPr="00F43E62" w:rsidRDefault="00CC60F7" w:rsidP="00CC60F7">
            <w:pPr>
              <w:rPr>
                <w:rFonts w:ascii="Arial" w:hAnsi="Arial" w:cs="Arial"/>
                <w:color w:val="000000" w:themeColor="text1"/>
              </w:rPr>
            </w:pPr>
            <w:r w:rsidRPr="00F43E62">
              <w:rPr>
                <w:rFonts w:ascii="Arial" w:hAnsi="Arial" w:cs="Arial"/>
                <w:color w:val="000000" w:themeColor="text1"/>
              </w:rPr>
              <w:t>Data Element Concept</w:t>
            </w:r>
          </w:p>
        </w:tc>
        <w:tc>
          <w:tcPr>
            <w:tcW w:w="4061" w:type="dxa"/>
            <w:shd w:val="clear" w:color="auto" w:fill="auto"/>
          </w:tcPr>
          <w:p w14:paraId="2A84AA65" w14:textId="77777777" w:rsidR="00CC60F7" w:rsidRPr="00F43E62" w:rsidRDefault="00CC60F7" w:rsidP="00CC60F7">
            <w:pPr>
              <w:cnfStyle w:val="100000000000" w:firstRow="1" w:lastRow="0" w:firstColumn="0" w:lastColumn="0" w:oddVBand="0" w:evenVBand="0" w:oddHBand="0" w:evenHBand="0" w:firstRowFirstColumn="0" w:firstRowLastColumn="0" w:lastRowFirstColumn="0" w:lastRowLastColumn="0"/>
              <w:rPr>
                <w:b w:val="0"/>
                <w:bCs/>
                <w:color w:val="000000" w:themeColor="text1"/>
              </w:rPr>
            </w:pPr>
            <w:r w:rsidRPr="00F43E62">
              <w:rPr>
                <w:b w:val="0"/>
                <w:bCs/>
                <w:color w:val="000000" w:themeColor="text1"/>
              </w:rPr>
              <w:t>Person – country of birth</w:t>
            </w:r>
          </w:p>
          <w:p w14:paraId="3E89B919" w14:textId="77777777" w:rsidR="00CC60F7" w:rsidRPr="00F43E62" w:rsidRDefault="00CC60F7" w:rsidP="00CC60F7">
            <w:pPr>
              <w:cnfStyle w:val="100000000000" w:firstRow="1" w:lastRow="0" w:firstColumn="0" w:lastColumn="0" w:oddVBand="0" w:evenVBand="0" w:oddHBand="0" w:evenHBand="0" w:firstRowFirstColumn="0" w:firstRowLastColumn="0" w:lastRowFirstColumn="0" w:lastRowLastColumn="0"/>
              <w:rPr>
                <w:color w:val="000000" w:themeColor="text1"/>
              </w:rPr>
            </w:pPr>
            <w:r w:rsidRPr="00F43E62">
              <w:rPr>
                <w:b w:val="0"/>
                <w:bCs/>
                <w:color w:val="000000" w:themeColor="text1"/>
              </w:rPr>
              <w:t>(METeOR: 269686)</w:t>
            </w:r>
          </w:p>
        </w:tc>
      </w:tr>
      <w:tr w:rsidR="00CC60F7" w:rsidRPr="00C47A81" w14:paraId="410B2804"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2BA1853" w14:textId="073024AF" w:rsidR="00CC60F7" w:rsidRPr="00CC60F7" w:rsidRDefault="00CC60F7" w:rsidP="00CC60F7">
            <w:pPr>
              <w:rPr>
                <w:rFonts w:ascii="Arial" w:hAnsi="Arial" w:cs="Arial"/>
              </w:rPr>
            </w:pPr>
            <w:r w:rsidRPr="00CC60F7">
              <w:rPr>
                <w:rFonts w:ascii="Arial" w:hAnsi="Arial" w:cs="Arial"/>
              </w:rPr>
              <w:t>Property</w:t>
            </w:r>
          </w:p>
        </w:tc>
        <w:tc>
          <w:tcPr>
            <w:tcW w:w="4061" w:type="dxa"/>
          </w:tcPr>
          <w:p w14:paraId="2843F10F"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Country of birth</w:t>
            </w:r>
          </w:p>
          <w:p w14:paraId="51839C2C" w14:textId="77777777" w:rsidR="00CC60F7" w:rsidRPr="00C47A81"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C47A81">
              <w:rPr>
                <w:rFonts w:ascii="Arial" w:hAnsi="Arial" w:cs="Arial"/>
              </w:rPr>
              <w:t>(METeOR: 269206)</w:t>
            </w:r>
          </w:p>
        </w:tc>
      </w:tr>
    </w:tbl>
    <w:p w14:paraId="640AE7BC" w14:textId="5500C86C" w:rsidR="00192720" w:rsidRPr="009A6C5C" w:rsidRDefault="00CC60F7" w:rsidP="00192720">
      <w:pPr>
        <w:pStyle w:val="Heading3"/>
      </w:pPr>
      <w:bookmarkStart w:id="594" w:name="_Ref310255756"/>
      <w:bookmarkStart w:id="595" w:name="_Toc158584012"/>
      <w:bookmarkStart w:id="596" w:name="_Toc159324785"/>
      <w:bookmarkStart w:id="597" w:name="_Toc175550405"/>
      <w:r>
        <w:t xml:space="preserve">6.3.18 </w:t>
      </w:r>
      <w:r w:rsidR="00192720" w:rsidRPr="009A6C5C">
        <w:t>Person</w:t>
      </w:r>
      <w:r w:rsidR="00192720">
        <w:t xml:space="preserve"> – </w:t>
      </w:r>
      <w:r w:rsidR="00192720" w:rsidRPr="009A6C5C">
        <w:t>date of birth</w:t>
      </w:r>
      <w:bookmarkEnd w:id="594"/>
      <w:bookmarkEnd w:id="595"/>
      <w:bookmarkEnd w:id="596"/>
      <w:bookmarkEnd w:id="597"/>
    </w:p>
    <w:p w14:paraId="1168FFAD"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C60F7" w:rsidRPr="00C47A81" w14:paraId="0D4B10A0"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0425444D" w14:textId="402D91D3" w:rsidR="00CC60F7" w:rsidRPr="00F43E62" w:rsidRDefault="00CC60F7" w:rsidP="00CC60F7">
            <w:pPr>
              <w:rPr>
                <w:rFonts w:ascii="Arial" w:hAnsi="Arial" w:cs="Arial"/>
                <w:color w:val="000000" w:themeColor="text1"/>
              </w:rPr>
            </w:pPr>
            <w:r w:rsidRPr="00F43E62">
              <w:rPr>
                <w:rFonts w:ascii="Arial" w:hAnsi="Arial" w:cs="Arial"/>
                <w:color w:val="000000" w:themeColor="text1"/>
              </w:rPr>
              <w:t>Metadata item type</w:t>
            </w:r>
          </w:p>
        </w:tc>
        <w:tc>
          <w:tcPr>
            <w:tcW w:w="4061" w:type="dxa"/>
            <w:shd w:val="clear" w:color="auto" w:fill="auto"/>
          </w:tcPr>
          <w:p w14:paraId="24B9F725" w14:textId="77777777" w:rsidR="00CC60F7" w:rsidRPr="00F43E62" w:rsidRDefault="00CC60F7"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F43E62">
              <w:rPr>
                <w:rFonts w:ascii="Arial" w:hAnsi="Arial" w:cs="Arial"/>
                <w:b w:val="0"/>
                <w:bCs/>
                <w:color w:val="000000" w:themeColor="text1"/>
              </w:rPr>
              <w:t>Data Element</w:t>
            </w:r>
          </w:p>
        </w:tc>
      </w:tr>
      <w:tr w:rsidR="00CC60F7" w:rsidRPr="00C47A81" w14:paraId="13E7A2A2"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3C976DC" w14:textId="102EA8C6" w:rsidR="00CC60F7" w:rsidRPr="00CC60F7" w:rsidRDefault="00CC60F7" w:rsidP="00CC60F7">
            <w:pPr>
              <w:rPr>
                <w:rFonts w:ascii="Arial" w:hAnsi="Arial" w:cs="Arial"/>
              </w:rPr>
            </w:pPr>
            <w:r w:rsidRPr="00CC60F7">
              <w:rPr>
                <w:rFonts w:ascii="Arial" w:hAnsi="Arial" w:cs="Arial"/>
              </w:rPr>
              <w:t>METeOR</w:t>
            </w:r>
            <w:r w:rsidR="004B0B10">
              <w:rPr>
                <w:rFonts w:ascii="Arial" w:hAnsi="Arial" w:cs="Arial"/>
              </w:rPr>
              <w:t xml:space="preserve"> </w:t>
            </w:r>
            <w:r w:rsidRPr="00CC60F7">
              <w:rPr>
                <w:rFonts w:ascii="Arial" w:hAnsi="Arial" w:cs="Arial"/>
              </w:rPr>
              <w:t>link</w:t>
            </w:r>
          </w:p>
        </w:tc>
        <w:tc>
          <w:tcPr>
            <w:tcW w:w="4061" w:type="dxa"/>
          </w:tcPr>
          <w:p w14:paraId="32E19A42" w14:textId="65178D34" w:rsidR="00CC60F7" w:rsidRPr="00C47A81"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54" w:tooltip="Person—date of birth, DDMMYYYY - METEOR" w:history="1">
              <w:r w:rsidR="00CC60F7" w:rsidRPr="00C47A81">
                <w:rPr>
                  <w:rStyle w:val="Hyperlink"/>
                  <w:rFonts w:ascii="Arial" w:hAnsi="Arial" w:cs="Arial"/>
                  <w:szCs w:val="22"/>
                </w:rPr>
                <w:t>Person</w:t>
              </w:r>
              <w:r w:rsidR="00CC60F7">
                <w:rPr>
                  <w:rStyle w:val="Hyperlink"/>
                  <w:rFonts w:ascii="Arial" w:hAnsi="Arial" w:cs="Arial"/>
                  <w:szCs w:val="22"/>
                </w:rPr>
                <w:t xml:space="preserve"> – </w:t>
              </w:r>
              <w:r w:rsidR="00CC60F7" w:rsidRPr="00C47A81">
                <w:rPr>
                  <w:rStyle w:val="Hyperlink"/>
                  <w:rFonts w:ascii="Arial" w:hAnsi="Arial" w:cs="Arial"/>
                  <w:szCs w:val="22"/>
                </w:rPr>
                <w:t>date of birth (aihw.gov.au)</w:t>
              </w:r>
            </w:hyperlink>
          </w:p>
        </w:tc>
      </w:tr>
    </w:tbl>
    <w:p w14:paraId="3856CD5C" w14:textId="2B90A8DA" w:rsidR="00192720" w:rsidRPr="009A6C5C" w:rsidRDefault="00CC60F7" w:rsidP="00192720">
      <w:pPr>
        <w:pStyle w:val="Heading3"/>
      </w:pPr>
      <w:bookmarkStart w:id="598" w:name="_Toc90017453"/>
      <w:bookmarkStart w:id="599" w:name="_Toc90017454"/>
      <w:bookmarkStart w:id="600" w:name="_Toc90017467"/>
      <w:bookmarkStart w:id="601" w:name="_Toc90017468"/>
      <w:bookmarkStart w:id="602" w:name="_Ref310255814"/>
      <w:bookmarkStart w:id="603" w:name="_Toc158584013"/>
      <w:bookmarkStart w:id="604" w:name="_Toc159324786"/>
      <w:bookmarkStart w:id="605" w:name="_Toc175550406"/>
      <w:bookmarkEnd w:id="598"/>
      <w:bookmarkEnd w:id="599"/>
      <w:bookmarkEnd w:id="600"/>
      <w:bookmarkEnd w:id="601"/>
      <w:r>
        <w:t xml:space="preserve">6.3.19 </w:t>
      </w:r>
      <w:r w:rsidR="00192720" w:rsidRPr="009A6C5C">
        <w:t>Person</w:t>
      </w:r>
      <w:r w:rsidR="00192720">
        <w:t xml:space="preserve"> – </w:t>
      </w:r>
      <w:r w:rsidR="00192720" w:rsidRPr="009A6C5C">
        <w:t>date of death</w:t>
      </w:r>
      <w:bookmarkEnd w:id="602"/>
      <w:bookmarkEnd w:id="603"/>
      <w:bookmarkEnd w:id="604"/>
      <w:bookmarkEnd w:id="605"/>
    </w:p>
    <w:p w14:paraId="75111836"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F43E62" w:rsidRPr="00C47A81" w14:paraId="3AB735F6" w14:textId="77777777" w:rsidTr="00F43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BDACEFF" w14:textId="41BBAEA0" w:rsidR="00F43E62" w:rsidRPr="00CC60F7" w:rsidRDefault="00F43E62" w:rsidP="00F43E62">
            <w:pPr>
              <w:rPr>
                <w:rFonts w:ascii="Arial" w:hAnsi="Arial" w:cs="Arial"/>
              </w:rPr>
            </w:pPr>
            <w:r w:rsidRPr="00F43E62">
              <w:rPr>
                <w:rFonts w:ascii="Arial" w:hAnsi="Arial" w:cs="Arial"/>
                <w:color w:val="000000" w:themeColor="text1"/>
              </w:rPr>
              <w:t>Metadata item type</w:t>
            </w:r>
          </w:p>
        </w:tc>
        <w:tc>
          <w:tcPr>
            <w:tcW w:w="4061" w:type="dxa"/>
            <w:shd w:val="clear" w:color="auto" w:fill="FFFFFF" w:themeFill="background1"/>
          </w:tcPr>
          <w:p w14:paraId="0443DE63" w14:textId="6CB61A66" w:rsidR="00F43E62" w:rsidRPr="00C47A81" w:rsidRDefault="00F43E62" w:rsidP="00F43E6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F43E62" w:rsidRPr="00C47A81" w14:paraId="1DE3B273"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219DE879" w14:textId="690D7B2F" w:rsidR="00F43E62" w:rsidRPr="00CC60F7" w:rsidRDefault="00F43E62" w:rsidP="00F43E62">
            <w:pPr>
              <w:rPr>
                <w:rFonts w:ascii="Arial" w:hAnsi="Arial" w:cs="Arial"/>
              </w:rPr>
            </w:pPr>
            <w:r w:rsidRPr="00CC60F7">
              <w:rPr>
                <w:rFonts w:ascii="Arial" w:hAnsi="Arial" w:cs="Arial"/>
              </w:rPr>
              <w:t>METeOR</w:t>
            </w:r>
            <w:r w:rsidR="004B0B10">
              <w:rPr>
                <w:rFonts w:ascii="Arial" w:hAnsi="Arial" w:cs="Arial"/>
              </w:rPr>
              <w:t xml:space="preserve"> </w:t>
            </w:r>
            <w:r w:rsidRPr="00CC60F7">
              <w:rPr>
                <w:rFonts w:ascii="Arial" w:hAnsi="Arial" w:cs="Arial"/>
              </w:rPr>
              <w:t>link</w:t>
            </w:r>
          </w:p>
        </w:tc>
        <w:tc>
          <w:tcPr>
            <w:tcW w:w="4061" w:type="dxa"/>
          </w:tcPr>
          <w:p w14:paraId="41EC3616" w14:textId="7F5AFEA4" w:rsidR="00F43E62" w:rsidRPr="00C47A81" w:rsidRDefault="00000000" w:rsidP="00F43E62">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55" w:tooltip="Person—date of death, DDMMYYYY - METEOR" w:history="1">
              <w:r w:rsidR="00F43E62" w:rsidRPr="00C47A81">
                <w:rPr>
                  <w:rStyle w:val="Hyperlink"/>
                  <w:rFonts w:ascii="Arial" w:hAnsi="Arial" w:cs="Arial"/>
                  <w:szCs w:val="22"/>
                </w:rPr>
                <w:t>Person</w:t>
              </w:r>
              <w:r w:rsidR="00F43E62">
                <w:rPr>
                  <w:rStyle w:val="Hyperlink"/>
                  <w:rFonts w:ascii="Arial" w:hAnsi="Arial" w:cs="Arial"/>
                  <w:szCs w:val="22"/>
                </w:rPr>
                <w:t xml:space="preserve"> – </w:t>
              </w:r>
              <w:r w:rsidR="00F43E62" w:rsidRPr="00C47A81">
                <w:rPr>
                  <w:rStyle w:val="Hyperlink"/>
                  <w:rFonts w:ascii="Arial" w:hAnsi="Arial" w:cs="Arial"/>
                  <w:szCs w:val="22"/>
                </w:rPr>
                <w:t>date of death (aihw.gov.au)</w:t>
              </w:r>
            </w:hyperlink>
          </w:p>
        </w:tc>
      </w:tr>
    </w:tbl>
    <w:p w14:paraId="4341B20E" w14:textId="653B4197" w:rsidR="00192720" w:rsidRPr="009A6C5C" w:rsidRDefault="00CC60F7" w:rsidP="00192720">
      <w:pPr>
        <w:pStyle w:val="Heading3"/>
      </w:pPr>
      <w:bookmarkStart w:id="606" w:name="_Toc90017486"/>
      <w:bookmarkStart w:id="607" w:name="_Toc90017487"/>
      <w:bookmarkStart w:id="608" w:name="_Toc90017500"/>
      <w:bookmarkStart w:id="609" w:name="_Toc90017501"/>
      <w:bookmarkStart w:id="610" w:name="_Ref310255805"/>
      <w:bookmarkStart w:id="611" w:name="_Toc158584014"/>
      <w:bookmarkStart w:id="612" w:name="_Toc159324787"/>
      <w:bookmarkStart w:id="613" w:name="_Toc175550407"/>
      <w:bookmarkEnd w:id="606"/>
      <w:bookmarkEnd w:id="607"/>
      <w:bookmarkEnd w:id="608"/>
      <w:bookmarkEnd w:id="609"/>
      <w:r>
        <w:t xml:space="preserve">6.3.20 </w:t>
      </w:r>
      <w:r w:rsidR="00192720" w:rsidRPr="009A6C5C">
        <w:t>Person</w:t>
      </w:r>
      <w:r w:rsidR="00192720">
        <w:t xml:space="preserve"> – </w:t>
      </w:r>
      <w:r w:rsidR="00192720" w:rsidRPr="009A6C5C">
        <w:t>Indigenous status</w:t>
      </w:r>
      <w:bookmarkEnd w:id="610"/>
      <w:bookmarkEnd w:id="611"/>
      <w:bookmarkEnd w:id="612"/>
      <w:bookmarkEnd w:id="613"/>
    </w:p>
    <w:p w14:paraId="4A58997A"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C47A81" w14:paraId="60220AE6"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4404C7B8" w14:textId="626A4F25" w:rsidR="00D655E9" w:rsidRPr="00CC60F7"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FFFFFF" w:themeFill="background1"/>
          </w:tcPr>
          <w:p w14:paraId="066EB4FD" w14:textId="60865D32" w:rsidR="00D655E9" w:rsidRPr="00C47A81"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C47A81" w14:paraId="33616449"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5091437" w14:textId="453BB050" w:rsidR="00CC60F7" w:rsidRPr="00CC60F7" w:rsidRDefault="00CC60F7" w:rsidP="00CC60F7">
            <w:pPr>
              <w:rPr>
                <w:rFonts w:ascii="Arial" w:hAnsi="Arial" w:cs="Arial"/>
              </w:rPr>
            </w:pPr>
            <w:r w:rsidRPr="00CC60F7">
              <w:rPr>
                <w:rFonts w:ascii="Arial" w:hAnsi="Arial" w:cs="Arial"/>
              </w:rPr>
              <w:t>METeOR</w:t>
            </w:r>
            <w:r w:rsidR="004B0B10">
              <w:rPr>
                <w:rFonts w:ascii="Arial" w:hAnsi="Arial" w:cs="Arial"/>
              </w:rPr>
              <w:t xml:space="preserve"> </w:t>
            </w:r>
            <w:r w:rsidRPr="00CC60F7">
              <w:rPr>
                <w:rFonts w:ascii="Arial" w:hAnsi="Arial" w:cs="Arial"/>
              </w:rPr>
              <w:t>link</w:t>
            </w:r>
          </w:p>
        </w:tc>
        <w:tc>
          <w:tcPr>
            <w:tcW w:w="4061" w:type="dxa"/>
          </w:tcPr>
          <w:p w14:paraId="185942B9" w14:textId="0E488BFA" w:rsidR="00CC60F7" w:rsidRPr="00C47A81"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56" w:tooltip="Person—Indigenous status, code N - METEOR" w:history="1">
              <w:r w:rsidR="00CC60F7" w:rsidRPr="00C47A81">
                <w:rPr>
                  <w:rStyle w:val="Hyperlink"/>
                  <w:rFonts w:ascii="Arial" w:hAnsi="Arial" w:cs="Arial"/>
                  <w:szCs w:val="22"/>
                </w:rPr>
                <w:t>Person</w:t>
              </w:r>
              <w:r w:rsidR="00CC60F7">
                <w:rPr>
                  <w:rStyle w:val="Hyperlink"/>
                  <w:rFonts w:ascii="Arial" w:hAnsi="Arial" w:cs="Arial"/>
                  <w:szCs w:val="22"/>
                </w:rPr>
                <w:t xml:space="preserve"> – I</w:t>
              </w:r>
              <w:r w:rsidR="00CC60F7" w:rsidRPr="00C47A81">
                <w:rPr>
                  <w:rStyle w:val="Hyperlink"/>
                  <w:rFonts w:ascii="Arial" w:hAnsi="Arial" w:cs="Arial"/>
                  <w:szCs w:val="22"/>
                </w:rPr>
                <w:t>ndigenous status (aihw.gov.au)</w:t>
              </w:r>
            </w:hyperlink>
          </w:p>
        </w:tc>
      </w:tr>
    </w:tbl>
    <w:p w14:paraId="3A511D63" w14:textId="30804B6C" w:rsidR="00192720" w:rsidRPr="006F27A2" w:rsidRDefault="00CC60F7" w:rsidP="00192720">
      <w:pPr>
        <w:pStyle w:val="Heading3"/>
      </w:pPr>
      <w:bookmarkStart w:id="614" w:name="_Toc90017522"/>
      <w:bookmarkStart w:id="615" w:name="_Toc90017523"/>
      <w:bookmarkStart w:id="616" w:name="_Toc90017549"/>
      <w:bookmarkStart w:id="617" w:name="_Toc90017550"/>
      <w:bookmarkStart w:id="618" w:name="_Ref312068483"/>
      <w:bookmarkStart w:id="619" w:name="_Toc158584015"/>
      <w:bookmarkStart w:id="620" w:name="_Toc159324788"/>
      <w:bookmarkStart w:id="621" w:name="_Toc175550408"/>
      <w:bookmarkStart w:id="622" w:name="_Ref310256007"/>
      <w:bookmarkEnd w:id="614"/>
      <w:bookmarkEnd w:id="615"/>
      <w:bookmarkEnd w:id="616"/>
      <w:bookmarkEnd w:id="617"/>
      <w:r>
        <w:t xml:space="preserve">6.3.21 </w:t>
      </w:r>
      <w:r w:rsidR="00192720" w:rsidRPr="009A6C5C">
        <w:t>Person</w:t>
      </w:r>
      <w:r w:rsidR="00192720">
        <w:t xml:space="preserve"> – </w:t>
      </w:r>
      <w:r w:rsidR="00192720" w:rsidRPr="009A6C5C">
        <w:t>Australian Statistical Geography Standard</w:t>
      </w:r>
      <w:r w:rsidR="00192720">
        <w:t xml:space="preserve"> – </w:t>
      </w:r>
      <w:r w:rsidR="00192720" w:rsidRPr="009A6C5C">
        <w:t>SA1 code</w:t>
      </w:r>
      <w:bookmarkEnd w:id="618"/>
      <w:bookmarkEnd w:id="619"/>
      <w:bookmarkEnd w:id="620"/>
      <w:bookmarkEnd w:id="621"/>
    </w:p>
    <w:p w14:paraId="54E122C6"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231A2C03"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5BFFEE87" w14:textId="03418011" w:rsidR="00D655E9" w:rsidRPr="00CC60F7"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046EA0C4" w14:textId="1BD7C847"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0A5025" w14:paraId="452A46F4"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E173A65" w14:textId="0AB5EBA8" w:rsidR="00CC60F7" w:rsidRPr="00CC60F7" w:rsidRDefault="00CC60F7" w:rsidP="00CC60F7">
            <w:pPr>
              <w:rPr>
                <w:rFonts w:ascii="Arial" w:hAnsi="Arial" w:cs="Arial"/>
              </w:rPr>
            </w:pPr>
            <w:r w:rsidRPr="00CC60F7">
              <w:rPr>
                <w:rFonts w:ascii="Arial" w:hAnsi="Arial" w:cs="Arial"/>
              </w:rPr>
              <w:t>Definition</w:t>
            </w:r>
          </w:p>
        </w:tc>
        <w:tc>
          <w:tcPr>
            <w:tcW w:w="4061" w:type="dxa"/>
          </w:tcPr>
          <w:p w14:paraId="1C27FD39" w14:textId="25265C80" w:rsidR="00CC60F7" w:rsidRPr="000A5025" w:rsidRDefault="00CC60F7"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A geographical region defined within The Australian Statistical Geography Standard (ASGS)</w:t>
            </w:r>
            <w:r w:rsidR="00910847">
              <w:rPr>
                <w:rFonts w:ascii="Arial" w:hAnsi="Arial" w:cs="Arial"/>
              </w:rPr>
              <w:t>.</w:t>
            </w:r>
            <w:r>
              <w:rPr>
                <w:rFonts w:ascii="Arial" w:hAnsi="Arial" w:cs="Arial"/>
                <w:vertAlign w:val="superscript"/>
              </w:rPr>
              <w:t>13</w:t>
            </w:r>
            <w:r w:rsidRPr="000A5025">
              <w:rPr>
                <w:rFonts w:ascii="Arial" w:hAnsi="Arial" w:cs="Arial"/>
              </w:rPr>
              <w:t xml:space="preserve"> SA1 regions generally have a population of 200 to 800 persons, and an average population of about 400 persons. SA1s closely bound small rural towns with a population of 180 persons or more.</w:t>
            </w:r>
          </w:p>
        </w:tc>
      </w:tr>
    </w:tbl>
    <w:p w14:paraId="1766FF87" w14:textId="77777777" w:rsidR="00CC60F7" w:rsidRDefault="00CC60F7" w:rsidP="00192720">
      <w:pPr>
        <w:keepLines/>
        <w:rPr>
          <w:rFonts w:ascii="Verdana" w:hAnsi="Verdana"/>
          <w:sz w:val="20"/>
        </w:rPr>
      </w:pPr>
    </w:p>
    <w:p w14:paraId="53CC80E9" w14:textId="77777777" w:rsidR="00353F49" w:rsidRDefault="00353F49">
      <w:pPr>
        <w:spacing w:before="0" w:after="80"/>
        <w:rPr>
          <w:rFonts w:ascii="Verdana" w:hAnsi="Verdana"/>
          <w:sz w:val="20"/>
        </w:rPr>
      </w:pPr>
      <w:r>
        <w:rPr>
          <w:rFonts w:ascii="Verdana" w:hAnsi="Verdana"/>
          <w:sz w:val="20"/>
        </w:rPr>
        <w:br w:type="page"/>
      </w:r>
    </w:p>
    <w:p w14:paraId="4D6AD646" w14:textId="55B31F81" w:rsidR="00CC60F7" w:rsidRDefault="00CC60F7" w:rsidP="00192720">
      <w:pPr>
        <w:keepLines/>
        <w:rPr>
          <w:rFonts w:ascii="Verdana" w:hAnsi="Verdana"/>
          <w:sz w:val="20"/>
        </w:rPr>
      </w:pPr>
      <w:r w:rsidRPr="009A6C5C">
        <w:rPr>
          <w:rFonts w:ascii="Verdana" w:hAnsi="Verdana"/>
          <w:sz w:val="20"/>
        </w:rPr>
        <w:lastRenderedPageBreak/>
        <w:t>Representational attributes</w:t>
      </w:r>
    </w:p>
    <w:tbl>
      <w:tblPr>
        <w:tblStyle w:val="SurveyQuestions"/>
        <w:tblW w:w="0" w:type="auto"/>
        <w:tblLook w:val="04A0" w:firstRow="1" w:lastRow="0" w:firstColumn="1" w:lastColumn="0" w:noHBand="0" w:noVBand="1"/>
      </w:tblPr>
      <w:tblGrid>
        <w:gridCol w:w="4092"/>
        <w:gridCol w:w="4061"/>
      </w:tblGrid>
      <w:tr w:rsidR="00CC60F7" w:rsidRPr="000A5025" w14:paraId="39228B03"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B504819" w14:textId="4BB76F8B" w:rsidR="00CC60F7" w:rsidRPr="00D655E9" w:rsidRDefault="00CC60F7" w:rsidP="00F07AF8">
            <w:pPr>
              <w:rPr>
                <w:color w:val="000000" w:themeColor="text1"/>
              </w:rPr>
            </w:pPr>
            <w:r w:rsidRPr="00D655E9">
              <w:rPr>
                <w:color w:val="000000" w:themeColor="text1"/>
              </w:rPr>
              <w:t>Representation class</w:t>
            </w:r>
          </w:p>
        </w:tc>
        <w:tc>
          <w:tcPr>
            <w:tcW w:w="4061" w:type="dxa"/>
            <w:shd w:val="clear" w:color="auto" w:fill="auto"/>
          </w:tcPr>
          <w:p w14:paraId="51EAD60D" w14:textId="77777777" w:rsidR="00CC60F7" w:rsidRPr="00D655E9" w:rsidRDefault="00CC60F7" w:rsidP="00F07AF8">
            <w:pPr>
              <w:cnfStyle w:val="100000000000" w:firstRow="1" w:lastRow="0" w:firstColumn="0" w:lastColumn="0" w:oddVBand="0" w:evenVBand="0" w:oddHBand="0" w:evenHBand="0" w:firstRowFirstColumn="0" w:firstRowLastColumn="0" w:lastRowFirstColumn="0" w:lastRowLastColumn="0"/>
              <w:rPr>
                <w:b w:val="0"/>
                <w:bCs/>
                <w:color w:val="000000" w:themeColor="text1"/>
              </w:rPr>
            </w:pPr>
            <w:r w:rsidRPr="00D655E9">
              <w:rPr>
                <w:b w:val="0"/>
                <w:bCs/>
                <w:color w:val="000000" w:themeColor="text1"/>
              </w:rPr>
              <w:t>Code</w:t>
            </w:r>
          </w:p>
        </w:tc>
      </w:tr>
      <w:tr w:rsidR="00CC60F7" w:rsidRPr="000A5025" w14:paraId="789451B3" w14:textId="77777777" w:rsidTr="00F07AF8">
        <w:tc>
          <w:tcPr>
            <w:cnfStyle w:val="001000000000" w:firstRow="0" w:lastRow="0" w:firstColumn="1" w:lastColumn="0" w:oddVBand="0" w:evenVBand="0" w:oddHBand="0" w:evenHBand="0" w:firstRowFirstColumn="0" w:firstRowLastColumn="0" w:lastRowFirstColumn="0" w:lastRowLastColumn="0"/>
            <w:tcW w:w="4092" w:type="dxa"/>
          </w:tcPr>
          <w:p w14:paraId="7D3BC734" w14:textId="573F15F0" w:rsidR="00CC60F7" w:rsidRPr="00CC60F7" w:rsidRDefault="00CC60F7" w:rsidP="00F07AF8">
            <w:r w:rsidRPr="00CC60F7">
              <w:t>Data type</w:t>
            </w:r>
          </w:p>
        </w:tc>
        <w:tc>
          <w:tcPr>
            <w:tcW w:w="4061" w:type="dxa"/>
          </w:tcPr>
          <w:p w14:paraId="79562347" w14:textId="77777777" w:rsidR="00CC60F7" w:rsidRPr="000A5025" w:rsidRDefault="00CC60F7" w:rsidP="00F07AF8">
            <w:pPr>
              <w:cnfStyle w:val="000000000000" w:firstRow="0" w:lastRow="0" w:firstColumn="0" w:lastColumn="0" w:oddVBand="0" w:evenVBand="0" w:oddHBand="0" w:evenHBand="0" w:firstRowFirstColumn="0" w:firstRowLastColumn="0" w:lastRowFirstColumn="0" w:lastRowLastColumn="0"/>
            </w:pPr>
            <w:r w:rsidRPr="000A5025">
              <w:t>Number</w:t>
            </w:r>
          </w:p>
        </w:tc>
      </w:tr>
      <w:tr w:rsidR="00CC60F7" w:rsidRPr="000A5025" w14:paraId="61A9AB46" w14:textId="77777777" w:rsidTr="00F07AF8">
        <w:tc>
          <w:tcPr>
            <w:cnfStyle w:val="001000000000" w:firstRow="0" w:lastRow="0" w:firstColumn="1" w:lastColumn="0" w:oddVBand="0" w:evenVBand="0" w:oddHBand="0" w:evenHBand="0" w:firstRowFirstColumn="0" w:firstRowLastColumn="0" w:lastRowFirstColumn="0" w:lastRowLastColumn="0"/>
            <w:tcW w:w="4092" w:type="dxa"/>
          </w:tcPr>
          <w:p w14:paraId="6D0F4A6B" w14:textId="2A398E5A" w:rsidR="00CC60F7" w:rsidRPr="00CC60F7" w:rsidRDefault="00CC60F7" w:rsidP="00F07AF8">
            <w:r w:rsidRPr="00CC60F7">
              <w:t>Format</w:t>
            </w:r>
          </w:p>
        </w:tc>
        <w:tc>
          <w:tcPr>
            <w:tcW w:w="4061" w:type="dxa"/>
          </w:tcPr>
          <w:p w14:paraId="7EA6D797" w14:textId="77777777" w:rsidR="00CC60F7" w:rsidRPr="000A5025" w:rsidRDefault="00CC60F7" w:rsidP="00F07AF8">
            <w:pPr>
              <w:cnfStyle w:val="000000000000" w:firstRow="0" w:lastRow="0" w:firstColumn="0" w:lastColumn="0" w:oddVBand="0" w:evenVBand="0" w:oddHBand="0" w:evenHBand="0" w:firstRowFirstColumn="0" w:firstRowLastColumn="0" w:lastRowFirstColumn="0" w:lastRowLastColumn="0"/>
            </w:pPr>
            <w:r w:rsidRPr="000A5025">
              <w:t>NNNNNNN[NNNN]</w:t>
            </w:r>
          </w:p>
        </w:tc>
      </w:tr>
      <w:tr w:rsidR="00CC60F7" w:rsidRPr="000A5025" w14:paraId="1946DC5E" w14:textId="77777777" w:rsidTr="00F07AF8">
        <w:tc>
          <w:tcPr>
            <w:cnfStyle w:val="001000000000" w:firstRow="0" w:lastRow="0" w:firstColumn="1" w:lastColumn="0" w:oddVBand="0" w:evenVBand="0" w:oddHBand="0" w:evenHBand="0" w:firstRowFirstColumn="0" w:firstRowLastColumn="0" w:lastRowFirstColumn="0" w:lastRowLastColumn="0"/>
            <w:tcW w:w="4092" w:type="dxa"/>
          </w:tcPr>
          <w:p w14:paraId="451C7A2A" w14:textId="7D16D754" w:rsidR="00CC60F7" w:rsidRPr="00CC60F7" w:rsidRDefault="00CC60F7" w:rsidP="00F07AF8">
            <w:pPr>
              <w:pStyle w:val="TableHeading2"/>
              <w:rPr>
                <w:rFonts w:ascii="Arial" w:hAnsi="Arial" w:cs="Arial"/>
                <w:i w:val="0"/>
                <w:iCs w:val="0"/>
                <w:sz w:val="22"/>
                <w:szCs w:val="22"/>
              </w:rPr>
            </w:pPr>
            <w:r w:rsidRPr="00CC60F7">
              <w:rPr>
                <w:rFonts w:ascii="Arial" w:hAnsi="Arial" w:cs="Arial"/>
                <w:i w:val="0"/>
                <w:iCs w:val="0"/>
                <w:sz w:val="22"/>
                <w:szCs w:val="22"/>
              </w:rPr>
              <w:t>Permissible values</w:t>
            </w:r>
          </w:p>
        </w:tc>
        <w:tc>
          <w:tcPr>
            <w:tcW w:w="4061" w:type="dxa"/>
          </w:tcPr>
          <w:p w14:paraId="70878003" w14:textId="7E55C67D" w:rsidR="00CC60F7" w:rsidRPr="000A5025" w:rsidRDefault="00CC60F7"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A5025">
              <w:rPr>
                <w:rFonts w:ascii="Arial" w:hAnsi="Arial" w:cs="Arial"/>
                <w:sz w:val="22"/>
                <w:szCs w:val="22"/>
              </w:rPr>
              <w:t>SA1 Coding Structure: Identified either by an 11-digit fully hierarchical code, or by a truncated 7-digit code comprising the S/T, SA2 and SA1 identifiers. The SA1 identifier is a 2-digit code, assigned within an SA2. An SA1 code</w:t>
            </w:r>
            <w:r>
              <w:rPr>
                <w:rFonts w:ascii="Arial" w:hAnsi="Arial" w:cs="Arial"/>
                <w:sz w:val="22"/>
                <w:szCs w:val="22"/>
              </w:rPr>
              <w:t xml:space="preserve"> </w:t>
            </w:r>
            <w:r w:rsidRPr="000A5025">
              <w:rPr>
                <w:rFonts w:ascii="Arial" w:hAnsi="Arial" w:cs="Arial"/>
                <w:sz w:val="22"/>
                <w:szCs w:val="22"/>
              </w:rPr>
              <w:t>is only unique within an S/T when it is preceded by the S/T identifier.</w:t>
            </w:r>
            <w:r>
              <w:rPr>
                <w:rFonts w:ascii="Arial" w:hAnsi="Arial" w:cs="Arial"/>
                <w:sz w:val="22"/>
                <w:szCs w:val="22"/>
                <w:vertAlign w:val="superscript"/>
              </w:rPr>
              <w:t>14</w:t>
            </w:r>
          </w:p>
        </w:tc>
      </w:tr>
      <w:tr w:rsidR="00CC60F7" w:rsidRPr="000A5025" w14:paraId="4A821FE9" w14:textId="77777777" w:rsidTr="00F07AF8">
        <w:tc>
          <w:tcPr>
            <w:cnfStyle w:val="001000000000" w:firstRow="0" w:lastRow="0" w:firstColumn="1" w:lastColumn="0" w:oddVBand="0" w:evenVBand="0" w:oddHBand="0" w:evenHBand="0" w:firstRowFirstColumn="0" w:firstRowLastColumn="0" w:lastRowFirstColumn="0" w:lastRowLastColumn="0"/>
            <w:tcW w:w="4092" w:type="dxa"/>
          </w:tcPr>
          <w:p w14:paraId="4E80BD91" w14:textId="704F9A0A" w:rsidR="00CC60F7" w:rsidRPr="00910847" w:rsidRDefault="00CC60F7" w:rsidP="00F07AF8">
            <w:pPr>
              <w:pStyle w:val="TableHeading2"/>
              <w:rPr>
                <w:rFonts w:ascii="Arial" w:hAnsi="Arial" w:cs="Arial"/>
                <w:i w:val="0"/>
                <w:iCs w:val="0"/>
                <w:sz w:val="22"/>
                <w:szCs w:val="22"/>
              </w:rPr>
            </w:pPr>
            <w:r w:rsidRPr="00910847">
              <w:rPr>
                <w:rFonts w:ascii="Arial" w:hAnsi="Arial" w:cs="Arial"/>
                <w:i w:val="0"/>
                <w:iCs w:val="0"/>
                <w:sz w:val="22"/>
                <w:szCs w:val="22"/>
              </w:rPr>
              <w:t>Maximum character length</w:t>
            </w:r>
          </w:p>
        </w:tc>
        <w:tc>
          <w:tcPr>
            <w:tcW w:w="4061" w:type="dxa"/>
          </w:tcPr>
          <w:p w14:paraId="3BF53F17" w14:textId="77777777" w:rsidR="00CC60F7" w:rsidRPr="000A5025" w:rsidRDefault="00CC60F7" w:rsidP="00F07AF8">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A5025">
              <w:rPr>
                <w:rFonts w:ascii="Arial" w:hAnsi="Arial" w:cs="Arial"/>
                <w:sz w:val="22"/>
                <w:szCs w:val="22"/>
              </w:rPr>
              <w:t>11</w:t>
            </w:r>
          </w:p>
        </w:tc>
      </w:tr>
    </w:tbl>
    <w:p w14:paraId="7B187508" w14:textId="6D95A3C7" w:rsidR="00192720" w:rsidRPr="009A6C5C" w:rsidRDefault="00CC60F7" w:rsidP="00192720">
      <w:pPr>
        <w:pStyle w:val="Heading3"/>
      </w:pPr>
      <w:bookmarkStart w:id="623" w:name="_Ref312068364"/>
      <w:bookmarkStart w:id="624" w:name="_Toc158584016"/>
      <w:bookmarkStart w:id="625" w:name="_Toc159324789"/>
      <w:bookmarkStart w:id="626" w:name="_Toc175550409"/>
      <w:r>
        <w:t xml:space="preserve">6.3.22 </w:t>
      </w:r>
      <w:r w:rsidR="00192720" w:rsidRPr="009A6C5C">
        <w:t>Person</w:t>
      </w:r>
      <w:r w:rsidR="00192720">
        <w:t xml:space="preserve"> – </w:t>
      </w:r>
      <w:r w:rsidR="00192720" w:rsidRPr="009A6C5C">
        <w:t>person identifier</w:t>
      </w:r>
      <w:bookmarkEnd w:id="622"/>
      <w:bookmarkEnd w:id="623"/>
      <w:bookmarkEnd w:id="624"/>
      <w:bookmarkEnd w:id="625"/>
      <w:bookmarkEnd w:id="626"/>
    </w:p>
    <w:p w14:paraId="744EBDD9"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768AA444"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0BD6171C" w14:textId="1253389A" w:rsidR="00D655E9" w:rsidRPr="000A5025"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2F414897" w14:textId="64240F15"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244F14" w14:paraId="2BF8ED35"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FCCB59F" w14:textId="1DE7B8AB" w:rsidR="00CC60F7" w:rsidRPr="000A5025" w:rsidRDefault="00CC60F7" w:rsidP="00CC60F7">
            <w:pPr>
              <w:rPr>
                <w:rFonts w:ascii="Arial" w:hAnsi="Arial" w:cs="Arial"/>
              </w:rPr>
            </w:pPr>
            <w:r w:rsidRPr="000A5025">
              <w:rPr>
                <w:rFonts w:ascii="Arial" w:hAnsi="Arial" w:cs="Arial"/>
              </w:rPr>
              <w:t>METeOR</w:t>
            </w:r>
            <w:r w:rsidR="004B0B10">
              <w:rPr>
                <w:rFonts w:ascii="Arial" w:hAnsi="Arial" w:cs="Arial"/>
              </w:rPr>
              <w:t xml:space="preserve"> </w:t>
            </w:r>
            <w:r w:rsidRPr="000A5025">
              <w:rPr>
                <w:rFonts w:ascii="Arial" w:hAnsi="Arial" w:cs="Arial"/>
              </w:rPr>
              <w:t>link</w:t>
            </w:r>
          </w:p>
        </w:tc>
        <w:tc>
          <w:tcPr>
            <w:tcW w:w="4061" w:type="dxa"/>
          </w:tcPr>
          <w:p w14:paraId="2B606469" w14:textId="35719907" w:rsidR="00CC60F7" w:rsidRPr="000A5025"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hyperlink r:id="rId57" w:tooltip="Person—person identifier, XXXXXX[X(14)] - METEOR" w:history="1">
              <w:r w:rsidR="00CC60F7" w:rsidRPr="000A5025">
                <w:rPr>
                  <w:rStyle w:val="Hyperlink"/>
                  <w:rFonts w:ascii="Arial" w:hAnsi="Arial" w:cs="Arial"/>
                  <w:szCs w:val="22"/>
                  <w:lang w:val="fr-FR"/>
                </w:rPr>
                <w:t>Person</w:t>
              </w:r>
              <w:r w:rsidR="00CC60F7">
                <w:rPr>
                  <w:rStyle w:val="Hyperlink"/>
                  <w:rFonts w:ascii="Arial" w:hAnsi="Arial" w:cs="Arial"/>
                  <w:szCs w:val="22"/>
                  <w:lang w:val="fr-FR"/>
                </w:rPr>
                <w:t xml:space="preserve"> – </w:t>
              </w:r>
              <w:r w:rsidR="00CC60F7" w:rsidRPr="000A5025">
                <w:rPr>
                  <w:rStyle w:val="Hyperlink"/>
                  <w:rFonts w:ascii="Arial" w:hAnsi="Arial" w:cs="Arial"/>
                  <w:szCs w:val="22"/>
                  <w:lang w:val="fr-FR"/>
                </w:rPr>
                <w:t>person identifier (aihw.gov.au)</w:t>
              </w:r>
            </w:hyperlink>
          </w:p>
        </w:tc>
      </w:tr>
    </w:tbl>
    <w:p w14:paraId="25DB1909" w14:textId="3F0BADB0" w:rsidR="00192720" w:rsidRPr="009A6C5C" w:rsidRDefault="00CC60F7" w:rsidP="00192720">
      <w:pPr>
        <w:pStyle w:val="Heading3"/>
      </w:pPr>
      <w:bookmarkStart w:id="627" w:name="_Toc90017561"/>
      <w:bookmarkStart w:id="628" w:name="_Toc90017574"/>
      <w:bookmarkStart w:id="629" w:name="_Toc90017575"/>
      <w:bookmarkStart w:id="630" w:name="_Ref310255780"/>
      <w:bookmarkStart w:id="631" w:name="_Ref310255790"/>
      <w:bookmarkStart w:id="632" w:name="_Ref310340712"/>
      <w:bookmarkStart w:id="633" w:name="_Toc158584017"/>
      <w:bookmarkStart w:id="634" w:name="_Toc159324790"/>
      <w:bookmarkStart w:id="635" w:name="_Toc175550410"/>
      <w:bookmarkEnd w:id="627"/>
      <w:bookmarkEnd w:id="628"/>
      <w:bookmarkEnd w:id="629"/>
      <w:r>
        <w:t xml:space="preserve">6.3.23 </w:t>
      </w:r>
      <w:r w:rsidR="00192720" w:rsidRPr="009A6C5C">
        <w:t>Person</w:t>
      </w:r>
      <w:r w:rsidR="00192720">
        <w:t xml:space="preserve"> – </w:t>
      </w:r>
      <w:r w:rsidR="00192720" w:rsidRPr="009A6C5C">
        <w:t>sex</w:t>
      </w:r>
      <w:bookmarkEnd w:id="630"/>
      <w:bookmarkEnd w:id="631"/>
      <w:bookmarkEnd w:id="632"/>
      <w:bookmarkEnd w:id="633"/>
      <w:bookmarkEnd w:id="634"/>
      <w:bookmarkEnd w:id="635"/>
    </w:p>
    <w:p w14:paraId="615C263D"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41A6E87F"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733E64D" w14:textId="2EA92CCC" w:rsidR="00D655E9" w:rsidRPr="000A5025"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0D16E048" w14:textId="47B5AC1F"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244F14" w14:paraId="1E558D2B"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B322EC6" w14:textId="4F34CEB1" w:rsidR="00CC60F7" w:rsidRPr="000A5025" w:rsidRDefault="00CC60F7" w:rsidP="00CC60F7">
            <w:pPr>
              <w:rPr>
                <w:rFonts w:ascii="Arial" w:hAnsi="Arial" w:cs="Arial"/>
              </w:rPr>
            </w:pPr>
            <w:r w:rsidRPr="000A5025">
              <w:rPr>
                <w:rFonts w:ascii="Arial" w:hAnsi="Arial" w:cs="Arial"/>
              </w:rPr>
              <w:t>METeOR link</w:t>
            </w:r>
          </w:p>
        </w:tc>
        <w:tc>
          <w:tcPr>
            <w:tcW w:w="4061" w:type="dxa"/>
          </w:tcPr>
          <w:p w14:paraId="0F392538" w14:textId="68DC62B8" w:rsidR="00CC60F7" w:rsidRPr="000A5025"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hyperlink r:id="rId58" w:tooltip="Person—sex, code N - METEOR" w:history="1">
              <w:r w:rsidR="00CC60F7" w:rsidRPr="000A5025">
                <w:rPr>
                  <w:rStyle w:val="Hyperlink"/>
                  <w:rFonts w:ascii="Arial" w:hAnsi="Arial" w:cs="Arial"/>
                  <w:szCs w:val="22"/>
                  <w:lang w:val="fr-FR"/>
                </w:rPr>
                <w:t>Person</w:t>
              </w:r>
              <w:r w:rsidR="00CC60F7">
                <w:rPr>
                  <w:rStyle w:val="Hyperlink"/>
                  <w:rFonts w:ascii="Arial" w:hAnsi="Arial" w:cs="Arial"/>
                  <w:szCs w:val="22"/>
                  <w:lang w:val="fr-FR"/>
                </w:rPr>
                <w:t xml:space="preserve"> – </w:t>
              </w:r>
              <w:r w:rsidR="00CC60F7" w:rsidRPr="000A5025">
                <w:rPr>
                  <w:rStyle w:val="Hyperlink"/>
                  <w:rFonts w:ascii="Arial" w:hAnsi="Arial" w:cs="Arial"/>
                  <w:szCs w:val="22"/>
                  <w:lang w:val="fr-FR"/>
                </w:rPr>
                <w:t>sex, code N (aihw.gov.au)</w:t>
              </w:r>
            </w:hyperlink>
          </w:p>
        </w:tc>
      </w:tr>
    </w:tbl>
    <w:p w14:paraId="53156A76" w14:textId="6F48E796" w:rsidR="00192720" w:rsidRPr="009A6C5C" w:rsidRDefault="00CC60F7" w:rsidP="00192720">
      <w:pPr>
        <w:pStyle w:val="Heading3"/>
      </w:pPr>
      <w:bookmarkStart w:id="636" w:name="_Toc90017595"/>
      <w:bookmarkStart w:id="637" w:name="_Toc90017596"/>
      <w:bookmarkStart w:id="638" w:name="_Toc90017617"/>
      <w:bookmarkStart w:id="639" w:name="_Toc90017618"/>
      <w:bookmarkStart w:id="640" w:name="_Ref310255809"/>
      <w:bookmarkStart w:id="641" w:name="_Toc158584018"/>
      <w:bookmarkStart w:id="642" w:name="_Toc159324791"/>
      <w:bookmarkStart w:id="643" w:name="_Toc175550411"/>
      <w:bookmarkEnd w:id="636"/>
      <w:bookmarkEnd w:id="637"/>
      <w:bookmarkEnd w:id="638"/>
      <w:bookmarkEnd w:id="639"/>
      <w:r>
        <w:t xml:space="preserve">6.3.24 </w:t>
      </w:r>
      <w:r w:rsidR="00192720" w:rsidRPr="009A6C5C">
        <w:t>Person (address)</w:t>
      </w:r>
      <w:r w:rsidR="00192720">
        <w:t xml:space="preserve"> – </w:t>
      </w:r>
      <w:r w:rsidR="00192720" w:rsidRPr="009A6C5C">
        <w:t>Australian postcode</w:t>
      </w:r>
      <w:bookmarkEnd w:id="640"/>
      <w:bookmarkEnd w:id="641"/>
      <w:bookmarkEnd w:id="642"/>
      <w:bookmarkEnd w:id="643"/>
    </w:p>
    <w:p w14:paraId="77A20169"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7AECFFFD"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1D1D2377" w14:textId="6C204455" w:rsidR="00D655E9" w:rsidRPr="000A5025"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01E64B8D" w14:textId="3823AE42"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0A5025" w14:paraId="34C78924"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71258DB6" w14:textId="2E59FE31" w:rsidR="00CC60F7" w:rsidRPr="000A5025" w:rsidRDefault="00CC60F7" w:rsidP="00CC60F7">
            <w:pPr>
              <w:rPr>
                <w:rFonts w:ascii="Arial" w:hAnsi="Arial" w:cs="Arial"/>
              </w:rPr>
            </w:pPr>
            <w:r w:rsidRPr="000A5025">
              <w:rPr>
                <w:rFonts w:ascii="Arial" w:hAnsi="Arial" w:cs="Arial"/>
              </w:rPr>
              <w:t>METeOR link</w:t>
            </w:r>
          </w:p>
        </w:tc>
        <w:tc>
          <w:tcPr>
            <w:tcW w:w="4061" w:type="dxa"/>
          </w:tcPr>
          <w:p w14:paraId="48BA792D" w14:textId="33BB9EB9" w:rsidR="00CC60F7" w:rsidRPr="000A5025"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59" w:tooltip="Person (address)—Australian postcode, code (Postcode datafile) {NNNN} - METEOR" w:history="1">
              <w:r w:rsidR="00CC60F7" w:rsidRPr="000A5025">
                <w:rPr>
                  <w:rStyle w:val="Hyperlink"/>
                  <w:rFonts w:ascii="Arial" w:hAnsi="Arial" w:cs="Arial"/>
                  <w:szCs w:val="22"/>
                </w:rPr>
                <w:t>Person (address)</w:t>
              </w:r>
              <w:r w:rsidR="00CC60F7">
                <w:rPr>
                  <w:rStyle w:val="Hyperlink"/>
                  <w:rFonts w:ascii="Arial" w:hAnsi="Arial" w:cs="Arial"/>
                  <w:szCs w:val="22"/>
                </w:rPr>
                <w:t xml:space="preserve"> – </w:t>
              </w:r>
              <w:r w:rsidR="00CC60F7" w:rsidRPr="000A5025">
                <w:rPr>
                  <w:rStyle w:val="Hyperlink"/>
                  <w:rFonts w:ascii="Arial" w:hAnsi="Arial" w:cs="Arial"/>
                  <w:szCs w:val="22"/>
                </w:rPr>
                <w:t>Australian postcode (aihw.gov.au)</w:t>
              </w:r>
            </w:hyperlink>
          </w:p>
        </w:tc>
      </w:tr>
    </w:tbl>
    <w:p w14:paraId="65E50317" w14:textId="14910545" w:rsidR="00192720" w:rsidRPr="009A6C5C" w:rsidRDefault="00CC60F7" w:rsidP="00192720">
      <w:pPr>
        <w:pStyle w:val="Heading3"/>
      </w:pPr>
      <w:bookmarkStart w:id="644" w:name="_Toc90017639"/>
      <w:bookmarkStart w:id="645" w:name="_Toc90017640"/>
      <w:bookmarkStart w:id="646" w:name="_Toc90017656"/>
      <w:bookmarkStart w:id="647" w:name="_Toc90017657"/>
      <w:bookmarkStart w:id="648" w:name="_Ref310255736"/>
      <w:bookmarkStart w:id="649" w:name="_Toc158584019"/>
      <w:bookmarkStart w:id="650" w:name="_Toc159324792"/>
      <w:bookmarkStart w:id="651" w:name="_Toc175550412"/>
      <w:bookmarkEnd w:id="644"/>
      <w:bookmarkEnd w:id="645"/>
      <w:bookmarkEnd w:id="646"/>
      <w:bookmarkEnd w:id="647"/>
      <w:r>
        <w:t xml:space="preserve">6.3.25 </w:t>
      </w:r>
      <w:r w:rsidR="00192720" w:rsidRPr="009A6C5C">
        <w:t>Person (name)</w:t>
      </w:r>
      <w:r w:rsidR="00192720">
        <w:t xml:space="preserve"> – </w:t>
      </w:r>
      <w:r w:rsidR="00192720" w:rsidRPr="009A6C5C">
        <w:t>family name</w:t>
      </w:r>
      <w:bookmarkEnd w:id="648"/>
      <w:bookmarkEnd w:id="649"/>
      <w:bookmarkEnd w:id="650"/>
      <w:bookmarkEnd w:id="651"/>
    </w:p>
    <w:p w14:paraId="1DB48178"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26D6CD7F"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30D79297" w14:textId="04417C34" w:rsidR="00D655E9" w:rsidRPr="000A5025"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591F74F5" w14:textId="30E0A231"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0A5025" w14:paraId="40C29688"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9964998" w14:textId="46F58B80" w:rsidR="00CC60F7" w:rsidRPr="000A5025" w:rsidRDefault="00CC60F7" w:rsidP="00CC60F7">
            <w:pPr>
              <w:rPr>
                <w:rFonts w:ascii="Arial" w:hAnsi="Arial" w:cs="Arial"/>
              </w:rPr>
            </w:pPr>
            <w:r w:rsidRPr="000A5025">
              <w:rPr>
                <w:rFonts w:ascii="Arial" w:hAnsi="Arial" w:cs="Arial"/>
              </w:rPr>
              <w:t>METeOR link</w:t>
            </w:r>
          </w:p>
        </w:tc>
        <w:tc>
          <w:tcPr>
            <w:tcW w:w="4061" w:type="dxa"/>
          </w:tcPr>
          <w:p w14:paraId="3592187F" w14:textId="0A9A7F3A" w:rsidR="00CC60F7" w:rsidRPr="000A5025"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60" w:tooltip="Person (name)—family name, text X[X(39)] - METEOR" w:history="1">
              <w:r w:rsidR="00CC60F7" w:rsidRPr="000A5025">
                <w:rPr>
                  <w:rStyle w:val="Hyperlink"/>
                  <w:rFonts w:ascii="Arial" w:hAnsi="Arial" w:cs="Arial"/>
                  <w:szCs w:val="22"/>
                </w:rPr>
                <w:t>Person (name)</w:t>
              </w:r>
              <w:r w:rsidR="00CC60F7">
                <w:rPr>
                  <w:rStyle w:val="Hyperlink"/>
                  <w:rFonts w:ascii="Arial" w:hAnsi="Arial" w:cs="Arial"/>
                  <w:szCs w:val="22"/>
                </w:rPr>
                <w:t xml:space="preserve"> – </w:t>
              </w:r>
              <w:r w:rsidR="00CC60F7" w:rsidRPr="000A5025">
                <w:rPr>
                  <w:rStyle w:val="Hyperlink"/>
                  <w:rFonts w:ascii="Arial" w:hAnsi="Arial" w:cs="Arial"/>
                  <w:szCs w:val="22"/>
                </w:rPr>
                <w:t>family name (aihw.gov.au)</w:t>
              </w:r>
            </w:hyperlink>
          </w:p>
        </w:tc>
      </w:tr>
    </w:tbl>
    <w:p w14:paraId="0415A372" w14:textId="3E656BD8" w:rsidR="00192720" w:rsidRPr="009A6C5C" w:rsidRDefault="00CC60F7" w:rsidP="00192720">
      <w:pPr>
        <w:pStyle w:val="Heading3"/>
      </w:pPr>
      <w:bookmarkStart w:id="652" w:name="_Toc90017676"/>
      <w:bookmarkStart w:id="653" w:name="_Toc90017677"/>
      <w:bookmarkStart w:id="654" w:name="_Toc90017690"/>
      <w:bookmarkStart w:id="655" w:name="_Toc90017691"/>
      <w:bookmarkStart w:id="656" w:name="_Ref310255742"/>
      <w:bookmarkStart w:id="657" w:name="_Toc158584020"/>
      <w:bookmarkStart w:id="658" w:name="_Toc159324793"/>
      <w:bookmarkStart w:id="659" w:name="_Toc175550413"/>
      <w:bookmarkEnd w:id="652"/>
      <w:bookmarkEnd w:id="653"/>
      <w:bookmarkEnd w:id="654"/>
      <w:bookmarkEnd w:id="655"/>
      <w:r>
        <w:lastRenderedPageBreak/>
        <w:t xml:space="preserve">6.3.26 </w:t>
      </w:r>
      <w:r w:rsidR="00192720" w:rsidRPr="009A6C5C">
        <w:t>Person (name)</w:t>
      </w:r>
      <w:r w:rsidR="00192720">
        <w:t xml:space="preserve"> – </w:t>
      </w:r>
      <w:r w:rsidR="00192720" w:rsidRPr="009A6C5C">
        <w:t>given name</w:t>
      </w:r>
      <w:bookmarkEnd w:id="656"/>
      <w:bookmarkEnd w:id="657"/>
      <w:bookmarkEnd w:id="658"/>
      <w:bookmarkEnd w:id="659"/>
    </w:p>
    <w:p w14:paraId="4D2BFD31"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D655E9" w:rsidRPr="000A5025" w14:paraId="5A2413C1"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B9D2428" w14:textId="783E0FAF" w:rsidR="00D655E9" w:rsidRPr="000A5025" w:rsidRDefault="00D655E9" w:rsidP="00D655E9">
            <w:pPr>
              <w:rPr>
                <w:rFonts w:ascii="Arial" w:hAnsi="Arial" w:cs="Arial"/>
              </w:rPr>
            </w:pPr>
            <w:r w:rsidRPr="00F43E62">
              <w:rPr>
                <w:rFonts w:ascii="Arial" w:hAnsi="Arial" w:cs="Arial"/>
                <w:color w:val="000000" w:themeColor="text1"/>
              </w:rPr>
              <w:t>Metadata item type</w:t>
            </w:r>
          </w:p>
        </w:tc>
        <w:tc>
          <w:tcPr>
            <w:tcW w:w="4061" w:type="dxa"/>
            <w:shd w:val="clear" w:color="auto" w:fill="auto"/>
          </w:tcPr>
          <w:p w14:paraId="4680E6D3" w14:textId="36D81297" w:rsidR="00D655E9" w:rsidRPr="000A5025" w:rsidRDefault="00D655E9" w:rsidP="00D655E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43E62">
              <w:rPr>
                <w:rFonts w:ascii="Arial" w:hAnsi="Arial" w:cs="Arial"/>
                <w:b w:val="0"/>
                <w:bCs/>
                <w:color w:val="000000" w:themeColor="text1"/>
              </w:rPr>
              <w:t>Data Element</w:t>
            </w:r>
          </w:p>
        </w:tc>
      </w:tr>
      <w:tr w:rsidR="00CC60F7" w:rsidRPr="000A5025" w14:paraId="47913FF3"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3516AA8E" w14:textId="6C417029" w:rsidR="00CC60F7" w:rsidRPr="000A5025" w:rsidRDefault="00CC60F7" w:rsidP="00CC60F7">
            <w:pPr>
              <w:rPr>
                <w:rFonts w:ascii="Arial" w:hAnsi="Arial" w:cs="Arial"/>
              </w:rPr>
            </w:pPr>
            <w:r w:rsidRPr="000A5025">
              <w:rPr>
                <w:rFonts w:ascii="Arial" w:hAnsi="Arial" w:cs="Arial"/>
              </w:rPr>
              <w:t>METeOR link</w:t>
            </w:r>
          </w:p>
        </w:tc>
        <w:tc>
          <w:tcPr>
            <w:tcW w:w="4061" w:type="dxa"/>
          </w:tcPr>
          <w:p w14:paraId="4199E273" w14:textId="77E9865B" w:rsidR="00CC60F7" w:rsidRPr="000A5025" w:rsidRDefault="0000000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61" w:tooltip="Person (name)—given name, text X[X(39)] - METEOR" w:history="1">
              <w:r w:rsidR="00CC60F7" w:rsidRPr="000A5025">
                <w:rPr>
                  <w:rStyle w:val="Hyperlink"/>
                  <w:rFonts w:ascii="Arial" w:hAnsi="Arial" w:cs="Arial"/>
                  <w:szCs w:val="22"/>
                </w:rPr>
                <w:t>Person (name)</w:t>
              </w:r>
              <w:r w:rsidR="00CC60F7">
                <w:rPr>
                  <w:rStyle w:val="Hyperlink"/>
                  <w:rFonts w:ascii="Arial" w:hAnsi="Arial" w:cs="Arial"/>
                  <w:szCs w:val="22"/>
                </w:rPr>
                <w:t xml:space="preserve"> – </w:t>
              </w:r>
              <w:r w:rsidR="00CC60F7" w:rsidRPr="000A5025">
                <w:rPr>
                  <w:rStyle w:val="Hyperlink"/>
                  <w:rFonts w:ascii="Arial" w:hAnsi="Arial" w:cs="Arial"/>
                  <w:szCs w:val="22"/>
                </w:rPr>
                <w:t>given name (aihw.gov.au)</w:t>
              </w:r>
            </w:hyperlink>
          </w:p>
        </w:tc>
      </w:tr>
    </w:tbl>
    <w:p w14:paraId="2A4F35E1" w14:textId="03AC304A" w:rsidR="00192720" w:rsidRPr="009A6C5C" w:rsidRDefault="00CC60F7" w:rsidP="00192720">
      <w:pPr>
        <w:pStyle w:val="Heading3"/>
      </w:pPr>
      <w:bookmarkStart w:id="660" w:name="_Toc90017710"/>
      <w:bookmarkStart w:id="661" w:name="_Toc90017711"/>
      <w:bookmarkStart w:id="662" w:name="_Toc90017724"/>
      <w:bookmarkStart w:id="663" w:name="_Toc90017725"/>
      <w:bookmarkStart w:id="664" w:name="_Ref312068679"/>
      <w:bookmarkStart w:id="665" w:name="_Toc158584021"/>
      <w:bookmarkStart w:id="666" w:name="_Toc159324794"/>
      <w:bookmarkStart w:id="667" w:name="_Toc175550414"/>
      <w:bookmarkStart w:id="668" w:name="_Ref310255822"/>
      <w:bookmarkEnd w:id="660"/>
      <w:bookmarkEnd w:id="661"/>
      <w:bookmarkEnd w:id="662"/>
      <w:bookmarkEnd w:id="663"/>
      <w:r>
        <w:t xml:space="preserve">6.3.27 </w:t>
      </w:r>
      <w:r w:rsidR="00192720" w:rsidRPr="009A6C5C">
        <w:t xml:space="preserve">Registry </w:t>
      </w:r>
      <w:bookmarkEnd w:id="664"/>
      <w:r w:rsidR="00192720">
        <w:t>e</w:t>
      </w:r>
      <w:r w:rsidR="00192720" w:rsidRPr="009A6C5C">
        <w:t>pisode</w:t>
      </w:r>
      <w:bookmarkEnd w:id="665"/>
      <w:bookmarkEnd w:id="666"/>
      <w:bookmarkEnd w:id="667"/>
    </w:p>
    <w:p w14:paraId="3BD2C218"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192720" w:rsidRPr="000A5025" w14:paraId="60360BE1"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1F6CE5E4" w14:textId="2578C67D" w:rsidR="00192720" w:rsidRPr="00D655E9" w:rsidRDefault="00192720" w:rsidP="00CC60F7">
            <w:pPr>
              <w:rPr>
                <w:rFonts w:ascii="Arial" w:hAnsi="Arial" w:cs="Arial"/>
                <w:color w:val="000000" w:themeColor="text1"/>
              </w:rPr>
            </w:pPr>
            <w:r w:rsidRPr="00D655E9">
              <w:rPr>
                <w:rFonts w:ascii="Arial" w:hAnsi="Arial" w:cs="Arial"/>
                <w:color w:val="000000" w:themeColor="text1"/>
              </w:rPr>
              <w:t>Metadata item type</w:t>
            </w:r>
          </w:p>
        </w:tc>
        <w:tc>
          <w:tcPr>
            <w:tcW w:w="4061" w:type="dxa"/>
            <w:shd w:val="clear" w:color="auto" w:fill="auto"/>
          </w:tcPr>
          <w:p w14:paraId="2FBC2722" w14:textId="77777777" w:rsidR="00192720" w:rsidRPr="00D655E9" w:rsidRDefault="00192720" w:rsidP="00CC60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D655E9">
              <w:rPr>
                <w:rFonts w:ascii="Arial" w:hAnsi="Arial" w:cs="Arial"/>
                <w:b w:val="0"/>
                <w:bCs/>
                <w:color w:val="000000" w:themeColor="text1"/>
              </w:rPr>
              <w:t>Object Class</w:t>
            </w:r>
          </w:p>
        </w:tc>
      </w:tr>
      <w:tr w:rsidR="00192720" w:rsidRPr="000A5025" w14:paraId="5F90B6B7"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1472B05A" w14:textId="25636AF9" w:rsidR="00192720" w:rsidRPr="000A5025" w:rsidRDefault="00192720" w:rsidP="00CC60F7">
            <w:pPr>
              <w:rPr>
                <w:rFonts w:ascii="Arial" w:hAnsi="Arial" w:cs="Arial"/>
              </w:rPr>
            </w:pPr>
            <w:r w:rsidRPr="000A5025">
              <w:rPr>
                <w:rFonts w:ascii="Arial" w:hAnsi="Arial" w:cs="Arial"/>
              </w:rPr>
              <w:t>Definition</w:t>
            </w:r>
          </w:p>
        </w:tc>
        <w:tc>
          <w:tcPr>
            <w:tcW w:w="4061" w:type="dxa"/>
          </w:tcPr>
          <w:p w14:paraId="0EE4189B" w14:textId="1A77F7A8" w:rsidR="00192720" w:rsidRPr="000A5025"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A period of time during which a patient receives health care which is relevant to a Clinical Quality Registry</w:t>
            </w:r>
          </w:p>
        </w:tc>
      </w:tr>
      <w:tr w:rsidR="00192720" w:rsidRPr="000A5025" w14:paraId="2F8F4E5A" w14:textId="77777777" w:rsidTr="00CC60F7">
        <w:tc>
          <w:tcPr>
            <w:cnfStyle w:val="001000000000" w:firstRow="0" w:lastRow="0" w:firstColumn="1" w:lastColumn="0" w:oddVBand="0" w:evenVBand="0" w:oddHBand="0" w:evenHBand="0" w:firstRowFirstColumn="0" w:firstRowLastColumn="0" w:lastRowFirstColumn="0" w:lastRowLastColumn="0"/>
            <w:tcW w:w="4092" w:type="dxa"/>
          </w:tcPr>
          <w:p w14:paraId="4DBE8477" w14:textId="51393375" w:rsidR="00192720" w:rsidRPr="000A5025" w:rsidRDefault="00192720" w:rsidP="00CC60F7">
            <w:pPr>
              <w:rPr>
                <w:rFonts w:ascii="Arial" w:hAnsi="Arial" w:cs="Arial"/>
              </w:rPr>
            </w:pPr>
            <w:r w:rsidRPr="000A5025">
              <w:rPr>
                <w:rFonts w:ascii="Arial" w:hAnsi="Arial" w:cs="Arial"/>
              </w:rPr>
              <w:t>Specialisation of</w:t>
            </w:r>
            <w:r w:rsidR="00910847">
              <w:rPr>
                <w:rFonts w:ascii="Arial" w:hAnsi="Arial" w:cs="Arial"/>
              </w:rPr>
              <w:t xml:space="preserve"> ...</w:t>
            </w:r>
          </w:p>
        </w:tc>
        <w:tc>
          <w:tcPr>
            <w:tcW w:w="4061" w:type="dxa"/>
          </w:tcPr>
          <w:p w14:paraId="20EC97FB" w14:textId="77777777" w:rsidR="00192720" w:rsidRPr="000A5025" w:rsidRDefault="00192720" w:rsidP="00CC60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Service episode</w:t>
            </w:r>
          </w:p>
        </w:tc>
      </w:tr>
    </w:tbl>
    <w:p w14:paraId="31EA1CF2" w14:textId="08E6C6F3" w:rsidR="00192720" w:rsidRPr="009A6C5C" w:rsidRDefault="00CC60F7" w:rsidP="00192720">
      <w:pPr>
        <w:pStyle w:val="Heading3"/>
      </w:pPr>
      <w:bookmarkStart w:id="669" w:name="_Ref310340906"/>
      <w:bookmarkStart w:id="670" w:name="_Ref310428521"/>
      <w:bookmarkStart w:id="671" w:name="_Toc158584022"/>
      <w:bookmarkStart w:id="672" w:name="_Toc159324795"/>
      <w:bookmarkStart w:id="673" w:name="_Toc175550415"/>
      <w:bookmarkStart w:id="674" w:name="_Ref310255882"/>
      <w:r>
        <w:t xml:space="preserve">6.3.28 </w:t>
      </w:r>
      <w:r w:rsidR="00192720" w:rsidRPr="009A6C5C">
        <w:t>Registry episode</w:t>
      </w:r>
      <w:r w:rsidR="00192720">
        <w:t xml:space="preserve"> – </w:t>
      </w:r>
      <w:r w:rsidR="00192720" w:rsidRPr="009A6C5C">
        <w:t>opt-out date</w:t>
      </w:r>
      <w:bookmarkEnd w:id="669"/>
      <w:bookmarkEnd w:id="670"/>
      <w:bookmarkEnd w:id="671"/>
      <w:bookmarkEnd w:id="672"/>
      <w:bookmarkEnd w:id="673"/>
    </w:p>
    <w:p w14:paraId="7D652BC7"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442F7" w:rsidRPr="000A5025" w14:paraId="199C2344"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2D4D7684" w14:textId="3C71BC16" w:rsidR="00C442F7" w:rsidRPr="00D655E9" w:rsidRDefault="00C442F7" w:rsidP="00C442F7">
            <w:pPr>
              <w:rPr>
                <w:rFonts w:ascii="Arial" w:hAnsi="Arial" w:cs="Arial"/>
                <w:color w:val="000000" w:themeColor="text1"/>
              </w:rPr>
            </w:pPr>
            <w:r w:rsidRPr="00D655E9">
              <w:rPr>
                <w:rFonts w:ascii="Arial" w:hAnsi="Arial" w:cs="Arial"/>
                <w:color w:val="000000" w:themeColor="text1"/>
              </w:rPr>
              <w:t>Metadata item type</w:t>
            </w:r>
          </w:p>
        </w:tc>
        <w:tc>
          <w:tcPr>
            <w:tcW w:w="4061" w:type="dxa"/>
            <w:shd w:val="clear" w:color="auto" w:fill="auto"/>
          </w:tcPr>
          <w:p w14:paraId="0FC87E26" w14:textId="77777777" w:rsidR="00C442F7" w:rsidRPr="00D655E9" w:rsidRDefault="00C442F7" w:rsidP="00C442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D655E9">
              <w:rPr>
                <w:rFonts w:ascii="Arial" w:hAnsi="Arial" w:cs="Arial"/>
                <w:b w:val="0"/>
                <w:bCs/>
                <w:color w:val="000000" w:themeColor="text1"/>
              </w:rPr>
              <w:t>Data Element</w:t>
            </w:r>
          </w:p>
        </w:tc>
      </w:tr>
      <w:tr w:rsidR="00C442F7" w:rsidRPr="000A5025" w14:paraId="037CCE50"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1601A8AB" w14:textId="7249610B" w:rsidR="00C442F7" w:rsidRPr="000A5025" w:rsidRDefault="00C442F7" w:rsidP="00C442F7">
            <w:pPr>
              <w:rPr>
                <w:rFonts w:ascii="Arial" w:hAnsi="Arial" w:cs="Arial"/>
              </w:rPr>
            </w:pPr>
            <w:r w:rsidRPr="000A5025">
              <w:rPr>
                <w:rFonts w:ascii="Arial" w:hAnsi="Arial" w:cs="Arial"/>
              </w:rPr>
              <w:t>Definition</w:t>
            </w:r>
          </w:p>
        </w:tc>
        <w:tc>
          <w:tcPr>
            <w:tcW w:w="4061" w:type="dxa"/>
          </w:tcPr>
          <w:p w14:paraId="58B06E1A" w14:textId="0764ADF1"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 xml:space="preserve">The date on which a patient elected that all the associated records for a particular episode </w:t>
            </w:r>
            <w:r>
              <w:rPr>
                <w:rFonts w:ascii="Arial" w:hAnsi="Arial" w:cs="Arial"/>
              </w:rPr>
              <w:t xml:space="preserve">shall </w:t>
            </w:r>
            <w:r w:rsidRPr="000A5025">
              <w:rPr>
                <w:rFonts w:ascii="Arial" w:hAnsi="Arial" w:cs="Arial"/>
              </w:rPr>
              <w:t>not be included in the Clinical Quality Registry reports</w:t>
            </w:r>
          </w:p>
        </w:tc>
      </w:tr>
    </w:tbl>
    <w:p w14:paraId="660397FF" w14:textId="77777777" w:rsidR="00192720" w:rsidRPr="009A6C5C" w:rsidRDefault="00192720" w:rsidP="00CC60F7"/>
    <w:p w14:paraId="32EAEFAC" w14:textId="77777777" w:rsidR="00192720" w:rsidRPr="009A6C5C" w:rsidRDefault="00192720" w:rsidP="00CC60F7">
      <w:r w:rsidRPr="009A6C5C">
        <w:t>Representational attributes</w:t>
      </w:r>
    </w:p>
    <w:tbl>
      <w:tblPr>
        <w:tblStyle w:val="SurveyQuestions"/>
        <w:tblW w:w="0" w:type="auto"/>
        <w:tblLook w:val="04A0" w:firstRow="1" w:lastRow="0" w:firstColumn="1" w:lastColumn="0" w:noHBand="0" w:noVBand="1"/>
      </w:tblPr>
      <w:tblGrid>
        <w:gridCol w:w="4092"/>
        <w:gridCol w:w="4061"/>
      </w:tblGrid>
      <w:tr w:rsidR="00C442F7" w:rsidRPr="000A5025" w14:paraId="62FAB069"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9F971BF" w14:textId="041CE706" w:rsidR="00C442F7" w:rsidRPr="00D655E9" w:rsidRDefault="00C442F7" w:rsidP="00C442F7">
            <w:pPr>
              <w:rPr>
                <w:rFonts w:ascii="Arial" w:hAnsi="Arial" w:cs="Arial"/>
                <w:color w:val="000000" w:themeColor="text1"/>
              </w:rPr>
            </w:pPr>
            <w:r w:rsidRPr="00D655E9">
              <w:rPr>
                <w:rFonts w:ascii="Arial" w:hAnsi="Arial" w:cs="Arial"/>
                <w:color w:val="000000" w:themeColor="text1"/>
              </w:rPr>
              <w:t>Representation class</w:t>
            </w:r>
          </w:p>
        </w:tc>
        <w:tc>
          <w:tcPr>
            <w:tcW w:w="4061" w:type="dxa"/>
            <w:shd w:val="clear" w:color="auto" w:fill="auto"/>
          </w:tcPr>
          <w:p w14:paraId="718DAB8A" w14:textId="77777777" w:rsidR="00C442F7" w:rsidRPr="00D655E9" w:rsidRDefault="00C442F7" w:rsidP="00C442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D655E9">
              <w:rPr>
                <w:rFonts w:ascii="Arial" w:hAnsi="Arial" w:cs="Arial"/>
                <w:b w:val="0"/>
                <w:bCs/>
                <w:color w:val="000000" w:themeColor="text1"/>
              </w:rPr>
              <w:t>Date</w:t>
            </w:r>
          </w:p>
        </w:tc>
      </w:tr>
      <w:tr w:rsidR="00C442F7" w:rsidRPr="000A5025" w14:paraId="7095E9E6"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464E9FE9" w14:textId="63D7869A" w:rsidR="00C442F7" w:rsidRPr="000A5025" w:rsidRDefault="00C442F7" w:rsidP="00C442F7">
            <w:pPr>
              <w:rPr>
                <w:rFonts w:ascii="Arial" w:hAnsi="Arial" w:cs="Arial"/>
              </w:rPr>
            </w:pPr>
            <w:r w:rsidRPr="000A5025">
              <w:rPr>
                <w:rFonts w:ascii="Arial" w:hAnsi="Arial" w:cs="Arial"/>
              </w:rPr>
              <w:t>Data type</w:t>
            </w:r>
          </w:p>
        </w:tc>
        <w:tc>
          <w:tcPr>
            <w:tcW w:w="4061" w:type="dxa"/>
          </w:tcPr>
          <w:p w14:paraId="5159797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Date/Time</w:t>
            </w:r>
          </w:p>
        </w:tc>
      </w:tr>
      <w:tr w:rsidR="00C442F7" w:rsidRPr="000A5025" w14:paraId="05F17CEF"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423B1FAE" w14:textId="5E53AF57" w:rsidR="00C442F7" w:rsidRPr="000A5025" w:rsidRDefault="00C442F7" w:rsidP="00C442F7">
            <w:pPr>
              <w:rPr>
                <w:rFonts w:ascii="Arial" w:hAnsi="Arial" w:cs="Arial"/>
              </w:rPr>
            </w:pPr>
            <w:r w:rsidRPr="000A5025">
              <w:rPr>
                <w:rFonts w:ascii="Arial" w:hAnsi="Arial" w:cs="Arial"/>
              </w:rPr>
              <w:t>Format</w:t>
            </w:r>
          </w:p>
        </w:tc>
        <w:tc>
          <w:tcPr>
            <w:tcW w:w="4061" w:type="dxa"/>
          </w:tcPr>
          <w:p w14:paraId="713B2B1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DDMMYYYY</w:t>
            </w:r>
          </w:p>
        </w:tc>
      </w:tr>
      <w:tr w:rsidR="00C442F7" w:rsidRPr="000A5025" w14:paraId="6CA43DF4"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1C52934D" w14:textId="4B7A7DF0" w:rsidR="00C442F7" w:rsidRPr="000A5025" w:rsidRDefault="00C442F7" w:rsidP="00C442F7">
            <w:pPr>
              <w:rPr>
                <w:rFonts w:ascii="Arial" w:hAnsi="Arial" w:cs="Arial"/>
              </w:rPr>
            </w:pPr>
            <w:r w:rsidRPr="000A5025">
              <w:rPr>
                <w:rFonts w:ascii="Arial" w:hAnsi="Arial" w:cs="Arial"/>
              </w:rPr>
              <w:t>Maximum character length</w:t>
            </w:r>
          </w:p>
        </w:tc>
        <w:tc>
          <w:tcPr>
            <w:tcW w:w="4061" w:type="dxa"/>
          </w:tcPr>
          <w:p w14:paraId="26E9A67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8</w:t>
            </w:r>
          </w:p>
        </w:tc>
      </w:tr>
    </w:tbl>
    <w:p w14:paraId="73E9BD36" w14:textId="3BBA2187" w:rsidR="00192720" w:rsidRPr="009A6C5C" w:rsidRDefault="00CC60F7" w:rsidP="00192720">
      <w:pPr>
        <w:pStyle w:val="Heading3"/>
      </w:pPr>
      <w:bookmarkStart w:id="675" w:name="_Ref312068519"/>
      <w:bookmarkStart w:id="676" w:name="_Toc158584023"/>
      <w:bookmarkStart w:id="677" w:name="_Toc159324796"/>
      <w:bookmarkStart w:id="678" w:name="_Toc175550416"/>
      <w:bookmarkEnd w:id="674"/>
      <w:r>
        <w:t xml:space="preserve">6.3.29 </w:t>
      </w:r>
      <w:r w:rsidR="00192720" w:rsidRPr="009A6C5C">
        <w:t>Service provider organisation</w:t>
      </w:r>
      <w:bookmarkEnd w:id="668"/>
      <w:bookmarkEnd w:id="675"/>
      <w:bookmarkEnd w:id="676"/>
      <w:bookmarkEnd w:id="677"/>
      <w:bookmarkEnd w:id="678"/>
    </w:p>
    <w:p w14:paraId="690CBF52"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66"/>
        <w:gridCol w:w="4087"/>
      </w:tblGrid>
      <w:tr w:rsidR="00C442F7" w:rsidRPr="000A5025" w14:paraId="4B773589" w14:textId="77777777" w:rsidTr="00D655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6" w:type="dxa"/>
            <w:shd w:val="clear" w:color="auto" w:fill="E6F1F8" w:themeFill="accent2"/>
          </w:tcPr>
          <w:p w14:paraId="29148CA0" w14:textId="353E3828" w:rsidR="00C442F7" w:rsidRPr="00D655E9" w:rsidRDefault="00C442F7" w:rsidP="00C442F7">
            <w:pPr>
              <w:rPr>
                <w:color w:val="000000" w:themeColor="text1"/>
              </w:rPr>
            </w:pPr>
            <w:r w:rsidRPr="00D655E9">
              <w:rPr>
                <w:color w:val="000000" w:themeColor="text1"/>
              </w:rPr>
              <w:t>Metadata item type</w:t>
            </w:r>
          </w:p>
        </w:tc>
        <w:tc>
          <w:tcPr>
            <w:tcW w:w="4087" w:type="dxa"/>
            <w:shd w:val="clear" w:color="auto" w:fill="auto"/>
          </w:tcPr>
          <w:p w14:paraId="146395D1" w14:textId="77777777" w:rsidR="00C442F7" w:rsidRPr="00D655E9" w:rsidRDefault="00C442F7" w:rsidP="00C442F7">
            <w:pPr>
              <w:cnfStyle w:val="100000000000" w:firstRow="1" w:lastRow="0" w:firstColumn="0" w:lastColumn="0" w:oddVBand="0" w:evenVBand="0" w:oddHBand="0" w:evenHBand="0" w:firstRowFirstColumn="0" w:firstRowLastColumn="0" w:lastRowFirstColumn="0" w:lastRowLastColumn="0"/>
              <w:rPr>
                <w:b w:val="0"/>
                <w:bCs/>
                <w:color w:val="000000" w:themeColor="text1"/>
              </w:rPr>
            </w:pPr>
            <w:r w:rsidRPr="00D655E9">
              <w:rPr>
                <w:b w:val="0"/>
                <w:bCs/>
                <w:color w:val="000000" w:themeColor="text1"/>
              </w:rPr>
              <w:t>Object Class</w:t>
            </w:r>
          </w:p>
        </w:tc>
      </w:tr>
      <w:tr w:rsidR="00C442F7" w:rsidRPr="000A5025" w14:paraId="7A9DBC91" w14:textId="77777777" w:rsidTr="00C442F7">
        <w:tc>
          <w:tcPr>
            <w:cnfStyle w:val="001000000000" w:firstRow="0" w:lastRow="0" w:firstColumn="1" w:lastColumn="0" w:oddVBand="0" w:evenVBand="0" w:oddHBand="0" w:evenHBand="0" w:firstRowFirstColumn="0" w:firstRowLastColumn="0" w:lastRowFirstColumn="0" w:lastRowLastColumn="0"/>
            <w:tcW w:w="4066" w:type="dxa"/>
          </w:tcPr>
          <w:p w14:paraId="374DB4F8" w14:textId="2EFD1373" w:rsidR="00C442F7" w:rsidRPr="000A5025" w:rsidRDefault="00C442F7" w:rsidP="00C442F7">
            <w:r w:rsidRPr="000A5025">
              <w:t>METeOR link</w:t>
            </w:r>
          </w:p>
        </w:tc>
        <w:tc>
          <w:tcPr>
            <w:tcW w:w="4087" w:type="dxa"/>
          </w:tcPr>
          <w:p w14:paraId="3B244CA9" w14:textId="45D975B6" w:rsidR="00C442F7" w:rsidRPr="000A5025" w:rsidRDefault="00000000" w:rsidP="00C442F7">
            <w:pPr>
              <w:cnfStyle w:val="000000000000" w:firstRow="0" w:lastRow="0" w:firstColumn="0" w:lastColumn="0" w:oddVBand="0" w:evenVBand="0" w:oddHBand="0" w:evenHBand="0" w:firstRowFirstColumn="0" w:firstRowLastColumn="0" w:lastRowFirstColumn="0" w:lastRowLastColumn="0"/>
            </w:pPr>
            <w:hyperlink r:id="rId62" w:tooltip="Service provider organisation - METEOR" w:history="1">
              <w:r w:rsidR="00C442F7" w:rsidRPr="000A5025">
                <w:rPr>
                  <w:rStyle w:val="Hyperlink"/>
                  <w:rFonts w:ascii="Arial" w:hAnsi="Arial" w:cs="Arial"/>
                  <w:szCs w:val="22"/>
                </w:rPr>
                <w:t>Service provider organisation (aihw.gov.au)</w:t>
              </w:r>
            </w:hyperlink>
          </w:p>
        </w:tc>
      </w:tr>
    </w:tbl>
    <w:p w14:paraId="10580A54" w14:textId="62A65FF4" w:rsidR="00192720" w:rsidRPr="009A6C5C" w:rsidRDefault="00CC60F7" w:rsidP="00192720">
      <w:pPr>
        <w:pStyle w:val="Heading3"/>
      </w:pPr>
      <w:bookmarkStart w:id="679" w:name="_Ref310255827"/>
      <w:bookmarkStart w:id="680" w:name="_Ref310422076"/>
      <w:bookmarkStart w:id="681" w:name="_Toc158584024"/>
      <w:bookmarkStart w:id="682" w:name="_Toc159324797"/>
      <w:bookmarkStart w:id="683" w:name="_Toc175550417"/>
      <w:r>
        <w:lastRenderedPageBreak/>
        <w:t xml:space="preserve">6.3.30 </w:t>
      </w:r>
      <w:r w:rsidR="00192720" w:rsidRPr="009A6C5C">
        <w:t>Service provider organisation (name)</w:t>
      </w:r>
      <w:r w:rsidR="00192720">
        <w:t xml:space="preserve"> – </w:t>
      </w:r>
      <w:r w:rsidR="00192720" w:rsidRPr="009A6C5C">
        <w:t>organisation name</w:t>
      </w:r>
      <w:bookmarkEnd w:id="679"/>
      <w:bookmarkEnd w:id="680"/>
      <w:bookmarkEnd w:id="681"/>
      <w:bookmarkEnd w:id="682"/>
      <w:bookmarkEnd w:id="683"/>
    </w:p>
    <w:p w14:paraId="1C90F18A"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442F7" w:rsidRPr="000A5025" w14:paraId="7BC976A3" w14:textId="77777777" w:rsidTr="00145D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F8EF75F" w14:textId="3DDFF01B" w:rsidR="00C442F7" w:rsidRPr="00145DF9" w:rsidRDefault="00C442F7" w:rsidP="00C442F7">
            <w:pPr>
              <w:rPr>
                <w:rFonts w:ascii="Arial" w:hAnsi="Arial" w:cs="Arial"/>
                <w:color w:val="000000" w:themeColor="text1"/>
              </w:rPr>
            </w:pPr>
            <w:r w:rsidRPr="00145DF9">
              <w:rPr>
                <w:rFonts w:ascii="Arial" w:hAnsi="Arial" w:cs="Arial"/>
                <w:color w:val="000000" w:themeColor="text1"/>
              </w:rPr>
              <w:t>Metadata item type</w:t>
            </w:r>
          </w:p>
        </w:tc>
        <w:tc>
          <w:tcPr>
            <w:tcW w:w="4061" w:type="dxa"/>
            <w:shd w:val="clear" w:color="auto" w:fill="auto"/>
          </w:tcPr>
          <w:p w14:paraId="2AB4F937" w14:textId="77777777" w:rsidR="00C442F7" w:rsidRPr="00145DF9" w:rsidRDefault="00C442F7" w:rsidP="00C442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145DF9">
              <w:rPr>
                <w:rFonts w:ascii="Arial" w:hAnsi="Arial" w:cs="Arial"/>
                <w:b w:val="0"/>
                <w:bCs/>
                <w:color w:val="000000" w:themeColor="text1"/>
              </w:rPr>
              <w:t>Data Element</w:t>
            </w:r>
          </w:p>
        </w:tc>
      </w:tr>
      <w:tr w:rsidR="00C442F7" w:rsidRPr="000A5025" w14:paraId="4FFA4FC2"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7AD94C3D" w14:textId="530B00AB" w:rsidR="00C442F7" w:rsidRPr="000A5025" w:rsidRDefault="00C442F7" w:rsidP="00C442F7">
            <w:pPr>
              <w:rPr>
                <w:rFonts w:ascii="Arial" w:hAnsi="Arial" w:cs="Arial"/>
              </w:rPr>
            </w:pPr>
            <w:r w:rsidRPr="000A5025">
              <w:rPr>
                <w:rFonts w:ascii="Arial" w:hAnsi="Arial" w:cs="Arial"/>
              </w:rPr>
              <w:t>METeOR link</w:t>
            </w:r>
          </w:p>
        </w:tc>
        <w:tc>
          <w:tcPr>
            <w:tcW w:w="4061" w:type="dxa"/>
          </w:tcPr>
          <w:p w14:paraId="7D4EB81E" w14:textId="270F17FF" w:rsidR="00C442F7" w:rsidRPr="000A5025" w:rsidRDefault="00000000"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63" w:tooltip="Service provider organisation (name)—organisation name, text X[X(199)] - METEOR" w:history="1">
              <w:r w:rsidR="00C442F7" w:rsidRPr="000A5025">
                <w:rPr>
                  <w:rStyle w:val="Hyperlink"/>
                  <w:rFonts w:ascii="Arial" w:hAnsi="Arial" w:cs="Arial"/>
                  <w:szCs w:val="22"/>
                </w:rPr>
                <w:t>Service provider organisation (name)</w:t>
              </w:r>
              <w:r w:rsidR="00C442F7">
                <w:rPr>
                  <w:rStyle w:val="Hyperlink"/>
                  <w:rFonts w:ascii="Arial" w:hAnsi="Arial" w:cs="Arial"/>
                  <w:szCs w:val="22"/>
                </w:rPr>
                <w:t xml:space="preserve"> – </w:t>
              </w:r>
              <w:r w:rsidR="00C442F7" w:rsidRPr="000A5025">
                <w:rPr>
                  <w:rStyle w:val="Hyperlink"/>
                  <w:rFonts w:ascii="Arial" w:hAnsi="Arial" w:cs="Arial"/>
                  <w:szCs w:val="22"/>
                </w:rPr>
                <w:t>organisation name (aihw.gov.au)</w:t>
              </w:r>
            </w:hyperlink>
          </w:p>
        </w:tc>
      </w:tr>
    </w:tbl>
    <w:p w14:paraId="3B2578E0" w14:textId="139B79DC" w:rsidR="00192720" w:rsidRPr="009A6C5C" w:rsidRDefault="00CC60F7" w:rsidP="00192720">
      <w:pPr>
        <w:pStyle w:val="Heading3"/>
      </w:pPr>
      <w:bookmarkStart w:id="684" w:name="_Ref312068555"/>
      <w:bookmarkStart w:id="685" w:name="_Toc158584025"/>
      <w:bookmarkStart w:id="686" w:name="_Toc159324798"/>
      <w:bookmarkStart w:id="687" w:name="_Toc175550418"/>
      <w:r>
        <w:t xml:space="preserve">6.3.31 </w:t>
      </w:r>
      <w:r w:rsidR="00192720" w:rsidRPr="009A6C5C">
        <w:t>Service provider organisation (name)</w:t>
      </w:r>
      <w:r w:rsidR="00192720">
        <w:t xml:space="preserve"> – </w:t>
      </w:r>
      <w:r w:rsidR="00192720" w:rsidRPr="009A6C5C">
        <w:t>organisation identifier</w:t>
      </w:r>
      <w:bookmarkEnd w:id="684"/>
      <w:bookmarkEnd w:id="685"/>
      <w:bookmarkEnd w:id="686"/>
      <w:bookmarkEnd w:id="687"/>
    </w:p>
    <w:p w14:paraId="279AF521" w14:textId="77777777" w:rsidR="00192720" w:rsidRPr="009A6C5C" w:rsidRDefault="00192720" w:rsidP="00CC60F7">
      <w:r w:rsidRPr="009A6C5C">
        <w:t>Identifying and definitional attributes</w:t>
      </w:r>
    </w:p>
    <w:tbl>
      <w:tblPr>
        <w:tblStyle w:val="SurveyQuestions"/>
        <w:tblW w:w="0" w:type="auto"/>
        <w:tblLook w:val="04A0" w:firstRow="1" w:lastRow="0" w:firstColumn="1" w:lastColumn="0" w:noHBand="0" w:noVBand="1"/>
      </w:tblPr>
      <w:tblGrid>
        <w:gridCol w:w="4092"/>
        <w:gridCol w:w="4061"/>
      </w:tblGrid>
      <w:tr w:rsidR="00C442F7" w:rsidRPr="000A5025" w14:paraId="05015DA2" w14:textId="77777777" w:rsidTr="00145D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EBABEF6" w14:textId="68257730" w:rsidR="00C442F7" w:rsidRPr="00145DF9" w:rsidRDefault="00C442F7" w:rsidP="00C442F7">
            <w:pPr>
              <w:rPr>
                <w:rFonts w:ascii="Arial" w:hAnsi="Arial" w:cs="Arial"/>
                <w:color w:val="000000" w:themeColor="text1"/>
              </w:rPr>
            </w:pPr>
            <w:r w:rsidRPr="00145DF9">
              <w:rPr>
                <w:rFonts w:ascii="Arial" w:hAnsi="Arial" w:cs="Arial"/>
                <w:color w:val="000000" w:themeColor="text1"/>
              </w:rPr>
              <w:t>Metadata item type</w:t>
            </w:r>
          </w:p>
        </w:tc>
        <w:tc>
          <w:tcPr>
            <w:tcW w:w="4061" w:type="dxa"/>
            <w:shd w:val="clear" w:color="auto" w:fill="auto"/>
          </w:tcPr>
          <w:p w14:paraId="5D3CEA9C" w14:textId="77777777" w:rsidR="00C442F7" w:rsidRPr="00145DF9" w:rsidRDefault="00C442F7" w:rsidP="00C442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145DF9">
              <w:rPr>
                <w:rFonts w:ascii="Arial" w:hAnsi="Arial" w:cs="Arial"/>
                <w:b w:val="0"/>
                <w:bCs/>
                <w:color w:val="000000" w:themeColor="text1"/>
              </w:rPr>
              <w:t>Data Element</w:t>
            </w:r>
          </w:p>
        </w:tc>
      </w:tr>
      <w:tr w:rsidR="00C442F7" w:rsidRPr="000A5025" w14:paraId="1C353BC9"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2071C61A" w14:textId="005A48D4" w:rsidR="00C442F7" w:rsidRPr="000A5025" w:rsidRDefault="00C442F7" w:rsidP="00C442F7">
            <w:pPr>
              <w:rPr>
                <w:rFonts w:ascii="Arial" w:hAnsi="Arial" w:cs="Arial"/>
              </w:rPr>
            </w:pPr>
            <w:r w:rsidRPr="000A5025">
              <w:rPr>
                <w:rFonts w:ascii="Arial" w:hAnsi="Arial" w:cs="Arial"/>
              </w:rPr>
              <w:t>Definition</w:t>
            </w:r>
          </w:p>
        </w:tc>
        <w:tc>
          <w:tcPr>
            <w:tcW w:w="4061" w:type="dxa"/>
          </w:tcPr>
          <w:p w14:paraId="47C99A67" w14:textId="22A89F12"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The identifier for an organisation allocated by an establishment or agency</w:t>
            </w:r>
          </w:p>
        </w:tc>
      </w:tr>
    </w:tbl>
    <w:p w14:paraId="414343BE" w14:textId="77777777" w:rsidR="00192720" w:rsidRPr="009A6C5C" w:rsidRDefault="00192720" w:rsidP="00192720">
      <w:pPr>
        <w:pStyle w:val="BodyText"/>
      </w:pPr>
    </w:p>
    <w:p w14:paraId="4C8AB2EE" w14:textId="77777777" w:rsidR="00192720" w:rsidRPr="009A6C5C" w:rsidRDefault="00192720" w:rsidP="00CC60F7">
      <w:r w:rsidRPr="009A6C5C">
        <w:t>Representational attributes</w:t>
      </w:r>
    </w:p>
    <w:tbl>
      <w:tblPr>
        <w:tblStyle w:val="SurveyQuestions"/>
        <w:tblW w:w="0" w:type="auto"/>
        <w:tblLook w:val="04A0" w:firstRow="1" w:lastRow="0" w:firstColumn="1" w:lastColumn="0" w:noHBand="0" w:noVBand="1"/>
      </w:tblPr>
      <w:tblGrid>
        <w:gridCol w:w="4092"/>
        <w:gridCol w:w="4061"/>
      </w:tblGrid>
      <w:tr w:rsidR="00C442F7" w:rsidRPr="000A5025" w14:paraId="15D01D74" w14:textId="77777777" w:rsidTr="00145D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2" w:type="dxa"/>
            <w:shd w:val="clear" w:color="auto" w:fill="E6F1F8" w:themeFill="accent2"/>
          </w:tcPr>
          <w:p w14:paraId="7FFF254E" w14:textId="39EB35E8" w:rsidR="00C442F7" w:rsidRPr="00145DF9" w:rsidRDefault="00C442F7" w:rsidP="00C442F7">
            <w:pPr>
              <w:rPr>
                <w:rFonts w:ascii="Arial" w:hAnsi="Arial" w:cs="Arial"/>
                <w:color w:val="000000" w:themeColor="text1"/>
              </w:rPr>
            </w:pPr>
            <w:r w:rsidRPr="00145DF9">
              <w:rPr>
                <w:rFonts w:ascii="Arial" w:hAnsi="Arial" w:cs="Arial"/>
                <w:color w:val="000000" w:themeColor="text1"/>
              </w:rPr>
              <w:t>Representation class</w:t>
            </w:r>
          </w:p>
        </w:tc>
        <w:tc>
          <w:tcPr>
            <w:tcW w:w="4061" w:type="dxa"/>
            <w:shd w:val="clear" w:color="auto" w:fill="auto"/>
          </w:tcPr>
          <w:p w14:paraId="7A472129" w14:textId="77777777" w:rsidR="00C442F7" w:rsidRPr="00145DF9" w:rsidRDefault="00C442F7" w:rsidP="00C442F7">
            <w:pPr>
              <w:cnfStyle w:val="100000000000" w:firstRow="1" w:lastRow="0" w:firstColumn="0" w:lastColumn="0" w:oddVBand="0" w:evenVBand="0" w:oddHBand="0" w:evenHBand="0" w:firstRowFirstColumn="0" w:firstRowLastColumn="0" w:lastRowFirstColumn="0" w:lastRowLastColumn="0"/>
              <w:rPr>
                <w:rFonts w:ascii="Arial" w:hAnsi="Arial" w:cs="Arial"/>
                <w:b w:val="0"/>
                <w:bCs/>
                <w:color w:val="000000" w:themeColor="text1"/>
              </w:rPr>
            </w:pPr>
            <w:r w:rsidRPr="00145DF9">
              <w:rPr>
                <w:rFonts w:ascii="Arial" w:hAnsi="Arial" w:cs="Arial"/>
                <w:b w:val="0"/>
                <w:bCs/>
                <w:color w:val="000000" w:themeColor="text1"/>
              </w:rPr>
              <w:t>Text</w:t>
            </w:r>
          </w:p>
        </w:tc>
      </w:tr>
      <w:tr w:rsidR="00C442F7" w:rsidRPr="000A5025" w14:paraId="46476B68"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6C06B2D8" w14:textId="0F7FC845" w:rsidR="00C442F7" w:rsidRPr="000A5025" w:rsidRDefault="00C442F7" w:rsidP="00C442F7">
            <w:pPr>
              <w:rPr>
                <w:rFonts w:ascii="Arial" w:hAnsi="Arial" w:cs="Arial"/>
              </w:rPr>
            </w:pPr>
            <w:r w:rsidRPr="000A5025">
              <w:rPr>
                <w:rFonts w:ascii="Arial" w:hAnsi="Arial" w:cs="Arial"/>
              </w:rPr>
              <w:t>Data type</w:t>
            </w:r>
          </w:p>
        </w:tc>
        <w:tc>
          <w:tcPr>
            <w:tcW w:w="4061" w:type="dxa"/>
          </w:tcPr>
          <w:p w14:paraId="5808022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String</w:t>
            </w:r>
          </w:p>
        </w:tc>
      </w:tr>
      <w:tr w:rsidR="00C442F7" w:rsidRPr="000A5025" w14:paraId="05376605"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3CF05B6F" w14:textId="3432C161" w:rsidR="00C442F7" w:rsidRPr="000A5025" w:rsidRDefault="00C442F7" w:rsidP="00C442F7">
            <w:pPr>
              <w:rPr>
                <w:rFonts w:ascii="Arial" w:hAnsi="Arial" w:cs="Arial"/>
              </w:rPr>
            </w:pPr>
            <w:r w:rsidRPr="000A5025">
              <w:rPr>
                <w:rFonts w:ascii="Arial" w:hAnsi="Arial" w:cs="Arial"/>
              </w:rPr>
              <w:t>Format</w:t>
            </w:r>
          </w:p>
        </w:tc>
        <w:tc>
          <w:tcPr>
            <w:tcW w:w="4061" w:type="dxa"/>
          </w:tcPr>
          <w:p w14:paraId="6BF0855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X(20)</w:t>
            </w:r>
          </w:p>
        </w:tc>
      </w:tr>
      <w:tr w:rsidR="00C442F7" w:rsidRPr="000A5025" w14:paraId="6CF23334" w14:textId="77777777" w:rsidTr="00C442F7">
        <w:tc>
          <w:tcPr>
            <w:cnfStyle w:val="001000000000" w:firstRow="0" w:lastRow="0" w:firstColumn="1" w:lastColumn="0" w:oddVBand="0" w:evenVBand="0" w:oddHBand="0" w:evenHBand="0" w:firstRowFirstColumn="0" w:firstRowLastColumn="0" w:lastRowFirstColumn="0" w:lastRowLastColumn="0"/>
            <w:tcW w:w="4092" w:type="dxa"/>
          </w:tcPr>
          <w:p w14:paraId="39518F61" w14:textId="1A317690" w:rsidR="00C442F7" w:rsidRPr="000A5025" w:rsidRDefault="00C442F7" w:rsidP="00C442F7">
            <w:pPr>
              <w:rPr>
                <w:rFonts w:ascii="Arial" w:hAnsi="Arial" w:cs="Arial"/>
              </w:rPr>
            </w:pPr>
            <w:r w:rsidRPr="000A5025">
              <w:rPr>
                <w:rFonts w:ascii="Arial" w:hAnsi="Arial" w:cs="Arial"/>
              </w:rPr>
              <w:t>Maximum character length</w:t>
            </w:r>
          </w:p>
        </w:tc>
        <w:tc>
          <w:tcPr>
            <w:tcW w:w="4061" w:type="dxa"/>
          </w:tcPr>
          <w:p w14:paraId="08F6539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025">
              <w:rPr>
                <w:rFonts w:ascii="Arial" w:hAnsi="Arial" w:cs="Arial"/>
              </w:rPr>
              <w:t>20</w:t>
            </w:r>
          </w:p>
        </w:tc>
      </w:tr>
    </w:tbl>
    <w:p w14:paraId="22A34030" w14:textId="77777777" w:rsidR="00192720" w:rsidRDefault="00192720" w:rsidP="00192720"/>
    <w:p w14:paraId="43F83A2A" w14:textId="1EFCEDF2" w:rsidR="00C442F7" w:rsidRPr="0043328E" w:rsidRDefault="00C442F7" w:rsidP="00C442F7">
      <w:pPr>
        <w:pStyle w:val="Heading1"/>
      </w:pPr>
      <w:bookmarkStart w:id="688" w:name="_Appendix_A_–"/>
      <w:bookmarkEnd w:id="688"/>
      <w:r>
        <w:br w:type="page"/>
      </w:r>
      <w:bookmarkStart w:id="689" w:name="_Toc158584026"/>
      <w:bookmarkStart w:id="690" w:name="_Toc159324799"/>
      <w:bookmarkStart w:id="691" w:name="_Toc175550419"/>
      <w:r>
        <w:lastRenderedPageBreak/>
        <w:t>Appendix A</w:t>
      </w:r>
      <w:r w:rsidR="00D1577E">
        <w:t>:</w:t>
      </w:r>
      <w:r>
        <w:t xml:space="preserve"> Detailed requirements traceability matrix</w:t>
      </w:r>
      <w:bookmarkEnd w:id="689"/>
      <w:bookmarkEnd w:id="690"/>
      <w:bookmarkEnd w:id="691"/>
    </w:p>
    <w:tbl>
      <w:tblPr>
        <w:tblStyle w:val="SurveyQuestions"/>
        <w:tblW w:w="9351" w:type="dxa"/>
        <w:tblLayout w:type="fixed"/>
        <w:tblLook w:val="04A0" w:firstRow="1" w:lastRow="0" w:firstColumn="1" w:lastColumn="0" w:noHBand="0" w:noVBand="1"/>
      </w:tblPr>
      <w:tblGrid>
        <w:gridCol w:w="1653"/>
        <w:gridCol w:w="1241"/>
        <w:gridCol w:w="2063"/>
        <w:gridCol w:w="4394"/>
      </w:tblGrid>
      <w:tr w:rsidR="00C442F7" w:rsidRPr="002227F1" w14:paraId="0B54482B" w14:textId="77777777" w:rsidTr="00100CED">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653" w:type="dxa"/>
          </w:tcPr>
          <w:p w14:paraId="24DC29E9" w14:textId="77777777" w:rsidR="00C442F7" w:rsidRPr="00AA1ED8" w:rsidRDefault="00C442F7" w:rsidP="00F07AF8">
            <w:pPr>
              <w:spacing w:before="40" w:after="40"/>
              <w:rPr>
                <w:rFonts w:cs="Arial"/>
                <w:color w:val="FFFFFF" w:themeColor="background1"/>
                <w:szCs w:val="22"/>
              </w:rPr>
            </w:pPr>
            <w:r w:rsidRPr="00AA1ED8">
              <w:rPr>
                <w:rFonts w:cs="Arial"/>
                <w:color w:val="FFFFFF" w:themeColor="background1"/>
                <w:szCs w:val="22"/>
              </w:rPr>
              <w:t>Section</w:t>
            </w:r>
          </w:p>
        </w:tc>
        <w:tc>
          <w:tcPr>
            <w:tcW w:w="1241" w:type="dxa"/>
          </w:tcPr>
          <w:p w14:paraId="2D40A284" w14:textId="77777777" w:rsidR="00C442F7" w:rsidRPr="00AA1ED8" w:rsidRDefault="00C442F7" w:rsidP="00F07AF8">
            <w:pPr>
              <w:spacing w:before="40" w:after="40"/>
              <w:cnfStyle w:val="100000000000" w:firstRow="1" w:lastRow="0" w:firstColumn="0" w:lastColumn="0" w:oddVBand="0" w:evenVBand="0" w:oddHBand="0" w:evenHBand="0" w:firstRowFirstColumn="0" w:firstRowLastColumn="0" w:lastRowFirstColumn="0" w:lastRowLastColumn="0"/>
              <w:rPr>
                <w:rFonts w:cs="Arial"/>
                <w:iCs/>
                <w:color w:val="FFFFFF" w:themeColor="background1"/>
              </w:rPr>
            </w:pPr>
            <w:r w:rsidRPr="00AA1ED8">
              <w:rPr>
                <w:rFonts w:cs="Arial"/>
                <w:color w:val="FFFFFF" w:themeColor="background1"/>
                <w:szCs w:val="22"/>
              </w:rPr>
              <w:t>Identifier</w:t>
            </w:r>
          </w:p>
        </w:tc>
        <w:tc>
          <w:tcPr>
            <w:tcW w:w="2063" w:type="dxa"/>
          </w:tcPr>
          <w:p w14:paraId="23A777C0" w14:textId="77777777" w:rsidR="00C442F7" w:rsidRPr="00AA1ED8" w:rsidRDefault="00C442F7" w:rsidP="00F07AF8">
            <w:pPr>
              <w:spacing w:before="40" w:after="40"/>
              <w:cnfStyle w:val="100000000000" w:firstRow="1" w:lastRow="0" w:firstColumn="0" w:lastColumn="0" w:oddVBand="0" w:evenVBand="0" w:oddHBand="0" w:evenHBand="0" w:firstRowFirstColumn="0" w:firstRowLastColumn="0" w:lastRowFirstColumn="0" w:lastRowLastColumn="0"/>
              <w:rPr>
                <w:rFonts w:cs="Arial"/>
                <w:iCs/>
                <w:color w:val="FFFFFF" w:themeColor="background1"/>
              </w:rPr>
            </w:pPr>
            <w:r w:rsidRPr="00AA1ED8">
              <w:rPr>
                <w:rFonts w:cs="Arial"/>
                <w:iCs/>
                <w:color w:val="FFFFFF" w:themeColor="background1"/>
              </w:rPr>
              <w:t>Summary</w:t>
            </w:r>
          </w:p>
        </w:tc>
        <w:tc>
          <w:tcPr>
            <w:tcW w:w="4394" w:type="dxa"/>
          </w:tcPr>
          <w:p w14:paraId="6AA9B366" w14:textId="77777777" w:rsidR="00C442F7" w:rsidRPr="00AA1ED8" w:rsidRDefault="00C442F7" w:rsidP="00F07AF8">
            <w:pPr>
              <w:spacing w:before="40" w:after="40"/>
              <w:cnfStyle w:val="100000000000" w:firstRow="1" w:lastRow="0" w:firstColumn="0" w:lastColumn="0" w:oddVBand="0" w:evenVBand="0" w:oddHBand="0" w:evenHBand="0" w:firstRowFirstColumn="0" w:firstRowLastColumn="0" w:lastRowFirstColumn="0" w:lastRowLastColumn="0"/>
              <w:rPr>
                <w:rFonts w:cs="Arial"/>
                <w:iCs/>
                <w:color w:val="FFFFFF" w:themeColor="background1"/>
              </w:rPr>
            </w:pPr>
            <w:r w:rsidRPr="00AA1ED8">
              <w:rPr>
                <w:rFonts w:cs="Arial"/>
                <w:iCs/>
                <w:color w:val="FFFFFF" w:themeColor="background1"/>
              </w:rPr>
              <w:t>Detail</w:t>
            </w:r>
          </w:p>
        </w:tc>
      </w:tr>
      <w:tr w:rsidR="00C442F7" w:rsidRPr="002227F1" w14:paraId="1FD19E81" w14:textId="77777777" w:rsidTr="00100CED">
        <w:tc>
          <w:tcPr>
            <w:cnfStyle w:val="001000000000" w:firstRow="0" w:lastRow="0" w:firstColumn="1" w:lastColumn="0" w:oddVBand="0" w:evenVBand="0" w:oddHBand="0" w:evenHBand="0" w:firstRowFirstColumn="0" w:firstRowLastColumn="0" w:lastRowFirstColumn="0" w:lastRowLastColumn="0"/>
            <w:tcW w:w="9351" w:type="dxa"/>
            <w:gridSpan w:val="4"/>
          </w:tcPr>
          <w:p w14:paraId="3B61539E" w14:textId="77777777" w:rsidR="00C442F7" w:rsidRPr="005F1B6C" w:rsidRDefault="00C442F7" w:rsidP="00F07AF8">
            <w:pPr>
              <w:spacing w:before="40" w:after="40"/>
              <w:rPr>
                <w:rFonts w:cs="Arial"/>
                <w:b w:val="0"/>
              </w:rPr>
            </w:pPr>
            <w:r w:rsidRPr="00C442F7">
              <w:rPr>
                <w:rFonts w:cs="Arial"/>
                <w:color w:val="000000" w:themeColor="text1"/>
              </w:rPr>
              <w:t>2.1 Data Custodianship</w:t>
            </w:r>
          </w:p>
        </w:tc>
      </w:tr>
      <w:tr w:rsidR="00C442F7" w:rsidRPr="002227F1" w14:paraId="55022D2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47BA86FE" w14:textId="77777777" w:rsidR="00C442F7" w:rsidRPr="000A5025" w:rsidRDefault="00C442F7" w:rsidP="00C442F7">
            <w:r>
              <w:t>2.1.1 Define purpose</w:t>
            </w:r>
          </w:p>
        </w:tc>
        <w:tc>
          <w:tcPr>
            <w:tcW w:w="1241" w:type="dxa"/>
          </w:tcPr>
          <w:p w14:paraId="59D986B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pPr>
            <w:r w:rsidRPr="000A5025">
              <w:t>B09</w:t>
            </w:r>
          </w:p>
        </w:tc>
        <w:tc>
          <w:tcPr>
            <w:tcW w:w="2063" w:type="dxa"/>
          </w:tcPr>
          <w:p w14:paraId="091280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Identifying information to support </w:t>
            </w:r>
            <w:r>
              <w:rPr>
                <w:bCs/>
              </w:rPr>
              <w:t>CQR</w:t>
            </w:r>
            <w:r w:rsidRPr="002227F1">
              <w:rPr>
                <w:bCs/>
              </w:rPr>
              <w:t xml:space="preserve"> purpose</w:t>
            </w:r>
          </w:p>
        </w:tc>
        <w:tc>
          <w:tcPr>
            <w:tcW w:w="4394" w:type="dxa"/>
          </w:tcPr>
          <w:p w14:paraId="25CD6E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collect sufficient patient</w:t>
            </w:r>
            <w:r>
              <w:rPr>
                <w:bCs/>
              </w:rPr>
              <w:t>-</w:t>
            </w:r>
            <w:r w:rsidRPr="002227F1">
              <w:rPr>
                <w:bCs/>
              </w:rPr>
              <w:t>identifying information to support the registry's stated purpose</w:t>
            </w:r>
            <w:r>
              <w:rPr>
                <w:bCs/>
              </w:rPr>
              <w:t>.</w:t>
            </w:r>
          </w:p>
        </w:tc>
      </w:tr>
      <w:tr w:rsidR="00C442F7" w:rsidRPr="002227F1" w14:paraId="5923857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F89FBC4" w14:textId="77777777" w:rsidR="00C442F7" w:rsidRPr="000A5025" w:rsidRDefault="00C442F7" w:rsidP="00C442F7"/>
        </w:tc>
        <w:tc>
          <w:tcPr>
            <w:tcW w:w="1241" w:type="dxa"/>
          </w:tcPr>
          <w:p w14:paraId="7B8C718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pPr>
            <w:r w:rsidRPr="000A5025">
              <w:t>B22</w:t>
            </w:r>
          </w:p>
        </w:tc>
        <w:tc>
          <w:tcPr>
            <w:tcW w:w="2063" w:type="dxa"/>
          </w:tcPr>
          <w:p w14:paraId="55ED4F3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Public information about </w:t>
            </w:r>
            <w:r>
              <w:rPr>
                <w:bCs/>
              </w:rPr>
              <w:t>CQR</w:t>
            </w:r>
            <w:r w:rsidRPr="002227F1">
              <w:rPr>
                <w:bCs/>
              </w:rPr>
              <w:t xml:space="preserve"> purpose</w:t>
            </w:r>
          </w:p>
        </w:tc>
        <w:tc>
          <w:tcPr>
            <w:tcW w:w="4394" w:type="dxa"/>
          </w:tcPr>
          <w:p w14:paraId="0C05E4B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make access to information about the </w:t>
            </w:r>
            <w:r>
              <w:rPr>
                <w:bCs/>
              </w:rPr>
              <w:t xml:space="preserve">quality improvement </w:t>
            </w:r>
            <w:r w:rsidRPr="002227F1">
              <w:rPr>
                <w:bCs/>
              </w:rPr>
              <w:t>benefits or value of each registry readily available to the public</w:t>
            </w:r>
            <w:r>
              <w:rPr>
                <w:bCs/>
              </w:rPr>
              <w:t>.</w:t>
            </w:r>
          </w:p>
        </w:tc>
      </w:tr>
      <w:tr w:rsidR="00C442F7" w:rsidRPr="002227F1" w14:paraId="2B1F3BD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42C2EE6E" w14:textId="77777777" w:rsidR="00C442F7" w:rsidRPr="000A5025" w:rsidRDefault="00C442F7" w:rsidP="00C442F7">
            <w:r>
              <w:t>2.1.2 Define scope</w:t>
            </w:r>
          </w:p>
        </w:tc>
        <w:tc>
          <w:tcPr>
            <w:tcW w:w="1241" w:type="dxa"/>
          </w:tcPr>
          <w:p w14:paraId="4B41DC8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0A5025">
              <w:t>B01</w:t>
            </w:r>
          </w:p>
        </w:tc>
        <w:tc>
          <w:tcPr>
            <w:tcW w:w="2063" w:type="dxa"/>
          </w:tcPr>
          <w:p w14:paraId="38B54C4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Publicly accessible eligibility criteria</w:t>
            </w:r>
          </w:p>
        </w:tc>
        <w:tc>
          <w:tcPr>
            <w:tcW w:w="4394" w:type="dxa"/>
          </w:tcPr>
          <w:p w14:paraId="1E3D277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make scope and eligibility criteria </w:t>
            </w:r>
            <w:r>
              <w:rPr>
                <w:bCs/>
              </w:rPr>
              <w:t>publicly accessible. A history of changes to eligibility criteria changes shall be available to support analysts and researchers.</w:t>
            </w:r>
          </w:p>
        </w:tc>
      </w:tr>
      <w:tr w:rsidR="00C442F7" w:rsidRPr="002227F1" w14:paraId="2C92155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846C758" w14:textId="77777777" w:rsidR="00C442F7" w:rsidRPr="000A5025" w:rsidRDefault="00C442F7" w:rsidP="00C442F7"/>
        </w:tc>
        <w:tc>
          <w:tcPr>
            <w:tcW w:w="1241" w:type="dxa"/>
          </w:tcPr>
          <w:p w14:paraId="7E5A75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0A5025">
              <w:t>B03</w:t>
            </w:r>
          </w:p>
        </w:tc>
        <w:tc>
          <w:tcPr>
            <w:tcW w:w="2063" w:type="dxa"/>
          </w:tcPr>
          <w:p w14:paraId="6F6AE1B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Entire eligible population</w:t>
            </w:r>
          </w:p>
        </w:tc>
        <w:tc>
          <w:tcPr>
            <w:tcW w:w="4394" w:type="dxa"/>
          </w:tcPr>
          <w:p w14:paraId="7261CA1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the ability to collect complete registry data from the entire eligible population</w:t>
            </w:r>
            <w:r>
              <w:rPr>
                <w:bCs/>
              </w:rPr>
              <w:t>.</w:t>
            </w:r>
          </w:p>
        </w:tc>
      </w:tr>
      <w:tr w:rsidR="00C442F7" w:rsidRPr="002227F1" w14:paraId="08CB9F8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B498DBB" w14:textId="77777777" w:rsidR="00C442F7" w:rsidRPr="000A5025" w:rsidRDefault="00C442F7" w:rsidP="00C442F7"/>
        </w:tc>
        <w:tc>
          <w:tcPr>
            <w:tcW w:w="1241" w:type="dxa"/>
          </w:tcPr>
          <w:p w14:paraId="4FCF4B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0A5025">
              <w:t>B04</w:t>
            </w:r>
          </w:p>
        </w:tc>
        <w:tc>
          <w:tcPr>
            <w:tcW w:w="2063" w:type="dxa"/>
          </w:tcPr>
          <w:p w14:paraId="5E7EFE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Right to opt-out</w:t>
            </w:r>
          </w:p>
        </w:tc>
        <w:tc>
          <w:tcPr>
            <w:tcW w:w="4394" w:type="dxa"/>
          </w:tcPr>
          <w:p w14:paraId="4902BAF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 xml:space="preserve">support and enable </w:t>
            </w:r>
            <w:r w:rsidRPr="002227F1">
              <w:rPr>
                <w:bCs/>
              </w:rPr>
              <w:t>the right of patients to opt-out</w:t>
            </w:r>
            <w:r>
              <w:rPr>
                <w:bCs/>
              </w:rPr>
              <w:t>.</w:t>
            </w:r>
          </w:p>
        </w:tc>
      </w:tr>
      <w:tr w:rsidR="00C442F7" w:rsidRPr="002227F1" w14:paraId="4E84BB5D" w14:textId="77777777" w:rsidTr="00100CED">
        <w:trPr>
          <w:trHeight w:val="812"/>
        </w:trPr>
        <w:tc>
          <w:tcPr>
            <w:cnfStyle w:val="001000000000" w:firstRow="0" w:lastRow="0" w:firstColumn="1" w:lastColumn="0" w:oddVBand="0" w:evenVBand="0" w:oddHBand="0" w:evenHBand="0" w:firstRowFirstColumn="0" w:firstRowLastColumn="0" w:lastRowFirstColumn="0" w:lastRowLastColumn="0"/>
            <w:tcW w:w="1653" w:type="dxa"/>
            <w:vMerge/>
          </w:tcPr>
          <w:p w14:paraId="06B3B2F2" w14:textId="77777777" w:rsidR="00C442F7" w:rsidRPr="000A5025" w:rsidRDefault="00C442F7" w:rsidP="00C442F7"/>
        </w:tc>
        <w:tc>
          <w:tcPr>
            <w:tcW w:w="1241" w:type="dxa"/>
          </w:tcPr>
          <w:p w14:paraId="36E4AA88" w14:textId="77777777" w:rsidR="00C442F7" w:rsidRPr="002227F1" w:rsidDel="00B31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0A5025">
              <w:t>B05</w:t>
            </w:r>
          </w:p>
        </w:tc>
        <w:tc>
          <w:tcPr>
            <w:tcW w:w="2063" w:type="dxa"/>
          </w:tcPr>
          <w:p w14:paraId="7D6EFB3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Voluntary participation </w:t>
            </w:r>
          </w:p>
        </w:tc>
        <w:tc>
          <w:tcPr>
            <w:tcW w:w="4394" w:type="dxa"/>
          </w:tcPr>
          <w:p w14:paraId="25A88F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participants (eligible population) with the option not to participate</w:t>
            </w:r>
            <w:r>
              <w:rPr>
                <w:bCs/>
              </w:rPr>
              <w:t>.</w:t>
            </w:r>
          </w:p>
        </w:tc>
      </w:tr>
      <w:tr w:rsidR="00C442F7" w:rsidRPr="002227F1" w14:paraId="78706AA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514D03A" w14:textId="77777777" w:rsidR="00C442F7" w:rsidRPr="000A5025" w:rsidRDefault="00C442F7" w:rsidP="00C442F7"/>
        </w:tc>
        <w:tc>
          <w:tcPr>
            <w:tcW w:w="1241" w:type="dxa"/>
          </w:tcPr>
          <w:p w14:paraId="1A851B1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pPr>
            <w:r w:rsidRPr="000A5025">
              <w:t>B35</w:t>
            </w:r>
          </w:p>
        </w:tc>
        <w:tc>
          <w:tcPr>
            <w:tcW w:w="2063" w:type="dxa"/>
          </w:tcPr>
          <w:p w14:paraId="7F6BEE0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Transparency to data extract logic</w:t>
            </w:r>
          </w:p>
        </w:tc>
        <w:tc>
          <w:tcPr>
            <w:tcW w:w="4394" w:type="dxa"/>
          </w:tcPr>
          <w:p w14:paraId="6A98869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Where business rules or other advanced data query techniques are used to identify eligible participants, the CQR must make those rules and techniques </w:t>
            </w:r>
            <w:r>
              <w:rPr>
                <w:bCs/>
              </w:rPr>
              <w:t>a</w:t>
            </w:r>
            <w:r w:rsidRPr="002227F1">
              <w:rPr>
                <w:bCs/>
              </w:rPr>
              <w:t>vailable for review</w:t>
            </w:r>
            <w:r>
              <w:rPr>
                <w:bCs/>
              </w:rPr>
              <w:t xml:space="preserve"> on request</w:t>
            </w:r>
            <w:r w:rsidRPr="002227F1">
              <w:rPr>
                <w:bCs/>
              </w:rPr>
              <w:t>.</w:t>
            </w:r>
          </w:p>
        </w:tc>
      </w:tr>
      <w:tr w:rsidR="00C442F7" w:rsidRPr="002227F1" w14:paraId="7596577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BB79488" w14:textId="77777777" w:rsidR="00C442F7" w:rsidRPr="000A5025" w:rsidRDefault="00C442F7" w:rsidP="00C442F7"/>
        </w:tc>
        <w:tc>
          <w:tcPr>
            <w:tcW w:w="1241" w:type="dxa"/>
          </w:tcPr>
          <w:p w14:paraId="1CC9EA6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pPr>
            <w:r w:rsidRPr="000A5025">
              <w:t>F26</w:t>
            </w:r>
          </w:p>
        </w:tc>
        <w:tc>
          <w:tcPr>
            <w:tcW w:w="2063" w:type="dxa"/>
          </w:tcPr>
          <w:p w14:paraId="0932C98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Eligibility </w:t>
            </w:r>
            <w:r>
              <w:rPr>
                <w:bCs/>
              </w:rPr>
              <w:t>c</w:t>
            </w:r>
            <w:r w:rsidRPr="002227F1">
              <w:rPr>
                <w:bCs/>
              </w:rPr>
              <w:t>riteria</w:t>
            </w:r>
          </w:p>
        </w:tc>
        <w:tc>
          <w:tcPr>
            <w:tcW w:w="4394" w:type="dxa"/>
          </w:tcPr>
          <w:p w14:paraId="7C697AB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provide eligibility criteria in a computer processable for</w:t>
            </w:r>
            <w:r>
              <w:rPr>
                <w:bCs/>
              </w:rPr>
              <w:t xml:space="preserve">m. </w:t>
            </w:r>
            <w:r w:rsidRPr="00FC2D17">
              <w:rPr>
                <w:bCs/>
              </w:rPr>
              <w:t xml:space="preserve">This will </w:t>
            </w:r>
            <w:r w:rsidRPr="002227F1">
              <w:rPr>
                <w:bCs/>
              </w:rPr>
              <w:t>allow systems that provide information to the registry via direct feed to identify eligible patients based on patient events</w:t>
            </w:r>
            <w:r>
              <w:rPr>
                <w:bCs/>
              </w:rPr>
              <w:t>.</w:t>
            </w:r>
          </w:p>
        </w:tc>
      </w:tr>
      <w:tr w:rsidR="00C442F7" w:rsidRPr="002227F1" w14:paraId="64C3377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3A6298D" w14:textId="77777777" w:rsidR="00C442F7" w:rsidRPr="000A5025" w:rsidRDefault="00C442F7" w:rsidP="00C442F7"/>
        </w:tc>
        <w:tc>
          <w:tcPr>
            <w:tcW w:w="1241" w:type="dxa"/>
          </w:tcPr>
          <w:p w14:paraId="3894DE6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pPr>
            <w:r w:rsidRPr="000A5025">
              <w:t>F27</w:t>
            </w:r>
          </w:p>
        </w:tc>
        <w:tc>
          <w:tcPr>
            <w:tcW w:w="2063" w:type="dxa"/>
          </w:tcPr>
          <w:p w14:paraId="42255A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Automatic updates to eligibility criteria and data specifications</w:t>
            </w:r>
          </w:p>
        </w:tc>
        <w:tc>
          <w:tcPr>
            <w:tcW w:w="4394" w:type="dxa"/>
          </w:tcPr>
          <w:p w14:paraId="2E072FD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When data automatically fed from administrative systems in participating facilities, registries shall provide automatic updates to those systems when changes to eligibility criteria or data specifications occur</w:t>
            </w:r>
            <w:r>
              <w:rPr>
                <w:bCs/>
              </w:rPr>
              <w:t>.</w:t>
            </w:r>
          </w:p>
        </w:tc>
      </w:tr>
      <w:tr w:rsidR="00C442F7" w:rsidRPr="002227F1" w14:paraId="5E4D6EE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303329A5" w14:textId="77777777" w:rsidR="00C442F7" w:rsidRPr="000A5025" w:rsidRDefault="00C442F7" w:rsidP="00C442F7">
            <w:pPr>
              <w:rPr>
                <w:rFonts w:cs="Arial"/>
                <w:szCs w:val="22"/>
              </w:rPr>
            </w:pPr>
            <w:r>
              <w:rPr>
                <w:rFonts w:cs="Arial"/>
                <w:szCs w:val="22"/>
              </w:rPr>
              <w:lastRenderedPageBreak/>
              <w:t>2.1.3 Define minimum dataset</w:t>
            </w:r>
          </w:p>
        </w:tc>
        <w:tc>
          <w:tcPr>
            <w:tcW w:w="1241" w:type="dxa"/>
          </w:tcPr>
          <w:p w14:paraId="35D163E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B02</w:t>
            </w:r>
          </w:p>
        </w:tc>
        <w:tc>
          <w:tcPr>
            <w:tcW w:w="2063" w:type="dxa"/>
          </w:tcPr>
          <w:p w14:paraId="3CF16669"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Publicly accessible data specifications</w:t>
            </w:r>
          </w:p>
        </w:tc>
        <w:tc>
          <w:tcPr>
            <w:tcW w:w="4394" w:type="dxa"/>
          </w:tcPr>
          <w:p w14:paraId="13F2A2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FC2D17">
              <w:rPr>
                <w:rFonts w:cs="Arial"/>
                <w:bCs/>
              </w:rPr>
              <w:t xml:space="preserve">CQRs shall make data specifications publicly accessible. Previous versions </w:t>
            </w:r>
            <w:r>
              <w:rPr>
                <w:rFonts w:cs="Arial"/>
                <w:bCs/>
              </w:rPr>
              <w:t>shall</w:t>
            </w:r>
            <w:r w:rsidRPr="00FC2D17">
              <w:rPr>
                <w:rFonts w:cs="Arial"/>
                <w:bCs/>
              </w:rPr>
              <w:t xml:space="preserve"> also be publicly accessible.</w:t>
            </w:r>
          </w:p>
        </w:tc>
      </w:tr>
      <w:tr w:rsidR="00C442F7" w:rsidRPr="002227F1" w14:paraId="2CFA089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BA5AA07" w14:textId="77777777" w:rsidR="00C442F7" w:rsidRPr="000A5025" w:rsidRDefault="00C442F7" w:rsidP="00C442F7">
            <w:pPr>
              <w:rPr>
                <w:rFonts w:cs="Arial"/>
                <w:szCs w:val="22"/>
              </w:rPr>
            </w:pPr>
          </w:p>
        </w:tc>
        <w:tc>
          <w:tcPr>
            <w:tcW w:w="1241" w:type="dxa"/>
          </w:tcPr>
          <w:p w14:paraId="7D78BB4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B08</w:t>
            </w:r>
          </w:p>
        </w:tc>
        <w:tc>
          <w:tcPr>
            <w:tcW w:w="2063" w:type="dxa"/>
          </w:tcPr>
          <w:p w14:paraId="1BB4E8B0"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Publication of metadata, data dictionaries and indicators</w:t>
            </w:r>
          </w:p>
        </w:tc>
        <w:tc>
          <w:tcPr>
            <w:tcW w:w="4394" w:type="dxa"/>
          </w:tcPr>
          <w:p w14:paraId="064F584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publish metadata, data dictionaries</w:t>
            </w:r>
            <w:r>
              <w:rPr>
                <w:rFonts w:cs="Arial"/>
                <w:bCs/>
              </w:rPr>
              <w:t xml:space="preserve"> and </w:t>
            </w:r>
            <w:r w:rsidRPr="002227F1">
              <w:rPr>
                <w:rFonts w:cs="Arial"/>
                <w:bCs/>
              </w:rPr>
              <w:t>indicators to</w:t>
            </w:r>
            <w:r>
              <w:rPr>
                <w:rFonts w:cs="Arial"/>
                <w:bCs/>
              </w:rPr>
              <w:t xml:space="preserve"> make them publicly accessible.</w:t>
            </w:r>
          </w:p>
        </w:tc>
      </w:tr>
      <w:tr w:rsidR="00C442F7" w:rsidRPr="002227F1" w14:paraId="08838F1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F2935B2" w14:textId="77777777" w:rsidR="00C442F7" w:rsidRPr="000A5025" w:rsidRDefault="00C442F7" w:rsidP="00C442F7">
            <w:pPr>
              <w:rPr>
                <w:rFonts w:cs="Arial"/>
                <w:szCs w:val="22"/>
              </w:rPr>
            </w:pPr>
          </w:p>
        </w:tc>
        <w:tc>
          <w:tcPr>
            <w:tcW w:w="1241" w:type="dxa"/>
          </w:tcPr>
          <w:p w14:paraId="3AFDAC2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F08</w:t>
            </w:r>
          </w:p>
        </w:tc>
        <w:tc>
          <w:tcPr>
            <w:tcW w:w="2063" w:type="dxa"/>
          </w:tcPr>
          <w:p w14:paraId="30C240BE"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Multiple unique healthcare identifiers</w:t>
            </w:r>
          </w:p>
        </w:tc>
        <w:tc>
          <w:tcPr>
            <w:tcW w:w="4394" w:type="dxa"/>
          </w:tcPr>
          <w:p w14:paraId="273A741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w:t>
            </w:r>
            <w:r>
              <w:rPr>
                <w:rFonts w:cs="Arial"/>
                <w:bCs/>
              </w:rPr>
              <w:t>record the minimum number of</w:t>
            </w:r>
            <w:r w:rsidRPr="002227F1">
              <w:rPr>
                <w:rFonts w:cs="Arial"/>
                <w:bCs/>
              </w:rPr>
              <w:t xml:space="preserve"> unique healthcare identifiers for an individual patient</w:t>
            </w:r>
            <w:r>
              <w:rPr>
                <w:rFonts w:cs="Arial"/>
                <w:bCs/>
              </w:rPr>
              <w:t xml:space="preserve"> to meet its primary and secondary purposes.</w:t>
            </w:r>
          </w:p>
        </w:tc>
      </w:tr>
      <w:tr w:rsidR="00C442F7" w:rsidRPr="002227F1" w14:paraId="3A7BAA8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A160455" w14:textId="77777777" w:rsidR="00C442F7" w:rsidRPr="000A5025" w:rsidRDefault="00C442F7" w:rsidP="00C442F7">
            <w:pPr>
              <w:rPr>
                <w:rFonts w:cs="Arial"/>
                <w:szCs w:val="22"/>
              </w:rPr>
            </w:pPr>
          </w:p>
        </w:tc>
        <w:tc>
          <w:tcPr>
            <w:tcW w:w="1241" w:type="dxa"/>
          </w:tcPr>
          <w:p w14:paraId="79B0FE9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F09</w:t>
            </w:r>
          </w:p>
        </w:tc>
        <w:tc>
          <w:tcPr>
            <w:tcW w:w="2063" w:type="dxa"/>
          </w:tcPr>
          <w:p w14:paraId="16235B78"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Unique identifiers for patients, providers and products</w:t>
            </w:r>
          </w:p>
        </w:tc>
        <w:tc>
          <w:tcPr>
            <w:tcW w:w="4394" w:type="dxa"/>
          </w:tcPr>
          <w:p w14:paraId="6578CD0E"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allocate a unique identifier for patients, providers and products where the </w:t>
            </w:r>
            <w:r>
              <w:rPr>
                <w:rFonts w:cs="Arial"/>
                <w:bCs/>
              </w:rPr>
              <w:t>National Healthcare Identifier</w:t>
            </w:r>
            <w:r w:rsidRPr="002227F1">
              <w:rPr>
                <w:rFonts w:cs="Arial"/>
                <w:bCs/>
              </w:rPr>
              <w:t xml:space="preserve"> is not consistently available</w:t>
            </w:r>
            <w:r>
              <w:rPr>
                <w:rFonts w:cs="Arial"/>
                <w:bCs/>
              </w:rPr>
              <w:t>.</w:t>
            </w:r>
          </w:p>
          <w:p w14:paraId="665F7058"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p>
          <w:p w14:paraId="7665CD2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p>
        </w:tc>
      </w:tr>
      <w:tr w:rsidR="00C442F7" w:rsidRPr="002227F1" w14:paraId="6A2F054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548FB31" w14:textId="77777777" w:rsidR="00C442F7" w:rsidRPr="000A5025" w:rsidRDefault="00C442F7" w:rsidP="00C442F7">
            <w:pPr>
              <w:rPr>
                <w:rFonts w:cs="Arial"/>
                <w:szCs w:val="22"/>
              </w:rPr>
            </w:pPr>
          </w:p>
        </w:tc>
        <w:tc>
          <w:tcPr>
            <w:tcW w:w="1241" w:type="dxa"/>
          </w:tcPr>
          <w:p w14:paraId="4BD968F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F78</w:t>
            </w:r>
          </w:p>
        </w:tc>
        <w:tc>
          <w:tcPr>
            <w:tcW w:w="2063" w:type="dxa"/>
          </w:tcPr>
          <w:p w14:paraId="6E9C56E4"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 of Individual Healthcare Identifiers</w:t>
            </w:r>
          </w:p>
        </w:tc>
        <w:tc>
          <w:tcPr>
            <w:tcW w:w="4394" w:type="dxa"/>
          </w:tcPr>
          <w:p w14:paraId="7EBE6B8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that require individually identifiable data shall have the </w:t>
            </w:r>
            <w:r>
              <w:rPr>
                <w:rFonts w:cs="Arial"/>
                <w:bCs/>
              </w:rPr>
              <w:t>capability</w:t>
            </w:r>
            <w:r w:rsidRPr="002227F1">
              <w:rPr>
                <w:rFonts w:cs="Arial"/>
                <w:bCs/>
              </w:rPr>
              <w:t xml:space="preserve"> to use national Individual Healthcare Identifiers</w:t>
            </w:r>
            <w:r>
              <w:rPr>
                <w:rFonts w:cs="Arial"/>
                <w:bCs/>
              </w:rPr>
              <w:t>.</w:t>
            </w:r>
          </w:p>
        </w:tc>
      </w:tr>
      <w:tr w:rsidR="00C442F7" w:rsidRPr="002227F1" w14:paraId="173A465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8EB92A0" w14:textId="77777777" w:rsidR="00C442F7" w:rsidRPr="000A5025" w:rsidRDefault="00C442F7" w:rsidP="00C442F7">
            <w:pPr>
              <w:rPr>
                <w:rFonts w:cs="Arial"/>
                <w:szCs w:val="22"/>
              </w:rPr>
            </w:pPr>
          </w:p>
        </w:tc>
        <w:tc>
          <w:tcPr>
            <w:tcW w:w="1241" w:type="dxa"/>
          </w:tcPr>
          <w:p w14:paraId="7064BF5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F80</w:t>
            </w:r>
          </w:p>
        </w:tc>
        <w:tc>
          <w:tcPr>
            <w:tcW w:w="2063" w:type="dxa"/>
          </w:tcPr>
          <w:p w14:paraId="640C734B"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Record that patient has been informed of participation</w:t>
            </w:r>
          </w:p>
        </w:tc>
        <w:tc>
          <w:tcPr>
            <w:tcW w:w="4394" w:type="dxa"/>
          </w:tcPr>
          <w:p w14:paraId="4CB0019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record that the patient has been informed of the inclusion of their data in the registry</w:t>
            </w:r>
            <w:r>
              <w:rPr>
                <w:rFonts w:cs="Arial"/>
                <w:bCs/>
              </w:rPr>
              <w:t>.</w:t>
            </w:r>
          </w:p>
        </w:tc>
      </w:tr>
      <w:tr w:rsidR="00C442F7" w:rsidRPr="002227F1" w14:paraId="5B4B619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1AA3A53" w14:textId="77777777" w:rsidR="00C442F7" w:rsidRPr="000A5025" w:rsidRDefault="00C442F7" w:rsidP="00C442F7">
            <w:pPr>
              <w:rPr>
                <w:rFonts w:cs="Arial"/>
                <w:szCs w:val="22"/>
              </w:rPr>
            </w:pPr>
          </w:p>
        </w:tc>
        <w:tc>
          <w:tcPr>
            <w:tcW w:w="1241" w:type="dxa"/>
          </w:tcPr>
          <w:p w14:paraId="6A8C422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F82</w:t>
            </w:r>
          </w:p>
        </w:tc>
        <w:tc>
          <w:tcPr>
            <w:tcW w:w="2063" w:type="dxa"/>
          </w:tcPr>
          <w:p w14:paraId="21D23D91"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Data definitions</w:t>
            </w:r>
          </w:p>
        </w:tc>
        <w:tc>
          <w:tcPr>
            <w:tcW w:w="4394" w:type="dxa"/>
          </w:tcPr>
          <w:p w14:paraId="199099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maintain data definitions and descriptions for each data element and its usage</w:t>
            </w:r>
            <w:r>
              <w:rPr>
                <w:rFonts w:cs="Arial"/>
                <w:bCs/>
              </w:rPr>
              <w:t>.</w:t>
            </w:r>
          </w:p>
        </w:tc>
      </w:tr>
      <w:tr w:rsidR="00C442F7" w:rsidRPr="002227F1" w14:paraId="3451A8C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5EC5CC2" w14:textId="77777777" w:rsidR="00C442F7" w:rsidRPr="000A5025" w:rsidRDefault="00C442F7" w:rsidP="00C442F7">
            <w:pPr>
              <w:rPr>
                <w:rFonts w:cs="Arial"/>
                <w:szCs w:val="22"/>
              </w:rPr>
            </w:pPr>
          </w:p>
        </w:tc>
        <w:tc>
          <w:tcPr>
            <w:tcW w:w="1241" w:type="dxa"/>
          </w:tcPr>
          <w:p w14:paraId="07AF7C6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F83</w:t>
            </w:r>
          </w:p>
        </w:tc>
        <w:tc>
          <w:tcPr>
            <w:tcW w:w="2063" w:type="dxa"/>
          </w:tcPr>
          <w:p w14:paraId="72456ED6"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Retire data elements</w:t>
            </w:r>
          </w:p>
        </w:tc>
        <w:tc>
          <w:tcPr>
            <w:tcW w:w="4394" w:type="dxa"/>
          </w:tcPr>
          <w:p w14:paraId="6CB9F0A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retire registry data elements</w:t>
            </w:r>
            <w:r>
              <w:rPr>
                <w:rFonts w:cs="Arial"/>
                <w:bCs/>
              </w:rPr>
              <w:t xml:space="preserve"> </w:t>
            </w:r>
            <w:r w:rsidRPr="002227F1">
              <w:rPr>
                <w:rFonts w:cs="Arial"/>
                <w:bCs/>
              </w:rPr>
              <w:t xml:space="preserve">to ensure information that is no longer relevant or required for relevant analysis </w:t>
            </w:r>
            <w:r>
              <w:rPr>
                <w:rFonts w:cs="Arial"/>
                <w:bCs/>
              </w:rPr>
              <w:t>is</w:t>
            </w:r>
            <w:r w:rsidRPr="002227F1">
              <w:rPr>
                <w:rFonts w:cs="Arial"/>
                <w:bCs/>
              </w:rPr>
              <w:t xml:space="preserve"> deactivated (and no longer collected)</w:t>
            </w:r>
            <w:r>
              <w:rPr>
                <w:rFonts w:cs="Arial"/>
                <w:bCs/>
              </w:rPr>
              <w:t>.</w:t>
            </w:r>
          </w:p>
        </w:tc>
      </w:tr>
      <w:tr w:rsidR="00C442F7" w:rsidRPr="002227F1" w14:paraId="6997D63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BC5CFF6" w14:textId="77777777" w:rsidR="00C442F7" w:rsidRPr="000A5025" w:rsidRDefault="00C442F7" w:rsidP="00C442F7">
            <w:pPr>
              <w:rPr>
                <w:rFonts w:cs="Arial"/>
                <w:szCs w:val="22"/>
              </w:rPr>
            </w:pPr>
          </w:p>
        </w:tc>
        <w:tc>
          <w:tcPr>
            <w:tcW w:w="1241" w:type="dxa"/>
          </w:tcPr>
          <w:p w14:paraId="2EC7E42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F84</w:t>
            </w:r>
          </w:p>
        </w:tc>
        <w:tc>
          <w:tcPr>
            <w:tcW w:w="2063" w:type="dxa"/>
          </w:tcPr>
          <w:p w14:paraId="4587EF67"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Time variant data</w:t>
            </w:r>
          </w:p>
        </w:tc>
        <w:tc>
          <w:tcPr>
            <w:tcW w:w="4394" w:type="dxa"/>
          </w:tcPr>
          <w:p w14:paraId="0AF8105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maintain data in such a way that enables the time of data capture to be identified</w:t>
            </w:r>
            <w:r>
              <w:rPr>
                <w:rFonts w:cs="Arial"/>
                <w:bCs/>
              </w:rPr>
              <w:t>.</w:t>
            </w:r>
          </w:p>
        </w:tc>
      </w:tr>
      <w:tr w:rsidR="00C442F7" w:rsidRPr="002227F1" w14:paraId="2B21DE59"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101B215" w14:textId="77777777" w:rsidR="00C442F7" w:rsidRPr="000A5025" w:rsidRDefault="00C442F7" w:rsidP="00C442F7">
            <w:pPr>
              <w:rPr>
                <w:rFonts w:cs="Arial"/>
                <w:szCs w:val="22"/>
              </w:rPr>
            </w:pPr>
          </w:p>
        </w:tc>
        <w:tc>
          <w:tcPr>
            <w:tcW w:w="1241" w:type="dxa"/>
          </w:tcPr>
          <w:p w14:paraId="391988A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F85</w:t>
            </w:r>
          </w:p>
        </w:tc>
        <w:tc>
          <w:tcPr>
            <w:tcW w:w="2063" w:type="dxa"/>
          </w:tcPr>
          <w:p w14:paraId="239C2AEA"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Manage business rules</w:t>
            </w:r>
          </w:p>
        </w:tc>
        <w:tc>
          <w:tcPr>
            <w:tcW w:w="4394" w:type="dxa"/>
          </w:tcPr>
          <w:p w14:paraId="3927137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have the ability to determine which business rules were active at a particular date/time</w:t>
            </w:r>
            <w:r>
              <w:rPr>
                <w:rFonts w:cs="Arial"/>
                <w:bCs/>
              </w:rPr>
              <w:t>.</w:t>
            </w:r>
          </w:p>
        </w:tc>
      </w:tr>
      <w:tr w:rsidR="00C442F7" w:rsidRPr="002227F1" w14:paraId="5159451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D5BBF51" w14:textId="77777777" w:rsidR="00C442F7" w:rsidRPr="000A5025" w:rsidRDefault="00C442F7" w:rsidP="00C442F7">
            <w:pPr>
              <w:rPr>
                <w:rFonts w:cs="Arial"/>
                <w:szCs w:val="22"/>
              </w:rPr>
            </w:pPr>
          </w:p>
        </w:tc>
        <w:tc>
          <w:tcPr>
            <w:tcW w:w="1241" w:type="dxa"/>
          </w:tcPr>
          <w:p w14:paraId="53C76F1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F86</w:t>
            </w:r>
          </w:p>
        </w:tc>
        <w:tc>
          <w:tcPr>
            <w:tcW w:w="2063" w:type="dxa"/>
          </w:tcPr>
          <w:p w14:paraId="24FE08C5"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Reference data integrity</w:t>
            </w:r>
          </w:p>
        </w:tc>
        <w:tc>
          <w:tcPr>
            <w:tcW w:w="4394" w:type="dxa"/>
          </w:tcPr>
          <w:p w14:paraId="40A33C9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w:t>
            </w:r>
            <w:r>
              <w:rPr>
                <w:rFonts w:cs="Arial"/>
                <w:bCs/>
              </w:rPr>
              <w:t>shall</w:t>
            </w:r>
            <w:r w:rsidRPr="002227F1">
              <w:rPr>
                <w:rFonts w:cs="Arial"/>
                <w:bCs/>
              </w:rPr>
              <w:t xml:space="preserve"> support 'ageing of metadata' by maintaining accurate links with reference data over time</w:t>
            </w:r>
            <w:r>
              <w:rPr>
                <w:rFonts w:cs="Arial"/>
                <w:bCs/>
              </w:rPr>
              <w:t>.</w:t>
            </w:r>
          </w:p>
        </w:tc>
      </w:tr>
      <w:tr w:rsidR="00C442F7" w:rsidRPr="002227F1" w14:paraId="63256B2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8BBD546" w14:textId="77777777" w:rsidR="00C442F7" w:rsidRPr="000A5025" w:rsidRDefault="00C442F7" w:rsidP="00C442F7">
            <w:pPr>
              <w:rPr>
                <w:rFonts w:cs="Arial"/>
                <w:szCs w:val="22"/>
              </w:rPr>
            </w:pPr>
          </w:p>
        </w:tc>
        <w:tc>
          <w:tcPr>
            <w:tcW w:w="1241" w:type="dxa"/>
          </w:tcPr>
          <w:p w14:paraId="08F1C37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F89</w:t>
            </w:r>
          </w:p>
        </w:tc>
        <w:tc>
          <w:tcPr>
            <w:tcW w:w="2063" w:type="dxa"/>
          </w:tcPr>
          <w:p w14:paraId="3DE34D78"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Support for data retrieval</w:t>
            </w:r>
          </w:p>
        </w:tc>
        <w:tc>
          <w:tcPr>
            <w:tcW w:w="4394" w:type="dxa"/>
          </w:tcPr>
          <w:p w14:paraId="541FCDC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store data in a retrievable form with data descriptions and data structures</w:t>
            </w:r>
            <w:r>
              <w:rPr>
                <w:rFonts w:cs="Arial"/>
                <w:bCs/>
              </w:rPr>
              <w:t>.</w:t>
            </w:r>
          </w:p>
        </w:tc>
      </w:tr>
      <w:tr w:rsidR="00C442F7" w:rsidRPr="002227F1" w14:paraId="1A989FB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D8CDC03" w14:textId="77777777" w:rsidR="00C442F7" w:rsidRPr="000A5025" w:rsidRDefault="00C442F7" w:rsidP="00C442F7">
            <w:pPr>
              <w:rPr>
                <w:rFonts w:cs="Arial"/>
                <w:szCs w:val="22"/>
              </w:rPr>
            </w:pPr>
          </w:p>
        </w:tc>
        <w:tc>
          <w:tcPr>
            <w:tcW w:w="1241" w:type="dxa"/>
          </w:tcPr>
          <w:p w14:paraId="0FE129F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F90</w:t>
            </w:r>
          </w:p>
        </w:tc>
        <w:tc>
          <w:tcPr>
            <w:tcW w:w="2063" w:type="dxa"/>
          </w:tcPr>
          <w:p w14:paraId="4C12EDFF"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Reference data sources</w:t>
            </w:r>
          </w:p>
        </w:tc>
        <w:tc>
          <w:tcPr>
            <w:tcW w:w="4394" w:type="dxa"/>
          </w:tcPr>
          <w:p w14:paraId="0D413B9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clearly identify sources of reference data as well as reference data currency in their data dictionary</w:t>
            </w:r>
            <w:r>
              <w:rPr>
                <w:rFonts w:cs="Arial"/>
                <w:bCs/>
              </w:rPr>
              <w:t>.</w:t>
            </w:r>
          </w:p>
        </w:tc>
      </w:tr>
      <w:tr w:rsidR="00C442F7" w:rsidRPr="002227F1" w14:paraId="06E2DA8B" w14:textId="77777777" w:rsidTr="00100CED">
        <w:tc>
          <w:tcPr>
            <w:cnfStyle w:val="001000000000" w:firstRow="0" w:lastRow="0" w:firstColumn="1" w:lastColumn="0" w:oddVBand="0" w:evenVBand="0" w:oddHBand="0" w:evenHBand="0" w:firstRowFirstColumn="0" w:firstRowLastColumn="0" w:lastRowFirstColumn="0" w:lastRowLastColumn="0"/>
            <w:tcW w:w="1653" w:type="dxa"/>
          </w:tcPr>
          <w:p w14:paraId="6C334933" w14:textId="77777777" w:rsidR="00C442F7" w:rsidRPr="000A5025" w:rsidRDefault="00C442F7" w:rsidP="00C442F7">
            <w:pPr>
              <w:rPr>
                <w:rFonts w:cs="Arial"/>
                <w:szCs w:val="22"/>
              </w:rPr>
            </w:pPr>
            <w:r>
              <w:rPr>
                <w:rFonts w:cs="Arial"/>
                <w:szCs w:val="22"/>
              </w:rPr>
              <w:t>2.1.4 Define use</w:t>
            </w:r>
          </w:p>
        </w:tc>
        <w:tc>
          <w:tcPr>
            <w:tcW w:w="1241" w:type="dxa"/>
          </w:tcPr>
          <w:p w14:paraId="068C2C0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B21</w:t>
            </w:r>
          </w:p>
        </w:tc>
        <w:tc>
          <w:tcPr>
            <w:tcW w:w="2063" w:type="dxa"/>
          </w:tcPr>
          <w:p w14:paraId="4A82D899"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Availability of policies</w:t>
            </w:r>
          </w:p>
        </w:tc>
        <w:tc>
          <w:tcPr>
            <w:tcW w:w="4394" w:type="dxa"/>
          </w:tcPr>
          <w:p w14:paraId="18BC325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CQRs shall make data access and reporting policies available to registry users.</w:t>
            </w:r>
          </w:p>
        </w:tc>
      </w:tr>
      <w:tr w:rsidR="00C442F7" w:rsidRPr="002227F1" w14:paraId="69A99EC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47E6B1CE" w14:textId="77777777" w:rsidR="00C442F7" w:rsidRDefault="00C442F7" w:rsidP="00C442F7">
            <w:pPr>
              <w:rPr>
                <w:rFonts w:cs="Arial"/>
                <w:szCs w:val="22"/>
              </w:rPr>
            </w:pPr>
            <w:r>
              <w:rPr>
                <w:rFonts w:cs="Arial"/>
                <w:szCs w:val="22"/>
              </w:rPr>
              <w:t>2.1.5 Define business processes</w:t>
            </w:r>
          </w:p>
        </w:tc>
        <w:tc>
          <w:tcPr>
            <w:tcW w:w="1241" w:type="dxa"/>
          </w:tcPr>
          <w:p w14:paraId="7840053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B30</w:t>
            </w:r>
          </w:p>
        </w:tc>
        <w:tc>
          <w:tcPr>
            <w:tcW w:w="2063" w:type="dxa"/>
          </w:tcPr>
          <w:p w14:paraId="4B15504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Manage registry lifecycle</w:t>
            </w:r>
          </w:p>
        </w:tc>
        <w:tc>
          <w:tcPr>
            <w:tcW w:w="4394" w:type="dxa"/>
          </w:tcPr>
          <w:p w14:paraId="0BB63F5E"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have in place processes that periodically consider the value that the registry is providing, plan for continuous improvement, and manage the controlled decommissioning of the registry and appropriate treatment of registry data when the registry is no longer used.</w:t>
            </w:r>
            <w:r>
              <w:rPr>
                <w:rFonts w:cs="Arial"/>
                <w:bCs/>
              </w:rPr>
              <w:t xml:space="preserve"> These reports shall be available to all stakeholders.</w:t>
            </w:r>
          </w:p>
        </w:tc>
      </w:tr>
      <w:tr w:rsidR="00C442F7" w:rsidRPr="002227F1" w14:paraId="6D0FEB7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B3C7FB9" w14:textId="77777777" w:rsidR="00C442F7" w:rsidRDefault="00C442F7" w:rsidP="00C442F7">
            <w:pPr>
              <w:rPr>
                <w:rFonts w:cs="Arial"/>
                <w:szCs w:val="22"/>
              </w:rPr>
            </w:pPr>
          </w:p>
        </w:tc>
        <w:tc>
          <w:tcPr>
            <w:tcW w:w="1241" w:type="dxa"/>
          </w:tcPr>
          <w:p w14:paraId="4AFCB0B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B31</w:t>
            </w:r>
          </w:p>
        </w:tc>
        <w:tc>
          <w:tcPr>
            <w:tcW w:w="2063" w:type="dxa"/>
          </w:tcPr>
          <w:p w14:paraId="5B14A53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Develop and manage registry roadmap</w:t>
            </w:r>
          </w:p>
        </w:tc>
        <w:tc>
          <w:tcPr>
            <w:tcW w:w="4394" w:type="dxa"/>
          </w:tcPr>
          <w:p w14:paraId="4212FA0F"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develop roadmaps that communicate the plan to develop the maturity of the registry. The roadmap </w:t>
            </w:r>
            <w:r>
              <w:rPr>
                <w:rFonts w:cs="Arial"/>
                <w:bCs/>
              </w:rPr>
              <w:t>shall</w:t>
            </w:r>
            <w:r w:rsidRPr="002227F1">
              <w:rPr>
                <w:rFonts w:cs="Arial"/>
                <w:bCs/>
              </w:rPr>
              <w:t xml:space="preserve"> outline the key activities, time</w:t>
            </w:r>
            <w:r>
              <w:rPr>
                <w:rFonts w:cs="Arial"/>
                <w:bCs/>
              </w:rPr>
              <w:t xml:space="preserve"> </w:t>
            </w:r>
            <w:r w:rsidRPr="002227F1">
              <w:rPr>
                <w:rFonts w:cs="Arial"/>
                <w:bCs/>
              </w:rPr>
              <w:t>line, risks and roles responsible for executing the plan.</w:t>
            </w:r>
          </w:p>
        </w:tc>
      </w:tr>
      <w:tr w:rsidR="00C442F7" w:rsidRPr="002227F1" w14:paraId="4CFBA65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6C8074D" w14:textId="77777777" w:rsidR="00C442F7" w:rsidRDefault="00C442F7" w:rsidP="00C442F7">
            <w:pPr>
              <w:rPr>
                <w:rFonts w:cs="Arial"/>
                <w:szCs w:val="22"/>
              </w:rPr>
            </w:pPr>
          </w:p>
        </w:tc>
        <w:tc>
          <w:tcPr>
            <w:tcW w:w="1241" w:type="dxa"/>
          </w:tcPr>
          <w:p w14:paraId="12CCBFC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B32</w:t>
            </w:r>
          </w:p>
        </w:tc>
        <w:tc>
          <w:tcPr>
            <w:tcW w:w="2063" w:type="dxa"/>
          </w:tcPr>
          <w:p w14:paraId="53E5447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Assess registry </w:t>
            </w:r>
            <w:r w:rsidRPr="00FC2D17">
              <w:rPr>
                <w:rFonts w:cs="Arial"/>
                <w:bCs/>
              </w:rPr>
              <w:t>against the Framework</w:t>
            </w:r>
          </w:p>
        </w:tc>
        <w:tc>
          <w:tcPr>
            <w:tcW w:w="4394" w:type="dxa"/>
          </w:tcPr>
          <w:p w14:paraId="1D7FDADA"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perform a self-assessment to determine where improvements are required. (These improvements will be represented on the registry roadmap.)</w:t>
            </w:r>
          </w:p>
        </w:tc>
      </w:tr>
      <w:tr w:rsidR="00C442F7" w:rsidRPr="002227F1" w14:paraId="1CD8BC3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D28A2C7" w14:textId="77777777" w:rsidR="00C442F7" w:rsidRDefault="00C442F7" w:rsidP="00C442F7">
            <w:pPr>
              <w:rPr>
                <w:rFonts w:cs="Arial"/>
                <w:szCs w:val="22"/>
              </w:rPr>
            </w:pPr>
          </w:p>
        </w:tc>
        <w:tc>
          <w:tcPr>
            <w:tcW w:w="1241" w:type="dxa"/>
          </w:tcPr>
          <w:p w14:paraId="4AF9AA5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B33</w:t>
            </w:r>
          </w:p>
        </w:tc>
        <w:tc>
          <w:tcPr>
            <w:tcW w:w="2063" w:type="dxa"/>
          </w:tcPr>
          <w:p w14:paraId="6707F98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Advise originating organisations of data errors</w:t>
            </w:r>
          </w:p>
        </w:tc>
        <w:tc>
          <w:tcPr>
            <w:tcW w:w="4394" w:type="dxa"/>
          </w:tcPr>
          <w:p w14:paraId="37FDC0C3"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advise participating organisations of data errors or omissions to provide those organisations with the opportunity to correct the data at source.</w:t>
            </w:r>
          </w:p>
        </w:tc>
      </w:tr>
      <w:tr w:rsidR="00C442F7" w:rsidRPr="002227F1" w14:paraId="553C602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1B8D5AE" w14:textId="77777777" w:rsidR="00C442F7" w:rsidRPr="000A5025" w:rsidRDefault="00C442F7" w:rsidP="00C442F7">
            <w:pPr>
              <w:rPr>
                <w:rFonts w:cs="Arial"/>
                <w:szCs w:val="22"/>
              </w:rPr>
            </w:pPr>
          </w:p>
        </w:tc>
        <w:tc>
          <w:tcPr>
            <w:tcW w:w="1241" w:type="dxa"/>
          </w:tcPr>
          <w:p w14:paraId="6AEA564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B34</w:t>
            </w:r>
          </w:p>
        </w:tc>
        <w:tc>
          <w:tcPr>
            <w:tcW w:w="2063" w:type="dxa"/>
          </w:tcPr>
          <w:p w14:paraId="3AFD4C2B"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Develop, document and maintain processes and procedures</w:t>
            </w:r>
          </w:p>
        </w:tc>
        <w:tc>
          <w:tcPr>
            <w:tcW w:w="4394" w:type="dxa"/>
          </w:tcPr>
          <w:p w14:paraId="225FEE0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CQRs shall d</w:t>
            </w:r>
            <w:r w:rsidRPr="002227F1">
              <w:rPr>
                <w:rFonts w:cs="Arial"/>
                <w:bCs/>
              </w:rPr>
              <w:t>evelop, document and maintain processes and procedures for data governance collection, lodgement, storage and management.</w:t>
            </w:r>
          </w:p>
        </w:tc>
      </w:tr>
      <w:tr w:rsidR="00C442F7" w:rsidRPr="002227F1" w14:paraId="0AB0905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0841CCE8" w14:textId="77777777" w:rsidR="00C442F7" w:rsidRPr="000A5025" w:rsidRDefault="00C442F7" w:rsidP="00C442F7">
            <w:pPr>
              <w:rPr>
                <w:rFonts w:cs="Arial"/>
                <w:szCs w:val="22"/>
              </w:rPr>
            </w:pPr>
            <w:r>
              <w:rPr>
                <w:rFonts w:cs="Arial"/>
                <w:szCs w:val="22"/>
              </w:rPr>
              <w:t>2.1.6 Comply with legislation and standards</w:t>
            </w:r>
          </w:p>
        </w:tc>
        <w:tc>
          <w:tcPr>
            <w:tcW w:w="1241" w:type="dxa"/>
          </w:tcPr>
          <w:p w14:paraId="5F5E82B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B19</w:t>
            </w:r>
          </w:p>
        </w:tc>
        <w:tc>
          <w:tcPr>
            <w:tcW w:w="2063" w:type="dxa"/>
          </w:tcPr>
          <w:p w14:paraId="47CAC881"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Manage data in accordance with legislation and standards</w:t>
            </w:r>
          </w:p>
        </w:tc>
        <w:tc>
          <w:tcPr>
            <w:tcW w:w="4394" w:type="dxa"/>
          </w:tcPr>
          <w:p w14:paraId="497AE5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collect, store and transmit data in accordance with relevant legislation, regulation, standards and guidelines</w:t>
            </w:r>
            <w:r>
              <w:rPr>
                <w:rFonts w:cs="Arial"/>
                <w:bCs/>
              </w:rPr>
              <w:t>.</w:t>
            </w:r>
          </w:p>
        </w:tc>
      </w:tr>
      <w:tr w:rsidR="00C442F7" w:rsidRPr="002227F1" w14:paraId="77439D52"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29F0552" w14:textId="77777777" w:rsidR="00C442F7" w:rsidRPr="000A5025" w:rsidRDefault="00C442F7" w:rsidP="00C442F7">
            <w:pPr>
              <w:rPr>
                <w:rFonts w:cs="Arial"/>
                <w:szCs w:val="22"/>
              </w:rPr>
            </w:pPr>
          </w:p>
        </w:tc>
        <w:tc>
          <w:tcPr>
            <w:tcW w:w="1241" w:type="dxa"/>
          </w:tcPr>
          <w:p w14:paraId="199BE3D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B36</w:t>
            </w:r>
          </w:p>
        </w:tc>
        <w:tc>
          <w:tcPr>
            <w:tcW w:w="2063" w:type="dxa"/>
          </w:tcPr>
          <w:p w14:paraId="0C80B322"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Maintain compliance register</w:t>
            </w:r>
          </w:p>
        </w:tc>
        <w:tc>
          <w:tcPr>
            <w:tcW w:w="4394" w:type="dxa"/>
          </w:tcPr>
          <w:p w14:paraId="4064D4C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w:t>
            </w:r>
            <w:r>
              <w:rPr>
                <w:rFonts w:cs="Arial"/>
                <w:bCs/>
              </w:rPr>
              <w:t>m</w:t>
            </w:r>
            <w:r w:rsidRPr="002227F1">
              <w:rPr>
                <w:rFonts w:cs="Arial"/>
                <w:bCs/>
              </w:rPr>
              <w:t xml:space="preserve">aintain well-designed legislative compliance processes and incorporate a compliance register to ensure that the organisation’s policies are regularly updated, and able to respond to </w:t>
            </w:r>
            <w:r w:rsidRPr="002227F1">
              <w:rPr>
                <w:rFonts w:cs="Arial"/>
                <w:bCs/>
              </w:rPr>
              <w:lastRenderedPageBreak/>
              <w:t>regulatory changes and compliance issues.</w:t>
            </w:r>
          </w:p>
        </w:tc>
      </w:tr>
      <w:tr w:rsidR="00C442F7" w:rsidRPr="002227F1" w14:paraId="67571F16" w14:textId="77777777" w:rsidTr="00100CED">
        <w:tc>
          <w:tcPr>
            <w:cnfStyle w:val="001000000000" w:firstRow="0" w:lastRow="0" w:firstColumn="1" w:lastColumn="0" w:oddVBand="0" w:evenVBand="0" w:oddHBand="0" w:evenHBand="0" w:firstRowFirstColumn="0" w:firstRowLastColumn="0" w:lastRowFirstColumn="0" w:lastRowLastColumn="0"/>
            <w:tcW w:w="9351" w:type="dxa"/>
            <w:gridSpan w:val="4"/>
          </w:tcPr>
          <w:p w14:paraId="77F75A7B" w14:textId="77777777" w:rsidR="00C442F7" w:rsidRPr="002227F1" w:rsidRDefault="00C442F7" w:rsidP="00C442F7">
            <w:pPr>
              <w:rPr>
                <w:rFonts w:cs="Arial"/>
                <w:bCs/>
              </w:rPr>
            </w:pPr>
            <w:r w:rsidRPr="00C442F7">
              <w:rPr>
                <w:rFonts w:cs="Arial"/>
                <w:color w:val="000000" w:themeColor="text1"/>
              </w:rPr>
              <w:lastRenderedPageBreak/>
              <w:t>2.2 Provide enrolment</w:t>
            </w:r>
          </w:p>
        </w:tc>
      </w:tr>
      <w:tr w:rsidR="00C442F7" w:rsidRPr="002227F1" w14:paraId="3F838CA4" w14:textId="77777777" w:rsidTr="00100CED">
        <w:trPr>
          <w:trHeight w:val="1402"/>
        </w:trPr>
        <w:tc>
          <w:tcPr>
            <w:cnfStyle w:val="001000000000" w:firstRow="0" w:lastRow="0" w:firstColumn="1" w:lastColumn="0" w:oddVBand="0" w:evenVBand="0" w:oddHBand="0" w:evenHBand="0" w:firstRowFirstColumn="0" w:firstRowLastColumn="0" w:lastRowFirstColumn="0" w:lastRowLastColumn="0"/>
            <w:tcW w:w="1653" w:type="dxa"/>
          </w:tcPr>
          <w:p w14:paraId="14507952" w14:textId="77777777" w:rsidR="00C442F7" w:rsidRPr="000A5025" w:rsidRDefault="00C442F7" w:rsidP="00C442F7">
            <w:pPr>
              <w:rPr>
                <w:rFonts w:cs="Arial"/>
                <w:szCs w:val="22"/>
              </w:rPr>
            </w:pPr>
            <w:r>
              <w:rPr>
                <w:rFonts w:cs="Arial"/>
                <w:szCs w:val="22"/>
              </w:rPr>
              <w:t>2.2.1 Publish Eligibility</w:t>
            </w:r>
          </w:p>
        </w:tc>
        <w:tc>
          <w:tcPr>
            <w:tcW w:w="1241" w:type="dxa"/>
          </w:tcPr>
          <w:p w14:paraId="6E4AE89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B01</w:t>
            </w:r>
          </w:p>
        </w:tc>
        <w:tc>
          <w:tcPr>
            <w:tcW w:w="2063" w:type="dxa"/>
          </w:tcPr>
          <w:p w14:paraId="4ACA1D0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Publicly accessible eligibility criteria</w:t>
            </w:r>
          </w:p>
        </w:tc>
        <w:tc>
          <w:tcPr>
            <w:tcW w:w="4394" w:type="dxa"/>
          </w:tcPr>
          <w:p w14:paraId="46C99C7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make scope and eligibility criteria </w:t>
            </w:r>
            <w:r>
              <w:rPr>
                <w:rFonts w:cs="Arial"/>
                <w:bCs/>
              </w:rPr>
              <w:t>publicly accessible. A history of changes to eligibility criteria shall be available to support analysts and researchers.</w:t>
            </w:r>
          </w:p>
        </w:tc>
      </w:tr>
      <w:tr w:rsidR="00C442F7" w:rsidRPr="002227F1" w14:paraId="3182554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34B75781" w14:textId="77777777" w:rsidR="00C442F7" w:rsidRPr="000A5025" w:rsidRDefault="00C442F7" w:rsidP="00C442F7">
            <w:pPr>
              <w:rPr>
                <w:rFonts w:cs="Arial"/>
                <w:szCs w:val="22"/>
              </w:rPr>
            </w:pPr>
            <w:r>
              <w:rPr>
                <w:rFonts w:cs="Arial"/>
                <w:szCs w:val="22"/>
              </w:rPr>
              <w:t>2.2.2 Enrol providers</w:t>
            </w:r>
          </w:p>
        </w:tc>
        <w:tc>
          <w:tcPr>
            <w:tcW w:w="1241" w:type="dxa"/>
          </w:tcPr>
          <w:p w14:paraId="78A4C73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F01</w:t>
            </w:r>
          </w:p>
        </w:tc>
        <w:tc>
          <w:tcPr>
            <w:tcW w:w="2063" w:type="dxa"/>
          </w:tcPr>
          <w:p w14:paraId="647BF4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Add participating institutions or clinicians</w:t>
            </w:r>
          </w:p>
        </w:tc>
        <w:tc>
          <w:tcPr>
            <w:tcW w:w="4394" w:type="dxa"/>
          </w:tcPr>
          <w:p w14:paraId="025928E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add a new </w:t>
            </w:r>
            <w:r>
              <w:rPr>
                <w:rFonts w:cs="Arial"/>
                <w:bCs/>
              </w:rPr>
              <w:t>p</w:t>
            </w:r>
            <w:r w:rsidRPr="002227F1">
              <w:rPr>
                <w:rFonts w:cs="Arial"/>
                <w:bCs/>
              </w:rPr>
              <w:t xml:space="preserve">articipating </w:t>
            </w:r>
            <w:r>
              <w:rPr>
                <w:rFonts w:cs="Arial"/>
                <w:bCs/>
              </w:rPr>
              <w:t>i</w:t>
            </w:r>
            <w:r w:rsidRPr="002227F1">
              <w:rPr>
                <w:rFonts w:cs="Arial"/>
                <w:bCs/>
              </w:rPr>
              <w:t>nstitution</w:t>
            </w:r>
            <w:r>
              <w:rPr>
                <w:rFonts w:cs="Arial"/>
                <w:bCs/>
              </w:rPr>
              <w:t>.</w:t>
            </w:r>
          </w:p>
        </w:tc>
      </w:tr>
      <w:tr w:rsidR="00C442F7" w:rsidRPr="002227F1" w14:paraId="7D57379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00F0D5D" w14:textId="77777777" w:rsidR="00C442F7" w:rsidRPr="000A5025" w:rsidRDefault="00C442F7" w:rsidP="00C442F7">
            <w:pPr>
              <w:rPr>
                <w:rFonts w:cs="Arial"/>
                <w:szCs w:val="22"/>
              </w:rPr>
            </w:pPr>
          </w:p>
        </w:tc>
        <w:tc>
          <w:tcPr>
            <w:tcW w:w="1241" w:type="dxa"/>
          </w:tcPr>
          <w:p w14:paraId="0C80A7F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F02</w:t>
            </w:r>
          </w:p>
        </w:tc>
        <w:tc>
          <w:tcPr>
            <w:tcW w:w="2063" w:type="dxa"/>
          </w:tcPr>
          <w:p w14:paraId="3EB7857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Associate groups</w:t>
            </w:r>
          </w:p>
        </w:tc>
        <w:tc>
          <w:tcPr>
            <w:tcW w:w="4394" w:type="dxa"/>
          </w:tcPr>
          <w:p w14:paraId="218819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create </w:t>
            </w:r>
            <w:r>
              <w:rPr>
                <w:rFonts w:cs="Arial"/>
                <w:bCs/>
              </w:rPr>
              <w:t>associations</w:t>
            </w:r>
            <w:r w:rsidRPr="002227F1">
              <w:rPr>
                <w:rFonts w:cs="Arial"/>
                <w:bCs/>
              </w:rPr>
              <w:t xml:space="preserve"> between clinicians</w:t>
            </w:r>
            <w:r>
              <w:rPr>
                <w:rFonts w:cs="Arial"/>
                <w:bCs/>
              </w:rPr>
              <w:t xml:space="preserve"> with the</w:t>
            </w:r>
            <w:r w:rsidRPr="002227F1">
              <w:rPr>
                <w:rFonts w:cs="Arial"/>
                <w:bCs/>
              </w:rPr>
              <w:t xml:space="preserve"> institutio</w:t>
            </w:r>
            <w:r>
              <w:rPr>
                <w:rFonts w:cs="Arial"/>
                <w:bCs/>
              </w:rPr>
              <w:t>n/</w:t>
            </w:r>
            <w:r w:rsidRPr="002227F1">
              <w:rPr>
                <w:rFonts w:cs="Arial"/>
                <w:bCs/>
              </w:rPr>
              <w:t>jurisdictions</w:t>
            </w:r>
            <w:r>
              <w:rPr>
                <w:rFonts w:cs="Arial"/>
                <w:bCs/>
              </w:rPr>
              <w:t xml:space="preserve"> which they work for.</w:t>
            </w:r>
          </w:p>
        </w:tc>
      </w:tr>
      <w:tr w:rsidR="00C442F7" w:rsidRPr="002227F1" w14:paraId="327A9F4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5FC994A" w14:textId="77777777" w:rsidR="00C442F7" w:rsidRPr="000A5025" w:rsidRDefault="00C442F7" w:rsidP="00C442F7">
            <w:pPr>
              <w:rPr>
                <w:rFonts w:cs="Arial"/>
                <w:szCs w:val="22"/>
              </w:rPr>
            </w:pPr>
          </w:p>
        </w:tc>
        <w:tc>
          <w:tcPr>
            <w:tcW w:w="1241" w:type="dxa"/>
          </w:tcPr>
          <w:p w14:paraId="169161E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F03</w:t>
            </w:r>
          </w:p>
        </w:tc>
        <w:tc>
          <w:tcPr>
            <w:tcW w:w="2063" w:type="dxa"/>
          </w:tcPr>
          <w:p w14:paraId="6265D9B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Central administration</w:t>
            </w:r>
          </w:p>
        </w:tc>
        <w:tc>
          <w:tcPr>
            <w:tcW w:w="4394" w:type="dxa"/>
          </w:tcPr>
          <w:p w14:paraId="785D686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have a central system administration group that shall be able to appoint participating group and participating institution level system administrators</w:t>
            </w:r>
            <w:r>
              <w:rPr>
                <w:rFonts w:cs="Arial"/>
                <w:bCs/>
              </w:rPr>
              <w:t>.</w:t>
            </w:r>
          </w:p>
        </w:tc>
      </w:tr>
      <w:tr w:rsidR="00C442F7" w:rsidRPr="002227F1" w14:paraId="4F3FE269"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53DC75B" w14:textId="77777777" w:rsidR="00C442F7" w:rsidRPr="000A5025" w:rsidRDefault="00C442F7" w:rsidP="00C442F7">
            <w:pPr>
              <w:rPr>
                <w:rFonts w:cs="Arial"/>
                <w:szCs w:val="22"/>
              </w:rPr>
            </w:pPr>
          </w:p>
        </w:tc>
        <w:tc>
          <w:tcPr>
            <w:tcW w:w="1241" w:type="dxa"/>
          </w:tcPr>
          <w:p w14:paraId="4E15AFF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F04</w:t>
            </w:r>
          </w:p>
        </w:tc>
        <w:tc>
          <w:tcPr>
            <w:tcW w:w="2063" w:type="dxa"/>
          </w:tcPr>
          <w:p w14:paraId="310D9D7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Group administration</w:t>
            </w:r>
          </w:p>
        </w:tc>
        <w:tc>
          <w:tcPr>
            <w:tcW w:w="4394" w:type="dxa"/>
          </w:tcPr>
          <w:p w14:paraId="725F5B5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defined groups to read and run reports on data within their hospitals, jurisdiction or clinical group</w:t>
            </w:r>
            <w:r>
              <w:rPr>
                <w:rFonts w:cs="Arial"/>
                <w:bCs/>
              </w:rPr>
              <w:t>.</w:t>
            </w:r>
          </w:p>
        </w:tc>
      </w:tr>
      <w:tr w:rsidR="00C442F7" w:rsidRPr="002227F1" w14:paraId="6E3C09E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0DDACD6" w14:textId="77777777" w:rsidR="00C442F7" w:rsidRPr="000A5025" w:rsidRDefault="00C442F7" w:rsidP="00C442F7">
            <w:pPr>
              <w:rPr>
                <w:rFonts w:cs="Arial"/>
                <w:szCs w:val="22"/>
              </w:rPr>
            </w:pPr>
          </w:p>
        </w:tc>
        <w:tc>
          <w:tcPr>
            <w:tcW w:w="1241" w:type="dxa"/>
          </w:tcPr>
          <w:p w14:paraId="333C6DA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F05</w:t>
            </w:r>
          </w:p>
        </w:tc>
        <w:tc>
          <w:tcPr>
            <w:tcW w:w="2063" w:type="dxa"/>
          </w:tcPr>
          <w:p w14:paraId="304766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Participating </w:t>
            </w:r>
            <w:r>
              <w:rPr>
                <w:rFonts w:cs="Arial"/>
                <w:bCs/>
              </w:rPr>
              <w:t>i</w:t>
            </w:r>
            <w:r w:rsidRPr="002227F1">
              <w:rPr>
                <w:rFonts w:cs="Arial"/>
                <w:bCs/>
              </w:rPr>
              <w:t>nstitution level administration</w:t>
            </w:r>
          </w:p>
        </w:tc>
        <w:tc>
          <w:tcPr>
            <w:tcW w:w="4394" w:type="dxa"/>
          </w:tcPr>
          <w:p w14:paraId="3E2D630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allow </w:t>
            </w:r>
            <w:r>
              <w:rPr>
                <w:rFonts w:cs="Arial"/>
                <w:bCs/>
              </w:rPr>
              <w:t>p</w:t>
            </w:r>
            <w:r w:rsidRPr="002227F1">
              <w:rPr>
                <w:rFonts w:cs="Arial"/>
                <w:bCs/>
              </w:rPr>
              <w:t xml:space="preserve">articipating </w:t>
            </w:r>
            <w:r>
              <w:rPr>
                <w:rFonts w:cs="Arial"/>
                <w:bCs/>
              </w:rPr>
              <w:t>i</w:t>
            </w:r>
            <w:r w:rsidRPr="002227F1">
              <w:rPr>
                <w:rFonts w:cs="Arial"/>
                <w:bCs/>
              </w:rPr>
              <w:t xml:space="preserve">nstitution or clinical group level administrators to be appointed to allocate user rights within the </w:t>
            </w:r>
            <w:r>
              <w:rPr>
                <w:rFonts w:cs="Arial"/>
                <w:bCs/>
              </w:rPr>
              <w:t>i</w:t>
            </w:r>
            <w:r w:rsidRPr="002227F1">
              <w:rPr>
                <w:rFonts w:cs="Arial"/>
                <w:bCs/>
              </w:rPr>
              <w:t xml:space="preserve">nstitution or clinical group. This includes creating new user accounts and granting user privileges such as: create new records, read records, update records, </w:t>
            </w:r>
            <w:r>
              <w:rPr>
                <w:rFonts w:cs="Arial"/>
                <w:bCs/>
              </w:rPr>
              <w:t>edit</w:t>
            </w:r>
            <w:r w:rsidRPr="002227F1">
              <w:rPr>
                <w:rFonts w:cs="Arial"/>
                <w:bCs/>
              </w:rPr>
              <w:t xml:space="preserve"> records</w:t>
            </w:r>
            <w:r>
              <w:rPr>
                <w:rFonts w:cs="Arial"/>
                <w:bCs/>
              </w:rPr>
              <w:t>.</w:t>
            </w:r>
          </w:p>
        </w:tc>
      </w:tr>
      <w:tr w:rsidR="00C442F7" w:rsidRPr="002227F1" w14:paraId="619F56C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055F73C" w14:textId="77777777" w:rsidR="00C442F7" w:rsidRPr="000A5025" w:rsidRDefault="00C442F7" w:rsidP="00C442F7">
            <w:pPr>
              <w:rPr>
                <w:rFonts w:cs="Arial"/>
                <w:szCs w:val="22"/>
              </w:rPr>
            </w:pPr>
          </w:p>
        </w:tc>
        <w:tc>
          <w:tcPr>
            <w:tcW w:w="1241" w:type="dxa"/>
          </w:tcPr>
          <w:p w14:paraId="4CFA715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F12</w:t>
            </w:r>
          </w:p>
        </w:tc>
        <w:tc>
          <w:tcPr>
            <w:tcW w:w="2063" w:type="dxa"/>
          </w:tcPr>
          <w:p w14:paraId="3EDC02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Access for international data providers</w:t>
            </w:r>
          </w:p>
        </w:tc>
        <w:tc>
          <w:tcPr>
            <w:tcW w:w="4394" w:type="dxa"/>
          </w:tcPr>
          <w:p w14:paraId="19515E6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users based outside of Australia to contribute and receive data to and from the registry</w:t>
            </w:r>
            <w:r>
              <w:rPr>
                <w:rFonts w:cs="Arial"/>
                <w:bCs/>
              </w:rPr>
              <w:t xml:space="preserve"> via appropriately secure systems and processes.</w:t>
            </w:r>
          </w:p>
        </w:tc>
      </w:tr>
      <w:tr w:rsidR="00C442F7" w:rsidRPr="002227F1" w14:paraId="21735F73" w14:textId="77777777" w:rsidTr="00100CED">
        <w:tc>
          <w:tcPr>
            <w:cnfStyle w:val="001000000000" w:firstRow="0" w:lastRow="0" w:firstColumn="1" w:lastColumn="0" w:oddVBand="0" w:evenVBand="0" w:oddHBand="0" w:evenHBand="0" w:firstRowFirstColumn="0" w:firstRowLastColumn="0" w:lastRowFirstColumn="0" w:lastRowLastColumn="0"/>
            <w:tcW w:w="9351" w:type="dxa"/>
            <w:gridSpan w:val="4"/>
          </w:tcPr>
          <w:p w14:paraId="38D012F0" w14:textId="77777777" w:rsidR="00C442F7" w:rsidRPr="00E85642" w:rsidRDefault="00C442F7" w:rsidP="00C442F7">
            <w:pPr>
              <w:rPr>
                <w:rFonts w:cs="Arial"/>
                <w:b w:val="0"/>
              </w:rPr>
            </w:pPr>
            <w:r w:rsidRPr="00C442F7">
              <w:rPr>
                <w:rFonts w:cs="Arial"/>
                <w:color w:val="000000" w:themeColor="text1"/>
              </w:rPr>
              <w:t>2.3 Data collection</w:t>
            </w:r>
          </w:p>
        </w:tc>
      </w:tr>
      <w:tr w:rsidR="00C442F7" w:rsidRPr="002227F1" w14:paraId="6153C9F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62218595" w14:textId="77777777" w:rsidR="00C442F7" w:rsidRPr="000A5025" w:rsidRDefault="00C442F7" w:rsidP="00C442F7">
            <w:pPr>
              <w:rPr>
                <w:rFonts w:cs="Arial"/>
                <w:szCs w:val="22"/>
              </w:rPr>
            </w:pPr>
            <w:r>
              <w:rPr>
                <w:rFonts w:cs="Arial"/>
                <w:szCs w:val="22"/>
              </w:rPr>
              <w:t>2.3.1 Capture data</w:t>
            </w:r>
          </w:p>
        </w:tc>
        <w:tc>
          <w:tcPr>
            <w:tcW w:w="1241" w:type="dxa"/>
          </w:tcPr>
          <w:p w14:paraId="3B0E97E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B06</w:t>
            </w:r>
          </w:p>
        </w:tc>
        <w:tc>
          <w:tcPr>
            <w:tcW w:w="2063" w:type="dxa"/>
          </w:tcPr>
          <w:p w14:paraId="39E6F6B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 xml:space="preserve">Standardised </w:t>
            </w:r>
            <w:r w:rsidRPr="002227F1">
              <w:rPr>
                <w:rFonts w:cs="Arial"/>
                <w:bCs/>
              </w:rPr>
              <w:t>data collection approaches</w:t>
            </w:r>
          </w:p>
        </w:tc>
        <w:tc>
          <w:tcPr>
            <w:tcW w:w="4394" w:type="dxa"/>
          </w:tcPr>
          <w:p w14:paraId="6C93132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collect data using </w:t>
            </w:r>
            <w:r>
              <w:rPr>
                <w:rFonts w:cs="Arial"/>
                <w:bCs/>
              </w:rPr>
              <w:t>standardised</w:t>
            </w:r>
            <w:r w:rsidRPr="002227F1">
              <w:rPr>
                <w:rFonts w:cs="Arial"/>
                <w:bCs/>
              </w:rPr>
              <w:t xml:space="preserve"> and systematic approaches</w:t>
            </w:r>
            <w:r>
              <w:rPr>
                <w:rFonts w:cs="Arial"/>
                <w:bCs/>
              </w:rPr>
              <w:t xml:space="preserve">.  </w:t>
            </w:r>
          </w:p>
        </w:tc>
      </w:tr>
      <w:tr w:rsidR="00C442F7" w:rsidRPr="002227F1" w14:paraId="30F9A07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677E51D" w14:textId="77777777" w:rsidR="00C442F7" w:rsidRDefault="00C442F7" w:rsidP="00C442F7">
            <w:pPr>
              <w:rPr>
                <w:rFonts w:cs="Arial"/>
                <w:szCs w:val="22"/>
              </w:rPr>
            </w:pPr>
          </w:p>
        </w:tc>
        <w:tc>
          <w:tcPr>
            <w:tcW w:w="1241" w:type="dxa"/>
          </w:tcPr>
          <w:p w14:paraId="209D885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B17</w:t>
            </w:r>
          </w:p>
        </w:tc>
        <w:tc>
          <w:tcPr>
            <w:tcW w:w="2063" w:type="dxa"/>
          </w:tcPr>
          <w:p w14:paraId="56834BCA"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Determining client outcomes</w:t>
            </w:r>
          </w:p>
        </w:tc>
        <w:tc>
          <w:tcPr>
            <w:tcW w:w="4394" w:type="dxa"/>
          </w:tcPr>
          <w:p w14:paraId="05FF5F5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Client outcomes shall be determined at a time when the</w:t>
            </w:r>
            <w:r>
              <w:rPr>
                <w:rFonts w:cs="Arial"/>
                <w:bCs/>
              </w:rPr>
              <w:t>ir</w:t>
            </w:r>
            <w:r w:rsidRPr="002227F1">
              <w:rPr>
                <w:rFonts w:cs="Arial"/>
                <w:bCs/>
              </w:rPr>
              <w:t xml:space="preserve"> clinical condition has stabilised and the outcome can be reasonabl</w:t>
            </w:r>
            <w:r>
              <w:rPr>
                <w:rFonts w:cs="Arial"/>
                <w:bCs/>
              </w:rPr>
              <w:t>y</w:t>
            </w:r>
            <w:r w:rsidRPr="002227F1">
              <w:rPr>
                <w:rFonts w:cs="Arial"/>
                <w:bCs/>
              </w:rPr>
              <w:t xml:space="preserve"> ascertained</w:t>
            </w:r>
          </w:p>
        </w:tc>
      </w:tr>
      <w:tr w:rsidR="00C442F7" w:rsidRPr="002227F1" w14:paraId="426F17E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38CD0FC" w14:textId="77777777" w:rsidR="00C442F7" w:rsidRPr="000A5025" w:rsidRDefault="00C442F7" w:rsidP="00C442F7">
            <w:pPr>
              <w:rPr>
                <w:rFonts w:cs="Arial"/>
                <w:szCs w:val="22"/>
              </w:rPr>
            </w:pPr>
          </w:p>
        </w:tc>
        <w:tc>
          <w:tcPr>
            <w:tcW w:w="1241" w:type="dxa"/>
          </w:tcPr>
          <w:p w14:paraId="7C3A4DC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F07</w:t>
            </w:r>
          </w:p>
        </w:tc>
        <w:tc>
          <w:tcPr>
            <w:tcW w:w="2063" w:type="dxa"/>
          </w:tcPr>
          <w:p w14:paraId="63C5C8D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Data capture </w:t>
            </w:r>
          </w:p>
        </w:tc>
        <w:tc>
          <w:tcPr>
            <w:tcW w:w="4394" w:type="dxa"/>
          </w:tcPr>
          <w:p w14:paraId="35B6D75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 xml:space="preserve">Where possible, </w:t>
            </w:r>
            <w:r w:rsidRPr="002227F1">
              <w:rPr>
                <w:rFonts w:cs="Arial"/>
                <w:bCs/>
              </w:rPr>
              <w:t xml:space="preserve">CQRs </w:t>
            </w:r>
            <w:r>
              <w:rPr>
                <w:rFonts w:cs="Arial"/>
                <w:bCs/>
              </w:rPr>
              <w:t>shall</w:t>
            </w:r>
            <w:r w:rsidRPr="002227F1">
              <w:rPr>
                <w:rFonts w:cs="Arial"/>
                <w:bCs/>
              </w:rPr>
              <w:t xml:space="preserve"> access data utilising a direct feed from a hospital administrative or clinical information system, or another data repository (such as a state-based clinical repository). This access could be via messages (e.g. HL7 pathology reports), or via an API</w:t>
            </w:r>
            <w:r>
              <w:rPr>
                <w:rFonts w:cs="Arial"/>
                <w:bCs/>
              </w:rPr>
              <w:t>.</w:t>
            </w:r>
          </w:p>
        </w:tc>
      </w:tr>
      <w:tr w:rsidR="00C442F7" w:rsidRPr="002227F1" w14:paraId="4C400D6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AF45B06" w14:textId="77777777" w:rsidR="00C442F7" w:rsidRPr="000A5025" w:rsidRDefault="00C442F7" w:rsidP="00C442F7">
            <w:pPr>
              <w:rPr>
                <w:rFonts w:cs="Arial"/>
                <w:szCs w:val="22"/>
              </w:rPr>
            </w:pPr>
          </w:p>
        </w:tc>
        <w:tc>
          <w:tcPr>
            <w:tcW w:w="1241" w:type="dxa"/>
          </w:tcPr>
          <w:p w14:paraId="4B54BCD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F08</w:t>
            </w:r>
          </w:p>
        </w:tc>
        <w:tc>
          <w:tcPr>
            <w:tcW w:w="2063" w:type="dxa"/>
          </w:tcPr>
          <w:p w14:paraId="0CDC43E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Multiple unique healthcare identifiers</w:t>
            </w:r>
          </w:p>
        </w:tc>
        <w:tc>
          <w:tcPr>
            <w:tcW w:w="4394" w:type="dxa"/>
          </w:tcPr>
          <w:p w14:paraId="7926455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w:t>
            </w:r>
            <w:r>
              <w:rPr>
                <w:rFonts w:cs="Arial"/>
                <w:bCs/>
              </w:rPr>
              <w:t>record the minimum number of</w:t>
            </w:r>
            <w:r w:rsidRPr="002227F1">
              <w:rPr>
                <w:rFonts w:cs="Arial"/>
                <w:bCs/>
              </w:rPr>
              <w:t xml:space="preserve"> unique healthcare identifiers for an individual patient</w:t>
            </w:r>
            <w:r>
              <w:rPr>
                <w:rFonts w:cs="Arial"/>
                <w:bCs/>
              </w:rPr>
              <w:t xml:space="preserve"> to meet its primary and secondary purposes.</w:t>
            </w:r>
          </w:p>
        </w:tc>
      </w:tr>
      <w:tr w:rsidR="00C442F7" w:rsidRPr="002227F1" w14:paraId="063D368E" w14:textId="77777777" w:rsidTr="00100CED">
        <w:trPr>
          <w:trHeight w:val="1215"/>
        </w:trPr>
        <w:tc>
          <w:tcPr>
            <w:cnfStyle w:val="001000000000" w:firstRow="0" w:lastRow="0" w:firstColumn="1" w:lastColumn="0" w:oddVBand="0" w:evenVBand="0" w:oddHBand="0" w:evenHBand="0" w:firstRowFirstColumn="0" w:firstRowLastColumn="0" w:lastRowFirstColumn="0" w:lastRowLastColumn="0"/>
            <w:tcW w:w="1653" w:type="dxa"/>
            <w:vMerge/>
          </w:tcPr>
          <w:p w14:paraId="504FE630" w14:textId="77777777" w:rsidR="00C442F7" w:rsidRPr="000A5025" w:rsidRDefault="00C442F7" w:rsidP="00C442F7">
            <w:pPr>
              <w:rPr>
                <w:rFonts w:cs="Arial"/>
                <w:szCs w:val="22"/>
              </w:rPr>
            </w:pPr>
          </w:p>
        </w:tc>
        <w:tc>
          <w:tcPr>
            <w:tcW w:w="1241" w:type="dxa"/>
          </w:tcPr>
          <w:p w14:paraId="243EA63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F09</w:t>
            </w:r>
          </w:p>
        </w:tc>
        <w:tc>
          <w:tcPr>
            <w:tcW w:w="2063" w:type="dxa"/>
          </w:tcPr>
          <w:p w14:paraId="127C541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Unique identifiers for patients, providers and products</w:t>
            </w:r>
          </w:p>
        </w:tc>
        <w:tc>
          <w:tcPr>
            <w:tcW w:w="4394" w:type="dxa"/>
          </w:tcPr>
          <w:p w14:paraId="562C8D7F" w14:textId="730B87BA"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allocate a unique identifier for patients, providers and products where the </w:t>
            </w:r>
            <w:r>
              <w:rPr>
                <w:rFonts w:cs="Arial"/>
                <w:bCs/>
              </w:rPr>
              <w:t>National Healthcare Identifier</w:t>
            </w:r>
            <w:r w:rsidRPr="002227F1">
              <w:rPr>
                <w:rFonts w:cs="Arial"/>
                <w:bCs/>
              </w:rPr>
              <w:t xml:space="preserve"> is not consistently available</w:t>
            </w:r>
            <w:r>
              <w:rPr>
                <w:rFonts w:cs="Arial"/>
                <w:bCs/>
              </w:rPr>
              <w:t>.</w:t>
            </w:r>
          </w:p>
        </w:tc>
      </w:tr>
      <w:tr w:rsidR="00C442F7" w:rsidRPr="002227F1" w14:paraId="54F01DE9"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5628AE6" w14:textId="77777777" w:rsidR="00C442F7" w:rsidRPr="000A5025" w:rsidRDefault="00C442F7" w:rsidP="00C442F7">
            <w:pPr>
              <w:rPr>
                <w:rFonts w:cs="Arial"/>
                <w:szCs w:val="22"/>
              </w:rPr>
            </w:pPr>
          </w:p>
        </w:tc>
        <w:tc>
          <w:tcPr>
            <w:tcW w:w="1241" w:type="dxa"/>
          </w:tcPr>
          <w:p w14:paraId="607784ED"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F10</w:t>
            </w:r>
          </w:p>
        </w:tc>
        <w:tc>
          <w:tcPr>
            <w:tcW w:w="2063" w:type="dxa"/>
          </w:tcPr>
          <w:p w14:paraId="64335D2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Authorised contributors allowed to edit and add information</w:t>
            </w:r>
          </w:p>
        </w:tc>
        <w:tc>
          <w:tcPr>
            <w:tcW w:w="4394" w:type="dxa"/>
          </w:tcPr>
          <w:p w14:paraId="218A627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allow authorised contributors submitting information to review and revise (edit, add to) information they have posted to the registry</w:t>
            </w:r>
            <w:r>
              <w:rPr>
                <w:rFonts w:cs="Arial"/>
                <w:bCs/>
              </w:rPr>
              <w:t>.</w:t>
            </w:r>
          </w:p>
        </w:tc>
      </w:tr>
      <w:tr w:rsidR="00C442F7" w:rsidRPr="002227F1" w14:paraId="55B7F58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252720A" w14:textId="77777777" w:rsidR="00C442F7" w:rsidRPr="000A5025" w:rsidRDefault="00C442F7" w:rsidP="00C442F7">
            <w:pPr>
              <w:rPr>
                <w:rFonts w:cs="Arial"/>
                <w:szCs w:val="22"/>
              </w:rPr>
            </w:pPr>
          </w:p>
        </w:tc>
        <w:tc>
          <w:tcPr>
            <w:tcW w:w="1241" w:type="dxa"/>
          </w:tcPr>
          <w:p w14:paraId="7FEDA62C" w14:textId="77777777" w:rsidR="00C442F7" w:rsidRPr="000A5025" w:rsidRDefault="00C442F7" w:rsidP="2E4EEEA3">
            <w:pPr>
              <w:cnfStyle w:val="000000000000" w:firstRow="0" w:lastRow="0" w:firstColumn="0" w:lastColumn="0" w:oddVBand="0" w:evenVBand="0" w:oddHBand="0" w:evenHBand="0" w:firstRowFirstColumn="0" w:firstRowLastColumn="0" w:lastRowFirstColumn="0" w:lastRowLastColumn="0"/>
              <w:rPr>
                <w:rFonts w:cs="Arial"/>
              </w:rPr>
            </w:pPr>
            <w:r w:rsidRPr="2E4EEEA3">
              <w:rPr>
                <w:rFonts w:cs="Arial"/>
              </w:rPr>
              <w:t>F13</w:t>
            </w:r>
          </w:p>
        </w:tc>
        <w:tc>
          <w:tcPr>
            <w:tcW w:w="2063" w:type="dxa"/>
          </w:tcPr>
          <w:p w14:paraId="5B0CDD3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Batch uploading</w:t>
            </w:r>
          </w:p>
        </w:tc>
        <w:tc>
          <w:tcPr>
            <w:tcW w:w="4394" w:type="dxa"/>
          </w:tcPr>
          <w:p w14:paraId="178EA0B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receive batch uploads of information from a source system provided to the registry in a standardised format</w:t>
            </w:r>
            <w:r>
              <w:rPr>
                <w:rFonts w:cs="Arial"/>
                <w:bCs/>
              </w:rPr>
              <w:t>.</w:t>
            </w:r>
          </w:p>
        </w:tc>
      </w:tr>
      <w:tr w:rsidR="00C442F7" w:rsidRPr="002227F1" w14:paraId="60C6709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D540C1A" w14:textId="77777777" w:rsidR="00C442F7" w:rsidRPr="000A5025" w:rsidRDefault="00C442F7" w:rsidP="00C442F7">
            <w:pPr>
              <w:rPr>
                <w:rFonts w:cs="Arial"/>
                <w:szCs w:val="22"/>
              </w:rPr>
            </w:pPr>
          </w:p>
        </w:tc>
        <w:tc>
          <w:tcPr>
            <w:tcW w:w="1241" w:type="dxa"/>
          </w:tcPr>
          <w:p w14:paraId="6C60E7C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F14</w:t>
            </w:r>
          </w:p>
        </w:tc>
        <w:tc>
          <w:tcPr>
            <w:tcW w:w="2063" w:type="dxa"/>
          </w:tcPr>
          <w:p w14:paraId="5CA9CA0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Establish criteria for rejecting or partially accepting records</w:t>
            </w:r>
          </w:p>
        </w:tc>
        <w:tc>
          <w:tcPr>
            <w:tcW w:w="4394" w:type="dxa"/>
          </w:tcPr>
          <w:p w14:paraId="78B8B36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establish </w:t>
            </w:r>
            <w:r>
              <w:rPr>
                <w:rFonts w:cs="Arial"/>
                <w:bCs/>
              </w:rPr>
              <w:t xml:space="preserve">and publish </w:t>
            </w:r>
            <w:r w:rsidRPr="002227F1">
              <w:rPr>
                <w:rFonts w:cs="Arial"/>
                <w:bCs/>
              </w:rPr>
              <w:t xml:space="preserve">criteria under which a record being imported will be rejected or accepted with a flag attached to enable it </w:t>
            </w:r>
            <w:r>
              <w:rPr>
                <w:rFonts w:cs="Arial"/>
                <w:bCs/>
              </w:rPr>
              <w:t xml:space="preserve">to </w:t>
            </w:r>
            <w:r w:rsidRPr="002227F1">
              <w:rPr>
                <w:rFonts w:cs="Arial"/>
                <w:bCs/>
              </w:rPr>
              <w:t>be readily identified for review and follow-up</w:t>
            </w:r>
            <w:r>
              <w:rPr>
                <w:rFonts w:cs="Arial"/>
                <w:bCs/>
              </w:rPr>
              <w:t>.</w:t>
            </w:r>
          </w:p>
        </w:tc>
      </w:tr>
      <w:tr w:rsidR="00C442F7" w:rsidRPr="002227F1" w14:paraId="734B966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7DA67B0" w14:textId="77777777" w:rsidR="00C442F7" w:rsidRPr="000A5025" w:rsidRDefault="00C442F7" w:rsidP="00C442F7">
            <w:pPr>
              <w:rPr>
                <w:rFonts w:cs="Arial"/>
                <w:szCs w:val="22"/>
              </w:rPr>
            </w:pPr>
          </w:p>
        </w:tc>
        <w:tc>
          <w:tcPr>
            <w:tcW w:w="1241" w:type="dxa"/>
          </w:tcPr>
          <w:p w14:paraId="50C8971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F15</w:t>
            </w:r>
          </w:p>
        </w:tc>
        <w:tc>
          <w:tcPr>
            <w:tcW w:w="2063" w:type="dxa"/>
          </w:tcPr>
          <w:p w14:paraId="3A582FA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Apply data validation checks during import</w:t>
            </w:r>
          </w:p>
        </w:tc>
        <w:tc>
          <w:tcPr>
            <w:tcW w:w="4394" w:type="dxa"/>
          </w:tcPr>
          <w:p w14:paraId="6428262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apply automated data validation checks, including simple field validation, business rules (Boolean logic and clinical logic checks) and </w:t>
            </w:r>
            <w:r>
              <w:rPr>
                <w:rFonts w:cs="Arial"/>
                <w:bCs/>
              </w:rPr>
              <w:t>simple</w:t>
            </w:r>
            <w:r w:rsidRPr="002227F1">
              <w:rPr>
                <w:rFonts w:cs="Arial"/>
                <w:bCs/>
              </w:rPr>
              <w:t xml:space="preserve"> computations (e.g. assays) as part of the process of importing data</w:t>
            </w:r>
            <w:r>
              <w:rPr>
                <w:rFonts w:cs="Arial"/>
                <w:bCs/>
              </w:rPr>
              <w:t>.</w:t>
            </w:r>
          </w:p>
        </w:tc>
      </w:tr>
      <w:tr w:rsidR="00C442F7" w:rsidRPr="002227F1" w14:paraId="7F090892"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5D4F1A3" w14:textId="77777777" w:rsidR="00C442F7" w:rsidRPr="000A5025" w:rsidRDefault="00C442F7" w:rsidP="00C442F7">
            <w:pPr>
              <w:rPr>
                <w:rFonts w:cs="Arial"/>
                <w:szCs w:val="22"/>
              </w:rPr>
            </w:pPr>
          </w:p>
        </w:tc>
        <w:tc>
          <w:tcPr>
            <w:tcW w:w="1241" w:type="dxa"/>
          </w:tcPr>
          <w:p w14:paraId="4546D15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F16</w:t>
            </w:r>
          </w:p>
        </w:tc>
        <w:tc>
          <w:tcPr>
            <w:tcW w:w="2063" w:type="dxa"/>
          </w:tcPr>
          <w:p w14:paraId="48DA73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Prompt if changes result from data import</w:t>
            </w:r>
          </w:p>
        </w:tc>
        <w:tc>
          <w:tcPr>
            <w:tcW w:w="4394" w:type="dxa"/>
          </w:tcPr>
          <w:p w14:paraId="7F8A7DC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 users shall be prompted if any data contained in existing records would be changed as a result of importing new data through an automated process</w:t>
            </w:r>
            <w:r>
              <w:rPr>
                <w:rFonts w:cs="Arial"/>
                <w:bCs/>
              </w:rPr>
              <w:t>.</w:t>
            </w:r>
          </w:p>
        </w:tc>
      </w:tr>
      <w:tr w:rsidR="00C442F7" w:rsidRPr="002227F1" w14:paraId="439BF0B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89AC6D9" w14:textId="77777777" w:rsidR="00C442F7" w:rsidRPr="000A5025" w:rsidRDefault="00C442F7" w:rsidP="00C442F7">
            <w:pPr>
              <w:rPr>
                <w:rFonts w:cs="Arial"/>
                <w:szCs w:val="22"/>
              </w:rPr>
            </w:pPr>
          </w:p>
        </w:tc>
        <w:tc>
          <w:tcPr>
            <w:tcW w:w="1241" w:type="dxa"/>
          </w:tcPr>
          <w:p w14:paraId="04CB256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F17</w:t>
            </w:r>
          </w:p>
        </w:tc>
        <w:tc>
          <w:tcPr>
            <w:tcW w:w="2063" w:type="dxa"/>
          </w:tcPr>
          <w:p w14:paraId="0066F7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Allow multiple episodes</w:t>
            </w:r>
            <w:r>
              <w:rPr>
                <w:rFonts w:cs="Arial"/>
                <w:bCs/>
              </w:rPr>
              <w:t xml:space="preserve"> of care</w:t>
            </w:r>
            <w:r w:rsidRPr="002227F1">
              <w:rPr>
                <w:rFonts w:cs="Arial"/>
                <w:bCs/>
              </w:rPr>
              <w:t xml:space="preserve"> to be recorded</w:t>
            </w:r>
          </w:p>
        </w:tc>
        <w:tc>
          <w:tcPr>
            <w:tcW w:w="4394" w:type="dxa"/>
          </w:tcPr>
          <w:p w14:paraId="0941FD3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allow data relating to multiple episodes</w:t>
            </w:r>
            <w:r>
              <w:rPr>
                <w:rFonts w:cs="Arial"/>
                <w:bCs/>
              </w:rPr>
              <w:t xml:space="preserve"> of care</w:t>
            </w:r>
            <w:r w:rsidRPr="002227F1">
              <w:rPr>
                <w:rFonts w:cs="Arial"/>
                <w:bCs/>
              </w:rPr>
              <w:t xml:space="preserve"> for a single patient to be imported</w:t>
            </w:r>
            <w:r>
              <w:rPr>
                <w:rFonts w:cs="Arial"/>
                <w:bCs/>
              </w:rPr>
              <w:t>.</w:t>
            </w:r>
          </w:p>
        </w:tc>
      </w:tr>
      <w:tr w:rsidR="00C442F7" w:rsidRPr="002227F1" w14:paraId="3ECD8C62"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06E5424" w14:textId="77777777" w:rsidR="00C442F7" w:rsidRPr="000A5025" w:rsidRDefault="00C442F7" w:rsidP="00C442F7">
            <w:pPr>
              <w:rPr>
                <w:rFonts w:cs="Arial"/>
                <w:szCs w:val="22"/>
              </w:rPr>
            </w:pPr>
          </w:p>
        </w:tc>
        <w:tc>
          <w:tcPr>
            <w:tcW w:w="1241" w:type="dxa"/>
          </w:tcPr>
          <w:p w14:paraId="339ED86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F18</w:t>
            </w:r>
          </w:p>
        </w:tc>
        <w:tc>
          <w:tcPr>
            <w:tcW w:w="2063" w:type="dxa"/>
          </w:tcPr>
          <w:p w14:paraId="6FE17D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Receipt of data from existing data sources</w:t>
            </w:r>
          </w:p>
        </w:tc>
        <w:tc>
          <w:tcPr>
            <w:tcW w:w="4394" w:type="dxa"/>
          </w:tcPr>
          <w:p w14:paraId="38A8CD0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w:t>
            </w:r>
            <w:r>
              <w:rPr>
                <w:rFonts w:cs="Arial"/>
                <w:bCs/>
              </w:rPr>
              <w:t>shall</w:t>
            </w:r>
            <w:r w:rsidRPr="002227F1">
              <w:rPr>
                <w:rFonts w:cs="Arial"/>
                <w:bCs/>
              </w:rPr>
              <w:t xml:space="preserve"> have the ability to receive/import data from existing data sources, including administrative data</w:t>
            </w:r>
            <w:r>
              <w:rPr>
                <w:rFonts w:cs="Arial"/>
                <w:bCs/>
              </w:rPr>
              <w:t>.</w:t>
            </w:r>
          </w:p>
        </w:tc>
      </w:tr>
      <w:tr w:rsidR="00C442F7" w:rsidRPr="002227F1" w14:paraId="5078AC1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E8F7074" w14:textId="77777777" w:rsidR="00C442F7" w:rsidRPr="000A5025" w:rsidRDefault="00C442F7" w:rsidP="00C442F7">
            <w:pPr>
              <w:rPr>
                <w:rFonts w:cs="Arial"/>
                <w:szCs w:val="22"/>
              </w:rPr>
            </w:pPr>
          </w:p>
        </w:tc>
        <w:tc>
          <w:tcPr>
            <w:tcW w:w="1241" w:type="dxa"/>
          </w:tcPr>
          <w:p w14:paraId="0FD9FEB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F19</w:t>
            </w:r>
          </w:p>
        </w:tc>
        <w:tc>
          <w:tcPr>
            <w:tcW w:w="2063" w:type="dxa"/>
          </w:tcPr>
          <w:p w14:paraId="390D6D9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Access control for batch upload</w:t>
            </w:r>
          </w:p>
        </w:tc>
        <w:tc>
          <w:tcPr>
            <w:tcW w:w="4394" w:type="dxa"/>
          </w:tcPr>
          <w:p w14:paraId="53326C7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use role-based access control to enable authorised users to perform batch uploads, and prevent unauthorised users from doing so</w:t>
            </w:r>
            <w:r>
              <w:rPr>
                <w:rFonts w:cs="Arial"/>
                <w:bCs/>
              </w:rPr>
              <w:t>.</w:t>
            </w:r>
          </w:p>
        </w:tc>
      </w:tr>
      <w:tr w:rsidR="00C442F7" w:rsidRPr="002227F1" w14:paraId="4A3F0BA9"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06E9611" w14:textId="77777777" w:rsidR="00C442F7" w:rsidRPr="000A5025" w:rsidRDefault="00C442F7" w:rsidP="00C442F7">
            <w:pPr>
              <w:rPr>
                <w:rFonts w:cs="Arial"/>
                <w:szCs w:val="22"/>
              </w:rPr>
            </w:pPr>
          </w:p>
        </w:tc>
        <w:tc>
          <w:tcPr>
            <w:tcW w:w="1241" w:type="dxa"/>
          </w:tcPr>
          <w:p w14:paraId="6D7FEE5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F20</w:t>
            </w:r>
          </w:p>
        </w:tc>
        <w:tc>
          <w:tcPr>
            <w:tcW w:w="2063" w:type="dxa"/>
          </w:tcPr>
          <w:p w14:paraId="5FE7ED4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Authorised system upload</w:t>
            </w:r>
          </w:p>
        </w:tc>
        <w:tc>
          <w:tcPr>
            <w:tcW w:w="4394" w:type="dxa"/>
          </w:tcPr>
          <w:p w14:paraId="5F869C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systems or users to upload batches of information to the registry</w:t>
            </w:r>
            <w:r>
              <w:rPr>
                <w:rFonts w:cs="Arial"/>
                <w:bCs/>
              </w:rPr>
              <w:t>.</w:t>
            </w:r>
          </w:p>
        </w:tc>
      </w:tr>
      <w:tr w:rsidR="00C442F7" w:rsidRPr="002227F1" w14:paraId="17546B0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FAF2AE2" w14:textId="77777777" w:rsidR="00C442F7" w:rsidRPr="000A5025" w:rsidRDefault="00C442F7" w:rsidP="00C442F7">
            <w:pPr>
              <w:rPr>
                <w:rFonts w:cs="Arial"/>
                <w:szCs w:val="22"/>
              </w:rPr>
            </w:pPr>
          </w:p>
        </w:tc>
        <w:tc>
          <w:tcPr>
            <w:tcW w:w="1241" w:type="dxa"/>
          </w:tcPr>
          <w:p w14:paraId="2E0D0DC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F21</w:t>
            </w:r>
          </w:p>
        </w:tc>
        <w:tc>
          <w:tcPr>
            <w:tcW w:w="2063" w:type="dxa"/>
          </w:tcPr>
          <w:p w14:paraId="45D721F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Cross-check data being imported</w:t>
            </w:r>
          </w:p>
        </w:tc>
        <w:tc>
          <w:tcPr>
            <w:tcW w:w="4394" w:type="dxa"/>
          </w:tcPr>
          <w:p w14:paraId="693E551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cross-check large quantities of records against another set of records as part of the process of importing data to avoid record duplication</w:t>
            </w:r>
            <w:r>
              <w:rPr>
                <w:rFonts w:cs="Arial"/>
                <w:bCs/>
              </w:rPr>
              <w:t>.</w:t>
            </w:r>
          </w:p>
        </w:tc>
      </w:tr>
      <w:tr w:rsidR="00C442F7" w:rsidRPr="002227F1" w14:paraId="230A2D6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C9B443D" w14:textId="77777777" w:rsidR="00C442F7" w:rsidRPr="000A5025" w:rsidRDefault="00C442F7" w:rsidP="00C442F7">
            <w:pPr>
              <w:rPr>
                <w:rFonts w:cs="Arial"/>
                <w:szCs w:val="22"/>
              </w:rPr>
            </w:pPr>
          </w:p>
        </w:tc>
        <w:tc>
          <w:tcPr>
            <w:tcW w:w="1241" w:type="dxa"/>
          </w:tcPr>
          <w:p w14:paraId="0B95975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F22</w:t>
            </w:r>
          </w:p>
        </w:tc>
        <w:tc>
          <w:tcPr>
            <w:tcW w:w="2063" w:type="dxa"/>
          </w:tcPr>
          <w:p w14:paraId="04DB29B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Alter records via data import</w:t>
            </w:r>
          </w:p>
        </w:tc>
        <w:tc>
          <w:tcPr>
            <w:tcW w:w="4394" w:type="dxa"/>
          </w:tcPr>
          <w:p w14:paraId="66DC0DC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use automated data import processes to append, modify, or discard patient records</w:t>
            </w:r>
            <w:r>
              <w:rPr>
                <w:rFonts w:cs="Arial"/>
                <w:bCs/>
              </w:rPr>
              <w:t>.</w:t>
            </w:r>
          </w:p>
        </w:tc>
      </w:tr>
      <w:tr w:rsidR="00C442F7" w:rsidRPr="002227F1" w14:paraId="0630266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87D2156" w14:textId="77777777" w:rsidR="00C442F7" w:rsidRPr="000A5025" w:rsidRDefault="00C442F7" w:rsidP="00C442F7">
            <w:pPr>
              <w:rPr>
                <w:rFonts w:cs="Arial"/>
                <w:szCs w:val="22"/>
              </w:rPr>
            </w:pPr>
          </w:p>
        </w:tc>
        <w:tc>
          <w:tcPr>
            <w:tcW w:w="1241" w:type="dxa"/>
          </w:tcPr>
          <w:p w14:paraId="5374B45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F23</w:t>
            </w:r>
          </w:p>
        </w:tc>
        <w:tc>
          <w:tcPr>
            <w:tcW w:w="2063" w:type="dxa"/>
          </w:tcPr>
          <w:p w14:paraId="3F36334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Mark mandatory fields</w:t>
            </w:r>
          </w:p>
        </w:tc>
        <w:tc>
          <w:tcPr>
            <w:tcW w:w="4394" w:type="dxa"/>
          </w:tcPr>
          <w:p w14:paraId="1D594EC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identify which fields within a record are mandatory</w:t>
            </w:r>
            <w:r>
              <w:rPr>
                <w:rFonts w:cs="Arial"/>
                <w:bCs/>
              </w:rPr>
              <w:t>.</w:t>
            </w:r>
          </w:p>
        </w:tc>
      </w:tr>
      <w:tr w:rsidR="00C442F7" w:rsidRPr="002227F1" w14:paraId="51F94C5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03DE56F" w14:textId="77777777" w:rsidR="00C442F7" w:rsidRPr="000A5025" w:rsidRDefault="00C442F7" w:rsidP="00C442F7">
            <w:pPr>
              <w:rPr>
                <w:rFonts w:cs="Arial"/>
                <w:szCs w:val="22"/>
              </w:rPr>
            </w:pPr>
          </w:p>
        </w:tc>
        <w:tc>
          <w:tcPr>
            <w:tcW w:w="1241" w:type="dxa"/>
          </w:tcPr>
          <w:p w14:paraId="619786A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F24</w:t>
            </w:r>
          </w:p>
        </w:tc>
        <w:tc>
          <w:tcPr>
            <w:tcW w:w="2063" w:type="dxa"/>
          </w:tcPr>
          <w:p w14:paraId="0D15786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Correct errors identified through validation checks</w:t>
            </w:r>
          </w:p>
        </w:tc>
        <w:tc>
          <w:tcPr>
            <w:tcW w:w="4394" w:type="dxa"/>
          </w:tcPr>
          <w:p w14:paraId="0BB8F77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provide users with the ability to add missing data or fix incorrect information identified through automated validity checks during data entry</w:t>
            </w:r>
            <w:r>
              <w:rPr>
                <w:rFonts w:cs="Arial"/>
                <w:bCs/>
              </w:rPr>
              <w:t>.</w:t>
            </w:r>
          </w:p>
        </w:tc>
      </w:tr>
      <w:tr w:rsidR="00C442F7" w:rsidRPr="002227F1" w14:paraId="772ED56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3F39354" w14:textId="77777777" w:rsidR="00C442F7" w:rsidRPr="000A5025" w:rsidRDefault="00C442F7" w:rsidP="00C442F7">
            <w:pPr>
              <w:rPr>
                <w:rFonts w:cs="Arial"/>
                <w:szCs w:val="22"/>
              </w:rPr>
            </w:pPr>
          </w:p>
        </w:tc>
        <w:tc>
          <w:tcPr>
            <w:tcW w:w="1241" w:type="dxa"/>
          </w:tcPr>
          <w:p w14:paraId="1267EDE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F25</w:t>
            </w:r>
          </w:p>
        </w:tc>
        <w:tc>
          <w:tcPr>
            <w:tcW w:w="2063" w:type="dxa"/>
          </w:tcPr>
          <w:p w14:paraId="381EC8C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Data record rejection</w:t>
            </w:r>
          </w:p>
        </w:tc>
        <w:tc>
          <w:tcPr>
            <w:tcW w:w="4394" w:type="dxa"/>
          </w:tcPr>
          <w:p w14:paraId="100A53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In the case that records are rejected, a reason can be recorded against it</w:t>
            </w:r>
            <w:r>
              <w:rPr>
                <w:rFonts w:cs="Arial"/>
                <w:bCs/>
              </w:rPr>
              <w:t>.</w:t>
            </w:r>
          </w:p>
        </w:tc>
      </w:tr>
      <w:tr w:rsidR="00C442F7" w:rsidRPr="002227F1" w14:paraId="27EB2DE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ABDF70F" w14:textId="77777777" w:rsidR="00C442F7" w:rsidRPr="000A5025" w:rsidRDefault="00C442F7" w:rsidP="00C442F7">
            <w:pPr>
              <w:rPr>
                <w:rFonts w:cs="Arial"/>
                <w:szCs w:val="22"/>
              </w:rPr>
            </w:pPr>
          </w:p>
        </w:tc>
        <w:tc>
          <w:tcPr>
            <w:tcW w:w="1241" w:type="dxa"/>
          </w:tcPr>
          <w:p w14:paraId="44BBD31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F26</w:t>
            </w:r>
          </w:p>
        </w:tc>
        <w:tc>
          <w:tcPr>
            <w:tcW w:w="2063" w:type="dxa"/>
          </w:tcPr>
          <w:p w14:paraId="749DEE9F" w14:textId="77777777" w:rsidR="00C442F7" w:rsidRPr="00FC2D1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FC2D17">
              <w:rPr>
                <w:rFonts w:cs="Arial"/>
                <w:bCs/>
              </w:rPr>
              <w:t>Eligibility criteria</w:t>
            </w:r>
          </w:p>
        </w:tc>
        <w:tc>
          <w:tcPr>
            <w:tcW w:w="4394" w:type="dxa"/>
          </w:tcPr>
          <w:p w14:paraId="69D83EB9" w14:textId="77777777" w:rsidR="00C442F7" w:rsidRPr="00FC2D1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FC2D17">
              <w:rPr>
                <w:rFonts w:cs="Arial"/>
                <w:bCs/>
              </w:rPr>
              <w:t>CQRs shall be able to provide eligibility criteria in a computer processable form. This will allow systems that provide information to the registry via direct feed to identify eligible patients based on patient events.</w:t>
            </w:r>
          </w:p>
        </w:tc>
      </w:tr>
      <w:tr w:rsidR="00C442F7" w:rsidRPr="002227F1" w14:paraId="299B9D1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44BCF15" w14:textId="77777777" w:rsidR="00C442F7" w:rsidRPr="000A5025" w:rsidRDefault="00C442F7" w:rsidP="00C442F7">
            <w:pPr>
              <w:rPr>
                <w:rFonts w:cs="Arial"/>
                <w:szCs w:val="22"/>
              </w:rPr>
            </w:pPr>
          </w:p>
        </w:tc>
        <w:tc>
          <w:tcPr>
            <w:tcW w:w="1241" w:type="dxa"/>
          </w:tcPr>
          <w:p w14:paraId="6B5410E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F27</w:t>
            </w:r>
          </w:p>
        </w:tc>
        <w:tc>
          <w:tcPr>
            <w:tcW w:w="2063" w:type="dxa"/>
          </w:tcPr>
          <w:p w14:paraId="1319313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Automatic updates to eligibility criteria and data specifications</w:t>
            </w:r>
          </w:p>
        </w:tc>
        <w:tc>
          <w:tcPr>
            <w:tcW w:w="4394" w:type="dxa"/>
          </w:tcPr>
          <w:p w14:paraId="4881761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When data </w:t>
            </w:r>
            <w:r>
              <w:rPr>
                <w:rFonts w:cs="Arial"/>
                <w:bCs/>
              </w:rPr>
              <w:t>are</w:t>
            </w:r>
            <w:r w:rsidRPr="002227F1">
              <w:rPr>
                <w:rFonts w:cs="Arial"/>
                <w:bCs/>
              </w:rPr>
              <w:t xml:space="preserve"> automatically fed from administrative systems in participating facilities, registries shall provide automatic updates to those systems when changes to eligibility criteria or data specifications occur</w:t>
            </w:r>
            <w:r>
              <w:rPr>
                <w:rFonts w:cs="Arial"/>
                <w:bCs/>
              </w:rPr>
              <w:t>.</w:t>
            </w:r>
          </w:p>
        </w:tc>
      </w:tr>
      <w:tr w:rsidR="00C442F7" w:rsidRPr="002227F1" w14:paraId="69B99C7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1E6E55B" w14:textId="77777777" w:rsidR="00C442F7" w:rsidRPr="000A5025" w:rsidRDefault="00C442F7" w:rsidP="00C442F7">
            <w:pPr>
              <w:rPr>
                <w:rFonts w:cs="Arial"/>
                <w:szCs w:val="22"/>
              </w:rPr>
            </w:pPr>
          </w:p>
        </w:tc>
        <w:tc>
          <w:tcPr>
            <w:tcW w:w="1241" w:type="dxa"/>
          </w:tcPr>
          <w:p w14:paraId="21F9B80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F28</w:t>
            </w:r>
          </w:p>
        </w:tc>
        <w:tc>
          <w:tcPr>
            <w:tcW w:w="2063" w:type="dxa"/>
          </w:tcPr>
          <w:p w14:paraId="041530C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Scanning of simple data fields</w:t>
            </w:r>
          </w:p>
        </w:tc>
        <w:tc>
          <w:tcPr>
            <w:tcW w:w="4394" w:type="dxa"/>
          </w:tcPr>
          <w:p w14:paraId="3BFCBBB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allow for central or local scanning of simple data fields (e.g. </w:t>
            </w:r>
            <w:r>
              <w:rPr>
                <w:rFonts w:cs="Arial"/>
                <w:bCs/>
              </w:rPr>
              <w:t>c</w:t>
            </w:r>
            <w:r w:rsidRPr="002227F1">
              <w:rPr>
                <w:rFonts w:cs="Arial"/>
                <w:bCs/>
              </w:rPr>
              <w:t>heckboxes) in paper</w:t>
            </w:r>
            <w:r>
              <w:rPr>
                <w:rFonts w:cs="Arial"/>
                <w:bCs/>
              </w:rPr>
              <w:t>-</w:t>
            </w:r>
            <w:r w:rsidRPr="002227F1">
              <w:rPr>
                <w:rFonts w:cs="Arial"/>
                <w:bCs/>
              </w:rPr>
              <w:t>based capture to convert information to an electronic format</w:t>
            </w:r>
            <w:r>
              <w:rPr>
                <w:rFonts w:cs="Arial"/>
                <w:bCs/>
              </w:rPr>
              <w:t xml:space="preserve">. </w:t>
            </w:r>
          </w:p>
        </w:tc>
      </w:tr>
      <w:tr w:rsidR="00C442F7" w:rsidRPr="002227F1" w14:paraId="1EBE60C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0B4644A" w14:textId="77777777" w:rsidR="00C442F7" w:rsidRPr="000A5025" w:rsidRDefault="00C442F7" w:rsidP="00C442F7">
            <w:pPr>
              <w:rPr>
                <w:rFonts w:cs="Arial"/>
                <w:szCs w:val="22"/>
              </w:rPr>
            </w:pPr>
          </w:p>
        </w:tc>
        <w:tc>
          <w:tcPr>
            <w:tcW w:w="1241" w:type="dxa"/>
          </w:tcPr>
          <w:p w14:paraId="7378234D"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F29</w:t>
            </w:r>
          </w:p>
        </w:tc>
        <w:tc>
          <w:tcPr>
            <w:tcW w:w="2063" w:type="dxa"/>
          </w:tcPr>
          <w:p w14:paraId="62EF388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Barcode scanning</w:t>
            </w:r>
          </w:p>
        </w:tc>
        <w:tc>
          <w:tcPr>
            <w:tcW w:w="4394" w:type="dxa"/>
          </w:tcPr>
          <w:p w14:paraId="0E599BE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w:t>
            </w:r>
            <w:r>
              <w:rPr>
                <w:rFonts w:cs="Arial"/>
                <w:bCs/>
              </w:rPr>
              <w:t>may</w:t>
            </w:r>
            <w:r w:rsidRPr="002227F1">
              <w:rPr>
                <w:rFonts w:cs="Arial"/>
                <w:bCs/>
              </w:rPr>
              <w:t xml:space="preserve"> facilitate barcode scanning of patient identification labels on paper forms</w:t>
            </w:r>
            <w:r>
              <w:rPr>
                <w:rFonts w:cs="Arial"/>
                <w:bCs/>
              </w:rPr>
              <w:t>.</w:t>
            </w:r>
          </w:p>
        </w:tc>
      </w:tr>
      <w:tr w:rsidR="00C442F7" w:rsidRPr="002227F1" w14:paraId="6022BAF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893A22A" w14:textId="77777777" w:rsidR="00C442F7" w:rsidRPr="000A5025" w:rsidRDefault="00C442F7" w:rsidP="00C442F7">
            <w:pPr>
              <w:rPr>
                <w:rFonts w:cs="Arial"/>
                <w:szCs w:val="22"/>
              </w:rPr>
            </w:pPr>
          </w:p>
        </w:tc>
        <w:tc>
          <w:tcPr>
            <w:tcW w:w="1241" w:type="dxa"/>
          </w:tcPr>
          <w:p w14:paraId="22C0E00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F30</w:t>
            </w:r>
          </w:p>
        </w:tc>
        <w:tc>
          <w:tcPr>
            <w:tcW w:w="2063" w:type="dxa"/>
          </w:tcPr>
          <w:p w14:paraId="5C5E496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Include automated data validity checks</w:t>
            </w:r>
          </w:p>
        </w:tc>
        <w:tc>
          <w:tcPr>
            <w:tcW w:w="4394" w:type="dxa"/>
          </w:tcPr>
          <w:p w14:paraId="2833A3E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use automated data validity checks supporting any required data entry such as drop</w:t>
            </w:r>
            <w:r>
              <w:rPr>
                <w:rFonts w:cs="Arial"/>
                <w:bCs/>
              </w:rPr>
              <w:t>-</w:t>
            </w:r>
            <w:r w:rsidRPr="002227F1">
              <w:rPr>
                <w:rFonts w:cs="Arial"/>
                <w:bCs/>
              </w:rPr>
              <w:t>down selections, nested drop</w:t>
            </w:r>
            <w:r>
              <w:rPr>
                <w:rFonts w:cs="Arial"/>
                <w:bCs/>
              </w:rPr>
              <w:t>-</w:t>
            </w:r>
            <w:r w:rsidRPr="002227F1">
              <w:rPr>
                <w:rFonts w:cs="Arial"/>
                <w:bCs/>
              </w:rPr>
              <w:t>downs, checkboxes, auto complete search clinical terminology, etc</w:t>
            </w:r>
            <w:r>
              <w:rPr>
                <w:rFonts w:cs="Arial"/>
                <w:bCs/>
              </w:rPr>
              <w:t>.</w:t>
            </w:r>
          </w:p>
        </w:tc>
      </w:tr>
      <w:tr w:rsidR="00C442F7" w:rsidRPr="002227F1" w14:paraId="58C0C50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F6A7EFA" w14:textId="77777777" w:rsidR="00C442F7" w:rsidRPr="000A5025" w:rsidRDefault="00C442F7" w:rsidP="00C442F7">
            <w:pPr>
              <w:rPr>
                <w:rFonts w:cs="Arial"/>
                <w:szCs w:val="22"/>
              </w:rPr>
            </w:pPr>
          </w:p>
        </w:tc>
        <w:tc>
          <w:tcPr>
            <w:tcW w:w="1241" w:type="dxa"/>
          </w:tcPr>
          <w:p w14:paraId="239604F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F31</w:t>
            </w:r>
          </w:p>
        </w:tc>
        <w:tc>
          <w:tcPr>
            <w:tcW w:w="2063" w:type="dxa"/>
          </w:tcPr>
          <w:p w14:paraId="4D49C19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Download printable forms</w:t>
            </w:r>
          </w:p>
        </w:tc>
        <w:tc>
          <w:tcPr>
            <w:tcW w:w="4394" w:type="dxa"/>
          </w:tcPr>
          <w:p w14:paraId="21947E5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users to download printable forms to aid manual data collection</w:t>
            </w:r>
            <w:r>
              <w:rPr>
                <w:rFonts w:cs="Arial"/>
                <w:bCs/>
              </w:rPr>
              <w:t>.</w:t>
            </w:r>
          </w:p>
        </w:tc>
      </w:tr>
      <w:tr w:rsidR="00C442F7" w:rsidRPr="002227F1" w14:paraId="54AAC46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6544296" w14:textId="77777777" w:rsidR="00C442F7" w:rsidRPr="000A5025" w:rsidRDefault="00C442F7" w:rsidP="00C442F7">
            <w:pPr>
              <w:rPr>
                <w:rFonts w:cs="Arial"/>
                <w:szCs w:val="22"/>
              </w:rPr>
            </w:pPr>
          </w:p>
        </w:tc>
        <w:tc>
          <w:tcPr>
            <w:tcW w:w="1241" w:type="dxa"/>
          </w:tcPr>
          <w:p w14:paraId="198B5D8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F32</w:t>
            </w:r>
          </w:p>
        </w:tc>
        <w:tc>
          <w:tcPr>
            <w:tcW w:w="2063" w:type="dxa"/>
          </w:tcPr>
          <w:p w14:paraId="12906A4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Offline forms</w:t>
            </w:r>
          </w:p>
        </w:tc>
        <w:tc>
          <w:tcPr>
            <w:tcW w:w="4394" w:type="dxa"/>
          </w:tcPr>
          <w:p w14:paraId="494AC66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Users shall be able to download offline forms for data entry</w:t>
            </w:r>
            <w:r>
              <w:rPr>
                <w:rFonts w:cs="Arial"/>
                <w:bCs/>
              </w:rPr>
              <w:t>.</w:t>
            </w:r>
          </w:p>
        </w:tc>
      </w:tr>
      <w:tr w:rsidR="00C442F7" w:rsidRPr="002227F1" w14:paraId="60F5F8D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63E3D00" w14:textId="77777777" w:rsidR="00C442F7" w:rsidRPr="000A5025" w:rsidRDefault="00C442F7" w:rsidP="00C442F7">
            <w:pPr>
              <w:rPr>
                <w:rFonts w:cs="Arial"/>
                <w:szCs w:val="22"/>
              </w:rPr>
            </w:pPr>
          </w:p>
        </w:tc>
        <w:tc>
          <w:tcPr>
            <w:tcW w:w="1241" w:type="dxa"/>
          </w:tcPr>
          <w:p w14:paraId="0CB6F3B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F33</w:t>
            </w:r>
          </w:p>
        </w:tc>
        <w:tc>
          <w:tcPr>
            <w:tcW w:w="2063" w:type="dxa"/>
          </w:tcPr>
          <w:p w14:paraId="61B01DE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OCR in scanning</w:t>
            </w:r>
          </w:p>
        </w:tc>
        <w:tc>
          <w:tcPr>
            <w:tcW w:w="4394" w:type="dxa"/>
          </w:tcPr>
          <w:p w14:paraId="3C77F4C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The CQR </w:t>
            </w:r>
            <w:r>
              <w:rPr>
                <w:rFonts w:cs="Arial"/>
                <w:bCs/>
              </w:rPr>
              <w:t>shall</w:t>
            </w:r>
            <w:r w:rsidRPr="002227F1">
              <w:rPr>
                <w:rFonts w:cs="Arial"/>
                <w:bCs/>
              </w:rPr>
              <w:t xml:space="preserve"> facilitate OCR in scanning of paper forms</w:t>
            </w:r>
            <w:r>
              <w:rPr>
                <w:rFonts w:cs="Arial"/>
                <w:bCs/>
              </w:rPr>
              <w:t>.</w:t>
            </w:r>
          </w:p>
        </w:tc>
      </w:tr>
      <w:tr w:rsidR="00C442F7" w:rsidRPr="002227F1" w14:paraId="23FD825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75830B0" w14:textId="77777777" w:rsidR="00C442F7" w:rsidRPr="000A5025" w:rsidRDefault="00C442F7" w:rsidP="00C442F7">
            <w:pPr>
              <w:rPr>
                <w:rFonts w:cs="Arial"/>
                <w:szCs w:val="22"/>
              </w:rPr>
            </w:pPr>
          </w:p>
        </w:tc>
        <w:tc>
          <w:tcPr>
            <w:tcW w:w="1241" w:type="dxa"/>
          </w:tcPr>
          <w:p w14:paraId="6D50AEF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F34</w:t>
            </w:r>
          </w:p>
        </w:tc>
        <w:tc>
          <w:tcPr>
            <w:tcW w:w="2063" w:type="dxa"/>
          </w:tcPr>
          <w:p w14:paraId="4B54600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Logic checks and rules to guide efficient data entry</w:t>
            </w:r>
          </w:p>
        </w:tc>
        <w:tc>
          <w:tcPr>
            <w:tcW w:w="4394" w:type="dxa"/>
          </w:tcPr>
          <w:p w14:paraId="7EF54F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define business rules and logic checks that increase the efficiency of any data entry required</w:t>
            </w:r>
            <w:r>
              <w:rPr>
                <w:rFonts w:cs="Arial"/>
                <w:bCs/>
              </w:rPr>
              <w:t>.</w:t>
            </w:r>
          </w:p>
        </w:tc>
      </w:tr>
      <w:tr w:rsidR="00C442F7" w:rsidRPr="002227F1" w14:paraId="685322C7"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F7E7183" w14:textId="77777777" w:rsidR="00C442F7" w:rsidRPr="000A5025" w:rsidRDefault="00C442F7" w:rsidP="00C442F7">
            <w:pPr>
              <w:rPr>
                <w:rFonts w:cs="Arial"/>
                <w:szCs w:val="22"/>
              </w:rPr>
            </w:pPr>
          </w:p>
        </w:tc>
        <w:tc>
          <w:tcPr>
            <w:tcW w:w="1241" w:type="dxa"/>
          </w:tcPr>
          <w:p w14:paraId="40D59EF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F35</w:t>
            </w:r>
          </w:p>
        </w:tc>
        <w:tc>
          <w:tcPr>
            <w:tcW w:w="2063" w:type="dxa"/>
          </w:tcPr>
          <w:p w14:paraId="5E40EEB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Storage of paper-based data sources</w:t>
            </w:r>
          </w:p>
        </w:tc>
        <w:tc>
          <w:tcPr>
            <w:tcW w:w="4394" w:type="dxa"/>
          </w:tcPr>
          <w:p w14:paraId="7C1262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store electronic copies of paper-based data collection forms</w:t>
            </w:r>
            <w:r>
              <w:rPr>
                <w:rFonts w:cs="Arial"/>
                <w:bCs/>
              </w:rPr>
              <w:t>.</w:t>
            </w:r>
          </w:p>
        </w:tc>
      </w:tr>
      <w:tr w:rsidR="00C442F7" w:rsidRPr="002227F1" w14:paraId="4B8E49F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586A2CA5" w14:textId="77777777" w:rsidR="00C442F7" w:rsidRPr="000A5025" w:rsidRDefault="00C442F7" w:rsidP="00C442F7">
            <w:pPr>
              <w:rPr>
                <w:rFonts w:cs="Arial"/>
                <w:szCs w:val="22"/>
              </w:rPr>
            </w:pPr>
            <w:r>
              <w:rPr>
                <w:rFonts w:cs="Arial"/>
                <w:szCs w:val="22"/>
              </w:rPr>
              <w:t>2.3.2 Perform data linkage</w:t>
            </w:r>
          </w:p>
        </w:tc>
        <w:tc>
          <w:tcPr>
            <w:tcW w:w="1241" w:type="dxa"/>
          </w:tcPr>
          <w:p w14:paraId="7C3F958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B07</w:t>
            </w:r>
          </w:p>
        </w:tc>
        <w:tc>
          <w:tcPr>
            <w:tcW w:w="2063" w:type="dxa"/>
          </w:tcPr>
          <w:p w14:paraId="2E59135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 of standard terminology and data specifications</w:t>
            </w:r>
          </w:p>
        </w:tc>
        <w:tc>
          <w:tcPr>
            <w:tcW w:w="4394" w:type="dxa"/>
          </w:tcPr>
          <w:p w14:paraId="2A48F29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use standard definitions, terminology, data dictionaries and specifications (wherever possible) to enable meaningful comparisons and linkages (if approved by ethics committees) to other registries and databases</w:t>
            </w:r>
            <w:r>
              <w:rPr>
                <w:rFonts w:cs="Arial"/>
                <w:bCs/>
              </w:rPr>
              <w:t>.</w:t>
            </w:r>
          </w:p>
        </w:tc>
      </w:tr>
      <w:tr w:rsidR="00C442F7" w:rsidRPr="002227F1" w14:paraId="36E2CFC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CB95A49" w14:textId="77777777" w:rsidR="00C442F7" w:rsidRPr="000A5025" w:rsidRDefault="00C442F7" w:rsidP="00C442F7">
            <w:pPr>
              <w:rPr>
                <w:rFonts w:cs="Arial"/>
                <w:szCs w:val="22"/>
              </w:rPr>
            </w:pPr>
          </w:p>
        </w:tc>
        <w:tc>
          <w:tcPr>
            <w:tcW w:w="1241" w:type="dxa"/>
          </w:tcPr>
          <w:p w14:paraId="5DC9612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B18</w:t>
            </w:r>
          </w:p>
        </w:tc>
        <w:tc>
          <w:tcPr>
            <w:tcW w:w="2063" w:type="dxa"/>
          </w:tcPr>
          <w:p w14:paraId="11A1360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Capacity to link or integrate with other registries</w:t>
            </w:r>
          </w:p>
        </w:tc>
        <w:tc>
          <w:tcPr>
            <w:tcW w:w="4394" w:type="dxa"/>
          </w:tcPr>
          <w:p w14:paraId="70A2F6C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have the capacity to support linkage with other datasets</w:t>
            </w:r>
            <w:r>
              <w:rPr>
                <w:rFonts w:cs="Arial"/>
                <w:bCs/>
              </w:rPr>
              <w:t>.</w:t>
            </w:r>
          </w:p>
        </w:tc>
      </w:tr>
      <w:tr w:rsidR="00C442F7" w:rsidRPr="002227F1" w14:paraId="4592990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64A76F0" w14:textId="77777777" w:rsidR="00C442F7" w:rsidRPr="000A5025" w:rsidRDefault="00C442F7" w:rsidP="00C442F7">
            <w:pPr>
              <w:rPr>
                <w:rFonts w:cs="Arial"/>
                <w:szCs w:val="22"/>
              </w:rPr>
            </w:pPr>
          </w:p>
        </w:tc>
        <w:tc>
          <w:tcPr>
            <w:tcW w:w="1241" w:type="dxa"/>
          </w:tcPr>
          <w:p w14:paraId="61C1A70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B29</w:t>
            </w:r>
          </w:p>
        </w:tc>
        <w:tc>
          <w:tcPr>
            <w:tcW w:w="2063" w:type="dxa"/>
          </w:tcPr>
          <w:p w14:paraId="5D30DF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Produce longitudinal patient outcome information through data linkage</w:t>
            </w:r>
          </w:p>
        </w:tc>
        <w:tc>
          <w:tcPr>
            <w:tcW w:w="4394" w:type="dxa"/>
          </w:tcPr>
          <w:p w14:paraId="36E9E21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generate detailed longitudinal information about patient outcomes through the use of data linkage in order to monitor the effect of health</w:t>
            </w:r>
            <w:r>
              <w:rPr>
                <w:rFonts w:cs="Arial"/>
                <w:bCs/>
              </w:rPr>
              <w:t xml:space="preserve"> </w:t>
            </w:r>
            <w:r w:rsidRPr="002227F1">
              <w:rPr>
                <w:rFonts w:cs="Arial"/>
                <w:bCs/>
              </w:rPr>
              <w:t>care</w:t>
            </w:r>
            <w:r>
              <w:rPr>
                <w:rFonts w:cs="Arial"/>
                <w:bCs/>
              </w:rPr>
              <w:t>.</w:t>
            </w:r>
          </w:p>
        </w:tc>
      </w:tr>
      <w:tr w:rsidR="00C442F7" w:rsidRPr="002227F1" w14:paraId="5822B37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405FFEF" w14:textId="77777777" w:rsidR="00C442F7" w:rsidRPr="000A5025" w:rsidRDefault="00C442F7" w:rsidP="00C442F7">
            <w:pPr>
              <w:rPr>
                <w:rFonts w:cs="Arial"/>
                <w:szCs w:val="22"/>
              </w:rPr>
            </w:pPr>
          </w:p>
        </w:tc>
        <w:tc>
          <w:tcPr>
            <w:tcW w:w="1241" w:type="dxa"/>
          </w:tcPr>
          <w:p w14:paraId="15382B8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NF42</w:t>
            </w:r>
          </w:p>
        </w:tc>
        <w:tc>
          <w:tcPr>
            <w:tcW w:w="2063" w:type="dxa"/>
          </w:tcPr>
          <w:p w14:paraId="26E97F6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Employ standard to support data linkage</w:t>
            </w:r>
          </w:p>
        </w:tc>
        <w:tc>
          <w:tcPr>
            <w:tcW w:w="4394" w:type="dxa"/>
          </w:tcPr>
          <w:p w14:paraId="66C96B3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employ technical and data information standards that support data linkage to, or eventual integration with, other disease and procedure registers or other databases</w:t>
            </w:r>
            <w:r>
              <w:rPr>
                <w:rFonts w:cs="Arial"/>
                <w:bCs/>
              </w:rPr>
              <w:t>.</w:t>
            </w:r>
          </w:p>
        </w:tc>
      </w:tr>
      <w:tr w:rsidR="00C442F7" w:rsidRPr="002227F1" w14:paraId="789BB88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64B7C3A" w14:textId="77777777" w:rsidR="00C442F7" w:rsidRPr="000A5025" w:rsidRDefault="00C442F7" w:rsidP="00C442F7">
            <w:pPr>
              <w:rPr>
                <w:rFonts w:cs="Arial"/>
                <w:szCs w:val="22"/>
              </w:rPr>
            </w:pPr>
          </w:p>
        </w:tc>
        <w:tc>
          <w:tcPr>
            <w:tcW w:w="1241" w:type="dxa"/>
          </w:tcPr>
          <w:p w14:paraId="58E9860D"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NF62</w:t>
            </w:r>
          </w:p>
        </w:tc>
        <w:tc>
          <w:tcPr>
            <w:tcW w:w="2063" w:type="dxa"/>
          </w:tcPr>
          <w:p w14:paraId="11C8776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Audit trails to record data linkage details</w:t>
            </w:r>
          </w:p>
        </w:tc>
        <w:tc>
          <w:tcPr>
            <w:tcW w:w="4394" w:type="dxa"/>
          </w:tcPr>
          <w:p w14:paraId="5299FD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record details of data export (for the purpose of data linkage) in comprehensive audit trails</w:t>
            </w:r>
            <w:r>
              <w:rPr>
                <w:rFonts w:cs="Arial"/>
                <w:bCs/>
              </w:rPr>
              <w:t>.</w:t>
            </w:r>
          </w:p>
        </w:tc>
      </w:tr>
      <w:tr w:rsidR="00C442F7" w:rsidRPr="002227F1" w14:paraId="34A24C7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0902F7E6" w14:textId="77777777" w:rsidR="00C442F7" w:rsidRPr="000A5025" w:rsidRDefault="00C442F7" w:rsidP="00C442F7">
            <w:pPr>
              <w:rPr>
                <w:rFonts w:cs="Arial"/>
                <w:szCs w:val="22"/>
              </w:rPr>
            </w:pPr>
            <w:r>
              <w:rPr>
                <w:rFonts w:cs="Arial"/>
                <w:szCs w:val="22"/>
              </w:rPr>
              <w:lastRenderedPageBreak/>
              <w:t>2.3.3 Identifying patients requiring follow-up</w:t>
            </w:r>
          </w:p>
        </w:tc>
        <w:tc>
          <w:tcPr>
            <w:tcW w:w="1241" w:type="dxa"/>
          </w:tcPr>
          <w:p w14:paraId="51ECF8C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F14</w:t>
            </w:r>
          </w:p>
        </w:tc>
        <w:tc>
          <w:tcPr>
            <w:tcW w:w="2063" w:type="dxa"/>
          </w:tcPr>
          <w:p w14:paraId="0B10324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Establish criteria for rejecting or partially accepting records</w:t>
            </w:r>
          </w:p>
        </w:tc>
        <w:tc>
          <w:tcPr>
            <w:tcW w:w="4394" w:type="dxa"/>
          </w:tcPr>
          <w:p w14:paraId="076479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establish </w:t>
            </w:r>
            <w:r>
              <w:rPr>
                <w:rFonts w:cs="Arial"/>
                <w:bCs/>
              </w:rPr>
              <w:t xml:space="preserve">and publish </w:t>
            </w:r>
            <w:r w:rsidRPr="002227F1">
              <w:rPr>
                <w:rFonts w:cs="Arial"/>
                <w:bCs/>
              </w:rPr>
              <w:t xml:space="preserve">criteria under which a record being imported will be rejected, or accepted with a flag attached to enable it </w:t>
            </w:r>
            <w:r>
              <w:rPr>
                <w:rFonts w:cs="Arial"/>
                <w:bCs/>
              </w:rPr>
              <w:t xml:space="preserve">to </w:t>
            </w:r>
            <w:r w:rsidRPr="002227F1">
              <w:rPr>
                <w:rFonts w:cs="Arial"/>
                <w:bCs/>
              </w:rPr>
              <w:t>be readily identified for review and follow-up</w:t>
            </w:r>
            <w:r>
              <w:rPr>
                <w:rFonts w:cs="Arial"/>
                <w:bCs/>
              </w:rPr>
              <w:t>.</w:t>
            </w:r>
          </w:p>
        </w:tc>
      </w:tr>
      <w:tr w:rsidR="00C442F7" w:rsidRPr="002227F1" w14:paraId="119E98E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15BA57A" w14:textId="77777777" w:rsidR="00C442F7" w:rsidRPr="000A5025" w:rsidRDefault="00C442F7" w:rsidP="00C442F7">
            <w:pPr>
              <w:rPr>
                <w:rFonts w:cs="Arial"/>
                <w:szCs w:val="22"/>
              </w:rPr>
            </w:pPr>
          </w:p>
        </w:tc>
        <w:tc>
          <w:tcPr>
            <w:tcW w:w="1241" w:type="dxa"/>
          </w:tcPr>
          <w:p w14:paraId="43E8210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F36</w:t>
            </w:r>
          </w:p>
        </w:tc>
        <w:tc>
          <w:tcPr>
            <w:tcW w:w="2063" w:type="dxa"/>
          </w:tcPr>
          <w:p w14:paraId="3B47A5A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Define period for record update</w:t>
            </w:r>
          </w:p>
        </w:tc>
        <w:tc>
          <w:tcPr>
            <w:tcW w:w="4394" w:type="dxa"/>
          </w:tcPr>
          <w:p w14:paraId="46AA62D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define the period in which an individual's record </w:t>
            </w:r>
            <w:r>
              <w:rPr>
                <w:rFonts w:cs="Arial"/>
                <w:bCs/>
              </w:rPr>
              <w:t>shall</w:t>
            </w:r>
            <w:r w:rsidRPr="002227F1">
              <w:rPr>
                <w:rFonts w:cs="Arial"/>
                <w:bCs/>
              </w:rPr>
              <w:t xml:space="preserve"> be updated or completed</w:t>
            </w:r>
            <w:r>
              <w:rPr>
                <w:rFonts w:cs="Arial"/>
                <w:bCs/>
              </w:rPr>
              <w:t>.</w:t>
            </w:r>
          </w:p>
        </w:tc>
      </w:tr>
      <w:tr w:rsidR="00C442F7" w:rsidRPr="002227F1" w14:paraId="2E8C79E2"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C5D1570" w14:textId="77777777" w:rsidR="00C442F7" w:rsidRPr="000A5025" w:rsidRDefault="00C442F7" w:rsidP="00C442F7">
            <w:pPr>
              <w:rPr>
                <w:rFonts w:cs="Arial"/>
                <w:szCs w:val="22"/>
              </w:rPr>
            </w:pPr>
          </w:p>
        </w:tc>
        <w:tc>
          <w:tcPr>
            <w:tcW w:w="1241" w:type="dxa"/>
          </w:tcPr>
          <w:p w14:paraId="6A0C27A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F37</w:t>
            </w:r>
          </w:p>
        </w:tc>
        <w:tc>
          <w:tcPr>
            <w:tcW w:w="2063" w:type="dxa"/>
          </w:tcPr>
          <w:p w14:paraId="6F5A13D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Prompt when record incomplete</w:t>
            </w:r>
          </w:p>
        </w:tc>
        <w:tc>
          <w:tcPr>
            <w:tcW w:w="4394" w:type="dxa"/>
          </w:tcPr>
          <w:p w14:paraId="6DB75D8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prompt a user when a record remains incomplete past the permitted duration for data collection/record update</w:t>
            </w:r>
            <w:r>
              <w:rPr>
                <w:rFonts w:cs="Arial"/>
                <w:bCs/>
              </w:rPr>
              <w:t>.</w:t>
            </w:r>
          </w:p>
        </w:tc>
      </w:tr>
      <w:tr w:rsidR="00C442F7" w:rsidRPr="002227F1" w14:paraId="33B631A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E2CAB97" w14:textId="77777777" w:rsidR="00C442F7" w:rsidRPr="000A5025" w:rsidRDefault="00C442F7" w:rsidP="00C442F7">
            <w:pPr>
              <w:rPr>
                <w:rFonts w:cs="Arial"/>
                <w:szCs w:val="22"/>
              </w:rPr>
            </w:pPr>
          </w:p>
        </w:tc>
        <w:tc>
          <w:tcPr>
            <w:tcW w:w="1241" w:type="dxa"/>
          </w:tcPr>
          <w:p w14:paraId="72BFAD8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F81</w:t>
            </w:r>
          </w:p>
        </w:tc>
        <w:tc>
          <w:tcPr>
            <w:tcW w:w="2063" w:type="dxa"/>
          </w:tcPr>
          <w:p w14:paraId="3E71D11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Record patient decision to opt-out</w:t>
            </w:r>
          </w:p>
        </w:tc>
        <w:tc>
          <w:tcPr>
            <w:tcW w:w="4394" w:type="dxa"/>
          </w:tcPr>
          <w:p w14:paraId="2F6E40B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record that the patient has opted-out of participating in the CQR at both a global and episodic level</w:t>
            </w:r>
            <w:r>
              <w:rPr>
                <w:rFonts w:cs="Arial"/>
                <w:bCs/>
              </w:rPr>
              <w:t>.</w:t>
            </w:r>
          </w:p>
        </w:tc>
      </w:tr>
      <w:tr w:rsidR="00C442F7" w:rsidRPr="002227F1" w14:paraId="725C1DD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F9CC1B1" w14:textId="77777777" w:rsidR="00C442F7" w:rsidRPr="000A5025" w:rsidRDefault="00C442F7" w:rsidP="00C442F7">
            <w:pPr>
              <w:rPr>
                <w:rFonts w:cs="Arial"/>
                <w:szCs w:val="22"/>
              </w:rPr>
            </w:pPr>
          </w:p>
        </w:tc>
        <w:tc>
          <w:tcPr>
            <w:tcW w:w="1241" w:type="dxa"/>
          </w:tcPr>
          <w:p w14:paraId="6BBF893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F87</w:t>
            </w:r>
          </w:p>
        </w:tc>
        <w:tc>
          <w:tcPr>
            <w:tcW w:w="2063" w:type="dxa"/>
          </w:tcPr>
          <w:p w14:paraId="2DFF6AE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Record opt-out notification</w:t>
            </w:r>
          </w:p>
        </w:tc>
        <w:tc>
          <w:tcPr>
            <w:tcW w:w="4394" w:type="dxa"/>
          </w:tcPr>
          <w:p w14:paraId="3AB5FA9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alert users </w:t>
            </w:r>
            <w:r>
              <w:rPr>
                <w:rFonts w:cs="Arial"/>
                <w:bCs/>
              </w:rPr>
              <w:t xml:space="preserve">that </w:t>
            </w:r>
            <w:r w:rsidRPr="002227F1">
              <w:rPr>
                <w:rFonts w:cs="Arial"/>
                <w:bCs/>
              </w:rPr>
              <w:t>a patient has opted-out each time that patient's eligibility identifies them for recruitment</w:t>
            </w:r>
            <w:r>
              <w:rPr>
                <w:rFonts w:cs="Arial"/>
                <w:bCs/>
              </w:rPr>
              <w:t>.</w:t>
            </w:r>
          </w:p>
        </w:tc>
      </w:tr>
      <w:tr w:rsidR="00C442F7" w:rsidRPr="002227F1" w14:paraId="71606DD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2F0D163" w14:textId="77777777" w:rsidR="00C442F7" w:rsidRPr="000A5025" w:rsidRDefault="00C442F7" w:rsidP="00C442F7">
            <w:pPr>
              <w:rPr>
                <w:rFonts w:cs="Arial"/>
                <w:szCs w:val="22"/>
              </w:rPr>
            </w:pPr>
          </w:p>
        </w:tc>
        <w:tc>
          <w:tcPr>
            <w:tcW w:w="1241" w:type="dxa"/>
          </w:tcPr>
          <w:p w14:paraId="7B9DA38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F88</w:t>
            </w:r>
          </w:p>
        </w:tc>
        <w:tc>
          <w:tcPr>
            <w:tcW w:w="2063" w:type="dxa"/>
          </w:tcPr>
          <w:p w14:paraId="699810D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Flag when patient has opted</w:t>
            </w:r>
            <w:r>
              <w:rPr>
                <w:rFonts w:cs="Arial"/>
                <w:bCs/>
              </w:rPr>
              <w:t>-</w:t>
            </w:r>
            <w:r w:rsidRPr="002227F1">
              <w:rPr>
                <w:rFonts w:cs="Arial"/>
                <w:bCs/>
              </w:rPr>
              <w:t>out</w:t>
            </w:r>
          </w:p>
        </w:tc>
        <w:tc>
          <w:tcPr>
            <w:tcW w:w="4394" w:type="dxa"/>
          </w:tcPr>
          <w:p w14:paraId="09CBFAC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When the patient has opted-out, CQRs shall </w:t>
            </w:r>
            <w:r>
              <w:rPr>
                <w:rFonts w:cs="Arial"/>
                <w:bCs/>
              </w:rPr>
              <w:t>follow the process approved by their governing HREC.</w:t>
            </w:r>
          </w:p>
        </w:tc>
      </w:tr>
      <w:tr w:rsidR="00C442F7" w:rsidRPr="002227F1" w14:paraId="320B4BF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1B63EC17" w14:textId="77777777" w:rsidR="00C442F7" w:rsidRPr="000A5025" w:rsidRDefault="00C442F7" w:rsidP="00C442F7">
            <w:pPr>
              <w:rPr>
                <w:rFonts w:cs="Arial"/>
                <w:szCs w:val="22"/>
              </w:rPr>
            </w:pPr>
            <w:r>
              <w:rPr>
                <w:rFonts w:cs="Arial"/>
                <w:szCs w:val="22"/>
              </w:rPr>
              <w:t>2.3.4 Add follow-up information</w:t>
            </w:r>
          </w:p>
        </w:tc>
        <w:tc>
          <w:tcPr>
            <w:tcW w:w="1241" w:type="dxa"/>
          </w:tcPr>
          <w:p w14:paraId="6364ED5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F12</w:t>
            </w:r>
          </w:p>
        </w:tc>
        <w:tc>
          <w:tcPr>
            <w:tcW w:w="2063" w:type="dxa"/>
          </w:tcPr>
          <w:p w14:paraId="31F3262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Access for international data providers</w:t>
            </w:r>
          </w:p>
        </w:tc>
        <w:tc>
          <w:tcPr>
            <w:tcW w:w="4394" w:type="dxa"/>
          </w:tcPr>
          <w:p w14:paraId="580AD14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users based outside of Australia to contribute and receive data to and from the registry</w:t>
            </w:r>
            <w:r>
              <w:rPr>
                <w:rFonts w:cs="Arial"/>
                <w:bCs/>
              </w:rPr>
              <w:t xml:space="preserve"> via appropriately secure systems and processes.</w:t>
            </w:r>
          </w:p>
        </w:tc>
      </w:tr>
      <w:tr w:rsidR="00C442F7" w:rsidRPr="002227F1" w14:paraId="04F7C04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66EEF6A" w14:textId="77777777" w:rsidR="00C442F7" w:rsidRPr="000A5025" w:rsidRDefault="00C442F7" w:rsidP="00C442F7">
            <w:pPr>
              <w:rPr>
                <w:rFonts w:cs="Arial"/>
                <w:szCs w:val="22"/>
              </w:rPr>
            </w:pPr>
          </w:p>
        </w:tc>
        <w:tc>
          <w:tcPr>
            <w:tcW w:w="1241" w:type="dxa"/>
          </w:tcPr>
          <w:p w14:paraId="18E3B2C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F38</w:t>
            </w:r>
          </w:p>
        </w:tc>
        <w:tc>
          <w:tcPr>
            <w:tcW w:w="2063" w:type="dxa"/>
          </w:tcPr>
          <w:p w14:paraId="724EBD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Report of incomplete record</w:t>
            </w:r>
          </w:p>
        </w:tc>
        <w:tc>
          <w:tcPr>
            <w:tcW w:w="4394" w:type="dxa"/>
          </w:tcPr>
          <w:p w14:paraId="51D5750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produce a report that identifies records that are incomplete past the permitted duration for data collection/record update</w:t>
            </w:r>
            <w:r>
              <w:rPr>
                <w:rFonts w:cs="Arial"/>
                <w:bCs/>
              </w:rPr>
              <w:t>.</w:t>
            </w:r>
          </w:p>
        </w:tc>
      </w:tr>
      <w:tr w:rsidR="00C442F7" w:rsidRPr="002227F1" w14:paraId="36B099C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F9712E5" w14:textId="77777777" w:rsidR="00C442F7" w:rsidRPr="000A5025" w:rsidRDefault="00C442F7" w:rsidP="00C442F7">
            <w:pPr>
              <w:rPr>
                <w:rFonts w:cs="Arial"/>
                <w:szCs w:val="22"/>
              </w:rPr>
            </w:pPr>
          </w:p>
        </w:tc>
        <w:tc>
          <w:tcPr>
            <w:tcW w:w="1241" w:type="dxa"/>
          </w:tcPr>
          <w:p w14:paraId="51BCA52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F39</w:t>
            </w:r>
          </w:p>
        </w:tc>
        <w:tc>
          <w:tcPr>
            <w:tcW w:w="2063" w:type="dxa"/>
          </w:tcPr>
          <w:p w14:paraId="4D1860F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Download follow-up forms</w:t>
            </w:r>
          </w:p>
        </w:tc>
        <w:tc>
          <w:tcPr>
            <w:tcW w:w="4394" w:type="dxa"/>
          </w:tcPr>
          <w:p w14:paraId="3B4DE75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users to download printable or offline forms to aid the collection of follow-up information</w:t>
            </w:r>
            <w:r>
              <w:rPr>
                <w:rFonts w:cs="Arial"/>
                <w:bCs/>
              </w:rPr>
              <w:t>.</w:t>
            </w:r>
          </w:p>
        </w:tc>
      </w:tr>
      <w:tr w:rsidR="00C442F7" w:rsidRPr="002227F1" w14:paraId="4951115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007F801" w14:textId="77777777" w:rsidR="00C442F7" w:rsidRPr="000A5025" w:rsidRDefault="00C442F7" w:rsidP="00C442F7">
            <w:pPr>
              <w:rPr>
                <w:rFonts w:cs="Arial"/>
                <w:szCs w:val="22"/>
              </w:rPr>
            </w:pPr>
          </w:p>
        </w:tc>
        <w:tc>
          <w:tcPr>
            <w:tcW w:w="1241" w:type="dxa"/>
          </w:tcPr>
          <w:p w14:paraId="3CC2053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F40</w:t>
            </w:r>
          </w:p>
        </w:tc>
        <w:tc>
          <w:tcPr>
            <w:tcW w:w="2063" w:type="dxa"/>
          </w:tcPr>
          <w:p w14:paraId="7A50154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Lock record at case completion</w:t>
            </w:r>
          </w:p>
        </w:tc>
        <w:tc>
          <w:tcPr>
            <w:tcW w:w="4394" w:type="dxa"/>
          </w:tcPr>
          <w:p w14:paraId="6D4D4B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lock a record (to prevent it from being edited by local users) at the point of case completion once it has passed audit checks</w:t>
            </w:r>
            <w:r>
              <w:rPr>
                <w:rFonts w:cs="Arial"/>
                <w:bCs/>
              </w:rPr>
              <w:t>.</w:t>
            </w:r>
          </w:p>
        </w:tc>
      </w:tr>
      <w:tr w:rsidR="00C442F7" w:rsidRPr="002227F1" w14:paraId="116D99A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61224DF" w14:textId="77777777" w:rsidR="00C442F7" w:rsidRPr="000A5025" w:rsidRDefault="00C442F7" w:rsidP="00C442F7">
            <w:pPr>
              <w:rPr>
                <w:rFonts w:cs="Arial"/>
                <w:szCs w:val="22"/>
              </w:rPr>
            </w:pPr>
          </w:p>
        </w:tc>
        <w:tc>
          <w:tcPr>
            <w:tcW w:w="1241" w:type="dxa"/>
          </w:tcPr>
          <w:p w14:paraId="411D4DB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F41</w:t>
            </w:r>
          </w:p>
        </w:tc>
        <w:tc>
          <w:tcPr>
            <w:tcW w:w="2063" w:type="dxa"/>
          </w:tcPr>
          <w:p w14:paraId="1C3A282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Authorised users can unlock records</w:t>
            </w:r>
          </w:p>
        </w:tc>
        <w:tc>
          <w:tcPr>
            <w:tcW w:w="4394" w:type="dxa"/>
          </w:tcPr>
          <w:p w14:paraId="7E22A05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users to unlock records</w:t>
            </w:r>
            <w:r>
              <w:rPr>
                <w:rFonts w:cs="Arial"/>
                <w:bCs/>
              </w:rPr>
              <w:t>.</w:t>
            </w:r>
          </w:p>
        </w:tc>
      </w:tr>
      <w:tr w:rsidR="00C442F7" w:rsidRPr="002227F1" w14:paraId="46D0AD0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4AC34C5" w14:textId="77777777" w:rsidR="00C442F7" w:rsidRPr="000A5025" w:rsidRDefault="00C442F7" w:rsidP="00C442F7">
            <w:pPr>
              <w:rPr>
                <w:rFonts w:cs="Arial"/>
                <w:szCs w:val="22"/>
              </w:rPr>
            </w:pPr>
          </w:p>
        </w:tc>
        <w:tc>
          <w:tcPr>
            <w:tcW w:w="1241" w:type="dxa"/>
          </w:tcPr>
          <w:p w14:paraId="4D713DA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F42</w:t>
            </w:r>
          </w:p>
        </w:tc>
        <w:tc>
          <w:tcPr>
            <w:tcW w:w="2063" w:type="dxa"/>
          </w:tcPr>
          <w:p w14:paraId="0C5668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Workflows</w:t>
            </w:r>
          </w:p>
        </w:tc>
        <w:tc>
          <w:tcPr>
            <w:tcW w:w="4394" w:type="dxa"/>
          </w:tcPr>
          <w:p w14:paraId="69F067F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support the use of generic automated workflows</w:t>
            </w:r>
            <w:r>
              <w:rPr>
                <w:rFonts w:cs="Arial"/>
                <w:bCs/>
              </w:rPr>
              <w:t>.</w:t>
            </w:r>
          </w:p>
        </w:tc>
      </w:tr>
      <w:tr w:rsidR="00C442F7" w:rsidRPr="002227F1" w14:paraId="665CCA6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4E8A6731" w14:textId="77777777" w:rsidR="00C442F7" w:rsidRPr="000A5025" w:rsidRDefault="00C442F7" w:rsidP="00C442F7">
            <w:pPr>
              <w:rPr>
                <w:rFonts w:cs="Arial"/>
                <w:szCs w:val="22"/>
              </w:rPr>
            </w:pPr>
            <w:r>
              <w:rPr>
                <w:rFonts w:cs="Arial"/>
                <w:szCs w:val="22"/>
              </w:rPr>
              <w:t xml:space="preserve">2.3.5 Manage data capture </w:t>
            </w:r>
            <w:r>
              <w:rPr>
                <w:rFonts w:cs="Arial"/>
                <w:szCs w:val="22"/>
              </w:rPr>
              <w:lastRenderedPageBreak/>
              <w:t>conditions and metadata requirements</w:t>
            </w:r>
          </w:p>
        </w:tc>
        <w:tc>
          <w:tcPr>
            <w:tcW w:w="1241" w:type="dxa"/>
          </w:tcPr>
          <w:p w14:paraId="2EA59C7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lastRenderedPageBreak/>
              <w:t>B10</w:t>
            </w:r>
          </w:p>
        </w:tc>
        <w:tc>
          <w:tcPr>
            <w:tcW w:w="2063" w:type="dxa"/>
          </w:tcPr>
          <w:p w14:paraId="227151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Avoid data collection burden </w:t>
            </w:r>
          </w:p>
        </w:tc>
        <w:tc>
          <w:tcPr>
            <w:tcW w:w="4394" w:type="dxa"/>
          </w:tcPr>
          <w:p w14:paraId="7050C9D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collect data in such a way that it is </w:t>
            </w:r>
            <w:r w:rsidRPr="00FC2D17">
              <w:rPr>
                <w:rFonts w:cs="Arial"/>
                <w:bCs/>
              </w:rPr>
              <w:t xml:space="preserve">not an unreasonable burden on </w:t>
            </w:r>
            <w:r w:rsidRPr="00FC2D17">
              <w:rPr>
                <w:rFonts w:cs="Arial"/>
                <w:bCs/>
              </w:rPr>
              <w:lastRenderedPageBreak/>
              <w:t>consumers, in terms of the time and cost involved in participation.</w:t>
            </w:r>
          </w:p>
        </w:tc>
      </w:tr>
      <w:tr w:rsidR="00C442F7" w:rsidRPr="002227F1" w14:paraId="20A6DBF9"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0CD7DDB" w14:textId="77777777" w:rsidR="00C442F7" w:rsidRPr="000A5025" w:rsidRDefault="00C442F7" w:rsidP="00C442F7">
            <w:pPr>
              <w:rPr>
                <w:rFonts w:cs="Arial"/>
                <w:szCs w:val="22"/>
              </w:rPr>
            </w:pPr>
          </w:p>
        </w:tc>
        <w:tc>
          <w:tcPr>
            <w:tcW w:w="1241" w:type="dxa"/>
          </w:tcPr>
          <w:p w14:paraId="3661E30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B11</w:t>
            </w:r>
          </w:p>
        </w:tc>
        <w:tc>
          <w:tcPr>
            <w:tcW w:w="2063" w:type="dxa"/>
          </w:tcPr>
          <w:p w14:paraId="644F13F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Timely capture of data</w:t>
            </w:r>
          </w:p>
        </w:tc>
        <w:tc>
          <w:tcPr>
            <w:tcW w:w="4394" w:type="dxa"/>
          </w:tcPr>
          <w:p w14:paraId="48BD49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capture data as close as possible to the time and place of care</w:t>
            </w:r>
            <w:r>
              <w:rPr>
                <w:rFonts w:cs="Arial"/>
                <w:bCs/>
              </w:rPr>
              <w:t>.</w:t>
            </w:r>
          </w:p>
        </w:tc>
      </w:tr>
      <w:tr w:rsidR="00C442F7" w:rsidRPr="002227F1" w14:paraId="1D421BC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C5197CE" w14:textId="77777777" w:rsidR="00C442F7" w:rsidRPr="000A5025" w:rsidRDefault="00C442F7" w:rsidP="00C442F7">
            <w:pPr>
              <w:rPr>
                <w:rFonts w:cs="Arial"/>
                <w:szCs w:val="22"/>
              </w:rPr>
            </w:pPr>
          </w:p>
        </w:tc>
        <w:tc>
          <w:tcPr>
            <w:tcW w:w="1241" w:type="dxa"/>
          </w:tcPr>
          <w:p w14:paraId="2139841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B15</w:t>
            </w:r>
          </w:p>
        </w:tc>
        <w:tc>
          <w:tcPr>
            <w:tcW w:w="2063" w:type="dxa"/>
          </w:tcPr>
          <w:p w14:paraId="368D406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Collect </w:t>
            </w:r>
            <w:r>
              <w:rPr>
                <w:rFonts w:cs="Arial"/>
                <w:bCs/>
              </w:rPr>
              <w:t>covariates</w:t>
            </w:r>
            <w:r w:rsidRPr="002227F1">
              <w:rPr>
                <w:rFonts w:cs="Arial"/>
                <w:bCs/>
              </w:rPr>
              <w:t xml:space="preserve"> for risk adjustment</w:t>
            </w:r>
          </w:p>
        </w:tc>
        <w:tc>
          <w:tcPr>
            <w:tcW w:w="4394" w:type="dxa"/>
          </w:tcPr>
          <w:p w14:paraId="63ED2F7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collect objective, reliable </w:t>
            </w:r>
            <w:r>
              <w:rPr>
                <w:rFonts w:cs="Arial"/>
                <w:bCs/>
              </w:rPr>
              <w:t xml:space="preserve">covariates </w:t>
            </w:r>
            <w:r w:rsidRPr="002227F1">
              <w:rPr>
                <w:rFonts w:cs="Arial"/>
                <w:bCs/>
              </w:rPr>
              <w:t>for risk adjustment to be taken into account by the use of appropriate statistical adjustments</w:t>
            </w:r>
            <w:r>
              <w:rPr>
                <w:rFonts w:cs="Arial"/>
                <w:bCs/>
              </w:rPr>
              <w:t>.</w:t>
            </w:r>
          </w:p>
        </w:tc>
      </w:tr>
      <w:tr w:rsidR="00C442F7" w:rsidRPr="002227F1" w14:paraId="6684E64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C317D30" w14:textId="77777777" w:rsidR="00C442F7" w:rsidRPr="000A5025" w:rsidRDefault="00C442F7" w:rsidP="00C442F7">
            <w:pPr>
              <w:rPr>
                <w:rFonts w:cs="Arial"/>
                <w:szCs w:val="22"/>
              </w:rPr>
            </w:pPr>
          </w:p>
        </w:tc>
        <w:tc>
          <w:tcPr>
            <w:tcW w:w="1241" w:type="dxa"/>
          </w:tcPr>
          <w:p w14:paraId="619C5BA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B23</w:t>
            </w:r>
          </w:p>
        </w:tc>
        <w:tc>
          <w:tcPr>
            <w:tcW w:w="2063" w:type="dxa"/>
          </w:tcPr>
          <w:p w14:paraId="4673E4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Avoid redundant data capture</w:t>
            </w:r>
          </w:p>
        </w:tc>
        <w:tc>
          <w:tcPr>
            <w:tcW w:w="4394" w:type="dxa"/>
          </w:tcPr>
          <w:p w14:paraId="66FF2D9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only record individual data elements once to avoid redundant data capture and entry</w:t>
            </w:r>
            <w:r>
              <w:rPr>
                <w:rFonts w:cs="Arial"/>
                <w:bCs/>
              </w:rPr>
              <w:t>.</w:t>
            </w:r>
          </w:p>
        </w:tc>
      </w:tr>
      <w:tr w:rsidR="00C442F7" w:rsidRPr="002227F1" w14:paraId="09D7799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3830544" w14:textId="77777777" w:rsidR="00C442F7" w:rsidRPr="000A5025" w:rsidRDefault="00C442F7" w:rsidP="00C442F7">
            <w:pPr>
              <w:rPr>
                <w:rFonts w:cs="Arial"/>
                <w:szCs w:val="22"/>
              </w:rPr>
            </w:pPr>
          </w:p>
        </w:tc>
        <w:tc>
          <w:tcPr>
            <w:tcW w:w="1241" w:type="dxa"/>
          </w:tcPr>
          <w:p w14:paraId="246DC28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B24</w:t>
            </w:r>
          </w:p>
        </w:tc>
        <w:tc>
          <w:tcPr>
            <w:tcW w:w="2063" w:type="dxa"/>
          </w:tcPr>
          <w:p w14:paraId="21CC20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Trained data collectors</w:t>
            </w:r>
          </w:p>
        </w:tc>
        <w:tc>
          <w:tcPr>
            <w:tcW w:w="4394" w:type="dxa"/>
          </w:tcPr>
          <w:p w14:paraId="2F02648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use appropriate</w:t>
            </w:r>
            <w:r>
              <w:rPr>
                <w:rFonts w:cs="Arial"/>
                <w:bCs/>
              </w:rPr>
              <w:t>ly</w:t>
            </w:r>
            <w:r w:rsidRPr="002227F1">
              <w:rPr>
                <w:rFonts w:cs="Arial"/>
                <w:bCs/>
              </w:rPr>
              <w:t xml:space="preserve"> trained data collectors to capture data</w:t>
            </w:r>
            <w:r>
              <w:rPr>
                <w:rFonts w:cs="Arial"/>
                <w:bCs/>
              </w:rPr>
              <w:t>. This shall include training materials which are available to registry users.</w:t>
            </w:r>
          </w:p>
        </w:tc>
      </w:tr>
      <w:tr w:rsidR="00C442F7" w:rsidRPr="002227F1" w14:paraId="677E4E5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A607AEF" w14:textId="77777777" w:rsidR="00C442F7" w:rsidRPr="000A5025" w:rsidRDefault="00C442F7" w:rsidP="00C442F7">
            <w:pPr>
              <w:rPr>
                <w:rFonts w:cs="Arial"/>
                <w:szCs w:val="22"/>
              </w:rPr>
            </w:pPr>
          </w:p>
        </w:tc>
        <w:tc>
          <w:tcPr>
            <w:tcW w:w="1241" w:type="dxa"/>
          </w:tcPr>
          <w:p w14:paraId="5258FDF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B25</w:t>
            </w:r>
          </w:p>
        </w:tc>
        <w:tc>
          <w:tcPr>
            <w:tcW w:w="2063" w:type="dxa"/>
          </w:tcPr>
          <w:p w14:paraId="3B12B53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 of existing data</w:t>
            </w:r>
          </w:p>
        </w:tc>
        <w:tc>
          <w:tcPr>
            <w:tcW w:w="4394" w:type="dxa"/>
          </w:tcPr>
          <w:p w14:paraId="57BF787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use data from existing sources (including administrative data) where they </w:t>
            </w:r>
            <w:r>
              <w:rPr>
                <w:rFonts w:cs="Arial"/>
                <w:bCs/>
              </w:rPr>
              <w:t>meet the data requirements.</w:t>
            </w:r>
          </w:p>
        </w:tc>
      </w:tr>
      <w:tr w:rsidR="00C442F7" w:rsidRPr="002227F1" w14:paraId="46BCC7C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39148C2" w14:textId="77777777" w:rsidR="00C442F7" w:rsidRPr="000A5025" w:rsidRDefault="00C442F7" w:rsidP="00C442F7">
            <w:pPr>
              <w:rPr>
                <w:rFonts w:cs="Arial"/>
                <w:szCs w:val="22"/>
              </w:rPr>
            </w:pPr>
          </w:p>
        </w:tc>
        <w:tc>
          <w:tcPr>
            <w:tcW w:w="1241" w:type="dxa"/>
          </w:tcPr>
          <w:p w14:paraId="27A127C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B26</w:t>
            </w:r>
          </w:p>
        </w:tc>
        <w:tc>
          <w:tcPr>
            <w:tcW w:w="2063" w:type="dxa"/>
          </w:tcPr>
          <w:p w14:paraId="6C80978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Adequate sample sizes for data accuracy checks</w:t>
            </w:r>
          </w:p>
        </w:tc>
        <w:tc>
          <w:tcPr>
            <w:tcW w:w="4394" w:type="dxa"/>
          </w:tcPr>
          <w:p w14:paraId="1C42B8E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ensure that the sample size used for data accuracy checks is sufficient to provide reliable measures of data completeness and accuracy</w:t>
            </w:r>
            <w:r>
              <w:rPr>
                <w:rFonts w:cs="Arial"/>
                <w:bCs/>
              </w:rPr>
              <w:t>.</w:t>
            </w:r>
          </w:p>
        </w:tc>
      </w:tr>
      <w:tr w:rsidR="00C442F7" w:rsidRPr="002227F1" w14:paraId="2C0EF3B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34987F8" w14:textId="77777777" w:rsidR="00C442F7" w:rsidRPr="000A5025" w:rsidRDefault="00C442F7" w:rsidP="00C442F7">
            <w:pPr>
              <w:rPr>
                <w:rFonts w:cs="Arial"/>
                <w:szCs w:val="22"/>
              </w:rPr>
            </w:pPr>
          </w:p>
        </w:tc>
        <w:tc>
          <w:tcPr>
            <w:tcW w:w="1241" w:type="dxa"/>
          </w:tcPr>
          <w:p w14:paraId="46F20B0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B27</w:t>
            </w:r>
          </w:p>
        </w:tc>
        <w:tc>
          <w:tcPr>
            <w:tcW w:w="2063" w:type="dxa"/>
          </w:tcPr>
          <w:p w14:paraId="4E9E3F3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Specific case definition</w:t>
            </w:r>
          </w:p>
        </w:tc>
        <w:tc>
          <w:tcPr>
            <w:tcW w:w="4394" w:type="dxa"/>
          </w:tcPr>
          <w:p w14:paraId="27EC37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collect information related to a specific case definition</w:t>
            </w:r>
            <w:r>
              <w:rPr>
                <w:rFonts w:cs="Arial"/>
                <w:bCs/>
              </w:rPr>
              <w:t>.</w:t>
            </w:r>
          </w:p>
        </w:tc>
      </w:tr>
      <w:tr w:rsidR="00C442F7" w:rsidRPr="002227F1" w14:paraId="781B033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4A8E9A1" w14:textId="77777777" w:rsidR="00C442F7" w:rsidRPr="000A5025" w:rsidRDefault="00C442F7" w:rsidP="00C442F7">
            <w:pPr>
              <w:rPr>
                <w:rFonts w:cs="Arial"/>
                <w:szCs w:val="22"/>
              </w:rPr>
            </w:pPr>
          </w:p>
        </w:tc>
        <w:tc>
          <w:tcPr>
            <w:tcW w:w="1241" w:type="dxa"/>
          </w:tcPr>
          <w:p w14:paraId="6F17B52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B28</w:t>
            </w:r>
          </w:p>
        </w:tc>
        <w:tc>
          <w:tcPr>
            <w:tcW w:w="2063" w:type="dxa"/>
          </w:tcPr>
          <w:p w14:paraId="7B8CA58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Considerations in determining time to outcome assessment</w:t>
            </w:r>
          </w:p>
        </w:tc>
        <w:tc>
          <w:tcPr>
            <w:tcW w:w="4394" w:type="dxa"/>
          </w:tcPr>
          <w:p w14:paraId="5DB8081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w:t>
            </w:r>
            <w:r>
              <w:rPr>
                <w:rFonts w:cs="Arial"/>
                <w:bCs/>
              </w:rPr>
              <w:t xml:space="preserve">cost and </w:t>
            </w:r>
            <w:r w:rsidRPr="002227F1">
              <w:rPr>
                <w:rFonts w:cs="Arial"/>
                <w:bCs/>
              </w:rPr>
              <w:t>consider the burden and cost of data collection together with the likelihood of loss to follow-up in determining the time to outcome assessment</w:t>
            </w:r>
            <w:r>
              <w:rPr>
                <w:rFonts w:cs="Arial"/>
                <w:bCs/>
              </w:rPr>
              <w:t>. The summary of the costing analysis shall consider additional data collection, processing and time required by healthcare staff. This shall be balanced against the improvements to the quality of care which can be delivered.</w:t>
            </w:r>
          </w:p>
        </w:tc>
      </w:tr>
      <w:tr w:rsidR="00C442F7" w:rsidRPr="002227F1" w14:paraId="6C24EDA3" w14:textId="77777777" w:rsidTr="00100CED">
        <w:tc>
          <w:tcPr>
            <w:cnfStyle w:val="001000000000" w:firstRow="0" w:lastRow="0" w:firstColumn="1" w:lastColumn="0" w:oddVBand="0" w:evenVBand="0" w:oddHBand="0" w:evenHBand="0" w:firstRowFirstColumn="0" w:firstRowLastColumn="0" w:lastRowFirstColumn="0" w:lastRowLastColumn="0"/>
            <w:tcW w:w="9351" w:type="dxa"/>
            <w:gridSpan w:val="4"/>
          </w:tcPr>
          <w:p w14:paraId="3F56486A" w14:textId="77777777" w:rsidR="00C442F7" w:rsidRPr="00E85689" w:rsidRDefault="00C442F7" w:rsidP="00C442F7">
            <w:pPr>
              <w:rPr>
                <w:rFonts w:cs="Arial"/>
                <w:b w:val="0"/>
              </w:rPr>
            </w:pPr>
            <w:r w:rsidRPr="00C442F7">
              <w:rPr>
                <w:rFonts w:cs="Arial"/>
                <w:color w:val="000000" w:themeColor="text1"/>
              </w:rPr>
              <w:t>2.4 Data quality management</w:t>
            </w:r>
          </w:p>
        </w:tc>
      </w:tr>
      <w:tr w:rsidR="00C442F7" w:rsidRPr="002227F1" w14:paraId="723B2B42"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5FBD6BF7" w14:textId="77777777" w:rsidR="00C442F7" w:rsidRPr="000A5025" w:rsidRDefault="00C442F7" w:rsidP="00C442F7">
            <w:pPr>
              <w:rPr>
                <w:rFonts w:cs="Arial"/>
                <w:szCs w:val="22"/>
              </w:rPr>
            </w:pPr>
            <w:r>
              <w:rPr>
                <w:rFonts w:cs="Arial"/>
                <w:szCs w:val="22"/>
              </w:rPr>
              <w:t>2.4.1 Identify inaccurate/ incomplete data</w:t>
            </w:r>
          </w:p>
        </w:tc>
        <w:tc>
          <w:tcPr>
            <w:tcW w:w="1241" w:type="dxa"/>
          </w:tcPr>
          <w:p w14:paraId="00E3D63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B12</w:t>
            </w:r>
          </w:p>
        </w:tc>
        <w:tc>
          <w:tcPr>
            <w:tcW w:w="2063" w:type="dxa"/>
          </w:tcPr>
          <w:p w14:paraId="3F9D127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Monitor quality in accordance with plans</w:t>
            </w:r>
          </w:p>
        </w:tc>
        <w:tc>
          <w:tcPr>
            <w:tcW w:w="4394" w:type="dxa"/>
          </w:tcPr>
          <w:p w14:paraId="07DADC1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monitor the completeness and accuracy of the data collected in accordance with quality assurance plans</w:t>
            </w:r>
            <w:r>
              <w:rPr>
                <w:rFonts w:cs="Arial"/>
                <w:bCs/>
              </w:rPr>
              <w:t>.</w:t>
            </w:r>
          </w:p>
        </w:tc>
      </w:tr>
      <w:tr w:rsidR="00C442F7" w:rsidRPr="002227F1" w14:paraId="325A87C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2F7844D" w14:textId="77777777" w:rsidR="00C442F7" w:rsidRPr="000A5025" w:rsidRDefault="00C442F7" w:rsidP="00C442F7">
            <w:pPr>
              <w:rPr>
                <w:rFonts w:cs="Arial"/>
                <w:szCs w:val="22"/>
              </w:rPr>
            </w:pPr>
          </w:p>
        </w:tc>
        <w:tc>
          <w:tcPr>
            <w:tcW w:w="1241" w:type="dxa"/>
          </w:tcPr>
          <w:p w14:paraId="4C9B6B7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B13</w:t>
            </w:r>
          </w:p>
        </w:tc>
        <w:tc>
          <w:tcPr>
            <w:tcW w:w="2063" w:type="dxa"/>
          </w:tcPr>
          <w:p w14:paraId="0175B65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Prompt identification of data quality lapses</w:t>
            </w:r>
          </w:p>
        </w:tc>
        <w:tc>
          <w:tcPr>
            <w:tcW w:w="4394" w:type="dxa"/>
          </w:tcPr>
          <w:p w14:paraId="1BE16E8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ensure that data accuracy checks are conducted frequently enough to enable prompt identification of data quality lapses</w:t>
            </w:r>
            <w:r>
              <w:rPr>
                <w:rFonts w:cs="Arial"/>
                <w:bCs/>
              </w:rPr>
              <w:t>.</w:t>
            </w:r>
          </w:p>
        </w:tc>
      </w:tr>
      <w:tr w:rsidR="00C442F7" w:rsidRPr="002227F1" w14:paraId="04CEE53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61825B0" w14:textId="77777777" w:rsidR="00C442F7" w:rsidRPr="000A5025" w:rsidRDefault="00C442F7" w:rsidP="00C442F7">
            <w:pPr>
              <w:rPr>
                <w:rFonts w:cs="Arial"/>
                <w:szCs w:val="22"/>
              </w:rPr>
            </w:pPr>
          </w:p>
        </w:tc>
        <w:tc>
          <w:tcPr>
            <w:tcW w:w="1241" w:type="dxa"/>
          </w:tcPr>
          <w:p w14:paraId="776AB633"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B33</w:t>
            </w:r>
          </w:p>
        </w:tc>
        <w:tc>
          <w:tcPr>
            <w:tcW w:w="2063" w:type="dxa"/>
          </w:tcPr>
          <w:p w14:paraId="53DCC24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Advise originating organisations of data errors</w:t>
            </w:r>
          </w:p>
        </w:tc>
        <w:tc>
          <w:tcPr>
            <w:tcW w:w="4394" w:type="dxa"/>
          </w:tcPr>
          <w:p w14:paraId="5716127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advise participating organisations of data errors or omissions to provide those organisations with the opportunity to correct the data at source.</w:t>
            </w:r>
          </w:p>
        </w:tc>
      </w:tr>
      <w:tr w:rsidR="00C442F7" w:rsidRPr="002227F1" w14:paraId="645AA55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03CA9EE" w14:textId="77777777" w:rsidR="00C442F7" w:rsidRPr="000A5025" w:rsidRDefault="00C442F7" w:rsidP="00C442F7">
            <w:pPr>
              <w:rPr>
                <w:rFonts w:cs="Arial"/>
                <w:szCs w:val="22"/>
              </w:rPr>
            </w:pPr>
          </w:p>
        </w:tc>
        <w:tc>
          <w:tcPr>
            <w:tcW w:w="1241" w:type="dxa"/>
          </w:tcPr>
          <w:p w14:paraId="024FCA5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F43</w:t>
            </w:r>
          </w:p>
        </w:tc>
        <w:tc>
          <w:tcPr>
            <w:tcW w:w="2063" w:type="dxa"/>
          </w:tcPr>
          <w:p w14:paraId="4A12D60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Define logic checks</w:t>
            </w:r>
          </w:p>
        </w:tc>
        <w:tc>
          <w:tcPr>
            <w:tcW w:w="4394" w:type="dxa"/>
          </w:tcPr>
          <w:p w14:paraId="4FAABE7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define logic checks that constrain the information able to be entered into a field</w:t>
            </w:r>
            <w:r>
              <w:rPr>
                <w:rFonts w:cs="Arial"/>
                <w:bCs/>
              </w:rPr>
              <w:t>.</w:t>
            </w:r>
          </w:p>
        </w:tc>
      </w:tr>
      <w:tr w:rsidR="00C442F7" w:rsidRPr="002227F1" w14:paraId="42ADF7A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486C678" w14:textId="77777777" w:rsidR="00C442F7" w:rsidRPr="000A5025" w:rsidRDefault="00C442F7" w:rsidP="00C442F7">
            <w:pPr>
              <w:rPr>
                <w:rFonts w:cs="Arial"/>
                <w:szCs w:val="22"/>
              </w:rPr>
            </w:pPr>
          </w:p>
        </w:tc>
        <w:tc>
          <w:tcPr>
            <w:tcW w:w="1241" w:type="dxa"/>
          </w:tcPr>
          <w:p w14:paraId="4178895D"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F44</w:t>
            </w:r>
          </w:p>
        </w:tc>
        <w:tc>
          <w:tcPr>
            <w:tcW w:w="2063" w:type="dxa"/>
          </w:tcPr>
          <w:p w14:paraId="483A8F3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In-built data validation checks</w:t>
            </w:r>
          </w:p>
        </w:tc>
        <w:tc>
          <w:tcPr>
            <w:tcW w:w="4394" w:type="dxa"/>
          </w:tcPr>
          <w:p w14:paraId="099560C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incorporate in-built data validation checks such as data range and context sensitive validation</w:t>
            </w:r>
            <w:r>
              <w:rPr>
                <w:rFonts w:cs="Arial"/>
                <w:bCs/>
              </w:rPr>
              <w:t>.</w:t>
            </w:r>
          </w:p>
        </w:tc>
      </w:tr>
      <w:tr w:rsidR="00C442F7" w:rsidRPr="002227F1" w14:paraId="213EB36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7018659" w14:textId="77777777" w:rsidR="00C442F7" w:rsidRPr="000A5025" w:rsidRDefault="00C442F7" w:rsidP="00C442F7">
            <w:pPr>
              <w:rPr>
                <w:rFonts w:cs="Arial"/>
                <w:szCs w:val="22"/>
              </w:rPr>
            </w:pPr>
          </w:p>
        </w:tc>
        <w:tc>
          <w:tcPr>
            <w:tcW w:w="1241" w:type="dxa"/>
          </w:tcPr>
          <w:p w14:paraId="008BDA4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F46</w:t>
            </w:r>
          </w:p>
        </w:tc>
        <w:tc>
          <w:tcPr>
            <w:tcW w:w="2063" w:type="dxa"/>
          </w:tcPr>
          <w:p w14:paraId="1041966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Probabilistic matching</w:t>
            </w:r>
          </w:p>
        </w:tc>
        <w:tc>
          <w:tcPr>
            <w:tcW w:w="4394" w:type="dxa"/>
          </w:tcPr>
          <w:p w14:paraId="3F32F71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w:t>
            </w:r>
            <w:r>
              <w:rPr>
                <w:rFonts w:cs="Arial"/>
                <w:bCs/>
              </w:rPr>
              <w:t xml:space="preserve">may </w:t>
            </w:r>
            <w:r w:rsidRPr="002227F1">
              <w:rPr>
                <w:rFonts w:cs="Arial"/>
                <w:bCs/>
              </w:rPr>
              <w:t>support probabilistic matching of identifying information against existing registry data</w:t>
            </w:r>
            <w:r>
              <w:rPr>
                <w:rFonts w:cs="Arial"/>
                <w:bCs/>
              </w:rPr>
              <w:t>.</w:t>
            </w:r>
          </w:p>
        </w:tc>
      </w:tr>
      <w:tr w:rsidR="00C442F7" w:rsidRPr="002227F1" w14:paraId="54857A6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D75E19D" w14:textId="77777777" w:rsidR="00C442F7" w:rsidRPr="000A5025" w:rsidRDefault="00C442F7" w:rsidP="00C442F7">
            <w:pPr>
              <w:rPr>
                <w:rFonts w:cs="Arial"/>
                <w:szCs w:val="22"/>
              </w:rPr>
            </w:pPr>
          </w:p>
        </w:tc>
        <w:tc>
          <w:tcPr>
            <w:tcW w:w="1241" w:type="dxa"/>
          </w:tcPr>
          <w:p w14:paraId="2E5D4AC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F49</w:t>
            </w:r>
          </w:p>
        </w:tc>
        <w:tc>
          <w:tcPr>
            <w:tcW w:w="2063" w:type="dxa"/>
          </w:tcPr>
          <w:p w14:paraId="4C09BE9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Audit for accuracy against source</w:t>
            </w:r>
          </w:p>
        </w:tc>
        <w:tc>
          <w:tcPr>
            <w:tcW w:w="4394" w:type="dxa"/>
          </w:tcPr>
          <w:p w14:paraId="2CE1264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w:t>
            </w:r>
            <w:r>
              <w:rPr>
                <w:rFonts w:cs="Arial"/>
                <w:bCs/>
              </w:rPr>
              <w:t xml:space="preserve"> </w:t>
            </w:r>
            <w:r w:rsidRPr="002227F1">
              <w:rPr>
                <w:rFonts w:cs="Arial"/>
                <w:bCs/>
              </w:rPr>
              <w:t>check data accuracy in a sample of cases using audits against source records</w:t>
            </w:r>
            <w:r>
              <w:rPr>
                <w:rFonts w:cs="Arial"/>
                <w:bCs/>
              </w:rPr>
              <w:t>.</w:t>
            </w:r>
          </w:p>
        </w:tc>
      </w:tr>
      <w:tr w:rsidR="00C442F7" w:rsidRPr="002227F1" w14:paraId="2C0D3F3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FB6C09B" w14:textId="77777777" w:rsidR="00C442F7" w:rsidRPr="000A5025" w:rsidRDefault="00C442F7" w:rsidP="00C442F7">
            <w:pPr>
              <w:rPr>
                <w:rFonts w:cs="Arial"/>
                <w:szCs w:val="22"/>
              </w:rPr>
            </w:pPr>
          </w:p>
        </w:tc>
        <w:tc>
          <w:tcPr>
            <w:tcW w:w="1241" w:type="dxa"/>
          </w:tcPr>
          <w:p w14:paraId="4107AA5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F51</w:t>
            </w:r>
          </w:p>
        </w:tc>
        <w:tc>
          <w:tcPr>
            <w:tcW w:w="2063" w:type="dxa"/>
          </w:tcPr>
          <w:p w14:paraId="5E1E8FA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Identification of sample for audit</w:t>
            </w:r>
          </w:p>
        </w:tc>
        <w:tc>
          <w:tcPr>
            <w:tcW w:w="4394" w:type="dxa"/>
          </w:tcPr>
          <w:p w14:paraId="55795DB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identify a random sample of cases in which to conduct audits against source records</w:t>
            </w:r>
            <w:r>
              <w:rPr>
                <w:rFonts w:cs="Arial"/>
                <w:bCs/>
              </w:rPr>
              <w:t>.</w:t>
            </w:r>
          </w:p>
        </w:tc>
      </w:tr>
      <w:tr w:rsidR="00C442F7" w:rsidRPr="002227F1" w14:paraId="2FB05D23"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33E5BD3" w14:textId="77777777" w:rsidR="00C442F7" w:rsidRPr="000A5025" w:rsidRDefault="00C442F7" w:rsidP="00C442F7">
            <w:pPr>
              <w:rPr>
                <w:rFonts w:cs="Arial"/>
                <w:szCs w:val="22"/>
              </w:rPr>
            </w:pPr>
          </w:p>
        </w:tc>
        <w:tc>
          <w:tcPr>
            <w:tcW w:w="1241" w:type="dxa"/>
          </w:tcPr>
          <w:p w14:paraId="5A556E6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F53</w:t>
            </w:r>
          </w:p>
        </w:tc>
        <w:tc>
          <w:tcPr>
            <w:tcW w:w="2063" w:type="dxa"/>
          </w:tcPr>
          <w:p w14:paraId="1A78C9C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Production of audit reports</w:t>
            </w:r>
          </w:p>
        </w:tc>
        <w:tc>
          <w:tcPr>
            <w:tcW w:w="4394" w:type="dxa"/>
          </w:tcPr>
          <w:p w14:paraId="26E1636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provide reports on the outcome of data audit checks by case, episode or facility</w:t>
            </w:r>
            <w:r>
              <w:rPr>
                <w:rFonts w:cs="Arial"/>
                <w:bCs/>
              </w:rPr>
              <w:t>.</w:t>
            </w:r>
          </w:p>
        </w:tc>
      </w:tr>
      <w:tr w:rsidR="00C442F7" w:rsidRPr="002227F1" w14:paraId="7218B94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BF1C9F4" w14:textId="77777777" w:rsidR="00C442F7" w:rsidRPr="000A5025" w:rsidRDefault="00C442F7" w:rsidP="00C442F7">
            <w:pPr>
              <w:rPr>
                <w:rFonts w:cs="Arial"/>
                <w:szCs w:val="22"/>
              </w:rPr>
            </w:pPr>
          </w:p>
        </w:tc>
        <w:tc>
          <w:tcPr>
            <w:tcW w:w="1241" w:type="dxa"/>
          </w:tcPr>
          <w:p w14:paraId="25DD5EF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F54</w:t>
            </w:r>
          </w:p>
        </w:tc>
        <w:tc>
          <w:tcPr>
            <w:tcW w:w="2063" w:type="dxa"/>
          </w:tcPr>
          <w:p w14:paraId="38922FC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Feedback on data entry error rates</w:t>
            </w:r>
          </w:p>
        </w:tc>
        <w:tc>
          <w:tcPr>
            <w:tcW w:w="4394" w:type="dxa"/>
          </w:tcPr>
          <w:p w14:paraId="5B40E380"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provide reports to users about their </w:t>
            </w:r>
            <w:r>
              <w:rPr>
                <w:rFonts w:cs="Arial"/>
                <w:bCs/>
              </w:rPr>
              <w:t xml:space="preserve">missing </w:t>
            </w:r>
            <w:r w:rsidRPr="002227F1">
              <w:rPr>
                <w:rFonts w:cs="Arial"/>
                <w:bCs/>
              </w:rPr>
              <w:t>data rates</w:t>
            </w:r>
            <w:r>
              <w:rPr>
                <w:rFonts w:cs="Arial"/>
                <w:bCs/>
              </w:rPr>
              <w:t>.</w:t>
            </w:r>
          </w:p>
          <w:p w14:paraId="249DB9F0" w14:textId="7A406E4D" w:rsidR="00C442F7" w:rsidRDefault="00374592"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CQRs</w:t>
            </w:r>
            <w:r w:rsidRPr="004603F5">
              <w:rPr>
                <w:rFonts w:cs="Arial"/>
                <w:bCs/>
              </w:rPr>
              <w:t xml:space="preserve"> </w:t>
            </w:r>
            <w:r w:rsidR="00C442F7">
              <w:rPr>
                <w:rFonts w:cs="Arial"/>
                <w:bCs/>
              </w:rPr>
              <w:t>shall</w:t>
            </w:r>
            <w:r w:rsidR="00C442F7" w:rsidRPr="004603F5">
              <w:rPr>
                <w:rFonts w:cs="Arial"/>
                <w:bCs/>
              </w:rPr>
              <w:t xml:space="preserve"> be able to produce reports which demonstrate </w:t>
            </w:r>
            <w:r w:rsidR="00C442F7" w:rsidRPr="004B0D5F">
              <w:rPr>
                <w:rFonts w:cs="Arial"/>
              </w:rPr>
              <w:t>case ascertainment</w:t>
            </w:r>
            <w:r w:rsidR="00C442F7">
              <w:rPr>
                <w:rFonts w:cs="Arial"/>
                <w:bCs/>
              </w:rPr>
              <w:t xml:space="preserve"> </w:t>
            </w:r>
            <w:r w:rsidR="00C442F7" w:rsidRPr="004603F5">
              <w:rPr>
                <w:rFonts w:cs="Arial"/>
                <w:bCs/>
              </w:rPr>
              <w:t>when compared to other data sources and highlight missing cases for data entry.</w:t>
            </w:r>
          </w:p>
          <w:p w14:paraId="51F2FE75" w14:textId="7309D12D" w:rsidR="00C442F7" w:rsidRPr="002227F1" w:rsidRDefault="00374592"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CQRs</w:t>
            </w:r>
            <w:r w:rsidRPr="00AD581D">
              <w:rPr>
                <w:rFonts w:cs="Arial"/>
                <w:bCs/>
              </w:rPr>
              <w:t xml:space="preserve"> </w:t>
            </w:r>
            <w:r w:rsidR="00C442F7">
              <w:rPr>
                <w:rFonts w:cs="Arial"/>
                <w:bCs/>
              </w:rPr>
              <w:t>shall</w:t>
            </w:r>
            <w:r w:rsidR="00C442F7" w:rsidRPr="00AD581D">
              <w:rPr>
                <w:rFonts w:cs="Arial"/>
                <w:bCs/>
              </w:rPr>
              <w:t xml:space="preserve"> be able to produce reports which highlight cases where not all data elements have been completed, to improve </w:t>
            </w:r>
            <w:r w:rsidR="00C442F7" w:rsidRPr="004B0D5F">
              <w:rPr>
                <w:rFonts w:cs="Arial"/>
              </w:rPr>
              <w:t>case completeness</w:t>
            </w:r>
            <w:r w:rsidR="00C442F7" w:rsidRPr="00AD581D">
              <w:rPr>
                <w:rFonts w:cs="Arial"/>
                <w:bCs/>
              </w:rPr>
              <w:t>.</w:t>
            </w:r>
          </w:p>
        </w:tc>
      </w:tr>
      <w:tr w:rsidR="00C442F7" w:rsidRPr="002227F1" w14:paraId="47E77F5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988AC6A" w14:textId="77777777" w:rsidR="00C442F7" w:rsidRPr="000A5025" w:rsidRDefault="00C442F7" w:rsidP="00C442F7">
            <w:pPr>
              <w:rPr>
                <w:rFonts w:cs="Arial"/>
                <w:szCs w:val="22"/>
              </w:rPr>
            </w:pPr>
          </w:p>
        </w:tc>
        <w:tc>
          <w:tcPr>
            <w:tcW w:w="1241" w:type="dxa"/>
          </w:tcPr>
          <w:p w14:paraId="4B4B2D4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F72</w:t>
            </w:r>
          </w:p>
        </w:tc>
        <w:tc>
          <w:tcPr>
            <w:tcW w:w="2063" w:type="dxa"/>
          </w:tcPr>
          <w:p w14:paraId="1E14132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Data extraction to be audited</w:t>
            </w:r>
          </w:p>
        </w:tc>
        <w:tc>
          <w:tcPr>
            <w:tcW w:w="4394" w:type="dxa"/>
          </w:tcPr>
          <w:p w14:paraId="032F47F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w:t>
            </w:r>
            <w:r>
              <w:rPr>
                <w:rFonts w:cs="Arial"/>
                <w:bCs/>
              </w:rPr>
              <w:t xml:space="preserve"> </w:t>
            </w:r>
            <w:r w:rsidRPr="002227F1">
              <w:rPr>
                <w:rFonts w:cs="Arial"/>
                <w:bCs/>
              </w:rPr>
              <w:t>only support data extraction of identifiable information</w:t>
            </w:r>
            <w:r>
              <w:rPr>
                <w:rFonts w:cs="Arial"/>
                <w:bCs/>
              </w:rPr>
              <w:t>,</w:t>
            </w:r>
            <w:r w:rsidRPr="002227F1">
              <w:rPr>
                <w:rFonts w:cs="Arial"/>
                <w:bCs/>
              </w:rPr>
              <w:t xml:space="preserve"> via the user interface, to enable auditing</w:t>
            </w:r>
            <w:r>
              <w:rPr>
                <w:rFonts w:cs="Arial"/>
                <w:bCs/>
              </w:rPr>
              <w:t>.</w:t>
            </w:r>
          </w:p>
        </w:tc>
      </w:tr>
      <w:tr w:rsidR="00C442F7" w:rsidRPr="002227F1" w14:paraId="7CA4A09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70C9BC0" w14:textId="77777777" w:rsidR="00C442F7" w:rsidRPr="000A5025" w:rsidRDefault="00C442F7" w:rsidP="00C442F7">
            <w:pPr>
              <w:rPr>
                <w:rFonts w:cs="Arial"/>
                <w:szCs w:val="22"/>
              </w:rPr>
            </w:pPr>
          </w:p>
        </w:tc>
        <w:tc>
          <w:tcPr>
            <w:tcW w:w="1241" w:type="dxa"/>
          </w:tcPr>
          <w:p w14:paraId="59BFE43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F79</w:t>
            </w:r>
          </w:p>
        </w:tc>
        <w:tc>
          <w:tcPr>
            <w:tcW w:w="2063" w:type="dxa"/>
          </w:tcPr>
          <w:p w14:paraId="31A43A6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Specify when record is included in reports</w:t>
            </w:r>
          </w:p>
        </w:tc>
        <w:tc>
          <w:tcPr>
            <w:tcW w:w="4394" w:type="dxa"/>
          </w:tcPr>
          <w:p w14:paraId="0460478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specify the stage of record completeness (e.g. provisional or final) at which the record can be included within reports</w:t>
            </w:r>
            <w:r>
              <w:rPr>
                <w:rFonts w:cs="Arial"/>
                <w:bCs/>
              </w:rPr>
              <w:t>.</w:t>
            </w:r>
          </w:p>
        </w:tc>
      </w:tr>
      <w:tr w:rsidR="00C442F7" w:rsidRPr="002227F1" w14:paraId="6DC6A97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52B0C00E" w14:textId="77777777" w:rsidR="00C442F7" w:rsidRPr="000A5025" w:rsidRDefault="00C442F7" w:rsidP="00C442F7">
            <w:pPr>
              <w:rPr>
                <w:rFonts w:cs="Arial"/>
                <w:szCs w:val="22"/>
              </w:rPr>
            </w:pPr>
            <w:r>
              <w:rPr>
                <w:rFonts w:cs="Arial"/>
                <w:szCs w:val="22"/>
              </w:rPr>
              <w:t>2.4.2 Amend data</w:t>
            </w:r>
          </w:p>
        </w:tc>
        <w:tc>
          <w:tcPr>
            <w:tcW w:w="1241" w:type="dxa"/>
          </w:tcPr>
          <w:p w14:paraId="61C4A9C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B14</w:t>
            </w:r>
          </w:p>
        </w:tc>
        <w:tc>
          <w:tcPr>
            <w:tcW w:w="2063" w:type="dxa"/>
          </w:tcPr>
          <w:p w14:paraId="50B24F8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Prompt </w:t>
            </w:r>
            <w:r>
              <w:rPr>
                <w:rFonts w:cs="Arial"/>
                <w:bCs/>
              </w:rPr>
              <w:t>actioning</w:t>
            </w:r>
            <w:r w:rsidRPr="002227F1">
              <w:rPr>
                <w:rFonts w:cs="Arial"/>
                <w:bCs/>
              </w:rPr>
              <w:t xml:space="preserve"> of incomplete data records</w:t>
            </w:r>
          </w:p>
        </w:tc>
        <w:tc>
          <w:tcPr>
            <w:tcW w:w="4394" w:type="dxa"/>
          </w:tcPr>
          <w:p w14:paraId="63A28B4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ensure that incomplete or inaccurate data identified through data completeness checks are </w:t>
            </w:r>
            <w:r>
              <w:rPr>
                <w:rFonts w:cs="Arial"/>
                <w:bCs/>
              </w:rPr>
              <w:t xml:space="preserve">actioned </w:t>
            </w:r>
            <w:r w:rsidRPr="002227F1">
              <w:rPr>
                <w:rFonts w:cs="Arial"/>
                <w:bCs/>
              </w:rPr>
              <w:t>as soon as possible</w:t>
            </w:r>
            <w:r>
              <w:rPr>
                <w:rFonts w:cs="Arial"/>
                <w:bCs/>
              </w:rPr>
              <w:t>.</w:t>
            </w:r>
          </w:p>
        </w:tc>
      </w:tr>
      <w:tr w:rsidR="00C442F7" w:rsidRPr="002227F1" w14:paraId="1E697A3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9611A2A" w14:textId="77777777" w:rsidR="00C442F7" w:rsidRPr="000A5025" w:rsidRDefault="00C442F7" w:rsidP="00C442F7">
            <w:pPr>
              <w:rPr>
                <w:rFonts w:cs="Arial"/>
                <w:szCs w:val="22"/>
              </w:rPr>
            </w:pPr>
          </w:p>
        </w:tc>
        <w:tc>
          <w:tcPr>
            <w:tcW w:w="1241" w:type="dxa"/>
          </w:tcPr>
          <w:p w14:paraId="1D35C3E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B33</w:t>
            </w:r>
          </w:p>
        </w:tc>
        <w:tc>
          <w:tcPr>
            <w:tcW w:w="2063" w:type="dxa"/>
          </w:tcPr>
          <w:p w14:paraId="32A95E7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Advise originating organisations of data errors</w:t>
            </w:r>
          </w:p>
        </w:tc>
        <w:tc>
          <w:tcPr>
            <w:tcW w:w="4394" w:type="dxa"/>
          </w:tcPr>
          <w:p w14:paraId="269ADEF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advise participating organisations of data errors or omissions to provide those organisations with the opportunity to correct the data at source.</w:t>
            </w:r>
          </w:p>
        </w:tc>
      </w:tr>
      <w:tr w:rsidR="00C442F7" w:rsidRPr="002227F1" w14:paraId="46FD5B2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F831FF8" w14:textId="77777777" w:rsidR="00C442F7" w:rsidRPr="000A5025" w:rsidRDefault="00C442F7" w:rsidP="00C442F7">
            <w:pPr>
              <w:rPr>
                <w:rFonts w:cs="Arial"/>
                <w:szCs w:val="22"/>
              </w:rPr>
            </w:pPr>
          </w:p>
        </w:tc>
        <w:tc>
          <w:tcPr>
            <w:tcW w:w="1241" w:type="dxa"/>
          </w:tcPr>
          <w:p w14:paraId="746E549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F45</w:t>
            </w:r>
          </w:p>
        </w:tc>
        <w:tc>
          <w:tcPr>
            <w:tcW w:w="2063" w:type="dxa"/>
          </w:tcPr>
          <w:p w14:paraId="47AF38F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Record reason for overriding validity checks</w:t>
            </w:r>
          </w:p>
        </w:tc>
        <w:tc>
          <w:tcPr>
            <w:tcW w:w="4394" w:type="dxa"/>
          </w:tcPr>
          <w:p w14:paraId="2828F9A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allow users to override validity constraints and annotate the reason for this action</w:t>
            </w:r>
            <w:r>
              <w:rPr>
                <w:rFonts w:cs="Arial"/>
                <w:bCs/>
              </w:rPr>
              <w:t>, or allow ‘other’ responses where applicable.</w:t>
            </w:r>
          </w:p>
        </w:tc>
      </w:tr>
      <w:tr w:rsidR="00C442F7" w:rsidRPr="002227F1" w14:paraId="211A8D0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009F7DFB" w14:textId="77777777" w:rsidR="00C442F7" w:rsidRPr="000A5025" w:rsidRDefault="00C442F7" w:rsidP="00C442F7">
            <w:pPr>
              <w:rPr>
                <w:rFonts w:cs="Arial"/>
                <w:szCs w:val="22"/>
              </w:rPr>
            </w:pPr>
            <w:r>
              <w:rPr>
                <w:rFonts w:cs="Arial"/>
                <w:szCs w:val="22"/>
              </w:rPr>
              <w:t>2.4.3 Perform checks against other data sources</w:t>
            </w:r>
          </w:p>
        </w:tc>
        <w:tc>
          <w:tcPr>
            <w:tcW w:w="1241" w:type="dxa"/>
          </w:tcPr>
          <w:p w14:paraId="01B0B53E"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F48</w:t>
            </w:r>
          </w:p>
        </w:tc>
        <w:tc>
          <w:tcPr>
            <w:tcW w:w="2063" w:type="dxa"/>
          </w:tcPr>
          <w:p w14:paraId="7325C1B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Consistency of data from different sources</w:t>
            </w:r>
          </w:p>
        </w:tc>
        <w:tc>
          <w:tcPr>
            <w:tcW w:w="4394" w:type="dxa"/>
          </w:tcPr>
          <w:p w14:paraId="0A84BB8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produce report</w:t>
            </w:r>
            <w:r>
              <w:rPr>
                <w:rFonts w:cs="Arial"/>
                <w:bCs/>
              </w:rPr>
              <w:t>s</w:t>
            </w:r>
            <w:r w:rsidRPr="002227F1">
              <w:rPr>
                <w:rFonts w:cs="Arial"/>
                <w:bCs/>
              </w:rPr>
              <w:t xml:space="preserve"> on the consistency of data obtained through different sources, such as data entry versus checks against other data sources</w:t>
            </w:r>
            <w:r>
              <w:rPr>
                <w:rFonts w:cs="Arial"/>
                <w:bCs/>
              </w:rPr>
              <w:t>.</w:t>
            </w:r>
          </w:p>
        </w:tc>
      </w:tr>
      <w:tr w:rsidR="00C442F7" w:rsidRPr="002227F1" w14:paraId="564A03B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2A1D3E3" w14:textId="77777777" w:rsidR="00C442F7" w:rsidRPr="000A5025" w:rsidRDefault="00C442F7" w:rsidP="00C442F7">
            <w:pPr>
              <w:rPr>
                <w:rFonts w:cs="Arial"/>
                <w:szCs w:val="22"/>
              </w:rPr>
            </w:pPr>
          </w:p>
        </w:tc>
        <w:tc>
          <w:tcPr>
            <w:tcW w:w="1241" w:type="dxa"/>
          </w:tcPr>
          <w:p w14:paraId="654A6CB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F52</w:t>
            </w:r>
          </w:p>
        </w:tc>
        <w:tc>
          <w:tcPr>
            <w:tcW w:w="2063" w:type="dxa"/>
          </w:tcPr>
          <w:p w14:paraId="7339FD6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Feedback on data quality</w:t>
            </w:r>
          </w:p>
        </w:tc>
        <w:tc>
          <w:tcPr>
            <w:tcW w:w="4394" w:type="dxa"/>
          </w:tcPr>
          <w:p w14:paraId="12BC20F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produce reports to users about the quality of data collected based on data quality standards</w:t>
            </w:r>
            <w:r>
              <w:rPr>
                <w:rFonts w:cs="Arial"/>
                <w:bCs/>
              </w:rPr>
              <w:t>.</w:t>
            </w:r>
          </w:p>
        </w:tc>
      </w:tr>
      <w:tr w:rsidR="00C442F7" w:rsidRPr="002227F1" w14:paraId="4C29897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707C7437" w14:textId="77777777" w:rsidR="00C442F7" w:rsidRPr="000A5025" w:rsidRDefault="00C442F7" w:rsidP="00C442F7">
            <w:pPr>
              <w:rPr>
                <w:rFonts w:cs="Arial"/>
                <w:szCs w:val="22"/>
              </w:rPr>
            </w:pPr>
            <w:r>
              <w:rPr>
                <w:rFonts w:cs="Arial"/>
                <w:szCs w:val="22"/>
              </w:rPr>
              <w:t>2.4.4 Maintain searchability and data quality</w:t>
            </w:r>
          </w:p>
        </w:tc>
        <w:tc>
          <w:tcPr>
            <w:tcW w:w="1241" w:type="dxa"/>
          </w:tcPr>
          <w:p w14:paraId="718356C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F47</w:t>
            </w:r>
          </w:p>
        </w:tc>
        <w:tc>
          <w:tcPr>
            <w:tcW w:w="2063" w:type="dxa"/>
          </w:tcPr>
          <w:p w14:paraId="56A58A7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Search identifiers to reduce duplicate records</w:t>
            </w:r>
          </w:p>
        </w:tc>
        <w:tc>
          <w:tcPr>
            <w:tcW w:w="4394" w:type="dxa"/>
          </w:tcPr>
          <w:p w14:paraId="27BE575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allow authorised users to search patient identifying information to reduce duplicates at the point of data entry</w:t>
            </w:r>
            <w:r>
              <w:rPr>
                <w:rFonts w:cs="Arial"/>
                <w:bCs/>
              </w:rPr>
              <w:t>.</w:t>
            </w:r>
          </w:p>
        </w:tc>
      </w:tr>
      <w:tr w:rsidR="00C442F7" w:rsidRPr="002227F1" w14:paraId="4ED627C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08B3A13" w14:textId="77777777" w:rsidR="00C442F7" w:rsidRPr="000A5025" w:rsidRDefault="00C442F7" w:rsidP="00C442F7">
            <w:pPr>
              <w:rPr>
                <w:rFonts w:cs="Arial"/>
                <w:szCs w:val="22"/>
              </w:rPr>
            </w:pPr>
          </w:p>
        </w:tc>
        <w:tc>
          <w:tcPr>
            <w:tcW w:w="1241" w:type="dxa"/>
          </w:tcPr>
          <w:p w14:paraId="283FCC5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F50</w:t>
            </w:r>
          </w:p>
        </w:tc>
        <w:tc>
          <w:tcPr>
            <w:tcW w:w="2063" w:type="dxa"/>
          </w:tcPr>
          <w:p w14:paraId="328DD1A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Double entry to check accuracy</w:t>
            </w:r>
          </w:p>
        </w:tc>
        <w:tc>
          <w:tcPr>
            <w:tcW w:w="4394" w:type="dxa"/>
          </w:tcPr>
          <w:p w14:paraId="05B0130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Users shall be able to double enter patient information to check the accuracy of data entry</w:t>
            </w:r>
            <w:r>
              <w:rPr>
                <w:rFonts w:cs="Arial"/>
                <w:bCs/>
              </w:rPr>
              <w:t>.</w:t>
            </w:r>
          </w:p>
        </w:tc>
      </w:tr>
      <w:tr w:rsidR="00C442F7" w:rsidRPr="002227F1" w14:paraId="7C5D0673" w14:textId="77777777" w:rsidTr="00100CED">
        <w:tc>
          <w:tcPr>
            <w:cnfStyle w:val="001000000000" w:firstRow="0" w:lastRow="0" w:firstColumn="1" w:lastColumn="0" w:oddVBand="0" w:evenVBand="0" w:oddHBand="0" w:evenHBand="0" w:firstRowFirstColumn="0" w:firstRowLastColumn="0" w:lastRowFirstColumn="0" w:lastRowLastColumn="0"/>
            <w:tcW w:w="9351" w:type="dxa"/>
            <w:gridSpan w:val="4"/>
          </w:tcPr>
          <w:p w14:paraId="08C15816" w14:textId="77777777" w:rsidR="00C442F7" w:rsidRPr="007B7AC1" w:rsidRDefault="00C442F7" w:rsidP="00C442F7">
            <w:pPr>
              <w:rPr>
                <w:rFonts w:cs="Arial"/>
                <w:b w:val="0"/>
              </w:rPr>
            </w:pPr>
            <w:r w:rsidRPr="00C442F7">
              <w:rPr>
                <w:rFonts w:cs="Arial"/>
                <w:color w:val="000000" w:themeColor="text1"/>
              </w:rPr>
              <w:t>2.5 Data analysis and outcome reporting</w:t>
            </w:r>
          </w:p>
        </w:tc>
      </w:tr>
      <w:tr w:rsidR="00C442F7" w:rsidRPr="002227F1" w14:paraId="009D746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val="restart"/>
          </w:tcPr>
          <w:p w14:paraId="17CD6E67" w14:textId="77777777" w:rsidR="00C442F7" w:rsidRPr="000A5025" w:rsidRDefault="00C442F7" w:rsidP="00C442F7">
            <w:pPr>
              <w:rPr>
                <w:rFonts w:cs="Arial"/>
                <w:szCs w:val="22"/>
              </w:rPr>
            </w:pPr>
            <w:r>
              <w:rPr>
                <w:rFonts w:cs="Arial"/>
                <w:szCs w:val="22"/>
              </w:rPr>
              <w:t>2.5.1 Risk adjustment</w:t>
            </w:r>
          </w:p>
        </w:tc>
        <w:tc>
          <w:tcPr>
            <w:tcW w:w="1241" w:type="dxa"/>
          </w:tcPr>
          <w:p w14:paraId="3F112C3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B15</w:t>
            </w:r>
          </w:p>
        </w:tc>
        <w:tc>
          <w:tcPr>
            <w:tcW w:w="2063" w:type="dxa"/>
          </w:tcPr>
          <w:p w14:paraId="10DA798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Collect </w:t>
            </w:r>
            <w:r>
              <w:rPr>
                <w:rFonts w:cs="Arial"/>
                <w:bCs/>
              </w:rPr>
              <w:t xml:space="preserve">covariates </w:t>
            </w:r>
            <w:r w:rsidRPr="002227F1">
              <w:rPr>
                <w:rFonts w:cs="Arial"/>
                <w:bCs/>
              </w:rPr>
              <w:t>for risk adjustment</w:t>
            </w:r>
          </w:p>
        </w:tc>
        <w:tc>
          <w:tcPr>
            <w:tcW w:w="4394" w:type="dxa"/>
          </w:tcPr>
          <w:p w14:paraId="2873E17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collect objective, reliable </w:t>
            </w:r>
            <w:r>
              <w:rPr>
                <w:rFonts w:cs="Arial"/>
                <w:bCs/>
              </w:rPr>
              <w:t>covariates</w:t>
            </w:r>
            <w:r w:rsidRPr="002227F1">
              <w:rPr>
                <w:rFonts w:cs="Arial"/>
                <w:bCs/>
              </w:rPr>
              <w:t xml:space="preserve"> for risk adjustment to be considered by the use of appropriate statistical adjustments</w:t>
            </w:r>
            <w:r>
              <w:rPr>
                <w:rFonts w:cs="Arial"/>
                <w:bCs/>
              </w:rPr>
              <w:t>.</w:t>
            </w:r>
          </w:p>
        </w:tc>
      </w:tr>
      <w:tr w:rsidR="00C442F7" w:rsidRPr="002227F1" w14:paraId="14432A7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386D1DB" w14:textId="77777777" w:rsidR="00C442F7" w:rsidRPr="000A5025" w:rsidRDefault="00C442F7" w:rsidP="00C442F7">
            <w:pPr>
              <w:rPr>
                <w:rFonts w:cs="Arial"/>
                <w:szCs w:val="22"/>
              </w:rPr>
            </w:pPr>
          </w:p>
        </w:tc>
        <w:tc>
          <w:tcPr>
            <w:tcW w:w="1241" w:type="dxa"/>
          </w:tcPr>
          <w:p w14:paraId="562D9AD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B16</w:t>
            </w:r>
          </w:p>
        </w:tc>
        <w:tc>
          <w:tcPr>
            <w:tcW w:w="2063" w:type="dxa"/>
          </w:tcPr>
          <w:p w14:paraId="2E9B39F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876BA2">
              <w:rPr>
                <w:rFonts w:cs="Arial"/>
                <w:szCs w:val="22"/>
              </w:rPr>
              <w:t xml:space="preserve">Timely </w:t>
            </w:r>
            <w:r>
              <w:rPr>
                <w:rFonts w:cs="Arial"/>
                <w:szCs w:val="22"/>
              </w:rPr>
              <w:t xml:space="preserve">reports that include </w:t>
            </w:r>
            <w:r w:rsidRPr="00876BA2">
              <w:rPr>
                <w:rFonts w:cs="Arial"/>
                <w:szCs w:val="22"/>
              </w:rPr>
              <w:t>risk adjusted analys</w:t>
            </w:r>
            <w:r>
              <w:rPr>
                <w:rFonts w:cs="Arial"/>
                <w:szCs w:val="22"/>
              </w:rPr>
              <w:t>es</w:t>
            </w:r>
          </w:p>
        </w:tc>
        <w:tc>
          <w:tcPr>
            <w:tcW w:w="4394" w:type="dxa"/>
          </w:tcPr>
          <w:p w14:paraId="140B658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report to </w:t>
            </w:r>
            <w:r>
              <w:rPr>
                <w:rFonts w:cs="Arial"/>
                <w:bCs/>
              </w:rPr>
              <w:t xml:space="preserve">healthcare staff, organisations and jurisdictions </w:t>
            </w:r>
            <w:r w:rsidRPr="002227F1">
              <w:rPr>
                <w:rFonts w:cs="Arial"/>
                <w:bCs/>
              </w:rPr>
              <w:t>in a timely manner on risk</w:t>
            </w:r>
            <w:r>
              <w:rPr>
                <w:rFonts w:cs="Arial"/>
                <w:bCs/>
              </w:rPr>
              <w:t>-</w:t>
            </w:r>
            <w:r w:rsidRPr="002227F1">
              <w:rPr>
                <w:rFonts w:cs="Arial"/>
                <w:bCs/>
              </w:rPr>
              <w:t>adjusted outcome analysis</w:t>
            </w:r>
            <w:r>
              <w:rPr>
                <w:rFonts w:cs="Arial"/>
                <w:bCs/>
              </w:rPr>
              <w:t>.</w:t>
            </w:r>
          </w:p>
        </w:tc>
      </w:tr>
      <w:tr w:rsidR="00C442F7" w:rsidRPr="002227F1" w14:paraId="00744592" w14:textId="77777777" w:rsidTr="00100CED">
        <w:tc>
          <w:tcPr>
            <w:cnfStyle w:val="001000000000" w:firstRow="0" w:lastRow="0" w:firstColumn="1" w:lastColumn="0" w:oddVBand="0" w:evenVBand="0" w:oddHBand="0" w:evenHBand="0" w:firstRowFirstColumn="0" w:firstRowLastColumn="0" w:lastRowFirstColumn="0" w:lastRowLastColumn="0"/>
            <w:tcW w:w="1653" w:type="dxa"/>
          </w:tcPr>
          <w:p w14:paraId="6FBFD337" w14:textId="77777777" w:rsidR="00C442F7" w:rsidRPr="000A5025" w:rsidRDefault="00C442F7" w:rsidP="00C442F7">
            <w:pPr>
              <w:rPr>
                <w:rFonts w:cs="Arial"/>
                <w:szCs w:val="22"/>
              </w:rPr>
            </w:pPr>
            <w:r>
              <w:rPr>
                <w:rFonts w:cs="Arial"/>
                <w:szCs w:val="22"/>
              </w:rPr>
              <w:t>2.5.2 Manage identifiable information</w:t>
            </w:r>
          </w:p>
        </w:tc>
        <w:tc>
          <w:tcPr>
            <w:tcW w:w="1241" w:type="dxa"/>
          </w:tcPr>
          <w:p w14:paraId="2D16DE9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B20</w:t>
            </w:r>
          </w:p>
        </w:tc>
        <w:tc>
          <w:tcPr>
            <w:tcW w:w="2063" w:type="dxa"/>
          </w:tcPr>
          <w:p w14:paraId="6166193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Provision of identifiable information</w:t>
            </w:r>
          </w:p>
        </w:tc>
        <w:tc>
          <w:tcPr>
            <w:tcW w:w="4394" w:type="dxa"/>
          </w:tcPr>
          <w:p w14:paraId="24E1AB4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only provide identifiable information to external parties if consent has been obtained or if legislative or ethics approval allows for the provision of identifiable information</w:t>
            </w:r>
            <w:r>
              <w:rPr>
                <w:rFonts w:cs="Arial"/>
                <w:bCs/>
              </w:rPr>
              <w:t>.</w:t>
            </w:r>
          </w:p>
        </w:tc>
      </w:tr>
      <w:tr w:rsidR="00C442F7" w:rsidRPr="002227F1" w14:paraId="03822BDA" w14:textId="77777777" w:rsidTr="00100CED">
        <w:trPr>
          <w:trHeight w:val="915"/>
        </w:trPr>
        <w:tc>
          <w:tcPr>
            <w:cnfStyle w:val="001000000000" w:firstRow="0" w:lastRow="0" w:firstColumn="1" w:lastColumn="0" w:oddVBand="0" w:evenVBand="0" w:oddHBand="0" w:evenHBand="0" w:firstRowFirstColumn="0" w:firstRowLastColumn="0" w:lastRowFirstColumn="0" w:lastRowLastColumn="0"/>
            <w:tcW w:w="1653" w:type="dxa"/>
            <w:vMerge w:val="restart"/>
          </w:tcPr>
          <w:p w14:paraId="079D9ACE" w14:textId="77777777" w:rsidR="00C442F7" w:rsidRDefault="00C442F7" w:rsidP="00C442F7">
            <w:pPr>
              <w:rPr>
                <w:rFonts w:cs="Arial"/>
                <w:szCs w:val="22"/>
              </w:rPr>
            </w:pPr>
            <w:r>
              <w:rPr>
                <w:rFonts w:cs="Arial"/>
                <w:szCs w:val="22"/>
              </w:rPr>
              <w:t>2.5.3 Reporting</w:t>
            </w:r>
          </w:p>
        </w:tc>
        <w:tc>
          <w:tcPr>
            <w:tcW w:w="1241" w:type="dxa"/>
          </w:tcPr>
          <w:p w14:paraId="44487D1F"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B37</w:t>
            </w:r>
          </w:p>
        </w:tc>
        <w:tc>
          <w:tcPr>
            <w:tcW w:w="2063" w:type="dxa"/>
          </w:tcPr>
          <w:p w14:paraId="2BF4DAA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Reporting</w:t>
            </w:r>
          </w:p>
        </w:tc>
        <w:tc>
          <w:tcPr>
            <w:tcW w:w="4394" w:type="dxa"/>
          </w:tcPr>
          <w:p w14:paraId="6B75065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Pr>
                <w:rFonts w:cs="Arial"/>
                <w:bCs/>
              </w:rPr>
              <w:t>Generate benchmark reports on the appropriateness and effectiveness of health care.</w:t>
            </w:r>
          </w:p>
        </w:tc>
      </w:tr>
      <w:tr w:rsidR="00C442F7" w:rsidRPr="002227F1" w14:paraId="1BB3DDEC"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3D90CA8" w14:textId="77777777" w:rsidR="00C442F7" w:rsidRDefault="00C442F7" w:rsidP="00C442F7">
            <w:pPr>
              <w:rPr>
                <w:rFonts w:cs="Arial"/>
                <w:szCs w:val="22"/>
              </w:rPr>
            </w:pPr>
          </w:p>
        </w:tc>
        <w:tc>
          <w:tcPr>
            <w:tcW w:w="1241" w:type="dxa"/>
          </w:tcPr>
          <w:p w14:paraId="28C7674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0511C">
              <w:rPr>
                <w:rFonts w:cs="Arial"/>
                <w:szCs w:val="22"/>
              </w:rPr>
              <w:t>B38</w:t>
            </w:r>
          </w:p>
        </w:tc>
        <w:tc>
          <w:tcPr>
            <w:tcW w:w="2063" w:type="dxa"/>
          </w:tcPr>
          <w:p w14:paraId="04D26F0F"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rPr>
              <w:t>Sharing reports</w:t>
            </w:r>
          </w:p>
        </w:tc>
        <w:tc>
          <w:tcPr>
            <w:tcW w:w="4394" w:type="dxa"/>
          </w:tcPr>
          <w:p w14:paraId="17FB3884"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color w:val="000000"/>
              </w:rPr>
              <w:t>CQRs shall share reports with participating healthcare teams, hospitals, hospital groups and participating jurisdictions.</w:t>
            </w:r>
          </w:p>
        </w:tc>
      </w:tr>
      <w:tr w:rsidR="00C442F7" w:rsidRPr="002227F1" w14:paraId="4CCC10B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E556287" w14:textId="77777777" w:rsidR="00C442F7" w:rsidRDefault="00C442F7" w:rsidP="00C442F7">
            <w:pPr>
              <w:rPr>
                <w:rFonts w:cs="Arial"/>
                <w:szCs w:val="22"/>
              </w:rPr>
            </w:pPr>
          </w:p>
        </w:tc>
        <w:tc>
          <w:tcPr>
            <w:tcW w:w="1241" w:type="dxa"/>
          </w:tcPr>
          <w:p w14:paraId="0CB1ACF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0511C">
              <w:rPr>
                <w:rFonts w:cs="Arial"/>
                <w:szCs w:val="22"/>
              </w:rPr>
              <w:t>B39</w:t>
            </w:r>
          </w:p>
        </w:tc>
        <w:tc>
          <w:tcPr>
            <w:tcW w:w="2063" w:type="dxa"/>
          </w:tcPr>
          <w:p w14:paraId="17442924"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rPr>
              <w:t>Public reporting</w:t>
            </w:r>
          </w:p>
        </w:tc>
        <w:tc>
          <w:tcPr>
            <w:tcW w:w="4394" w:type="dxa"/>
          </w:tcPr>
          <w:p w14:paraId="2CEAF52A"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color w:val="000000"/>
              </w:rPr>
              <w:t xml:space="preserve">CQRs shall, at a minimum, publish an annual report within 12 months of the reporting year end. </w:t>
            </w:r>
            <w:r w:rsidRPr="00100CED">
              <w:rPr>
                <w:rFonts w:cs="Arial"/>
              </w:rPr>
              <w:t xml:space="preserve">The annual report shall contain a hospital-level summary </w:t>
            </w:r>
            <w:r w:rsidRPr="00100CED">
              <w:rPr>
                <w:rFonts w:cs="Arial"/>
                <w:color w:val="000000"/>
              </w:rPr>
              <w:t>for each participating site benchmarking against national clinical care standards where available, and, optionally, CQR local indicators.</w:t>
            </w:r>
          </w:p>
        </w:tc>
      </w:tr>
      <w:tr w:rsidR="00C442F7" w:rsidRPr="002227F1" w14:paraId="067DF9B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BAB239D" w14:textId="77777777" w:rsidR="00C442F7" w:rsidRDefault="00C442F7" w:rsidP="00C442F7">
            <w:pPr>
              <w:rPr>
                <w:rFonts w:cs="Arial"/>
                <w:szCs w:val="22"/>
              </w:rPr>
            </w:pPr>
          </w:p>
        </w:tc>
        <w:tc>
          <w:tcPr>
            <w:tcW w:w="1241" w:type="dxa"/>
          </w:tcPr>
          <w:p w14:paraId="7F8208A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0511C">
              <w:rPr>
                <w:rFonts w:cs="Arial"/>
                <w:szCs w:val="22"/>
              </w:rPr>
              <w:t>B40</w:t>
            </w:r>
          </w:p>
        </w:tc>
        <w:tc>
          <w:tcPr>
            <w:tcW w:w="2063" w:type="dxa"/>
          </w:tcPr>
          <w:p w14:paraId="3A93384D"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rPr>
              <w:t>Data model</w:t>
            </w:r>
          </w:p>
        </w:tc>
        <w:tc>
          <w:tcPr>
            <w:tcW w:w="4394" w:type="dxa"/>
          </w:tcPr>
          <w:p w14:paraId="3CE3B405"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color w:val="000000"/>
              </w:rPr>
              <w:t>Publish the CQR data model to demonstrate the relationship between episodes of care, assessments, treatments and other tables of data. This will allow end users to build analytical queries more easily.</w:t>
            </w:r>
          </w:p>
        </w:tc>
      </w:tr>
      <w:tr w:rsidR="00C442F7" w:rsidRPr="002227F1" w14:paraId="794B4F7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9E08E8F" w14:textId="77777777" w:rsidR="00C442F7" w:rsidRDefault="00C442F7" w:rsidP="00C442F7">
            <w:pPr>
              <w:rPr>
                <w:rFonts w:cs="Arial"/>
                <w:szCs w:val="22"/>
              </w:rPr>
            </w:pPr>
          </w:p>
        </w:tc>
        <w:tc>
          <w:tcPr>
            <w:tcW w:w="1241" w:type="dxa"/>
          </w:tcPr>
          <w:p w14:paraId="26C9D19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0511C">
              <w:rPr>
                <w:rFonts w:cs="Arial"/>
                <w:szCs w:val="22"/>
              </w:rPr>
              <w:t>B41</w:t>
            </w:r>
          </w:p>
        </w:tc>
        <w:tc>
          <w:tcPr>
            <w:tcW w:w="2063" w:type="dxa"/>
          </w:tcPr>
          <w:p w14:paraId="2779D523"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rPr>
              <w:t>Documentation</w:t>
            </w:r>
          </w:p>
        </w:tc>
        <w:tc>
          <w:tcPr>
            <w:tcW w:w="4394" w:type="dxa"/>
          </w:tcPr>
          <w:p w14:paraId="07F2664D" w14:textId="77777777" w:rsidR="00C442F7" w:rsidRPr="00012856" w:rsidRDefault="00C442F7" w:rsidP="00C442F7">
            <w:pPr>
              <w:cnfStyle w:val="000000000000" w:firstRow="0" w:lastRow="0" w:firstColumn="0" w:lastColumn="0" w:oddVBand="0" w:evenVBand="0" w:oddHBand="0" w:evenHBand="0" w:firstRowFirstColumn="0" w:firstRowLastColumn="0" w:lastRowFirstColumn="0" w:lastRowLastColumn="0"/>
              <w:rPr>
                <w:rFonts w:cs="Arial"/>
                <w:bCs/>
                <w:szCs w:val="22"/>
              </w:rPr>
            </w:pPr>
            <w:r w:rsidRPr="00100CED">
              <w:rPr>
                <w:rFonts w:cs="Arial"/>
                <w:color w:val="000000"/>
              </w:rPr>
              <w:t>A vignette outlining how a registry user may log in, export, transform and analyse data for the purposes of quality improvement shall be created.</w:t>
            </w:r>
          </w:p>
        </w:tc>
      </w:tr>
      <w:tr w:rsidR="00C442F7" w:rsidRPr="002227F1" w14:paraId="34355F6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9358577" w14:textId="77777777" w:rsidR="00C442F7" w:rsidRDefault="00C442F7" w:rsidP="00C442F7">
            <w:pPr>
              <w:rPr>
                <w:rFonts w:cs="Arial"/>
                <w:szCs w:val="22"/>
              </w:rPr>
            </w:pPr>
          </w:p>
        </w:tc>
        <w:tc>
          <w:tcPr>
            <w:tcW w:w="1241" w:type="dxa"/>
          </w:tcPr>
          <w:p w14:paraId="754E074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F55</w:t>
            </w:r>
          </w:p>
        </w:tc>
        <w:tc>
          <w:tcPr>
            <w:tcW w:w="2063" w:type="dxa"/>
          </w:tcPr>
          <w:p w14:paraId="4D7977C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Different report formats</w:t>
            </w:r>
          </w:p>
        </w:tc>
        <w:tc>
          <w:tcPr>
            <w:tcW w:w="4394" w:type="dxa"/>
          </w:tcPr>
          <w:p w14:paraId="47F59A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Authorised users will be able to print reports, and/or save the results in HTML,</w:t>
            </w:r>
            <w:r>
              <w:rPr>
                <w:rFonts w:cs="Arial"/>
                <w:bCs/>
              </w:rPr>
              <w:t xml:space="preserve"> </w:t>
            </w:r>
            <w:r w:rsidRPr="002227F1">
              <w:rPr>
                <w:rFonts w:cs="Arial"/>
                <w:bCs/>
              </w:rPr>
              <w:t xml:space="preserve">PDF and other formats such as </w:t>
            </w:r>
            <w:r>
              <w:rPr>
                <w:rFonts w:cs="Arial"/>
                <w:bCs/>
              </w:rPr>
              <w:t>XML</w:t>
            </w:r>
            <w:r w:rsidRPr="002227F1">
              <w:rPr>
                <w:rFonts w:cs="Arial"/>
                <w:bCs/>
              </w:rPr>
              <w:t xml:space="preserve"> that support local analysis</w:t>
            </w:r>
            <w:r>
              <w:rPr>
                <w:rFonts w:cs="Arial"/>
                <w:bCs/>
              </w:rPr>
              <w:t>.</w:t>
            </w:r>
          </w:p>
        </w:tc>
      </w:tr>
      <w:tr w:rsidR="00C442F7" w:rsidRPr="002227F1" w14:paraId="5B40435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E9A5ED0" w14:textId="77777777" w:rsidR="00C442F7" w:rsidRDefault="00C442F7" w:rsidP="00C442F7">
            <w:pPr>
              <w:rPr>
                <w:rFonts w:cs="Arial"/>
                <w:szCs w:val="22"/>
              </w:rPr>
            </w:pPr>
          </w:p>
        </w:tc>
        <w:tc>
          <w:tcPr>
            <w:tcW w:w="1241" w:type="dxa"/>
          </w:tcPr>
          <w:p w14:paraId="033454B1"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F56</w:t>
            </w:r>
          </w:p>
        </w:tc>
        <w:tc>
          <w:tcPr>
            <w:tcW w:w="2063" w:type="dxa"/>
          </w:tcPr>
          <w:p w14:paraId="09A1B8D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Access to restricted reports</w:t>
            </w:r>
          </w:p>
        </w:tc>
        <w:tc>
          <w:tcPr>
            <w:tcW w:w="4394" w:type="dxa"/>
          </w:tcPr>
          <w:p w14:paraId="1C3C958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implement business rules and special permissions relating to access for restricted reports</w:t>
            </w:r>
            <w:r>
              <w:rPr>
                <w:rFonts w:cs="Arial"/>
                <w:bCs/>
              </w:rPr>
              <w:t>.</w:t>
            </w:r>
          </w:p>
        </w:tc>
      </w:tr>
      <w:tr w:rsidR="00C442F7" w:rsidRPr="002227F1" w14:paraId="424A49B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B63D76D" w14:textId="77777777" w:rsidR="00C442F7" w:rsidRDefault="00C442F7" w:rsidP="00C442F7">
            <w:pPr>
              <w:rPr>
                <w:rFonts w:cs="Arial"/>
                <w:szCs w:val="22"/>
              </w:rPr>
            </w:pPr>
          </w:p>
        </w:tc>
        <w:tc>
          <w:tcPr>
            <w:tcW w:w="1241" w:type="dxa"/>
          </w:tcPr>
          <w:p w14:paraId="504C540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F57</w:t>
            </w:r>
          </w:p>
        </w:tc>
        <w:tc>
          <w:tcPr>
            <w:tcW w:w="2063" w:type="dxa"/>
          </w:tcPr>
          <w:p w14:paraId="1B406BC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Secure access to reporting from central registry</w:t>
            </w:r>
          </w:p>
        </w:tc>
        <w:tc>
          <w:tcPr>
            <w:tcW w:w="4394" w:type="dxa"/>
          </w:tcPr>
          <w:p w14:paraId="1174A0D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Authorised users shall be able to access reports from the central CQR, for which they have access rights, through a secure portal</w:t>
            </w:r>
            <w:r>
              <w:rPr>
                <w:rFonts w:cs="Arial"/>
                <w:bCs/>
              </w:rPr>
              <w:t>.</w:t>
            </w:r>
          </w:p>
        </w:tc>
      </w:tr>
      <w:tr w:rsidR="00C442F7" w:rsidRPr="002227F1" w14:paraId="6C39DAE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6FBD35E" w14:textId="77777777" w:rsidR="00C442F7" w:rsidRDefault="00C442F7" w:rsidP="00C442F7">
            <w:pPr>
              <w:rPr>
                <w:rFonts w:cs="Arial"/>
                <w:szCs w:val="22"/>
              </w:rPr>
            </w:pPr>
          </w:p>
        </w:tc>
        <w:tc>
          <w:tcPr>
            <w:tcW w:w="1241" w:type="dxa"/>
          </w:tcPr>
          <w:p w14:paraId="75E892B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F58</w:t>
            </w:r>
          </w:p>
        </w:tc>
        <w:tc>
          <w:tcPr>
            <w:tcW w:w="2063" w:type="dxa"/>
          </w:tcPr>
          <w:p w14:paraId="765160F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Record authorisation to provide identifiable data</w:t>
            </w:r>
          </w:p>
        </w:tc>
        <w:tc>
          <w:tcPr>
            <w:tcW w:w="4394" w:type="dxa"/>
          </w:tcPr>
          <w:p w14:paraId="2B014E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record authorisation details when providing identifiable information to external parties</w:t>
            </w:r>
            <w:r>
              <w:rPr>
                <w:rFonts w:cs="Arial"/>
                <w:bCs/>
              </w:rPr>
              <w:t>.</w:t>
            </w:r>
          </w:p>
        </w:tc>
      </w:tr>
      <w:tr w:rsidR="00C442F7" w:rsidRPr="002227F1" w14:paraId="4FEA546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290B3FB" w14:textId="77777777" w:rsidR="00C442F7" w:rsidRDefault="00C442F7" w:rsidP="00C442F7">
            <w:pPr>
              <w:rPr>
                <w:rFonts w:cs="Arial"/>
                <w:szCs w:val="22"/>
              </w:rPr>
            </w:pPr>
          </w:p>
        </w:tc>
        <w:tc>
          <w:tcPr>
            <w:tcW w:w="1241" w:type="dxa"/>
          </w:tcPr>
          <w:p w14:paraId="04555DA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F59</w:t>
            </w:r>
          </w:p>
        </w:tc>
        <w:tc>
          <w:tcPr>
            <w:tcW w:w="2063" w:type="dxa"/>
          </w:tcPr>
          <w:p w14:paraId="59F6B5B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Web access to reports</w:t>
            </w:r>
          </w:p>
        </w:tc>
        <w:tc>
          <w:tcPr>
            <w:tcW w:w="4394" w:type="dxa"/>
          </w:tcPr>
          <w:p w14:paraId="68A653D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provide secure access for authorised users to standard and ad hoc reports produced by registry staff via a secure web interface</w:t>
            </w:r>
            <w:r>
              <w:rPr>
                <w:rFonts w:cs="Arial"/>
                <w:bCs/>
              </w:rPr>
              <w:t>.</w:t>
            </w:r>
          </w:p>
        </w:tc>
      </w:tr>
      <w:tr w:rsidR="00C442F7" w:rsidRPr="002227F1" w14:paraId="1A5AAE4B"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BB53807" w14:textId="77777777" w:rsidR="00C442F7" w:rsidRDefault="00C442F7" w:rsidP="00C442F7">
            <w:pPr>
              <w:rPr>
                <w:rFonts w:cs="Arial"/>
                <w:szCs w:val="22"/>
              </w:rPr>
            </w:pPr>
          </w:p>
        </w:tc>
        <w:tc>
          <w:tcPr>
            <w:tcW w:w="1241" w:type="dxa"/>
          </w:tcPr>
          <w:p w14:paraId="2233565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F60</w:t>
            </w:r>
          </w:p>
        </w:tc>
        <w:tc>
          <w:tcPr>
            <w:tcW w:w="2063" w:type="dxa"/>
          </w:tcPr>
          <w:p w14:paraId="2684DDF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Patient summary</w:t>
            </w:r>
          </w:p>
        </w:tc>
        <w:tc>
          <w:tcPr>
            <w:tcW w:w="4394" w:type="dxa"/>
          </w:tcPr>
          <w:p w14:paraId="52441EB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Users shall be able to produce an abstract of information included in the registry that pertains to an individual patient</w:t>
            </w:r>
            <w:r>
              <w:rPr>
                <w:rFonts w:cs="Arial"/>
                <w:bCs/>
              </w:rPr>
              <w:t>.</w:t>
            </w:r>
          </w:p>
        </w:tc>
      </w:tr>
      <w:tr w:rsidR="00C442F7" w:rsidRPr="002227F1" w14:paraId="7A289C48"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3DD30FD" w14:textId="77777777" w:rsidR="00C442F7" w:rsidRDefault="00C442F7" w:rsidP="00C442F7">
            <w:pPr>
              <w:rPr>
                <w:rFonts w:cs="Arial"/>
                <w:szCs w:val="22"/>
              </w:rPr>
            </w:pPr>
          </w:p>
        </w:tc>
        <w:tc>
          <w:tcPr>
            <w:tcW w:w="1241" w:type="dxa"/>
          </w:tcPr>
          <w:p w14:paraId="77AD2728"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F61</w:t>
            </w:r>
          </w:p>
        </w:tc>
        <w:tc>
          <w:tcPr>
            <w:tcW w:w="2063" w:type="dxa"/>
          </w:tcPr>
          <w:p w14:paraId="48C4342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Generate standard reports</w:t>
            </w:r>
          </w:p>
        </w:tc>
        <w:tc>
          <w:tcPr>
            <w:tcW w:w="4394" w:type="dxa"/>
          </w:tcPr>
          <w:p w14:paraId="2A1170F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generate scheduled/routine standard reports</w:t>
            </w:r>
            <w:r>
              <w:rPr>
                <w:rFonts w:cs="Arial"/>
                <w:bCs/>
              </w:rPr>
              <w:t xml:space="preserve"> that may</w:t>
            </w:r>
            <w:r w:rsidRPr="002227F1">
              <w:rPr>
                <w:rFonts w:cs="Arial"/>
                <w:bCs/>
              </w:rPr>
              <w:t xml:space="preserve"> be </w:t>
            </w:r>
            <w:r>
              <w:rPr>
                <w:rFonts w:cs="Arial"/>
                <w:bCs/>
              </w:rPr>
              <w:t>reviewed by</w:t>
            </w:r>
            <w:r w:rsidRPr="002227F1">
              <w:rPr>
                <w:rFonts w:cs="Arial"/>
                <w:bCs/>
              </w:rPr>
              <w:t xml:space="preserve"> identified institutions and clinicians</w:t>
            </w:r>
            <w:r>
              <w:rPr>
                <w:rFonts w:cs="Arial"/>
                <w:bCs/>
              </w:rPr>
              <w:t>.</w:t>
            </w:r>
          </w:p>
        </w:tc>
      </w:tr>
      <w:tr w:rsidR="00C442F7" w:rsidRPr="002227F1" w14:paraId="1D2A4AA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3007876" w14:textId="77777777" w:rsidR="00C442F7" w:rsidRDefault="00C442F7" w:rsidP="00C442F7">
            <w:pPr>
              <w:rPr>
                <w:rFonts w:cs="Arial"/>
                <w:szCs w:val="22"/>
              </w:rPr>
            </w:pPr>
          </w:p>
        </w:tc>
        <w:tc>
          <w:tcPr>
            <w:tcW w:w="1241" w:type="dxa"/>
          </w:tcPr>
          <w:p w14:paraId="4419F58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F62</w:t>
            </w:r>
          </w:p>
        </w:tc>
        <w:tc>
          <w:tcPr>
            <w:tcW w:w="2063" w:type="dxa"/>
          </w:tcPr>
          <w:p w14:paraId="32EDDB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Scheduled reporting</w:t>
            </w:r>
          </w:p>
        </w:tc>
        <w:tc>
          <w:tcPr>
            <w:tcW w:w="4394" w:type="dxa"/>
          </w:tcPr>
          <w:p w14:paraId="6A1AB1F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users to produce scheduled reports through selection from available reports, parameters and pre-set frequencies (for example, weekly)</w:t>
            </w:r>
            <w:r>
              <w:rPr>
                <w:rFonts w:cs="Arial"/>
                <w:bCs/>
              </w:rPr>
              <w:t>.</w:t>
            </w:r>
          </w:p>
        </w:tc>
      </w:tr>
      <w:tr w:rsidR="00C442F7" w:rsidRPr="002227F1" w14:paraId="4F22DC0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7A7E3D5B" w14:textId="77777777" w:rsidR="00C442F7" w:rsidRDefault="00C442F7" w:rsidP="00C442F7">
            <w:pPr>
              <w:rPr>
                <w:rFonts w:cs="Arial"/>
                <w:szCs w:val="22"/>
              </w:rPr>
            </w:pPr>
          </w:p>
        </w:tc>
        <w:tc>
          <w:tcPr>
            <w:tcW w:w="1241" w:type="dxa"/>
          </w:tcPr>
          <w:p w14:paraId="5804CCB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F63</w:t>
            </w:r>
          </w:p>
        </w:tc>
        <w:tc>
          <w:tcPr>
            <w:tcW w:w="2063" w:type="dxa"/>
          </w:tcPr>
          <w:p w14:paraId="4B2E37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Individual facility reports</w:t>
            </w:r>
          </w:p>
        </w:tc>
        <w:tc>
          <w:tcPr>
            <w:tcW w:w="4394" w:type="dxa"/>
          </w:tcPr>
          <w:p w14:paraId="470CBFB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produce reports for a facility that contains only data that they have contributed. These reports may contain identified data</w:t>
            </w:r>
            <w:r>
              <w:rPr>
                <w:rFonts w:cs="Arial"/>
                <w:bCs/>
              </w:rPr>
              <w:t>.</w:t>
            </w:r>
          </w:p>
        </w:tc>
      </w:tr>
      <w:tr w:rsidR="00C442F7" w:rsidRPr="002227F1" w14:paraId="52EFD24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075F62D1" w14:textId="77777777" w:rsidR="00C442F7" w:rsidRDefault="00C442F7" w:rsidP="00C442F7">
            <w:pPr>
              <w:rPr>
                <w:rFonts w:cs="Arial"/>
                <w:szCs w:val="22"/>
              </w:rPr>
            </w:pPr>
          </w:p>
        </w:tc>
        <w:tc>
          <w:tcPr>
            <w:tcW w:w="1241" w:type="dxa"/>
          </w:tcPr>
          <w:p w14:paraId="715EABD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F64</w:t>
            </w:r>
          </w:p>
        </w:tc>
        <w:tc>
          <w:tcPr>
            <w:tcW w:w="2063" w:type="dxa"/>
          </w:tcPr>
          <w:p w14:paraId="57F32E9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Benchmark reports</w:t>
            </w:r>
          </w:p>
        </w:tc>
        <w:tc>
          <w:tcPr>
            <w:tcW w:w="4394" w:type="dxa"/>
          </w:tcPr>
          <w:p w14:paraId="2750699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produce reports that enable comparisons of de-identified aggregated data against peer group benchmarks by facilities and by regions (including by jurisdiction and national level).</w:t>
            </w:r>
          </w:p>
        </w:tc>
      </w:tr>
      <w:tr w:rsidR="00C442F7" w:rsidRPr="002227F1" w14:paraId="4117EEA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5628A0A" w14:textId="77777777" w:rsidR="00C442F7" w:rsidRDefault="00C442F7" w:rsidP="00C442F7">
            <w:pPr>
              <w:rPr>
                <w:rFonts w:cs="Arial"/>
                <w:szCs w:val="22"/>
              </w:rPr>
            </w:pPr>
          </w:p>
        </w:tc>
        <w:tc>
          <w:tcPr>
            <w:tcW w:w="1241" w:type="dxa"/>
          </w:tcPr>
          <w:p w14:paraId="40568DD4"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F65</w:t>
            </w:r>
          </w:p>
        </w:tc>
        <w:tc>
          <w:tcPr>
            <w:tcW w:w="2063" w:type="dxa"/>
          </w:tcPr>
          <w:p w14:paraId="538BE2F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Clinical and epidemiological reporting</w:t>
            </w:r>
          </w:p>
        </w:tc>
        <w:tc>
          <w:tcPr>
            <w:tcW w:w="4394" w:type="dxa"/>
          </w:tcPr>
          <w:p w14:paraId="388E2B1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support clinical and epidemiological reporting</w:t>
            </w:r>
            <w:r>
              <w:rPr>
                <w:rFonts w:cs="Arial"/>
                <w:bCs/>
              </w:rPr>
              <w:t>.</w:t>
            </w:r>
          </w:p>
        </w:tc>
      </w:tr>
      <w:tr w:rsidR="00C442F7" w:rsidRPr="002227F1" w14:paraId="41956FF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E2AE8E3" w14:textId="77777777" w:rsidR="00C442F7" w:rsidRDefault="00C442F7" w:rsidP="00C442F7">
            <w:pPr>
              <w:rPr>
                <w:rFonts w:cs="Arial"/>
                <w:szCs w:val="22"/>
              </w:rPr>
            </w:pPr>
          </w:p>
        </w:tc>
        <w:tc>
          <w:tcPr>
            <w:tcW w:w="1241" w:type="dxa"/>
          </w:tcPr>
          <w:p w14:paraId="5F35281A"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F66</w:t>
            </w:r>
          </w:p>
        </w:tc>
        <w:tc>
          <w:tcPr>
            <w:tcW w:w="2063" w:type="dxa"/>
          </w:tcPr>
          <w:p w14:paraId="15504CE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Coverage of eligible population report</w:t>
            </w:r>
          </w:p>
        </w:tc>
        <w:tc>
          <w:tcPr>
            <w:tcW w:w="4394" w:type="dxa"/>
          </w:tcPr>
          <w:p w14:paraId="44A3237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be able to produce a standard report on the proportion of eligible patients participating in the registry (by facility and region), against </w:t>
            </w:r>
            <w:r>
              <w:rPr>
                <w:rFonts w:cs="Arial"/>
                <w:bCs/>
              </w:rPr>
              <w:t xml:space="preserve">an </w:t>
            </w:r>
            <w:r w:rsidRPr="002227F1">
              <w:rPr>
                <w:rFonts w:cs="Arial"/>
                <w:bCs/>
              </w:rPr>
              <w:t>indicator</w:t>
            </w:r>
            <w:r>
              <w:rPr>
                <w:rFonts w:cs="Arial"/>
                <w:bCs/>
              </w:rPr>
              <w:t>.</w:t>
            </w:r>
          </w:p>
        </w:tc>
      </w:tr>
      <w:tr w:rsidR="00C442F7" w:rsidRPr="002227F1" w14:paraId="329D36A1"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1CF6273C" w14:textId="77777777" w:rsidR="00C442F7" w:rsidRDefault="00C442F7" w:rsidP="00C442F7">
            <w:pPr>
              <w:rPr>
                <w:rFonts w:cs="Arial"/>
                <w:szCs w:val="22"/>
              </w:rPr>
            </w:pPr>
          </w:p>
        </w:tc>
        <w:tc>
          <w:tcPr>
            <w:tcW w:w="1241" w:type="dxa"/>
          </w:tcPr>
          <w:p w14:paraId="2A4BF8F9"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F67</w:t>
            </w:r>
          </w:p>
        </w:tc>
        <w:tc>
          <w:tcPr>
            <w:tcW w:w="2063" w:type="dxa"/>
          </w:tcPr>
          <w:p w14:paraId="3F9B299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Contributing units can produce centrally configured reports</w:t>
            </w:r>
          </w:p>
        </w:tc>
        <w:tc>
          <w:tcPr>
            <w:tcW w:w="4394" w:type="dxa"/>
          </w:tcPr>
          <w:p w14:paraId="3E9699F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authorised users in participating units/institutions and jurisdictions to produce centrally configured reports of their own unit's/institution</w:t>
            </w:r>
            <w:r>
              <w:rPr>
                <w:rFonts w:cs="Arial"/>
                <w:bCs/>
              </w:rPr>
              <w:t>’</w:t>
            </w:r>
            <w:r w:rsidRPr="002227F1">
              <w:rPr>
                <w:rFonts w:cs="Arial"/>
                <w:bCs/>
              </w:rPr>
              <w:t>s/jurisdiction</w:t>
            </w:r>
            <w:r>
              <w:rPr>
                <w:rFonts w:cs="Arial"/>
                <w:bCs/>
              </w:rPr>
              <w:t>’</w:t>
            </w:r>
            <w:r w:rsidRPr="002227F1">
              <w:rPr>
                <w:rFonts w:cs="Arial"/>
                <w:bCs/>
              </w:rPr>
              <w:t>s data to enable monitoring of clinical care</w:t>
            </w:r>
            <w:r>
              <w:rPr>
                <w:rFonts w:cs="Arial"/>
                <w:bCs/>
              </w:rPr>
              <w:t>.</w:t>
            </w:r>
          </w:p>
        </w:tc>
      </w:tr>
      <w:tr w:rsidR="00C442F7" w:rsidRPr="002227F1" w14:paraId="0AED290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5445842C" w14:textId="77777777" w:rsidR="00C442F7" w:rsidRDefault="00C442F7" w:rsidP="00C442F7">
            <w:pPr>
              <w:rPr>
                <w:rFonts w:cs="Arial"/>
                <w:szCs w:val="22"/>
              </w:rPr>
            </w:pPr>
          </w:p>
        </w:tc>
        <w:tc>
          <w:tcPr>
            <w:tcW w:w="1241" w:type="dxa"/>
          </w:tcPr>
          <w:p w14:paraId="09EC62FB"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F68</w:t>
            </w:r>
          </w:p>
        </w:tc>
        <w:tc>
          <w:tcPr>
            <w:tcW w:w="2063" w:type="dxa"/>
          </w:tcPr>
          <w:p w14:paraId="4C9DE63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Export of unit record data</w:t>
            </w:r>
          </w:p>
        </w:tc>
        <w:tc>
          <w:tcPr>
            <w:tcW w:w="4394" w:type="dxa"/>
          </w:tcPr>
          <w:p w14:paraId="60968EB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export unit record data in delimited format for approved purposes</w:t>
            </w:r>
            <w:r>
              <w:rPr>
                <w:rFonts w:cs="Arial"/>
                <w:bCs/>
              </w:rPr>
              <w:t>.</w:t>
            </w:r>
          </w:p>
        </w:tc>
      </w:tr>
      <w:tr w:rsidR="00C442F7" w:rsidRPr="002227F1" w14:paraId="7731B9CE"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74B5CF0" w14:textId="77777777" w:rsidR="00C442F7" w:rsidRDefault="00C442F7" w:rsidP="00C442F7">
            <w:pPr>
              <w:rPr>
                <w:rFonts w:cs="Arial"/>
                <w:szCs w:val="22"/>
              </w:rPr>
            </w:pPr>
          </w:p>
        </w:tc>
        <w:tc>
          <w:tcPr>
            <w:tcW w:w="1241" w:type="dxa"/>
          </w:tcPr>
          <w:p w14:paraId="31393EE7"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F69</w:t>
            </w:r>
          </w:p>
        </w:tc>
        <w:tc>
          <w:tcPr>
            <w:tcW w:w="2063" w:type="dxa"/>
          </w:tcPr>
          <w:p w14:paraId="7C2EE3F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Default format of unit record data export</w:t>
            </w:r>
          </w:p>
        </w:tc>
        <w:tc>
          <w:tcPr>
            <w:tcW w:w="4394" w:type="dxa"/>
          </w:tcPr>
          <w:p w14:paraId="2DECF9A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export unit record data using de-identified data as the default format</w:t>
            </w:r>
            <w:r>
              <w:rPr>
                <w:rFonts w:cs="Arial"/>
                <w:bCs/>
              </w:rPr>
              <w:t>.</w:t>
            </w:r>
          </w:p>
        </w:tc>
      </w:tr>
      <w:tr w:rsidR="00C442F7" w:rsidRPr="002227F1" w14:paraId="20097EC6"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49B1FAA3" w14:textId="77777777" w:rsidR="00C442F7" w:rsidRDefault="00C442F7" w:rsidP="00C442F7">
            <w:pPr>
              <w:rPr>
                <w:rFonts w:cs="Arial"/>
                <w:szCs w:val="22"/>
              </w:rPr>
            </w:pPr>
          </w:p>
        </w:tc>
        <w:tc>
          <w:tcPr>
            <w:tcW w:w="1241" w:type="dxa"/>
          </w:tcPr>
          <w:p w14:paraId="4BE92125"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F70</w:t>
            </w:r>
          </w:p>
        </w:tc>
        <w:tc>
          <w:tcPr>
            <w:tcW w:w="2063" w:type="dxa"/>
          </w:tcPr>
          <w:p w14:paraId="49A971C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Ability to export data for research purposes</w:t>
            </w:r>
          </w:p>
        </w:tc>
        <w:tc>
          <w:tcPr>
            <w:tcW w:w="4394" w:type="dxa"/>
          </w:tcPr>
          <w:p w14:paraId="047F3B1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information to be exported for research purposes</w:t>
            </w:r>
            <w:r>
              <w:rPr>
                <w:rFonts w:cs="Arial"/>
                <w:bCs/>
              </w:rPr>
              <w:t xml:space="preserve"> </w:t>
            </w:r>
            <w:r w:rsidRPr="002227F1">
              <w:rPr>
                <w:rFonts w:cs="Arial"/>
                <w:bCs/>
              </w:rPr>
              <w:t>once the necessary approval has been obtained</w:t>
            </w:r>
            <w:r>
              <w:rPr>
                <w:rFonts w:cs="Arial"/>
                <w:bCs/>
              </w:rPr>
              <w:t>.</w:t>
            </w:r>
          </w:p>
        </w:tc>
      </w:tr>
      <w:tr w:rsidR="00C442F7" w:rsidRPr="002227F1" w14:paraId="07D92845"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75140FB" w14:textId="77777777" w:rsidR="00C442F7" w:rsidRDefault="00C442F7" w:rsidP="00C442F7">
            <w:pPr>
              <w:rPr>
                <w:rFonts w:cs="Arial"/>
                <w:szCs w:val="22"/>
              </w:rPr>
            </w:pPr>
          </w:p>
        </w:tc>
        <w:tc>
          <w:tcPr>
            <w:tcW w:w="1241" w:type="dxa"/>
          </w:tcPr>
          <w:p w14:paraId="7336A8DC"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F71</w:t>
            </w:r>
          </w:p>
        </w:tc>
        <w:tc>
          <w:tcPr>
            <w:tcW w:w="2063" w:type="dxa"/>
          </w:tcPr>
          <w:p w14:paraId="12F8EB4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Ability to record purpose of data export</w:t>
            </w:r>
          </w:p>
        </w:tc>
        <w:tc>
          <w:tcPr>
            <w:tcW w:w="4394" w:type="dxa"/>
          </w:tcPr>
          <w:p w14:paraId="7267815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When information is exported for research purposes, CQR shall be able to record the purpose for which the information is to be used</w:t>
            </w:r>
            <w:r>
              <w:rPr>
                <w:rFonts w:cs="Arial"/>
                <w:bCs/>
              </w:rPr>
              <w:t>.</w:t>
            </w:r>
          </w:p>
        </w:tc>
      </w:tr>
      <w:tr w:rsidR="00C442F7" w:rsidRPr="002227F1" w14:paraId="6776078F"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0EA8DBF" w14:textId="77777777" w:rsidR="00C442F7" w:rsidRDefault="00C442F7" w:rsidP="00C442F7">
            <w:pPr>
              <w:rPr>
                <w:rFonts w:cs="Arial"/>
                <w:szCs w:val="22"/>
              </w:rPr>
            </w:pPr>
          </w:p>
        </w:tc>
        <w:tc>
          <w:tcPr>
            <w:tcW w:w="1241" w:type="dxa"/>
          </w:tcPr>
          <w:p w14:paraId="314CB87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F72</w:t>
            </w:r>
          </w:p>
        </w:tc>
        <w:tc>
          <w:tcPr>
            <w:tcW w:w="2063" w:type="dxa"/>
          </w:tcPr>
          <w:p w14:paraId="674CC20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Data extraction to be audited</w:t>
            </w:r>
          </w:p>
        </w:tc>
        <w:tc>
          <w:tcPr>
            <w:tcW w:w="4394" w:type="dxa"/>
          </w:tcPr>
          <w:p w14:paraId="06BBA35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w:t>
            </w:r>
            <w:r>
              <w:rPr>
                <w:rFonts w:cs="Arial"/>
                <w:bCs/>
              </w:rPr>
              <w:t xml:space="preserve"> </w:t>
            </w:r>
            <w:r w:rsidRPr="002227F1">
              <w:rPr>
                <w:rFonts w:cs="Arial"/>
                <w:bCs/>
              </w:rPr>
              <w:t>only support data extraction of identifiable information</w:t>
            </w:r>
            <w:r>
              <w:rPr>
                <w:rFonts w:cs="Arial"/>
                <w:bCs/>
              </w:rPr>
              <w:t>,</w:t>
            </w:r>
            <w:r w:rsidRPr="002227F1">
              <w:rPr>
                <w:rFonts w:cs="Arial"/>
                <w:bCs/>
              </w:rPr>
              <w:t xml:space="preserve"> via the user interface, to enable auditing</w:t>
            </w:r>
            <w:r>
              <w:rPr>
                <w:rFonts w:cs="Arial"/>
                <w:bCs/>
              </w:rPr>
              <w:t>.</w:t>
            </w:r>
          </w:p>
        </w:tc>
      </w:tr>
      <w:tr w:rsidR="00C442F7" w:rsidRPr="002227F1" w14:paraId="07F04C20"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60CF9AD" w14:textId="77777777" w:rsidR="00C442F7" w:rsidRDefault="00C442F7" w:rsidP="00C442F7">
            <w:pPr>
              <w:rPr>
                <w:rFonts w:cs="Arial"/>
                <w:szCs w:val="22"/>
              </w:rPr>
            </w:pPr>
          </w:p>
        </w:tc>
        <w:tc>
          <w:tcPr>
            <w:tcW w:w="1241" w:type="dxa"/>
          </w:tcPr>
          <w:p w14:paraId="2AD33DF0"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F73</w:t>
            </w:r>
          </w:p>
        </w:tc>
        <w:tc>
          <w:tcPr>
            <w:tcW w:w="2063" w:type="dxa"/>
          </w:tcPr>
          <w:p w14:paraId="04FBDCB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Encrypt exported identifiable information</w:t>
            </w:r>
          </w:p>
        </w:tc>
        <w:tc>
          <w:tcPr>
            <w:tcW w:w="4394" w:type="dxa"/>
          </w:tcPr>
          <w:p w14:paraId="4D4FC2C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must encrypt identifiable information at the point of export</w:t>
            </w:r>
            <w:r>
              <w:rPr>
                <w:rFonts w:cs="Arial"/>
                <w:bCs/>
              </w:rPr>
              <w:t>.</w:t>
            </w:r>
          </w:p>
        </w:tc>
      </w:tr>
      <w:tr w:rsidR="00C442F7" w:rsidRPr="002227F1" w14:paraId="0252BC0D"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28A51675" w14:textId="77777777" w:rsidR="00C442F7" w:rsidRDefault="00C442F7" w:rsidP="00C442F7">
            <w:pPr>
              <w:rPr>
                <w:rFonts w:cs="Arial"/>
                <w:szCs w:val="22"/>
              </w:rPr>
            </w:pPr>
          </w:p>
        </w:tc>
        <w:tc>
          <w:tcPr>
            <w:tcW w:w="1241" w:type="dxa"/>
          </w:tcPr>
          <w:p w14:paraId="605B4E22"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F74</w:t>
            </w:r>
          </w:p>
        </w:tc>
        <w:tc>
          <w:tcPr>
            <w:tcW w:w="2063" w:type="dxa"/>
          </w:tcPr>
          <w:p w14:paraId="29D1611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Compatibility of data extracts with statistical packages</w:t>
            </w:r>
          </w:p>
        </w:tc>
        <w:tc>
          <w:tcPr>
            <w:tcW w:w="4394" w:type="dxa"/>
          </w:tcPr>
          <w:p w14:paraId="6085A68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 xml:space="preserve">CQRs shall support </w:t>
            </w:r>
            <w:r>
              <w:rPr>
                <w:rFonts w:cs="Arial"/>
                <w:bCs/>
              </w:rPr>
              <w:t xml:space="preserve">the </w:t>
            </w:r>
            <w:r w:rsidRPr="002227F1">
              <w:rPr>
                <w:rFonts w:cs="Arial"/>
                <w:bCs/>
              </w:rPr>
              <w:t>secure extract of data in formats compatible with major statistical packages</w:t>
            </w:r>
            <w:r>
              <w:rPr>
                <w:rFonts w:cs="Arial"/>
                <w:bCs/>
              </w:rPr>
              <w:t>.</w:t>
            </w:r>
          </w:p>
        </w:tc>
      </w:tr>
      <w:tr w:rsidR="00C442F7" w:rsidRPr="002227F1" w14:paraId="65A77754"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3B04EFE0" w14:textId="77777777" w:rsidR="00C442F7" w:rsidRDefault="00C442F7" w:rsidP="00C442F7">
            <w:pPr>
              <w:rPr>
                <w:rFonts w:cs="Arial"/>
                <w:szCs w:val="22"/>
              </w:rPr>
            </w:pPr>
          </w:p>
        </w:tc>
        <w:tc>
          <w:tcPr>
            <w:tcW w:w="1241" w:type="dxa"/>
          </w:tcPr>
          <w:p w14:paraId="4773443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F75</w:t>
            </w:r>
          </w:p>
        </w:tc>
        <w:tc>
          <w:tcPr>
            <w:tcW w:w="2063" w:type="dxa"/>
          </w:tcPr>
          <w:p w14:paraId="2C0CA25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Ad hoc data analysis available to participating units</w:t>
            </w:r>
          </w:p>
        </w:tc>
        <w:tc>
          <w:tcPr>
            <w:tcW w:w="4394" w:type="dxa"/>
          </w:tcPr>
          <w:p w14:paraId="7BBB909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enable participating units/hospitals to undertake ad hoc analyses of their own unit's/patient's data</w:t>
            </w:r>
            <w:r>
              <w:rPr>
                <w:rFonts w:cs="Arial"/>
                <w:bCs/>
              </w:rPr>
              <w:t>.</w:t>
            </w:r>
          </w:p>
        </w:tc>
      </w:tr>
      <w:tr w:rsidR="00C442F7" w:rsidRPr="002227F1" w14:paraId="0B9A337A" w14:textId="77777777" w:rsidTr="00100CED">
        <w:tc>
          <w:tcPr>
            <w:cnfStyle w:val="001000000000" w:firstRow="0" w:lastRow="0" w:firstColumn="1" w:lastColumn="0" w:oddVBand="0" w:evenVBand="0" w:oddHBand="0" w:evenHBand="0" w:firstRowFirstColumn="0" w:firstRowLastColumn="0" w:lastRowFirstColumn="0" w:lastRowLastColumn="0"/>
            <w:tcW w:w="1653" w:type="dxa"/>
            <w:vMerge/>
          </w:tcPr>
          <w:p w14:paraId="6499B671" w14:textId="77777777" w:rsidR="00C442F7" w:rsidRDefault="00C442F7" w:rsidP="00C442F7">
            <w:pPr>
              <w:rPr>
                <w:rFonts w:cs="Arial"/>
                <w:szCs w:val="22"/>
              </w:rPr>
            </w:pPr>
          </w:p>
        </w:tc>
        <w:tc>
          <w:tcPr>
            <w:tcW w:w="1241" w:type="dxa"/>
          </w:tcPr>
          <w:p w14:paraId="77F90096" w14:textId="77777777" w:rsidR="00C442F7" w:rsidRPr="000A5025" w:rsidRDefault="00C442F7" w:rsidP="00C442F7">
            <w:pPr>
              <w:cnfStyle w:val="000000000000" w:firstRow="0" w:lastRow="0" w:firstColumn="0" w:lastColumn="0" w:oddVBand="0" w:evenVBand="0" w:oddHBand="0" w:evenHBand="0" w:firstRowFirstColumn="0" w:firstRowLastColumn="0" w:lastRowFirstColumn="0" w:lastRowLastColumn="0"/>
              <w:rPr>
                <w:rFonts w:cs="Arial"/>
                <w:szCs w:val="22"/>
              </w:rPr>
            </w:pPr>
            <w:r w:rsidRPr="000A5025">
              <w:rPr>
                <w:rFonts w:cs="Arial"/>
                <w:szCs w:val="22"/>
              </w:rPr>
              <w:t>F76</w:t>
            </w:r>
          </w:p>
        </w:tc>
        <w:tc>
          <w:tcPr>
            <w:tcW w:w="2063" w:type="dxa"/>
          </w:tcPr>
          <w:p w14:paraId="26987E2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Define parameters for ad hoc reports</w:t>
            </w:r>
          </w:p>
        </w:tc>
        <w:tc>
          <w:tcPr>
            <w:tcW w:w="4394" w:type="dxa"/>
          </w:tcPr>
          <w:p w14:paraId="432C0A7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rFonts w:cs="Arial"/>
                <w:bCs/>
              </w:rPr>
              <w:t>CQRs shall be able to define parameters, such as date ranges, filter criteria</w:t>
            </w:r>
            <w:r>
              <w:rPr>
                <w:rFonts w:cs="Arial"/>
                <w:bCs/>
              </w:rPr>
              <w:t xml:space="preserve"> and</w:t>
            </w:r>
            <w:r w:rsidRPr="002227F1">
              <w:rPr>
                <w:rFonts w:cs="Arial"/>
                <w:bCs/>
              </w:rPr>
              <w:t xml:space="preserve"> sort criteria that are specific to a particular ad-hoc report</w:t>
            </w:r>
            <w:r>
              <w:rPr>
                <w:rFonts w:cs="Arial"/>
                <w:bCs/>
              </w:rPr>
              <w:t>.</w:t>
            </w:r>
          </w:p>
        </w:tc>
      </w:tr>
      <w:tr w:rsidR="007C21BD" w:rsidRPr="002227F1" w14:paraId="413BA34A" w14:textId="77777777" w:rsidTr="00100CED">
        <w:tc>
          <w:tcPr>
            <w:cnfStyle w:val="001000000000" w:firstRow="0" w:lastRow="0" w:firstColumn="1" w:lastColumn="0" w:oddVBand="0" w:evenVBand="0" w:oddHBand="0" w:evenHBand="0" w:firstRowFirstColumn="0" w:firstRowLastColumn="0" w:lastRowFirstColumn="0" w:lastRowLastColumn="0"/>
            <w:tcW w:w="1653" w:type="dxa"/>
          </w:tcPr>
          <w:p w14:paraId="5AAB920E" w14:textId="77777777" w:rsidR="007C21BD" w:rsidRDefault="007C21BD" w:rsidP="00C442F7">
            <w:pPr>
              <w:rPr>
                <w:rFonts w:cs="Arial"/>
              </w:rPr>
            </w:pPr>
          </w:p>
        </w:tc>
        <w:tc>
          <w:tcPr>
            <w:tcW w:w="1241" w:type="dxa"/>
          </w:tcPr>
          <w:p w14:paraId="030F1787" w14:textId="5D09EEBC" w:rsidR="007C21BD" w:rsidRPr="000A5025" w:rsidRDefault="007C21BD" w:rsidP="00C442F7">
            <w:pPr>
              <w:cnfStyle w:val="000000000000" w:firstRow="0" w:lastRow="0" w:firstColumn="0" w:lastColumn="0" w:oddVBand="0" w:evenVBand="0" w:oddHBand="0" w:evenHBand="0" w:firstRowFirstColumn="0" w:firstRowLastColumn="0" w:lastRowFirstColumn="0" w:lastRowLastColumn="0"/>
              <w:rPr>
                <w:rFonts w:cs="Arial"/>
              </w:rPr>
            </w:pPr>
            <w:r>
              <w:rPr>
                <w:rFonts w:cs="Arial"/>
              </w:rPr>
              <w:t>F77</w:t>
            </w:r>
          </w:p>
        </w:tc>
        <w:tc>
          <w:tcPr>
            <w:tcW w:w="2063" w:type="dxa"/>
          </w:tcPr>
          <w:p w14:paraId="750653DB" w14:textId="2880D5C7" w:rsidR="007C21BD" w:rsidRPr="002227F1" w:rsidRDefault="007C21BD"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bCs/>
              </w:rPr>
              <w:t>Use report parameters to generate ad hoc reports</w:t>
            </w:r>
          </w:p>
        </w:tc>
        <w:tc>
          <w:tcPr>
            <w:tcW w:w="4394" w:type="dxa"/>
          </w:tcPr>
          <w:p w14:paraId="0ECBF326" w14:textId="4C8B4E34" w:rsidR="007C21BD" w:rsidRPr="002227F1" w:rsidRDefault="007C21BD" w:rsidP="00C442F7">
            <w:pPr>
              <w:cnfStyle w:val="000000000000" w:firstRow="0" w:lastRow="0" w:firstColumn="0" w:lastColumn="0" w:oddVBand="0" w:evenVBand="0" w:oddHBand="0" w:evenHBand="0" w:firstRowFirstColumn="0" w:firstRowLastColumn="0" w:lastRowFirstColumn="0" w:lastRowLastColumn="0"/>
              <w:rPr>
                <w:rFonts w:cs="Arial"/>
                <w:bCs/>
              </w:rPr>
            </w:pPr>
            <w:r w:rsidRPr="002227F1">
              <w:rPr>
                <w:bCs/>
              </w:rPr>
              <w:t>CQR users shall enter information into pre-defined report parameters to generate ad hoc reports</w:t>
            </w:r>
            <w:r>
              <w:rPr>
                <w:bCs/>
              </w:rPr>
              <w:t>.</w:t>
            </w:r>
          </w:p>
        </w:tc>
      </w:tr>
    </w:tbl>
    <w:p w14:paraId="35B5844C" w14:textId="77777777" w:rsidR="00C442F7" w:rsidRDefault="00C442F7" w:rsidP="00C442F7">
      <w:pPr>
        <w:pStyle w:val="Heading1"/>
      </w:pPr>
    </w:p>
    <w:p w14:paraId="0F087EBD" w14:textId="77777777" w:rsidR="00C442F7" w:rsidRDefault="00C442F7">
      <w:pPr>
        <w:spacing w:before="0" w:after="80"/>
        <w:rPr>
          <w:rFonts w:cs="Arial"/>
          <w:b/>
          <w:bCs/>
          <w:color w:val="005370" w:themeColor="text2"/>
          <w:kern w:val="28"/>
          <w:sz w:val="40"/>
          <w:szCs w:val="32"/>
        </w:rPr>
      </w:pPr>
      <w:bookmarkStart w:id="692" w:name="_Toc158584027"/>
      <w:bookmarkStart w:id="693" w:name="_Toc159324800"/>
      <w:r>
        <w:br w:type="page"/>
      </w:r>
    </w:p>
    <w:p w14:paraId="0FA11B33" w14:textId="01E1D8DD" w:rsidR="00C442F7" w:rsidRPr="00C442F7" w:rsidRDefault="00C442F7" w:rsidP="00C442F7">
      <w:pPr>
        <w:pStyle w:val="Heading1"/>
      </w:pPr>
      <w:bookmarkStart w:id="694" w:name="_Appendix_B_–"/>
      <w:bookmarkStart w:id="695" w:name="_Toc175550420"/>
      <w:bookmarkEnd w:id="694"/>
      <w:r w:rsidRPr="00C442F7">
        <w:lastRenderedPageBreak/>
        <w:t>Appendix B</w:t>
      </w:r>
      <w:r w:rsidR="00D1577E">
        <w:t>:</w:t>
      </w:r>
      <w:r w:rsidRPr="00C442F7">
        <w:t xml:space="preserve"> Detailed requirements specification</w:t>
      </w:r>
      <w:bookmarkEnd w:id="692"/>
      <w:bookmarkEnd w:id="693"/>
      <w:bookmarkEnd w:id="695"/>
    </w:p>
    <w:p w14:paraId="329D20DC" w14:textId="77777777" w:rsidR="00C442F7" w:rsidRPr="00F31641" w:rsidRDefault="00C442F7" w:rsidP="00C442F7">
      <w:pPr>
        <w:pStyle w:val="Heading2"/>
      </w:pPr>
      <w:bookmarkStart w:id="696" w:name="_Toc175550421"/>
      <w:r w:rsidRPr="00F31641">
        <w:t>CQR system and process recommendations</w:t>
      </w:r>
      <w:bookmarkEnd w:id="696"/>
    </w:p>
    <w:tbl>
      <w:tblPr>
        <w:tblStyle w:val="SurveyQuestions"/>
        <w:tblW w:w="9490" w:type="dxa"/>
        <w:tblLook w:val="04A0" w:firstRow="1" w:lastRow="0" w:firstColumn="1" w:lastColumn="0" w:noHBand="0" w:noVBand="1"/>
      </w:tblPr>
      <w:tblGrid>
        <w:gridCol w:w="1177"/>
        <w:gridCol w:w="3180"/>
        <w:gridCol w:w="5133"/>
      </w:tblGrid>
      <w:tr w:rsidR="00C442F7" w:rsidRPr="002227F1" w14:paraId="066D9143" w14:textId="77777777" w:rsidTr="00C442F7">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77" w:type="dxa"/>
          </w:tcPr>
          <w:p w14:paraId="51026DA4" w14:textId="77777777" w:rsidR="00C442F7" w:rsidRPr="002227F1" w:rsidRDefault="00C442F7" w:rsidP="00C442F7">
            <w:pPr>
              <w:rPr>
                <w:iCs/>
              </w:rPr>
            </w:pPr>
            <w:r w:rsidRPr="000A5025">
              <w:t>Identifier</w:t>
            </w:r>
          </w:p>
        </w:tc>
        <w:tc>
          <w:tcPr>
            <w:tcW w:w="3180" w:type="dxa"/>
          </w:tcPr>
          <w:p w14:paraId="6534FE9F"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Summary</w:t>
            </w:r>
          </w:p>
        </w:tc>
        <w:tc>
          <w:tcPr>
            <w:tcW w:w="5133" w:type="dxa"/>
          </w:tcPr>
          <w:p w14:paraId="3D1915FE"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Detail</w:t>
            </w:r>
          </w:p>
        </w:tc>
      </w:tr>
      <w:tr w:rsidR="00C442F7" w:rsidRPr="002227F1" w14:paraId="3C6088A2"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346A5E9A" w14:textId="77777777" w:rsidR="00C442F7" w:rsidRPr="002227F1" w:rsidRDefault="00C442F7" w:rsidP="00C442F7">
            <w:pPr>
              <w:rPr>
                <w:bCs/>
              </w:rPr>
            </w:pPr>
            <w:r w:rsidRPr="000A5025">
              <w:t>B01</w:t>
            </w:r>
          </w:p>
        </w:tc>
        <w:tc>
          <w:tcPr>
            <w:tcW w:w="3180" w:type="dxa"/>
          </w:tcPr>
          <w:p w14:paraId="6FBC1AA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Publicly accessible eligibility criteria</w:t>
            </w:r>
          </w:p>
        </w:tc>
        <w:tc>
          <w:tcPr>
            <w:tcW w:w="5133" w:type="dxa"/>
          </w:tcPr>
          <w:p w14:paraId="1E584BC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make scope and eligibility criteria </w:t>
            </w:r>
            <w:r>
              <w:rPr>
                <w:bCs/>
              </w:rPr>
              <w:t>publicly accessible. A history of changes to eligibility criteria changes shall be available to support analysts and researchers.</w:t>
            </w:r>
          </w:p>
        </w:tc>
      </w:tr>
      <w:tr w:rsidR="00C442F7" w:rsidRPr="002227F1" w14:paraId="14265516"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E66792E" w14:textId="77777777" w:rsidR="00C442F7" w:rsidRPr="002227F1" w:rsidRDefault="00C442F7" w:rsidP="00C442F7">
            <w:pPr>
              <w:rPr>
                <w:bCs/>
              </w:rPr>
            </w:pPr>
            <w:r w:rsidRPr="000A5025">
              <w:t>B02</w:t>
            </w:r>
          </w:p>
        </w:tc>
        <w:tc>
          <w:tcPr>
            <w:tcW w:w="3180" w:type="dxa"/>
          </w:tcPr>
          <w:p w14:paraId="1C43BAB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Publicly accessible data specifications</w:t>
            </w:r>
          </w:p>
        </w:tc>
        <w:tc>
          <w:tcPr>
            <w:tcW w:w="5133" w:type="dxa"/>
          </w:tcPr>
          <w:p w14:paraId="6D5FED7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make data specifications </w:t>
            </w:r>
            <w:r>
              <w:rPr>
                <w:bCs/>
              </w:rPr>
              <w:t>publicly accessible</w:t>
            </w:r>
            <w:r w:rsidRPr="00DB790A">
              <w:rPr>
                <w:bCs/>
                <w:color w:val="000000" w:themeColor="text1"/>
              </w:rPr>
              <w:t xml:space="preserve">. </w:t>
            </w:r>
            <w:r w:rsidRPr="00A44B12">
              <w:rPr>
                <w:bCs/>
              </w:rPr>
              <w:t xml:space="preserve">Previous </w:t>
            </w:r>
            <w:r>
              <w:rPr>
                <w:bCs/>
              </w:rPr>
              <w:t>versions shall also be publicly accessible.</w:t>
            </w:r>
          </w:p>
        </w:tc>
      </w:tr>
      <w:tr w:rsidR="00C442F7" w:rsidRPr="002227F1" w14:paraId="3FA7800C"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1D9AF8E6" w14:textId="77777777" w:rsidR="00C442F7" w:rsidRPr="002227F1" w:rsidRDefault="00C442F7" w:rsidP="00C442F7">
            <w:pPr>
              <w:rPr>
                <w:bCs/>
              </w:rPr>
            </w:pPr>
            <w:r w:rsidRPr="000A5025">
              <w:t>B03</w:t>
            </w:r>
          </w:p>
        </w:tc>
        <w:tc>
          <w:tcPr>
            <w:tcW w:w="3180" w:type="dxa"/>
          </w:tcPr>
          <w:p w14:paraId="5D4B431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Entire eligible population</w:t>
            </w:r>
          </w:p>
        </w:tc>
        <w:tc>
          <w:tcPr>
            <w:tcW w:w="5133" w:type="dxa"/>
          </w:tcPr>
          <w:p w14:paraId="2B5A3B7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the ability to collect complete registry data from the entire eligible population</w:t>
            </w:r>
            <w:r>
              <w:rPr>
                <w:bCs/>
              </w:rPr>
              <w:t>.</w:t>
            </w:r>
          </w:p>
        </w:tc>
      </w:tr>
      <w:tr w:rsidR="00C442F7" w:rsidRPr="002227F1" w14:paraId="1CDFD42F"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17E81AF6" w14:textId="77777777" w:rsidR="00C442F7" w:rsidRPr="002227F1" w:rsidRDefault="00C442F7" w:rsidP="00C442F7">
            <w:pPr>
              <w:rPr>
                <w:bCs/>
              </w:rPr>
            </w:pPr>
            <w:r w:rsidRPr="000A5025">
              <w:t>B04</w:t>
            </w:r>
          </w:p>
        </w:tc>
        <w:tc>
          <w:tcPr>
            <w:tcW w:w="3180" w:type="dxa"/>
          </w:tcPr>
          <w:p w14:paraId="3E5F179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Right to opt-out</w:t>
            </w:r>
          </w:p>
        </w:tc>
        <w:tc>
          <w:tcPr>
            <w:tcW w:w="5133" w:type="dxa"/>
          </w:tcPr>
          <w:p w14:paraId="6119265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 xml:space="preserve">support and enable </w:t>
            </w:r>
            <w:r w:rsidRPr="002227F1">
              <w:rPr>
                <w:bCs/>
              </w:rPr>
              <w:t>the right of patients to opt-out</w:t>
            </w:r>
            <w:r>
              <w:rPr>
                <w:bCs/>
              </w:rPr>
              <w:t>.</w:t>
            </w:r>
          </w:p>
        </w:tc>
      </w:tr>
      <w:tr w:rsidR="00C442F7" w:rsidRPr="002227F1" w14:paraId="3D15BA33"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1DBD1FC" w14:textId="77777777" w:rsidR="00C442F7" w:rsidRPr="002227F1" w:rsidDel="00B317F1" w:rsidRDefault="00C442F7" w:rsidP="00C442F7">
            <w:pPr>
              <w:rPr>
                <w:bCs/>
              </w:rPr>
            </w:pPr>
            <w:r w:rsidRPr="000A5025">
              <w:t>B05</w:t>
            </w:r>
          </w:p>
        </w:tc>
        <w:tc>
          <w:tcPr>
            <w:tcW w:w="3180" w:type="dxa"/>
          </w:tcPr>
          <w:p w14:paraId="7913924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Voluntary participation </w:t>
            </w:r>
          </w:p>
        </w:tc>
        <w:tc>
          <w:tcPr>
            <w:tcW w:w="5133" w:type="dxa"/>
          </w:tcPr>
          <w:p w14:paraId="7EDE9C0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participants (eligible population) with the option not to participate</w:t>
            </w:r>
            <w:r>
              <w:rPr>
                <w:bCs/>
              </w:rPr>
              <w:t>.</w:t>
            </w:r>
          </w:p>
        </w:tc>
      </w:tr>
      <w:tr w:rsidR="00C442F7" w:rsidRPr="002227F1" w14:paraId="2E0AF3B4"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05950CC6" w14:textId="77777777" w:rsidR="00C442F7" w:rsidRPr="002227F1" w:rsidDel="00B317F1" w:rsidRDefault="00C442F7" w:rsidP="00C442F7">
            <w:pPr>
              <w:rPr>
                <w:bCs/>
              </w:rPr>
            </w:pPr>
            <w:r w:rsidRPr="000A5025">
              <w:t>B06</w:t>
            </w:r>
          </w:p>
        </w:tc>
        <w:tc>
          <w:tcPr>
            <w:tcW w:w="3180" w:type="dxa"/>
          </w:tcPr>
          <w:p w14:paraId="4217BE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Standardised </w:t>
            </w:r>
            <w:r w:rsidRPr="002227F1">
              <w:rPr>
                <w:bCs/>
              </w:rPr>
              <w:t>data collection approaches</w:t>
            </w:r>
          </w:p>
        </w:tc>
        <w:tc>
          <w:tcPr>
            <w:tcW w:w="5133" w:type="dxa"/>
          </w:tcPr>
          <w:p w14:paraId="23E1F1E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collect data using </w:t>
            </w:r>
            <w:r>
              <w:rPr>
                <w:bCs/>
              </w:rPr>
              <w:t>standardised</w:t>
            </w:r>
            <w:r w:rsidRPr="002227F1">
              <w:rPr>
                <w:bCs/>
              </w:rPr>
              <w:t xml:space="preserve"> and systematic approaches</w:t>
            </w:r>
            <w:r>
              <w:rPr>
                <w:bCs/>
              </w:rPr>
              <w:t xml:space="preserve">.  </w:t>
            </w:r>
          </w:p>
        </w:tc>
      </w:tr>
      <w:tr w:rsidR="00C442F7" w:rsidRPr="002227F1" w14:paraId="79471AE1"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75341BBA" w14:textId="77777777" w:rsidR="00C442F7" w:rsidRPr="002227F1" w:rsidRDefault="00C442F7" w:rsidP="00C442F7">
            <w:pPr>
              <w:rPr>
                <w:bCs/>
              </w:rPr>
            </w:pPr>
            <w:r w:rsidRPr="000A5025">
              <w:t>B07</w:t>
            </w:r>
          </w:p>
        </w:tc>
        <w:tc>
          <w:tcPr>
            <w:tcW w:w="3180" w:type="dxa"/>
          </w:tcPr>
          <w:p w14:paraId="6B18988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standard terminology and data specifications</w:t>
            </w:r>
          </w:p>
        </w:tc>
        <w:tc>
          <w:tcPr>
            <w:tcW w:w="5133" w:type="dxa"/>
          </w:tcPr>
          <w:p w14:paraId="299FFA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standard definitions, terminology, data dictionaries and specifications (wherever possible) to enable meaningful comparisons and linkages (if approved by ethics committees) to other registries and databases</w:t>
            </w:r>
            <w:r>
              <w:rPr>
                <w:bCs/>
              </w:rPr>
              <w:t>.</w:t>
            </w:r>
          </w:p>
        </w:tc>
      </w:tr>
      <w:tr w:rsidR="00C442F7" w:rsidRPr="002227F1" w14:paraId="7FA8E313"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37DF291E" w14:textId="77777777" w:rsidR="00C442F7" w:rsidRPr="002227F1" w:rsidRDefault="00C442F7" w:rsidP="00C442F7">
            <w:pPr>
              <w:rPr>
                <w:bCs/>
              </w:rPr>
            </w:pPr>
            <w:r w:rsidRPr="000A5025">
              <w:t>B08</w:t>
            </w:r>
          </w:p>
        </w:tc>
        <w:tc>
          <w:tcPr>
            <w:tcW w:w="3180" w:type="dxa"/>
          </w:tcPr>
          <w:p w14:paraId="073935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Publication of metadata, data dictionaries and indicators</w:t>
            </w:r>
          </w:p>
        </w:tc>
        <w:tc>
          <w:tcPr>
            <w:tcW w:w="5133" w:type="dxa"/>
          </w:tcPr>
          <w:p w14:paraId="38CBDB4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publish metadata, data dictionaries</w:t>
            </w:r>
            <w:r>
              <w:rPr>
                <w:bCs/>
              </w:rPr>
              <w:t xml:space="preserve"> and </w:t>
            </w:r>
            <w:r w:rsidRPr="002227F1">
              <w:rPr>
                <w:bCs/>
              </w:rPr>
              <w:t>indicators to</w:t>
            </w:r>
            <w:r>
              <w:rPr>
                <w:bCs/>
              </w:rPr>
              <w:t xml:space="preserve"> make them publicly accessible.</w:t>
            </w:r>
          </w:p>
        </w:tc>
      </w:tr>
      <w:tr w:rsidR="00C442F7" w:rsidRPr="002227F1" w14:paraId="25038F06"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0D1C4265" w14:textId="77777777" w:rsidR="00C442F7" w:rsidRPr="002227F1" w:rsidRDefault="00C442F7" w:rsidP="00C442F7">
            <w:pPr>
              <w:rPr>
                <w:bCs/>
              </w:rPr>
            </w:pPr>
            <w:r w:rsidRPr="000A5025">
              <w:t>B09</w:t>
            </w:r>
          </w:p>
        </w:tc>
        <w:tc>
          <w:tcPr>
            <w:tcW w:w="3180" w:type="dxa"/>
          </w:tcPr>
          <w:p w14:paraId="102BE52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Identifying information to support </w:t>
            </w:r>
            <w:r>
              <w:rPr>
                <w:bCs/>
              </w:rPr>
              <w:t>CQR</w:t>
            </w:r>
            <w:r w:rsidRPr="002227F1">
              <w:rPr>
                <w:bCs/>
              </w:rPr>
              <w:t xml:space="preserve"> purpose</w:t>
            </w:r>
          </w:p>
        </w:tc>
        <w:tc>
          <w:tcPr>
            <w:tcW w:w="5133" w:type="dxa"/>
          </w:tcPr>
          <w:p w14:paraId="7F02AF1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collect sufficient patient</w:t>
            </w:r>
            <w:r>
              <w:rPr>
                <w:bCs/>
              </w:rPr>
              <w:t>-</w:t>
            </w:r>
            <w:r w:rsidRPr="002227F1">
              <w:rPr>
                <w:bCs/>
              </w:rPr>
              <w:t>identifying information to support the registry's stated purpose</w:t>
            </w:r>
            <w:r>
              <w:rPr>
                <w:bCs/>
              </w:rPr>
              <w:t xml:space="preserve"> (if it collects identified data).</w:t>
            </w:r>
          </w:p>
        </w:tc>
      </w:tr>
      <w:tr w:rsidR="00C442F7" w:rsidRPr="002227F1" w14:paraId="6592C7E5"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14929D4B" w14:textId="77777777" w:rsidR="00C442F7" w:rsidRPr="002227F1" w:rsidRDefault="00C442F7" w:rsidP="00C442F7">
            <w:pPr>
              <w:rPr>
                <w:bCs/>
              </w:rPr>
            </w:pPr>
            <w:r w:rsidRPr="000A5025">
              <w:t>B10</w:t>
            </w:r>
          </w:p>
        </w:tc>
        <w:tc>
          <w:tcPr>
            <w:tcW w:w="3180" w:type="dxa"/>
          </w:tcPr>
          <w:p w14:paraId="57A8FDF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Avoid data collection burden </w:t>
            </w:r>
          </w:p>
        </w:tc>
        <w:tc>
          <w:tcPr>
            <w:tcW w:w="5133" w:type="dxa"/>
          </w:tcPr>
          <w:p w14:paraId="0924D8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collect data in such a way that it is not an unreasonable burden</w:t>
            </w:r>
            <w:r>
              <w:rPr>
                <w:bCs/>
              </w:rPr>
              <w:t xml:space="preserve"> on consumers</w:t>
            </w:r>
            <w:r w:rsidRPr="002227F1">
              <w:rPr>
                <w:bCs/>
              </w:rPr>
              <w:t>, in terms of the time and cost involved in participation</w:t>
            </w:r>
            <w:r>
              <w:rPr>
                <w:bCs/>
              </w:rPr>
              <w:t>.</w:t>
            </w:r>
          </w:p>
        </w:tc>
      </w:tr>
      <w:tr w:rsidR="00C442F7" w:rsidRPr="002227F1" w14:paraId="16F5841E"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B0B7FC5" w14:textId="77777777" w:rsidR="00C442F7" w:rsidRPr="002227F1" w:rsidRDefault="00C442F7" w:rsidP="00C442F7">
            <w:pPr>
              <w:rPr>
                <w:bCs/>
              </w:rPr>
            </w:pPr>
            <w:r w:rsidRPr="000A5025">
              <w:t>B11</w:t>
            </w:r>
          </w:p>
        </w:tc>
        <w:tc>
          <w:tcPr>
            <w:tcW w:w="3180" w:type="dxa"/>
          </w:tcPr>
          <w:p w14:paraId="133191C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Timely capture of data</w:t>
            </w:r>
          </w:p>
        </w:tc>
        <w:tc>
          <w:tcPr>
            <w:tcW w:w="5133" w:type="dxa"/>
          </w:tcPr>
          <w:p w14:paraId="6FB1E6F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capture data as close as possible to the time and place of care</w:t>
            </w:r>
            <w:r>
              <w:rPr>
                <w:bCs/>
              </w:rPr>
              <w:t>.</w:t>
            </w:r>
          </w:p>
        </w:tc>
      </w:tr>
      <w:tr w:rsidR="00C442F7" w:rsidRPr="002227F1" w14:paraId="75432410"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63DA4132" w14:textId="77777777" w:rsidR="00C442F7" w:rsidRPr="002227F1" w:rsidRDefault="00C442F7" w:rsidP="00C442F7">
            <w:pPr>
              <w:rPr>
                <w:bCs/>
              </w:rPr>
            </w:pPr>
            <w:r w:rsidRPr="000A5025">
              <w:t>B12</w:t>
            </w:r>
          </w:p>
        </w:tc>
        <w:tc>
          <w:tcPr>
            <w:tcW w:w="3180" w:type="dxa"/>
          </w:tcPr>
          <w:p w14:paraId="4704144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Monitor quality in accordance with plans</w:t>
            </w:r>
          </w:p>
        </w:tc>
        <w:tc>
          <w:tcPr>
            <w:tcW w:w="5133" w:type="dxa"/>
          </w:tcPr>
          <w:p w14:paraId="0289A31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monitor the completeness and accuracy of the data collected in accordance with quality assurance plans</w:t>
            </w:r>
            <w:r>
              <w:rPr>
                <w:bCs/>
              </w:rPr>
              <w:t>.</w:t>
            </w:r>
          </w:p>
        </w:tc>
      </w:tr>
      <w:tr w:rsidR="00C442F7" w:rsidRPr="002227F1" w14:paraId="2309C230"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BCB712D" w14:textId="77777777" w:rsidR="00C442F7" w:rsidRPr="002227F1" w:rsidRDefault="00C442F7" w:rsidP="00C442F7">
            <w:pPr>
              <w:rPr>
                <w:bCs/>
              </w:rPr>
            </w:pPr>
            <w:r w:rsidRPr="000A5025">
              <w:lastRenderedPageBreak/>
              <w:t>B13</w:t>
            </w:r>
          </w:p>
        </w:tc>
        <w:tc>
          <w:tcPr>
            <w:tcW w:w="3180" w:type="dxa"/>
          </w:tcPr>
          <w:p w14:paraId="36C1A36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Prompt identification of data quality lapses</w:t>
            </w:r>
          </w:p>
        </w:tc>
        <w:tc>
          <w:tcPr>
            <w:tcW w:w="5133" w:type="dxa"/>
          </w:tcPr>
          <w:p w14:paraId="3DA5F7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data accuracy checks are conducted frequently enough to enable prompt identification of data quality lapses</w:t>
            </w:r>
            <w:r>
              <w:rPr>
                <w:bCs/>
              </w:rPr>
              <w:t>.</w:t>
            </w:r>
          </w:p>
        </w:tc>
      </w:tr>
      <w:tr w:rsidR="00C442F7" w:rsidRPr="002227F1" w14:paraId="62F12639"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86B70AC" w14:textId="77777777" w:rsidR="00C442F7" w:rsidRPr="002227F1" w:rsidRDefault="00C442F7" w:rsidP="00C442F7">
            <w:pPr>
              <w:rPr>
                <w:bCs/>
              </w:rPr>
            </w:pPr>
            <w:r w:rsidRPr="000A5025">
              <w:t>B14</w:t>
            </w:r>
          </w:p>
        </w:tc>
        <w:tc>
          <w:tcPr>
            <w:tcW w:w="3180" w:type="dxa"/>
          </w:tcPr>
          <w:p w14:paraId="5CCE4A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Prompt </w:t>
            </w:r>
            <w:r>
              <w:rPr>
                <w:bCs/>
              </w:rPr>
              <w:t>actioning</w:t>
            </w:r>
            <w:r w:rsidRPr="002227F1">
              <w:rPr>
                <w:bCs/>
              </w:rPr>
              <w:t xml:space="preserve"> of incomplete data records</w:t>
            </w:r>
          </w:p>
        </w:tc>
        <w:tc>
          <w:tcPr>
            <w:tcW w:w="5133" w:type="dxa"/>
          </w:tcPr>
          <w:p w14:paraId="70FADCA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ensure that incomplete or inaccurate data identified through data completeness checks are </w:t>
            </w:r>
            <w:r>
              <w:rPr>
                <w:bCs/>
              </w:rPr>
              <w:t xml:space="preserve">actioned </w:t>
            </w:r>
            <w:r w:rsidRPr="002227F1">
              <w:rPr>
                <w:bCs/>
              </w:rPr>
              <w:t>as soon as possible</w:t>
            </w:r>
            <w:r>
              <w:rPr>
                <w:bCs/>
              </w:rPr>
              <w:t>.</w:t>
            </w:r>
          </w:p>
        </w:tc>
      </w:tr>
      <w:tr w:rsidR="00C442F7" w:rsidRPr="002227F1" w14:paraId="5CD89394"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8545443" w14:textId="77777777" w:rsidR="00C442F7" w:rsidRPr="002227F1" w:rsidRDefault="00C442F7" w:rsidP="00C442F7">
            <w:pPr>
              <w:rPr>
                <w:bCs/>
              </w:rPr>
            </w:pPr>
            <w:r w:rsidRPr="000A5025">
              <w:t>B15</w:t>
            </w:r>
          </w:p>
        </w:tc>
        <w:tc>
          <w:tcPr>
            <w:tcW w:w="3180" w:type="dxa"/>
          </w:tcPr>
          <w:p w14:paraId="36317C5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Collect </w:t>
            </w:r>
            <w:r>
              <w:rPr>
                <w:bCs/>
              </w:rPr>
              <w:t>covariates</w:t>
            </w:r>
            <w:r w:rsidRPr="002227F1">
              <w:rPr>
                <w:bCs/>
              </w:rPr>
              <w:t xml:space="preserve"> for risk adjustment</w:t>
            </w:r>
          </w:p>
        </w:tc>
        <w:tc>
          <w:tcPr>
            <w:tcW w:w="5133" w:type="dxa"/>
          </w:tcPr>
          <w:p w14:paraId="237BBB9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collect objective, reliable </w:t>
            </w:r>
            <w:r>
              <w:rPr>
                <w:bCs/>
              </w:rPr>
              <w:t>covariates</w:t>
            </w:r>
            <w:r w:rsidRPr="002227F1">
              <w:rPr>
                <w:bCs/>
              </w:rPr>
              <w:t xml:space="preserve"> for risk adjustment to be considered by the use of appropriate statistical adjustments</w:t>
            </w:r>
            <w:r>
              <w:rPr>
                <w:bCs/>
              </w:rPr>
              <w:t>.</w:t>
            </w:r>
          </w:p>
        </w:tc>
      </w:tr>
      <w:tr w:rsidR="00C442F7" w:rsidRPr="002227F1" w14:paraId="37FF7E4A"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7BA27B0A" w14:textId="77777777" w:rsidR="00C442F7" w:rsidRPr="002227F1" w:rsidRDefault="00C442F7" w:rsidP="00C442F7">
            <w:pPr>
              <w:rPr>
                <w:bCs/>
              </w:rPr>
            </w:pPr>
            <w:r w:rsidRPr="000A5025">
              <w:t>B16</w:t>
            </w:r>
          </w:p>
        </w:tc>
        <w:tc>
          <w:tcPr>
            <w:tcW w:w="3180" w:type="dxa"/>
          </w:tcPr>
          <w:p w14:paraId="23572C8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876BA2">
              <w:t xml:space="preserve">Timely </w:t>
            </w:r>
            <w:r>
              <w:t xml:space="preserve">reports that include </w:t>
            </w:r>
            <w:r w:rsidRPr="00876BA2">
              <w:t>risk adjusted analys</w:t>
            </w:r>
            <w:r>
              <w:t>es</w:t>
            </w:r>
          </w:p>
        </w:tc>
        <w:tc>
          <w:tcPr>
            <w:tcW w:w="5133" w:type="dxa"/>
          </w:tcPr>
          <w:p w14:paraId="62537D6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report to </w:t>
            </w:r>
            <w:r>
              <w:rPr>
                <w:bCs/>
              </w:rPr>
              <w:t xml:space="preserve">healthcare staff, organisations and jurisdictions </w:t>
            </w:r>
            <w:r w:rsidRPr="002227F1">
              <w:rPr>
                <w:bCs/>
              </w:rPr>
              <w:t>in a timely manner on risk</w:t>
            </w:r>
            <w:r>
              <w:rPr>
                <w:bCs/>
              </w:rPr>
              <w:t>-</w:t>
            </w:r>
            <w:r w:rsidRPr="002227F1">
              <w:rPr>
                <w:bCs/>
              </w:rPr>
              <w:t>adjusted outcome analysis</w:t>
            </w:r>
            <w:r>
              <w:rPr>
                <w:bCs/>
              </w:rPr>
              <w:t>.</w:t>
            </w:r>
          </w:p>
        </w:tc>
      </w:tr>
      <w:tr w:rsidR="00C442F7" w:rsidRPr="002227F1" w14:paraId="6B0F365B"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F9C9F7E" w14:textId="77777777" w:rsidR="00C442F7" w:rsidRPr="002227F1" w:rsidRDefault="00C442F7" w:rsidP="00C442F7">
            <w:pPr>
              <w:rPr>
                <w:bCs/>
              </w:rPr>
            </w:pPr>
            <w:r w:rsidRPr="000A5025">
              <w:t>B17</w:t>
            </w:r>
          </w:p>
        </w:tc>
        <w:tc>
          <w:tcPr>
            <w:tcW w:w="3180" w:type="dxa"/>
          </w:tcPr>
          <w:p w14:paraId="169F90F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Determining client outcomes</w:t>
            </w:r>
          </w:p>
        </w:tc>
        <w:tc>
          <w:tcPr>
            <w:tcW w:w="5133" w:type="dxa"/>
          </w:tcPr>
          <w:p w14:paraId="02895F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Client outcomes shall be determined at a time when the</w:t>
            </w:r>
            <w:r>
              <w:rPr>
                <w:bCs/>
              </w:rPr>
              <w:t>ir</w:t>
            </w:r>
            <w:r w:rsidRPr="002227F1">
              <w:rPr>
                <w:bCs/>
              </w:rPr>
              <w:t xml:space="preserve"> clinical condition has stabilised and the outcome can be reasonabl</w:t>
            </w:r>
            <w:r>
              <w:rPr>
                <w:bCs/>
              </w:rPr>
              <w:t>y</w:t>
            </w:r>
            <w:r w:rsidRPr="002227F1">
              <w:rPr>
                <w:bCs/>
              </w:rPr>
              <w:t xml:space="preserve"> ascertained</w:t>
            </w:r>
            <w:r>
              <w:rPr>
                <w:bCs/>
              </w:rPr>
              <w:t>.</w:t>
            </w:r>
          </w:p>
        </w:tc>
      </w:tr>
      <w:tr w:rsidR="00C442F7" w:rsidRPr="002227F1" w14:paraId="6523D7DA"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1A51E59" w14:textId="77777777" w:rsidR="00C442F7" w:rsidRPr="002227F1" w:rsidRDefault="00C442F7" w:rsidP="00C442F7">
            <w:pPr>
              <w:rPr>
                <w:bCs/>
              </w:rPr>
            </w:pPr>
            <w:r w:rsidRPr="000A5025">
              <w:t>B18</w:t>
            </w:r>
          </w:p>
        </w:tc>
        <w:tc>
          <w:tcPr>
            <w:tcW w:w="3180" w:type="dxa"/>
          </w:tcPr>
          <w:p w14:paraId="768A0C4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Capacity to link or integrate with other registries</w:t>
            </w:r>
          </w:p>
        </w:tc>
        <w:tc>
          <w:tcPr>
            <w:tcW w:w="5133" w:type="dxa"/>
          </w:tcPr>
          <w:p w14:paraId="2905F8B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the capacity to support linkage with other datasets</w:t>
            </w:r>
            <w:r>
              <w:rPr>
                <w:bCs/>
              </w:rPr>
              <w:t>.</w:t>
            </w:r>
          </w:p>
        </w:tc>
      </w:tr>
      <w:tr w:rsidR="00C442F7" w:rsidRPr="002227F1" w14:paraId="0F7BDE28"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B1CAFB2" w14:textId="77777777" w:rsidR="00C442F7" w:rsidRPr="002227F1" w:rsidRDefault="00C442F7" w:rsidP="00C442F7">
            <w:pPr>
              <w:rPr>
                <w:bCs/>
              </w:rPr>
            </w:pPr>
            <w:r w:rsidRPr="000A5025">
              <w:t>B19</w:t>
            </w:r>
          </w:p>
        </w:tc>
        <w:tc>
          <w:tcPr>
            <w:tcW w:w="3180" w:type="dxa"/>
          </w:tcPr>
          <w:p w14:paraId="068D0FE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Manage data in accordance with legislation and standards</w:t>
            </w:r>
          </w:p>
        </w:tc>
        <w:tc>
          <w:tcPr>
            <w:tcW w:w="5133" w:type="dxa"/>
          </w:tcPr>
          <w:p w14:paraId="6CA84C1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collect, store and transmit data in accordance with relevant legislation, regulation, standards and guidelines</w:t>
            </w:r>
            <w:r>
              <w:rPr>
                <w:bCs/>
              </w:rPr>
              <w:t>.</w:t>
            </w:r>
          </w:p>
        </w:tc>
      </w:tr>
      <w:tr w:rsidR="00C442F7" w:rsidRPr="002227F1" w14:paraId="79449259"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1E06693E" w14:textId="77777777" w:rsidR="00C442F7" w:rsidRPr="002227F1" w:rsidRDefault="00C442F7" w:rsidP="00C442F7">
            <w:pPr>
              <w:rPr>
                <w:bCs/>
              </w:rPr>
            </w:pPr>
            <w:r w:rsidRPr="000A5025">
              <w:t>B20</w:t>
            </w:r>
          </w:p>
        </w:tc>
        <w:tc>
          <w:tcPr>
            <w:tcW w:w="3180" w:type="dxa"/>
          </w:tcPr>
          <w:p w14:paraId="770038A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Provision of identifiable information</w:t>
            </w:r>
          </w:p>
        </w:tc>
        <w:tc>
          <w:tcPr>
            <w:tcW w:w="5133" w:type="dxa"/>
          </w:tcPr>
          <w:p w14:paraId="5E8A434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only provide identifiable information to external parties if consent has been obtained or if legislative or ethics approval allows for the provision of identifiable information</w:t>
            </w:r>
            <w:r>
              <w:rPr>
                <w:bCs/>
              </w:rPr>
              <w:t>.</w:t>
            </w:r>
          </w:p>
        </w:tc>
      </w:tr>
      <w:tr w:rsidR="00C442F7" w:rsidRPr="002227F1" w14:paraId="0F543742"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6AF5512" w14:textId="77777777" w:rsidR="00C442F7" w:rsidRPr="002227F1" w:rsidRDefault="00C442F7" w:rsidP="00C442F7">
            <w:pPr>
              <w:rPr>
                <w:bCs/>
              </w:rPr>
            </w:pPr>
            <w:r w:rsidRPr="000A5025">
              <w:t>B21</w:t>
            </w:r>
          </w:p>
        </w:tc>
        <w:tc>
          <w:tcPr>
            <w:tcW w:w="3180" w:type="dxa"/>
          </w:tcPr>
          <w:p w14:paraId="1F5F6D3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Availability of policies</w:t>
            </w:r>
          </w:p>
        </w:tc>
        <w:tc>
          <w:tcPr>
            <w:tcW w:w="5133" w:type="dxa"/>
          </w:tcPr>
          <w:p w14:paraId="2AEE342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CQRs shall make data access and reporting policies available to registry users.</w:t>
            </w:r>
          </w:p>
        </w:tc>
      </w:tr>
      <w:tr w:rsidR="00C442F7" w:rsidRPr="002227F1" w14:paraId="6E3F0668"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CD88617" w14:textId="77777777" w:rsidR="00C442F7" w:rsidRPr="002227F1" w:rsidRDefault="00C442F7" w:rsidP="00C442F7">
            <w:pPr>
              <w:rPr>
                <w:bCs/>
              </w:rPr>
            </w:pPr>
            <w:r w:rsidRPr="000A5025">
              <w:t>B22</w:t>
            </w:r>
          </w:p>
        </w:tc>
        <w:tc>
          <w:tcPr>
            <w:tcW w:w="3180" w:type="dxa"/>
          </w:tcPr>
          <w:p w14:paraId="099CF32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Public information about </w:t>
            </w:r>
            <w:r>
              <w:rPr>
                <w:bCs/>
              </w:rPr>
              <w:t>CQR</w:t>
            </w:r>
            <w:r w:rsidRPr="002227F1">
              <w:rPr>
                <w:bCs/>
              </w:rPr>
              <w:t xml:space="preserve"> purpose</w:t>
            </w:r>
          </w:p>
        </w:tc>
        <w:tc>
          <w:tcPr>
            <w:tcW w:w="5133" w:type="dxa"/>
          </w:tcPr>
          <w:p w14:paraId="6528EDF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make access to information about the </w:t>
            </w:r>
            <w:r>
              <w:rPr>
                <w:bCs/>
              </w:rPr>
              <w:t xml:space="preserve">quality improvement </w:t>
            </w:r>
            <w:r w:rsidRPr="002227F1">
              <w:rPr>
                <w:bCs/>
              </w:rPr>
              <w:t>benefits or value of each registry readily available to the public</w:t>
            </w:r>
            <w:r>
              <w:rPr>
                <w:bCs/>
              </w:rPr>
              <w:t>.</w:t>
            </w:r>
          </w:p>
        </w:tc>
      </w:tr>
      <w:tr w:rsidR="00C442F7" w:rsidRPr="002227F1" w14:paraId="49CB9F9D"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02E5BB85" w14:textId="77777777" w:rsidR="00C442F7" w:rsidRPr="002227F1" w:rsidRDefault="00C442F7" w:rsidP="00C442F7">
            <w:pPr>
              <w:rPr>
                <w:bCs/>
              </w:rPr>
            </w:pPr>
            <w:r w:rsidRPr="000A5025">
              <w:t>B23</w:t>
            </w:r>
          </w:p>
        </w:tc>
        <w:tc>
          <w:tcPr>
            <w:tcW w:w="3180" w:type="dxa"/>
          </w:tcPr>
          <w:p w14:paraId="42579AD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Avoid redundant data capture</w:t>
            </w:r>
          </w:p>
        </w:tc>
        <w:tc>
          <w:tcPr>
            <w:tcW w:w="5133" w:type="dxa"/>
          </w:tcPr>
          <w:p w14:paraId="35DBBC1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only record individual data elements once to avoid redundant data capture and entry</w:t>
            </w:r>
            <w:r>
              <w:rPr>
                <w:bCs/>
              </w:rPr>
              <w:t>.</w:t>
            </w:r>
          </w:p>
        </w:tc>
      </w:tr>
      <w:tr w:rsidR="00C442F7" w:rsidRPr="002227F1" w14:paraId="293AF70D"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3B71B09" w14:textId="77777777" w:rsidR="00C442F7" w:rsidRPr="002227F1" w:rsidRDefault="00C442F7" w:rsidP="00C442F7">
            <w:pPr>
              <w:rPr>
                <w:bCs/>
              </w:rPr>
            </w:pPr>
            <w:r w:rsidRPr="000A5025">
              <w:t>B24</w:t>
            </w:r>
          </w:p>
        </w:tc>
        <w:tc>
          <w:tcPr>
            <w:tcW w:w="3180" w:type="dxa"/>
          </w:tcPr>
          <w:p w14:paraId="4294E9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Trained data collectors</w:t>
            </w:r>
          </w:p>
        </w:tc>
        <w:tc>
          <w:tcPr>
            <w:tcW w:w="5133" w:type="dxa"/>
          </w:tcPr>
          <w:p w14:paraId="65C748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appropriate</w:t>
            </w:r>
            <w:r>
              <w:rPr>
                <w:bCs/>
              </w:rPr>
              <w:t>ly</w:t>
            </w:r>
            <w:r w:rsidRPr="002227F1">
              <w:rPr>
                <w:bCs/>
              </w:rPr>
              <w:t xml:space="preserve"> trained data collectors to capture data</w:t>
            </w:r>
            <w:r>
              <w:rPr>
                <w:bCs/>
              </w:rPr>
              <w:t>. This shall include training materials which are available to registry users.</w:t>
            </w:r>
          </w:p>
        </w:tc>
      </w:tr>
      <w:tr w:rsidR="00C442F7" w:rsidRPr="002227F1" w14:paraId="02CE89DC"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6247308" w14:textId="77777777" w:rsidR="00C442F7" w:rsidRPr="002227F1" w:rsidRDefault="00C442F7" w:rsidP="00C442F7">
            <w:pPr>
              <w:rPr>
                <w:bCs/>
              </w:rPr>
            </w:pPr>
            <w:r w:rsidRPr="000A5025">
              <w:t>B25</w:t>
            </w:r>
          </w:p>
        </w:tc>
        <w:tc>
          <w:tcPr>
            <w:tcW w:w="3180" w:type="dxa"/>
          </w:tcPr>
          <w:p w14:paraId="4F5DD46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existing data</w:t>
            </w:r>
          </w:p>
        </w:tc>
        <w:tc>
          <w:tcPr>
            <w:tcW w:w="5133" w:type="dxa"/>
          </w:tcPr>
          <w:p w14:paraId="5DAAF6E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use data from existing sources (including administrative data) where they </w:t>
            </w:r>
            <w:r>
              <w:rPr>
                <w:bCs/>
              </w:rPr>
              <w:t>meet the data requirements.</w:t>
            </w:r>
          </w:p>
        </w:tc>
      </w:tr>
      <w:tr w:rsidR="00C442F7" w:rsidRPr="002227F1" w14:paraId="35701F96"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88B6828" w14:textId="77777777" w:rsidR="00C442F7" w:rsidRPr="002227F1" w:rsidRDefault="00C442F7" w:rsidP="00C442F7">
            <w:pPr>
              <w:rPr>
                <w:bCs/>
              </w:rPr>
            </w:pPr>
            <w:r w:rsidRPr="000A5025">
              <w:t>B26</w:t>
            </w:r>
          </w:p>
        </w:tc>
        <w:tc>
          <w:tcPr>
            <w:tcW w:w="3180" w:type="dxa"/>
          </w:tcPr>
          <w:p w14:paraId="272798F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Adequate sample sizes for data accuracy checks</w:t>
            </w:r>
          </w:p>
        </w:tc>
        <w:tc>
          <w:tcPr>
            <w:tcW w:w="5133" w:type="dxa"/>
          </w:tcPr>
          <w:p w14:paraId="3523B1F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ensure that the sample size used for data accuracy checks is sufficient to provide </w:t>
            </w:r>
            <w:r w:rsidRPr="002227F1">
              <w:rPr>
                <w:bCs/>
              </w:rPr>
              <w:lastRenderedPageBreak/>
              <w:t>reliable measures of data completeness and accuracy</w:t>
            </w:r>
            <w:r>
              <w:rPr>
                <w:bCs/>
              </w:rPr>
              <w:t>.</w:t>
            </w:r>
          </w:p>
        </w:tc>
      </w:tr>
      <w:tr w:rsidR="00C442F7" w:rsidRPr="002227F1" w14:paraId="6FF5CE82"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9788DD1" w14:textId="77777777" w:rsidR="00C442F7" w:rsidRPr="002227F1" w:rsidRDefault="00C442F7" w:rsidP="00C442F7">
            <w:pPr>
              <w:rPr>
                <w:bCs/>
              </w:rPr>
            </w:pPr>
            <w:r w:rsidRPr="000A5025">
              <w:lastRenderedPageBreak/>
              <w:t>B27</w:t>
            </w:r>
          </w:p>
        </w:tc>
        <w:tc>
          <w:tcPr>
            <w:tcW w:w="3180" w:type="dxa"/>
          </w:tcPr>
          <w:p w14:paraId="10E559F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Specific case definition</w:t>
            </w:r>
          </w:p>
        </w:tc>
        <w:tc>
          <w:tcPr>
            <w:tcW w:w="5133" w:type="dxa"/>
          </w:tcPr>
          <w:p w14:paraId="49B9977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collect information related to a specific case definition</w:t>
            </w:r>
            <w:r>
              <w:rPr>
                <w:bCs/>
              </w:rPr>
              <w:t>.</w:t>
            </w:r>
          </w:p>
        </w:tc>
      </w:tr>
      <w:tr w:rsidR="00C442F7" w:rsidRPr="002227F1" w14:paraId="02410926"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400363B" w14:textId="77777777" w:rsidR="00C442F7" w:rsidRPr="002227F1" w:rsidRDefault="00C442F7" w:rsidP="00C442F7">
            <w:pPr>
              <w:rPr>
                <w:bCs/>
              </w:rPr>
            </w:pPr>
            <w:r w:rsidRPr="000A5025">
              <w:t>B28</w:t>
            </w:r>
          </w:p>
        </w:tc>
        <w:tc>
          <w:tcPr>
            <w:tcW w:w="3180" w:type="dxa"/>
          </w:tcPr>
          <w:p w14:paraId="572D499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Considerations in determining time to outcome assessment</w:t>
            </w:r>
          </w:p>
        </w:tc>
        <w:tc>
          <w:tcPr>
            <w:tcW w:w="5133" w:type="dxa"/>
          </w:tcPr>
          <w:p w14:paraId="7F6C8B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 xml:space="preserve">cost and </w:t>
            </w:r>
            <w:r w:rsidRPr="002227F1">
              <w:rPr>
                <w:bCs/>
              </w:rPr>
              <w:t>consider the burden and cost of data collection together with the likelihood of loss to follow-up in determining the time to outcome assessment</w:t>
            </w:r>
            <w:r>
              <w:rPr>
                <w:bCs/>
              </w:rPr>
              <w:t>. The summary of the costing analysis shall consider additional data collection, processing and time required by healthcare staff. This shall be balanced against the improvements to the quality of care which can be delivered.</w:t>
            </w:r>
          </w:p>
        </w:tc>
      </w:tr>
      <w:tr w:rsidR="00C442F7" w:rsidRPr="002227F1" w14:paraId="739C62D7"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1408A8A3" w14:textId="77777777" w:rsidR="00C442F7" w:rsidRPr="002227F1" w:rsidRDefault="00C442F7" w:rsidP="00C442F7">
            <w:pPr>
              <w:rPr>
                <w:bCs/>
              </w:rPr>
            </w:pPr>
            <w:r w:rsidRPr="000A5025">
              <w:t>B29</w:t>
            </w:r>
          </w:p>
        </w:tc>
        <w:tc>
          <w:tcPr>
            <w:tcW w:w="3180" w:type="dxa"/>
          </w:tcPr>
          <w:p w14:paraId="2B3A20A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Produce longitudinal patient outcome information through data linkage</w:t>
            </w:r>
          </w:p>
        </w:tc>
        <w:tc>
          <w:tcPr>
            <w:tcW w:w="5133" w:type="dxa"/>
          </w:tcPr>
          <w:p w14:paraId="700464D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generate detailed longitudinal information about patient outcomes through the use of data linkage in order to monitor the effect of healthcare</w:t>
            </w:r>
            <w:r>
              <w:rPr>
                <w:bCs/>
              </w:rPr>
              <w:t>.</w:t>
            </w:r>
          </w:p>
        </w:tc>
      </w:tr>
      <w:tr w:rsidR="00C442F7" w:rsidRPr="002227F1" w14:paraId="280E7760"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188C5DE" w14:textId="77777777" w:rsidR="00C442F7" w:rsidRPr="002227F1" w:rsidRDefault="00C442F7" w:rsidP="00C442F7">
            <w:pPr>
              <w:rPr>
                <w:bCs/>
              </w:rPr>
            </w:pPr>
            <w:r w:rsidRPr="000A5025">
              <w:t>B30</w:t>
            </w:r>
          </w:p>
        </w:tc>
        <w:tc>
          <w:tcPr>
            <w:tcW w:w="3180" w:type="dxa"/>
          </w:tcPr>
          <w:p w14:paraId="071BC7E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bookmarkStart w:id="697" w:name="_Hlk89695159"/>
            <w:r w:rsidRPr="002227F1">
              <w:rPr>
                <w:bCs/>
              </w:rPr>
              <w:t>Manage registry lifecycle</w:t>
            </w:r>
          </w:p>
        </w:tc>
        <w:tc>
          <w:tcPr>
            <w:tcW w:w="5133" w:type="dxa"/>
          </w:tcPr>
          <w:p w14:paraId="4FD135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in place processes that periodically consider the value that the registry is providing, plan for continuous improvement, and manage the controlled decommissioning of the registry and appropriate treatment of registry data when the registry is no longer used.</w:t>
            </w:r>
            <w:r>
              <w:rPr>
                <w:bCs/>
              </w:rPr>
              <w:t xml:space="preserve"> These reports shall be available to all stakeholders.</w:t>
            </w:r>
          </w:p>
        </w:tc>
      </w:tr>
      <w:tr w:rsidR="00C442F7" w:rsidRPr="002227F1" w14:paraId="607A6DCE"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4E067325" w14:textId="77777777" w:rsidR="00C442F7" w:rsidRPr="002227F1" w:rsidRDefault="00C442F7" w:rsidP="00C442F7">
            <w:pPr>
              <w:rPr>
                <w:bCs/>
              </w:rPr>
            </w:pPr>
            <w:r w:rsidRPr="000A5025">
              <w:t>B31</w:t>
            </w:r>
          </w:p>
        </w:tc>
        <w:tc>
          <w:tcPr>
            <w:tcW w:w="3180" w:type="dxa"/>
          </w:tcPr>
          <w:p w14:paraId="687C210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Develop and manage registry roadmap</w:t>
            </w:r>
          </w:p>
        </w:tc>
        <w:tc>
          <w:tcPr>
            <w:tcW w:w="5133" w:type="dxa"/>
          </w:tcPr>
          <w:p w14:paraId="7D0C6B3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develop roadmaps that communicate the plan to develop the maturity of the registry. The roadmap </w:t>
            </w:r>
            <w:r>
              <w:rPr>
                <w:bCs/>
              </w:rPr>
              <w:t>shall</w:t>
            </w:r>
            <w:r w:rsidRPr="002227F1">
              <w:rPr>
                <w:bCs/>
              </w:rPr>
              <w:t xml:space="preserve"> outline the key activities, time</w:t>
            </w:r>
            <w:r>
              <w:rPr>
                <w:bCs/>
              </w:rPr>
              <w:t xml:space="preserve"> </w:t>
            </w:r>
            <w:r w:rsidRPr="002227F1">
              <w:rPr>
                <w:bCs/>
              </w:rPr>
              <w:t>line, risks and roles responsible for executing the plan.</w:t>
            </w:r>
          </w:p>
        </w:tc>
      </w:tr>
      <w:tr w:rsidR="00C442F7" w:rsidRPr="002227F1" w14:paraId="0A799464"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3D35AAA" w14:textId="77777777" w:rsidR="00C442F7" w:rsidRPr="002227F1" w:rsidRDefault="00C442F7" w:rsidP="00C442F7">
            <w:pPr>
              <w:rPr>
                <w:bCs/>
              </w:rPr>
            </w:pPr>
            <w:r w:rsidRPr="000A5025">
              <w:t>B32</w:t>
            </w:r>
          </w:p>
        </w:tc>
        <w:tc>
          <w:tcPr>
            <w:tcW w:w="3180" w:type="dxa"/>
          </w:tcPr>
          <w:p w14:paraId="6E4A1BF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AC3EAA">
              <w:rPr>
                <w:bCs/>
              </w:rPr>
              <w:t>Assess registry against the Framework</w:t>
            </w:r>
          </w:p>
        </w:tc>
        <w:tc>
          <w:tcPr>
            <w:tcW w:w="5133" w:type="dxa"/>
          </w:tcPr>
          <w:p w14:paraId="2C21099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perform a self-assessment to determine where improvements are required. (These improvements will be represented on the registry roadmap.)</w:t>
            </w:r>
          </w:p>
        </w:tc>
      </w:tr>
      <w:tr w:rsidR="00C442F7" w:rsidRPr="002227F1" w14:paraId="31F709AF"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753E6C15" w14:textId="77777777" w:rsidR="00C442F7" w:rsidRPr="002227F1" w:rsidRDefault="00C442F7" w:rsidP="00C442F7">
            <w:pPr>
              <w:rPr>
                <w:bCs/>
              </w:rPr>
            </w:pPr>
            <w:r w:rsidRPr="000A5025">
              <w:t>B33</w:t>
            </w:r>
          </w:p>
        </w:tc>
        <w:tc>
          <w:tcPr>
            <w:tcW w:w="3180" w:type="dxa"/>
          </w:tcPr>
          <w:p w14:paraId="76C564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Advise originating organisations of data errors</w:t>
            </w:r>
          </w:p>
        </w:tc>
        <w:tc>
          <w:tcPr>
            <w:tcW w:w="5133" w:type="dxa"/>
          </w:tcPr>
          <w:p w14:paraId="0DB9F4F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advise participating organisations of data errors or omissions to provide those organisations with the opportunity to correct the data at source.</w:t>
            </w:r>
          </w:p>
        </w:tc>
      </w:tr>
      <w:tr w:rsidR="00C442F7" w:rsidRPr="002227F1" w14:paraId="3E87A65F"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6D3B5EA1" w14:textId="77777777" w:rsidR="00C442F7" w:rsidRPr="002227F1" w:rsidRDefault="00C442F7" w:rsidP="00C442F7">
            <w:pPr>
              <w:rPr>
                <w:bCs/>
              </w:rPr>
            </w:pPr>
            <w:r w:rsidRPr="000A5025">
              <w:t>B34</w:t>
            </w:r>
          </w:p>
        </w:tc>
        <w:tc>
          <w:tcPr>
            <w:tcW w:w="3180" w:type="dxa"/>
          </w:tcPr>
          <w:p w14:paraId="19AA417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Develop, document and maintain processes and procedures</w:t>
            </w:r>
          </w:p>
        </w:tc>
        <w:tc>
          <w:tcPr>
            <w:tcW w:w="5133" w:type="dxa"/>
          </w:tcPr>
          <w:p w14:paraId="339D8F1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CQRs shall d</w:t>
            </w:r>
            <w:r w:rsidRPr="002227F1">
              <w:rPr>
                <w:bCs/>
              </w:rPr>
              <w:t>evelop, document and maintain processes and procedures for data governance collection, lodgement, storage and management.</w:t>
            </w:r>
          </w:p>
        </w:tc>
      </w:tr>
      <w:tr w:rsidR="00C442F7" w:rsidRPr="002227F1" w14:paraId="6D92779F"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750660C0" w14:textId="77777777" w:rsidR="00C442F7" w:rsidRPr="002227F1" w:rsidRDefault="00C442F7" w:rsidP="00C442F7">
            <w:pPr>
              <w:rPr>
                <w:bCs/>
              </w:rPr>
            </w:pPr>
            <w:r w:rsidRPr="000A5025">
              <w:t>B35</w:t>
            </w:r>
          </w:p>
        </w:tc>
        <w:tc>
          <w:tcPr>
            <w:tcW w:w="3180" w:type="dxa"/>
          </w:tcPr>
          <w:p w14:paraId="10BAA89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Transparency to data extract logic</w:t>
            </w:r>
          </w:p>
        </w:tc>
        <w:tc>
          <w:tcPr>
            <w:tcW w:w="5133" w:type="dxa"/>
          </w:tcPr>
          <w:p w14:paraId="63E1EEC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Where business rules or other advanced data query techniques are used to identify eligible participants, the CQR must make those rules and techniques </w:t>
            </w:r>
            <w:r>
              <w:rPr>
                <w:bCs/>
              </w:rPr>
              <w:t>a</w:t>
            </w:r>
            <w:r w:rsidRPr="002227F1">
              <w:rPr>
                <w:bCs/>
              </w:rPr>
              <w:t>vailable for review</w:t>
            </w:r>
            <w:r>
              <w:rPr>
                <w:bCs/>
              </w:rPr>
              <w:t xml:space="preserve"> on request</w:t>
            </w:r>
            <w:r w:rsidRPr="002227F1">
              <w:rPr>
                <w:bCs/>
              </w:rPr>
              <w:t>.</w:t>
            </w:r>
          </w:p>
        </w:tc>
      </w:tr>
      <w:tr w:rsidR="00C442F7" w:rsidRPr="002227F1" w14:paraId="5EC42C5E"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7041077" w14:textId="77777777" w:rsidR="00C442F7" w:rsidRPr="002227F1" w:rsidRDefault="00C442F7" w:rsidP="00C442F7">
            <w:pPr>
              <w:rPr>
                <w:bCs/>
              </w:rPr>
            </w:pPr>
            <w:r w:rsidRPr="000A5025">
              <w:t>B36</w:t>
            </w:r>
          </w:p>
        </w:tc>
        <w:tc>
          <w:tcPr>
            <w:tcW w:w="3180" w:type="dxa"/>
          </w:tcPr>
          <w:p w14:paraId="61F868E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Maintain compliance register</w:t>
            </w:r>
          </w:p>
        </w:tc>
        <w:tc>
          <w:tcPr>
            <w:tcW w:w="5133" w:type="dxa"/>
          </w:tcPr>
          <w:p w14:paraId="11DCCD7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AC3EAA">
              <w:rPr>
                <w:bCs/>
              </w:rPr>
              <w:t xml:space="preserve">The CQR shall maintain </w:t>
            </w:r>
            <w:r w:rsidRPr="002227F1">
              <w:rPr>
                <w:bCs/>
              </w:rPr>
              <w:t xml:space="preserve">well-designed legislative compliance processes and incorporate a </w:t>
            </w:r>
            <w:r w:rsidRPr="002227F1">
              <w:rPr>
                <w:bCs/>
              </w:rPr>
              <w:lastRenderedPageBreak/>
              <w:t>compliance register to ensure that the organisation’s policies are regularly updated, and able to respond to regulatory changes and compliance issues.</w:t>
            </w:r>
          </w:p>
        </w:tc>
      </w:tr>
      <w:tr w:rsidR="00C442F7" w:rsidRPr="002227F1" w14:paraId="30B1E349"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26E70AEF" w14:textId="77777777" w:rsidR="00C442F7" w:rsidRPr="000A5025" w:rsidRDefault="00C442F7" w:rsidP="00C442F7">
            <w:r>
              <w:lastRenderedPageBreak/>
              <w:t>B36</w:t>
            </w:r>
          </w:p>
        </w:tc>
        <w:tc>
          <w:tcPr>
            <w:tcW w:w="3180" w:type="dxa"/>
          </w:tcPr>
          <w:p w14:paraId="089B452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Reporting</w:t>
            </w:r>
          </w:p>
        </w:tc>
        <w:tc>
          <w:tcPr>
            <w:tcW w:w="5133" w:type="dxa"/>
          </w:tcPr>
          <w:p w14:paraId="47B974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Generate benchmark reports on the appropriateness and effectiveness of health care.</w:t>
            </w:r>
          </w:p>
        </w:tc>
      </w:tr>
      <w:tr w:rsidR="00C442F7" w:rsidRPr="002227F1" w14:paraId="697E9566"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336936A5" w14:textId="77777777" w:rsidR="00C442F7" w:rsidRPr="0000511C" w:rsidRDefault="00C442F7" w:rsidP="00C442F7">
            <w:r w:rsidRPr="0000511C">
              <w:t>B38</w:t>
            </w:r>
          </w:p>
        </w:tc>
        <w:tc>
          <w:tcPr>
            <w:tcW w:w="3180" w:type="dxa"/>
          </w:tcPr>
          <w:p w14:paraId="66622A96"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pPr>
            <w:r w:rsidRPr="00B85398">
              <w:t>Sharing reports</w:t>
            </w:r>
          </w:p>
        </w:tc>
        <w:tc>
          <w:tcPr>
            <w:tcW w:w="5133" w:type="dxa"/>
          </w:tcPr>
          <w:p w14:paraId="5F08A3BE"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rPr>
                <w:color w:val="000000"/>
              </w:rPr>
            </w:pPr>
            <w:r w:rsidRPr="00B85398">
              <w:rPr>
                <w:color w:val="000000"/>
              </w:rPr>
              <w:t xml:space="preserve">CQRs </w:t>
            </w:r>
            <w:r>
              <w:rPr>
                <w:color w:val="000000"/>
              </w:rPr>
              <w:t>shall</w:t>
            </w:r>
            <w:r w:rsidRPr="00B85398">
              <w:rPr>
                <w:color w:val="000000"/>
              </w:rPr>
              <w:t xml:space="preserve"> share reports with participating healthcare teams, hospitals, hospital groups and participating jurisdictions.</w:t>
            </w:r>
          </w:p>
        </w:tc>
      </w:tr>
      <w:tr w:rsidR="00C442F7" w:rsidRPr="002227F1" w14:paraId="08FC55F4"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3836610B" w14:textId="77777777" w:rsidR="00C442F7" w:rsidRPr="0000511C" w:rsidRDefault="00C442F7" w:rsidP="00C442F7">
            <w:r w:rsidRPr="0000511C">
              <w:t>B39</w:t>
            </w:r>
          </w:p>
        </w:tc>
        <w:tc>
          <w:tcPr>
            <w:tcW w:w="3180" w:type="dxa"/>
          </w:tcPr>
          <w:p w14:paraId="1935A78F"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pPr>
            <w:r w:rsidRPr="00B85398">
              <w:t>Public reporting</w:t>
            </w:r>
          </w:p>
        </w:tc>
        <w:tc>
          <w:tcPr>
            <w:tcW w:w="5133" w:type="dxa"/>
          </w:tcPr>
          <w:p w14:paraId="3A69D425"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rPr>
                <w:color w:val="000000"/>
              </w:rPr>
            </w:pPr>
            <w:r w:rsidRPr="00B85398">
              <w:rPr>
                <w:color w:val="000000"/>
              </w:rPr>
              <w:t xml:space="preserve">CQRs </w:t>
            </w:r>
            <w:r>
              <w:rPr>
                <w:color w:val="000000"/>
              </w:rPr>
              <w:t>shall</w:t>
            </w:r>
            <w:r w:rsidRPr="00B85398">
              <w:rPr>
                <w:color w:val="000000"/>
              </w:rPr>
              <w:t>, at a minimum, publish an annual report within 12 months of the reporting year end</w:t>
            </w:r>
            <w:r>
              <w:rPr>
                <w:color w:val="000000"/>
              </w:rPr>
              <w:t xml:space="preserve">. </w:t>
            </w:r>
            <w:r w:rsidRPr="00AC3EAA">
              <w:t xml:space="preserve">The </w:t>
            </w:r>
            <w:r w:rsidRPr="00B85398">
              <w:rPr>
                <w:color w:val="000000"/>
              </w:rPr>
              <w:t xml:space="preserve">annual report </w:t>
            </w:r>
            <w:r>
              <w:rPr>
                <w:color w:val="000000"/>
              </w:rPr>
              <w:t>shall</w:t>
            </w:r>
            <w:r w:rsidRPr="00B85398">
              <w:rPr>
                <w:color w:val="000000"/>
              </w:rPr>
              <w:t xml:space="preserve"> contain </w:t>
            </w:r>
            <w:r>
              <w:rPr>
                <w:color w:val="000000"/>
              </w:rPr>
              <w:t xml:space="preserve">a </w:t>
            </w:r>
            <w:r w:rsidRPr="00B85398">
              <w:rPr>
                <w:color w:val="000000"/>
              </w:rPr>
              <w:t>hospital</w:t>
            </w:r>
            <w:r>
              <w:rPr>
                <w:color w:val="000000"/>
              </w:rPr>
              <w:t>-</w:t>
            </w:r>
            <w:r w:rsidRPr="00B85398">
              <w:rPr>
                <w:color w:val="000000"/>
              </w:rPr>
              <w:t>level summary for each participating site benchmarking against national clinical care standards</w:t>
            </w:r>
            <w:r>
              <w:rPr>
                <w:color w:val="000000"/>
              </w:rPr>
              <w:t xml:space="preserve"> where available</w:t>
            </w:r>
            <w:r w:rsidRPr="00B85398">
              <w:rPr>
                <w:color w:val="000000"/>
              </w:rPr>
              <w:t xml:space="preserve"> and</w:t>
            </w:r>
            <w:r>
              <w:rPr>
                <w:color w:val="000000"/>
              </w:rPr>
              <w:t>,</w:t>
            </w:r>
            <w:r w:rsidRPr="00B85398">
              <w:rPr>
                <w:color w:val="000000"/>
              </w:rPr>
              <w:t xml:space="preserve"> optionally</w:t>
            </w:r>
            <w:r>
              <w:rPr>
                <w:color w:val="000000"/>
              </w:rPr>
              <w:t>,</w:t>
            </w:r>
            <w:r w:rsidRPr="00B85398">
              <w:rPr>
                <w:color w:val="000000"/>
              </w:rPr>
              <w:t xml:space="preserve"> CQR local indicators.</w:t>
            </w:r>
          </w:p>
        </w:tc>
      </w:tr>
      <w:tr w:rsidR="00C442F7" w:rsidRPr="002227F1" w14:paraId="63A92D47"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537A2231" w14:textId="77777777" w:rsidR="00C442F7" w:rsidRPr="0000511C" w:rsidRDefault="00C442F7" w:rsidP="00C442F7">
            <w:r w:rsidRPr="0000511C">
              <w:t>B40</w:t>
            </w:r>
          </w:p>
        </w:tc>
        <w:tc>
          <w:tcPr>
            <w:tcW w:w="3180" w:type="dxa"/>
          </w:tcPr>
          <w:p w14:paraId="0F7EA69E"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pPr>
            <w:r w:rsidRPr="00B85398">
              <w:t xml:space="preserve">Data </w:t>
            </w:r>
            <w:r>
              <w:t>m</w:t>
            </w:r>
            <w:r w:rsidRPr="00B85398">
              <w:t>odel</w:t>
            </w:r>
          </w:p>
        </w:tc>
        <w:tc>
          <w:tcPr>
            <w:tcW w:w="5133" w:type="dxa"/>
          </w:tcPr>
          <w:p w14:paraId="08CAB5B2"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rPr>
                <w:color w:val="000000"/>
              </w:rPr>
            </w:pPr>
            <w:r w:rsidRPr="00B85398">
              <w:rPr>
                <w:color w:val="000000"/>
              </w:rPr>
              <w:t>Publish the CQR data model, to demonstrate the relationship between episodes of care, assessments, treatments and other tables of data.  This will allow end users to build analytical queries more easily.</w:t>
            </w:r>
          </w:p>
        </w:tc>
      </w:tr>
      <w:tr w:rsidR="00C442F7" w:rsidRPr="002227F1" w14:paraId="520902BC" w14:textId="77777777" w:rsidTr="00C442F7">
        <w:tc>
          <w:tcPr>
            <w:cnfStyle w:val="001000000000" w:firstRow="0" w:lastRow="0" w:firstColumn="1" w:lastColumn="0" w:oddVBand="0" w:evenVBand="0" w:oddHBand="0" w:evenHBand="0" w:firstRowFirstColumn="0" w:firstRowLastColumn="0" w:lastRowFirstColumn="0" w:lastRowLastColumn="0"/>
            <w:tcW w:w="1177" w:type="dxa"/>
          </w:tcPr>
          <w:p w14:paraId="6C3ADECC" w14:textId="77777777" w:rsidR="00C442F7" w:rsidRPr="0000511C" w:rsidRDefault="00C442F7" w:rsidP="00C442F7">
            <w:r w:rsidRPr="0000511C">
              <w:t>B41</w:t>
            </w:r>
          </w:p>
        </w:tc>
        <w:tc>
          <w:tcPr>
            <w:tcW w:w="3180" w:type="dxa"/>
          </w:tcPr>
          <w:p w14:paraId="2982286E"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pPr>
            <w:r w:rsidRPr="00B85398">
              <w:t>Documentation</w:t>
            </w:r>
          </w:p>
        </w:tc>
        <w:tc>
          <w:tcPr>
            <w:tcW w:w="5133" w:type="dxa"/>
          </w:tcPr>
          <w:p w14:paraId="0155C23B" w14:textId="77777777" w:rsidR="00C442F7" w:rsidRPr="00B85398" w:rsidRDefault="00C442F7" w:rsidP="00C442F7">
            <w:pPr>
              <w:cnfStyle w:val="000000000000" w:firstRow="0" w:lastRow="0" w:firstColumn="0" w:lastColumn="0" w:oddVBand="0" w:evenVBand="0" w:oddHBand="0" w:evenHBand="0" w:firstRowFirstColumn="0" w:firstRowLastColumn="0" w:lastRowFirstColumn="0" w:lastRowLastColumn="0"/>
              <w:rPr>
                <w:color w:val="000000"/>
              </w:rPr>
            </w:pPr>
            <w:r w:rsidRPr="00B85398">
              <w:rPr>
                <w:color w:val="000000"/>
              </w:rPr>
              <w:t xml:space="preserve">A vignette outlining how a registry user may log in, export, transform and analyse data for the purposes of quality improvement </w:t>
            </w:r>
            <w:r>
              <w:rPr>
                <w:color w:val="000000"/>
              </w:rPr>
              <w:t>shall</w:t>
            </w:r>
            <w:r w:rsidRPr="00B85398">
              <w:rPr>
                <w:color w:val="000000"/>
              </w:rPr>
              <w:t xml:space="preserve"> be created.</w:t>
            </w:r>
          </w:p>
        </w:tc>
      </w:tr>
      <w:bookmarkEnd w:id="697"/>
    </w:tbl>
    <w:p w14:paraId="3EBAD412" w14:textId="77777777" w:rsidR="00C442F7" w:rsidRPr="002227F1" w:rsidRDefault="00C442F7" w:rsidP="00C442F7">
      <w:pPr>
        <w:rPr>
          <w:rFonts w:ascii="Verdana" w:hAnsi="Verdana" w:cs="Arial"/>
          <w:iCs/>
          <w:kern w:val="32"/>
          <w:szCs w:val="28"/>
        </w:rPr>
      </w:pPr>
    </w:p>
    <w:p w14:paraId="20667974" w14:textId="77777777" w:rsidR="00C442F7" w:rsidRPr="002227F1" w:rsidRDefault="00C442F7" w:rsidP="00C442F7">
      <w:pPr>
        <w:pStyle w:val="Heading2"/>
      </w:pPr>
      <w:bookmarkStart w:id="698" w:name="_Toc175550422"/>
      <w:r>
        <w:t>CQR administrative recommendations</w:t>
      </w:r>
      <w:bookmarkEnd w:id="698"/>
    </w:p>
    <w:tbl>
      <w:tblPr>
        <w:tblStyle w:val="SurveyQuestions"/>
        <w:tblW w:w="9348" w:type="dxa"/>
        <w:tblLook w:val="04A0" w:firstRow="1" w:lastRow="0" w:firstColumn="1" w:lastColumn="0" w:noHBand="0" w:noVBand="1"/>
      </w:tblPr>
      <w:tblGrid>
        <w:gridCol w:w="1409"/>
        <w:gridCol w:w="2552"/>
        <w:gridCol w:w="5387"/>
      </w:tblGrid>
      <w:tr w:rsidR="00C442F7" w:rsidRPr="002227F1" w14:paraId="4085C5FA" w14:textId="77777777" w:rsidTr="00C442F7">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09" w:type="dxa"/>
          </w:tcPr>
          <w:p w14:paraId="164E127D" w14:textId="77777777" w:rsidR="00C442F7" w:rsidRPr="002227F1" w:rsidRDefault="00C442F7" w:rsidP="00C442F7">
            <w:pPr>
              <w:rPr>
                <w:iCs/>
              </w:rPr>
            </w:pPr>
            <w:r w:rsidRPr="000A5025">
              <w:t>Identifier</w:t>
            </w:r>
          </w:p>
        </w:tc>
        <w:tc>
          <w:tcPr>
            <w:tcW w:w="2552" w:type="dxa"/>
          </w:tcPr>
          <w:p w14:paraId="4C27F37E"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Summary</w:t>
            </w:r>
          </w:p>
        </w:tc>
        <w:tc>
          <w:tcPr>
            <w:tcW w:w="5387" w:type="dxa"/>
          </w:tcPr>
          <w:p w14:paraId="33B4F773"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Detail</w:t>
            </w:r>
          </w:p>
        </w:tc>
      </w:tr>
      <w:tr w:rsidR="00C442F7" w:rsidRPr="002227F1" w14:paraId="2A0BBB4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708E16F" w14:textId="77777777" w:rsidR="00C442F7" w:rsidRPr="002227F1" w:rsidRDefault="00C442F7" w:rsidP="00C442F7">
            <w:pPr>
              <w:rPr>
                <w:bCs/>
              </w:rPr>
            </w:pPr>
            <w:r w:rsidRPr="000A5025">
              <w:t>F01</w:t>
            </w:r>
          </w:p>
        </w:tc>
        <w:tc>
          <w:tcPr>
            <w:tcW w:w="2552" w:type="dxa"/>
          </w:tcPr>
          <w:p w14:paraId="5ABD427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Add participating institutions or clinicians</w:t>
            </w:r>
          </w:p>
        </w:tc>
        <w:tc>
          <w:tcPr>
            <w:tcW w:w="5387" w:type="dxa"/>
          </w:tcPr>
          <w:p w14:paraId="29AB41E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add a new </w:t>
            </w:r>
            <w:r>
              <w:rPr>
                <w:bCs/>
              </w:rPr>
              <w:t>p</w:t>
            </w:r>
            <w:r w:rsidRPr="002227F1">
              <w:rPr>
                <w:bCs/>
              </w:rPr>
              <w:t xml:space="preserve">articipating </w:t>
            </w:r>
            <w:r>
              <w:rPr>
                <w:bCs/>
              </w:rPr>
              <w:t>i</w:t>
            </w:r>
            <w:r w:rsidRPr="002227F1">
              <w:rPr>
                <w:bCs/>
              </w:rPr>
              <w:t>nstitution</w:t>
            </w:r>
            <w:r>
              <w:rPr>
                <w:bCs/>
              </w:rPr>
              <w:t>.</w:t>
            </w:r>
          </w:p>
        </w:tc>
      </w:tr>
      <w:tr w:rsidR="00C442F7" w:rsidRPr="002227F1" w14:paraId="0F9ED08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F1D0291" w14:textId="77777777" w:rsidR="00C442F7" w:rsidRPr="002227F1" w:rsidRDefault="00C442F7" w:rsidP="00C442F7">
            <w:pPr>
              <w:rPr>
                <w:bCs/>
              </w:rPr>
            </w:pPr>
            <w:r w:rsidRPr="000A5025">
              <w:t>F02</w:t>
            </w:r>
          </w:p>
        </w:tc>
        <w:tc>
          <w:tcPr>
            <w:tcW w:w="2552" w:type="dxa"/>
          </w:tcPr>
          <w:p w14:paraId="36F831B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Associate groups</w:t>
            </w:r>
          </w:p>
        </w:tc>
        <w:tc>
          <w:tcPr>
            <w:tcW w:w="5387" w:type="dxa"/>
          </w:tcPr>
          <w:p w14:paraId="6A99214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create </w:t>
            </w:r>
            <w:r>
              <w:rPr>
                <w:bCs/>
              </w:rPr>
              <w:t>associations</w:t>
            </w:r>
            <w:r w:rsidRPr="002227F1">
              <w:rPr>
                <w:bCs/>
              </w:rPr>
              <w:t xml:space="preserve"> between clinicians</w:t>
            </w:r>
            <w:r>
              <w:rPr>
                <w:bCs/>
              </w:rPr>
              <w:t xml:space="preserve"> with the</w:t>
            </w:r>
            <w:r w:rsidRPr="002227F1">
              <w:rPr>
                <w:bCs/>
              </w:rPr>
              <w:t xml:space="preserve"> institutio</w:t>
            </w:r>
            <w:r>
              <w:rPr>
                <w:bCs/>
              </w:rPr>
              <w:t>n/</w:t>
            </w:r>
            <w:r w:rsidRPr="002227F1">
              <w:rPr>
                <w:bCs/>
              </w:rPr>
              <w:t>jurisdictions</w:t>
            </w:r>
            <w:r>
              <w:rPr>
                <w:bCs/>
              </w:rPr>
              <w:t xml:space="preserve"> which they work for.</w:t>
            </w:r>
          </w:p>
        </w:tc>
      </w:tr>
      <w:tr w:rsidR="00C442F7" w:rsidRPr="002227F1" w14:paraId="2551B7D4"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AB19651" w14:textId="77777777" w:rsidR="00C442F7" w:rsidRPr="002227F1" w:rsidRDefault="00C442F7" w:rsidP="00C442F7">
            <w:pPr>
              <w:rPr>
                <w:bCs/>
              </w:rPr>
            </w:pPr>
            <w:r w:rsidRPr="000A5025">
              <w:t>F03</w:t>
            </w:r>
          </w:p>
        </w:tc>
        <w:tc>
          <w:tcPr>
            <w:tcW w:w="2552" w:type="dxa"/>
          </w:tcPr>
          <w:p w14:paraId="69E076C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Central administration</w:t>
            </w:r>
          </w:p>
        </w:tc>
        <w:tc>
          <w:tcPr>
            <w:tcW w:w="5387" w:type="dxa"/>
          </w:tcPr>
          <w:p w14:paraId="6339392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a central system administration group that shall be able to appoint participating group and participating institution level system administrators</w:t>
            </w:r>
            <w:r>
              <w:rPr>
                <w:bCs/>
              </w:rPr>
              <w:t>.</w:t>
            </w:r>
          </w:p>
        </w:tc>
      </w:tr>
      <w:tr w:rsidR="00C442F7" w:rsidRPr="002227F1" w14:paraId="485D489E"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B05F7C3" w14:textId="77777777" w:rsidR="00C442F7" w:rsidRPr="002227F1" w:rsidRDefault="00C442F7" w:rsidP="00C442F7">
            <w:pPr>
              <w:rPr>
                <w:bCs/>
              </w:rPr>
            </w:pPr>
            <w:r w:rsidRPr="000A5025">
              <w:t>F04</w:t>
            </w:r>
          </w:p>
        </w:tc>
        <w:tc>
          <w:tcPr>
            <w:tcW w:w="2552" w:type="dxa"/>
          </w:tcPr>
          <w:p w14:paraId="3EFED31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Group administration</w:t>
            </w:r>
          </w:p>
        </w:tc>
        <w:tc>
          <w:tcPr>
            <w:tcW w:w="5387" w:type="dxa"/>
          </w:tcPr>
          <w:p w14:paraId="50F4549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defined groups to read and run reports on data within their hospitals, jurisdiction or clinical group</w:t>
            </w:r>
            <w:r>
              <w:rPr>
                <w:bCs/>
              </w:rPr>
              <w:t>.</w:t>
            </w:r>
          </w:p>
        </w:tc>
      </w:tr>
      <w:tr w:rsidR="00C442F7" w:rsidRPr="002227F1" w14:paraId="7B0E895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DB7BE99" w14:textId="77777777" w:rsidR="00C442F7" w:rsidRPr="002227F1" w:rsidRDefault="00C442F7" w:rsidP="00C442F7">
            <w:pPr>
              <w:rPr>
                <w:bCs/>
              </w:rPr>
            </w:pPr>
            <w:r w:rsidRPr="000A5025">
              <w:t>F05</w:t>
            </w:r>
          </w:p>
        </w:tc>
        <w:tc>
          <w:tcPr>
            <w:tcW w:w="2552" w:type="dxa"/>
          </w:tcPr>
          <w:p w14:paraId="4D17CE5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Participating </w:t>
            </w:r>
            <w:r>
              <w:rPr>
                <w:bCs/>
              </w:rPr>
              <w:t>i</w:t>
            </w:r>
            <w:r w:rsidRPr="002227F1">
              <w:rPr>
                <w:bCs/>
              </w:rPr>
              <w:t>nstitution level administration</w:t>
            </w:r>
          </w:p>
        </w:tc>
        <w:tc>
          <w:tcPr>
            <w:tcW w:w="5387" w:type="dxa"/>
          </w:tcPr>
          <w:p w14:paraId="2552F85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allow </w:t>
            </w:r>
            <w:r>
              <w:rPr>
                <w:bCs/>
              </w:rPr>
              <w:t>p</w:t>
            </w:r>
            <w:r w:rsidRPr="002227F1">
              <w:rPr>
                <w:bCs/>
              </w:rPr>
              <w:t xml:space="preserve">articipating </w:t>
            </w:r>
            <w:r>
              <w:rPr>
                <w:bCs/>
              </w:rPr>
              <w:t>i</w:t>
            </w:r>
            <w:r w:rsidRPr="002227F1">
              <w:rPr>
                <w:bCs/>
              </w:rPr>
              <w:t xml:space="preserve">nstitution or clinical group level administrators to be appointed to allocate user rights within the </w:t>
            </w:r>
            <w:r>
              <w:rPr>
                <w:bCs/>
              </w:rPr>
              <w:t>i</w:t>
            </w:r>
            <w:r w:rsidRPr="002227F1">
              <w:rPr>
                <w:bCs/>
              </w:rPr>
              <w:t xml:space="preserve">nstitution or clinical group. This </w:t>
            </w:r>
            <w:r w:rsidRPr="002227F1">
              <w:rPr>
                <w:bCs/>
              </w:rPr>
              <w:lastRenderedPageBreak/>
              <w:t xml:space="preserve">includes creating new user accounts and granting user privileges such as: create new records, read records, update records, </w:t>
            </w:r>
            <w:r>
              <w:rPr>
                <w:bCs/>
              </w:rPr>
              <w:t>edit</w:t>
            </w:r>
            <w:r w:rsidRPr="002227F1">
              <w:rPr>
                <w:bCs/>
              </w:rPr>
              <w:t xml:space="preserve"> records</w:t>
            </w:r>
            <w:r>
              <w:rPr>
                <w:bCs/>
              </w:rPr>
              <w:t>.</w:t>
            </w:r>
          </w:p>
        </w:tc>
      </w:tr>
      <w:tr w:rsidR="00C442F7" w:rsidRPr="002227F1" w14:paraId="1825B99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7B86124" w14:textId="77777777" w:rsidR="00C442F7" w:rsidRPr="002227F1" w:rsidRDefault="00C442F7" w:rsidP="00C442F7">
            <w:pPr>
              <w:rPr>
                <w:bCs/>
              </w:rPr>
            </w:pPr>
            <w:r w:rsidRPr="000A5025">
              <w:lastRenderedPageBreak/>
              <w:t>F07</w:t>
            </w:r>
          </w:p>
        </w:tc>
        <w:tc>
          <w:tcPr>
            <w:tcW w:w="2552" w:type="dxa"/>
          </w:tcPr>
          <w:p w14:paraId="7773904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Data capture </w:t>
            </w:r>
          </w:p>
        </w:tc>
        <w:tc>
          <w:tcPr>
            <w:tcW w:w="5387" w:type="dxa"/>
          </w:tcPr>
          <w:p w14:paraId="277394F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Where possible, </w:t>
            </w:r>
            <w:r w:rsidRPr="002227F1">
              <w:rPr>
                <w:bCs/>
              </w:rPr>
              <w:t xml:space="preserve">CQRs </w:t>
            </w:r>
            <w:r>
              <w:rPr>
                <w:bCs/>
              </w:rPr>
              <w:t>shall</w:t>
            </w:r>
            <w:r w:rsidRPr="002227F1">
              <w:rPr>
                <w:bCs/>
              </w:rPr>
              <w:t xml:space="preserve"> access data </w:t>
            </w:r>
            <w:r>
              <w:rPr>
                <w:bCs/>
              </w:rPr>
              <w:t>u</w:t>
            </w:r>
            <w:r w:rsidRPr="002227F1">
              <w:rPr>
                <w:bCs/>
              </w:rPr>
              <w:t>sing a direct feed from a hospital administrative or clinical information system, or another data repository (such as a state-based clinical repository). This access could be via messages (e.g. HL7 pathology reports), or via an API</w:t>
            </w:r>
            <w:r>
              <w:rPr>
                <w:bCs/>
              </w:rPr>
              <w:t>.</w:t>
            </w:r>
          </w:p>
        </w:tc>
      </w:tr>
      <w:tr w:rsidR="00C442F7" w:rsidRPr="002227F1" w14:paraId="64F6365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A4DC01A" w14:textId="77777777" w:rsidR="00C442F7" w:rsidRPr="002227F1" w:rsidRDefault="00C442F7" w:rsidP="00C442F7">
            <w:pPr>
              <w:rPr>
                <w:bCs/>
              </w:rPr>
            </w:pPr>
            <w:r w:rsidRPr="000A5025">
              <w:t>F08</w:t>
            </w:r>
          </w:p>
        </w:tc>
        <w:tc>
          <w:tcPr>
            <w:tcW w:w="2552" w:type="dxa"/>
          </w:tcPr>
          <w:p w14:paraId="13CF950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Multiple unique healthcare identifiers</w:t>
            </w:r>
          </w:p>
        </w:tc>
        <w:tc>
          <w:tcPr>
            <w:tcW w:w="5387" w:type="dxa"/>
          </w:tcPr>
          <w:p w14:paraId="1D947FC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record the minimum number of</w:t>
            </w:r>
            <w:r w:rsidRPr="002227F1">
              <w:rPr>
                <w:bCs/>
              </w:rPr>
              <w:t xml:space="preserve"> unique healthcare identifiers for an individual patient</w:t>
            </w:r>
            <w:r>
              <w:rPr>
                <w:bCs/>
              </w:rPr>
              <w:t xml:space="preserve"> to meet its primary and secondary purposes.</w:t>
            </w:r>
          </w:p>
        </w:tc>
      </w:tr>
      <w:tr w:rsidR="00C442F7" w:rsidRPr="002227F1" w14:paraId="729C67A0" w14:textId="77777777" w:rsidTr="00C82F98">
        <w:trPr>
          <w:trHeight w:val="999"/>
        </w:trPr>
        <w:tc>
          <w:tcPr>
            <w:cnfStyle w:val="001000000000" w:firstRow="0" w:lastRow="0" w:firstColumn="1" w:lastColumn="0" w:oddVBand="0" w:evenVBand="0" w:oddHBand="0" w:evenHBand="0" w:firstRowFirstColumn="0" w:firstRowLastColumn="0" w:lastRowFirstColumn="0" w:lastRowLastColumn="0"/>
            <w:tcW w:w="1409" w:type="dxa"/>
          </w:tcPr>
          <w:p w14:paraId="549004B8" w14:textId="77777777" w:rsidR="00C442F7" w:rsidRPr="002227F1" w:rsidRDefault="00C442F7" w:rsidP="00C442F7">
            <w:pPr>
              <w:rPr>
                <w:bCs/>
              </w:rPr>
            </w:pPr>
            <w:r w:rsidRPr="000A5025">
              <w:t>F09</w:t>
            </w:r>
          </w:p>
        </w:tc>
        <w:tc>
          <w:tcPr>
            <w:tcW w:w="2552" w:type="dxa"/>
          </w:tcPr>
          <w:p w14:paraId="3411E18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Unique identifiers for patients, providers and products</w:t>
            </w:r>
          </w:p>
        </w:tc>
        <w:tc>
          <w:tcPr>
            <w:tcW w:w="5387" w:type="dxa"/>
          </w:tcPr>
          <w:p w14:paraId="5A93C93F" w14:textId="478B4945"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allocate a unique identifier for patients, providers and products where the </w:t>
            </w:r>
            <w:r>
              <w:rPr>
                <w:bCs/>
              </w:rPr>
              <w:t>National Healthcare Identifier</w:t>
            </w:r>
            <w:r w:rsidRPr="002227F1">
              <w:rPr>
                <w:bCs/>
              </w:rPr>
              <w:t xml:space="preserve"> is not consistently available</w:t>
            </w:r>
            <w:r>
              <w:rPr>
                <w:bCs/>
              </w:rPr>
              <w:t>.</w:t>
            </w:r>
          </w:p>
        </w:tc>
      </w:tr>
      <w:tr w:rsidR="00C442F7" w:rsidRPr="002227F1" w14:paraId="0AFAE406"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5405AFC" w14:textId="77777777" w:rsidR="00C442F7" w:rsidRPr="002227F1" w:rsidRDefault="00C442F7" w:rsidP="00C442F7">
            <w:pPr>
              <w:rPr>
                <w:bCs/>
              </w:rPr>
            </w:pPr>
            <w:r w:rsidRPr="000A5025">
              <w:t>F10</w:t>
            </w:r>
          </w:p>
        </w:tc>
        <w:tc>
          <w:tcPr>
            <w:tcW w:w="2552" w:type="dxa"/>
          </w:tcPr>
          <w:p w14:paraId="40EF6B1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Authorised contributors allowed to edit and add information</w:t>
            </w:r>
          </w:p>
        </w:tc>
        <w:tc>
          <w:tcPr>
            <w:tcW w:w="5387" w:type="dxa"/>
          </w:tcPr>
          <w:p w14:paraId="3BECEAD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allow authorised contributors submitting information to review and revise (edit, add to) information they have posted to the registry</w:t>
            </w:r>
            <w:r>
              <w:rPr>
                <w:bCs/>
              </w:rPr>
              <w:t>.</w:t>
            </w:r>
          </w:p>
        </w:tc>
      </w:tr>
      <w:tr w:rsidR="00C442F7" w:rsidRPr="002227F1" w14:paraId="428534F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60A7572" w14:textId="77777777" w:rsidR="00C442F7" w:rsidRPr="002227F1" w:rsidRDefault="00C442F7" w:rsidP="00C442F7">
            <w:pPr>
              <w:rPr>
                <w:bCs/>
              </w:rPr>
            </w:pPr>
            <w:r w:rsidRPr="000A5025">
              <w:t>F12</w:t>
            </w:r>
          </w:p>
        </w:tc>
        <w:tc>
          <w:tcPr>
            <w:tcW w:w="2552" w:type="dxa"/>
          </w:tcPr>
          <w:p w14:paraId="6A488A4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Access for international data providers</w:t>
            </w:r>
          </w:p>
        </w:tc>
        <w:tc>
          <w:tcPr>
            <w:tcW w:w="5387" w:type="dxa"/>
          </w:tcPr>
          <w:p w14:paraId="7BECB26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authorised users based outside of Australia to contribute and receive data to and from the registry</w:t>
            </w:r>
            <w:r>
              <w:rPr>
                <w:bCs/>
              </w:rPr>
              <w:t xml:space="preserve"> via appropriately secure systems and processes.</w:t>
            </w:r>
          </w:p>
        </w:tc>
      </w:tr>
      <w:tr w:rsidR="00C442F7" w:rsidRPr="002227F1" w14:paraId="5B004430"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B4DEB3C" w14:textId="77777777" w:rsidR="00C442F7" w:rsidRPr="002227F1" w:rsidRDefault="00C442F7" w:rsidP="00C442F7">
            <w:pPr>
              <w:rPr>
                <w:bCs/>
              </w:rPr>
            </w:pPr>
            <w:r w:rsidRPr="000A5025">
              <w:t>F13</w:t>
            </w:r>
          </w:p>
        </w:tc>
        <w:tc>
          <w:tcPr>
            <w:tcW w:w="2552" w:type="dxa"/>
          </w:tcPr>
          <w:p w14:paraId="474607C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Batch uploading</w:t>
            </w:r>
          </w:p>
        </w:tc>
        <w:tc>
          <w:tcPr>
            <w:tcW w:w="5387" w:type="dxa"/>
          </w:tcPr>
          <w:p w14:paraId="64A64DB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receive batch uploads of information from a source system provided to the registry in a standardised format</w:t>
            </w:r>
            <w:r>
              <w:rPr>
                <w:bCs/>
              </w:rPr>
              <w:t>.</w:t>
            </w:r>
          </w:p>
        </w:tc>
      </w:tr>
      <w:tr w:rsidR="00C442F7" w:rsidRPr="002227F1" w14:paraId="7718ADA0"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444D60E" w14:textId="77777777" w:rsidR="00C442F7" w:rsidRPr="002227F1" w:rsidRDefault="00C442F7" w:rsidP="00C442F7">
            <w:pPr>
              <w:rPr>
                <w:bCs/>
              </w:rPr>
            </w:pPr>
            <w:r w:rsidRPr="000A5025">
              <w:t>F14</w:t>
            </w:r>
          </w:p>
        </w:tc>
        <w:tc>
          <w:tcPr>
            <w:tcW w:w="2552" w:type="dxa"/>
          </w:tcPr>
          <w:p w14:paraId="4FD4B12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Establish criteria for rejecting or partially accepting records</w:t>
            </w:r>
          </w:p>
        </w:tc>
        <w:tc>
          <w:tcPr>
            <w:tcW w:w="5387" w:type="dxa"/>
          </w:tcPr>
          <w:p w14:paraId="2D9CE56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establish </w:t>
            </w:r>
            <w:r>
              <w:rPr>
                <w:bCs/>
              </w:rPr>
              <w:t xml:space="preserve">and publish </w:t>
            </w:r>
            <w:r w:rsidRPr="002227F1">
              <w:rPr>
                <w:bCs/>
              </w:rPr>
              <w:t xml:space="preserve">criteria under which a record being imported will be rejected or accepted with a flag attached to enable it </w:t>
            </w:r>
            <w:r>
              <w:rPr>
                <w:bCs/>
              </w:rPr>
              <w:t xml:space="preserve">to </w:t>
            </w:r>
            <w:r w:rsidRPr="002227F1">
              <w:rPr>
                <w:bCs/>
              </w:rPr>
              <w:t>be readily identified for review and follow-up</w:t>
            </w:r>
            <w:r>
              <w:rPr>
                <w:bCs/>
              </w:rPr>
              <w:t>.</w:t>
            </w:r>
          </w:p>
        </w:tc>
      </w:tr>
      <w:tr w:rsidR="00C442F7" w:rsidRPr="002227F1" w14:paraId="6DFE89BE"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8C9C8D7" w14:textId="77777777" w:rsidR="00C442F7" w:rsidRPr="002227F1" w:rsidRDefault="00C442F7" w:rsidP="00C442F7">
            <w:pPr>
              <w:rPr>
                <w:bCs/>
              </w:rPr>
            </w:pPr>
            <w:r w:rsidRPr="000A5025">
              <w:t>F15</w:t>
            </w:r>
          </w:p>
        </w:tc>
        <w:tc>
          <w:tcPr>
            <w:tcW w:w="2552" w:type="dxa"/>
          </w:tcPr>
          <w:p w14:paraId="402AA15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Apply data validation checks during import</w:t>
            </w:r>
          </w:p>
        </w:tc>
        <w:tc>
          <w:tcPr>
            <w:tcW w:w="5387" w:type="dxa"/>
          </w:tcPr>
          <w:p w14:paraId="3E7D750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apply automated data validation checks, including simple field validation, business rules (Boolean logic and clinical logic checks) and </w:t>
            </w:r>
            <w:r>
              <w:rPr>
                <w:bCs/>
              </w:rPr>
              <w:t>simple</w:t>
            </w:r>
            <w:r w:rsidRPr="002227F1">
              <w:rPr>
                <w:bCs/>
              </w:rPr>
              <w:t xml:space="preserve"> computations (e.g. assays) as part of the process of importing data</w:t>
            </w:r>
            <w:r>
              <w:rPr>
                <w:bCs/>
              </w:rPr>
              <w:t>.</w:t>
            </w:r>
          </w:p>
        </w:tc>
      </w:tr>
      <w:tr w:rsidR="00C442F7" w:rsidRPr="002227F1" w14:paraId="67379E3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8F72AD1" w14:textId="77777777" w:rsidR="00C442F7" w:rsidRPr="002227F1" w:rsidRDefault="00C442F7" w:rsidP="00C442F7">
            <w:pPr>
              <w:rPr>
                <w:bCs/>
              </w:rPr>
            </w:pPr>
            <w:r w:rsidRPr="000A5025">
              <w:t>F16</w:t>
            </w:r>
          </w:p>
        </w:tc>
        <w:tc>
          <w:tcPr>
            <w:tcW w:w="2552" w:type="dxa"/>
          </w:tcPr>
          <w:p w14:paraId="1D328A3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Prompt if changes result from data import</w:t>
            </w:r>
          </w:p>
        </w:tc>
        <w:tc>
          <w:tcPr>
            <w:tcW w:w="5387" w:type="dxa"/>
          </w:tcPr>
          <w:p w14:paraId="36EE18B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users shall be prompted if any data contained in existing records would be changed as a result of importing new data through an automated process</w:t>
            </w:r>
            <w:r>
              <w:rPr>
                <w:bCs/>
              </w:rPr>
              <w:t>.</w:t>
            </w:r>
          </w:p>
        </w:tc>
      </w:tr>
      <w:tr w:rsidR="00C442F7" w:rsidRPr="002227F1" w14:paraId="68903B14"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BBD8D7A" w14:textId="77777777" w:rsidR="00C442F7" w:rsidRPr="002227F1" w:rsidRDefault="00C442F7" w:rsidP="00C442F7">
            <w:pPr>
              <w:rPr>
                <w:bCs/>
              </w:rPr>
            </w:pPr>
            <w:r w:rsidRPr="000A5025">
              <w:t>F17</w:t>
            </w:r>
          </w:p>
        </w:tc>
        <w:tc>
          <w:tcPr>
            <w:tcW w:w="2552" w:type="dxa"/>
          </w:tcPr>
          <w:p w14:paraId="11E977E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Allow multiple episodes</w:t>
            </w:r>
            <w:r>
              <w:rPr>
                <w:bCs/>
              </w:rPr>
              <w:t xml:space="preserve"> of care</w:t>
            </w:r>
            <w:r w:rsidRPr="002227F1">
              <w:rPr>
                <w:bCs/>
              </w:rPr>
              <w:t xml:space="preserve"> to be recorded</w:t>
            </w:r>
          </w:p>
        </w:tc>
        <w:tc>
          <w:tcPr>
            <w:tcW w:w="5387" w:type="dxa"/>
          </w:tcPr>
          <w:p w14:paraId="44AAD3E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allow data relating to multiple episodes</w:t>
            </w:r>
            <w:r>
              <w:rPr>
                <w:bCs/>
              </w:rPr>
              <w:t xml:space="preserve"> of care</w:t>
            </w:r>
            <w:r w:rsidRPr="002227F1">
              <w:rPr>
                <w:bCs/>
              </w:rPr>
              <w:t xml:space="preserve"> for a single patient to be imported</w:t>
            </w:r>
            <w:r>
              <w:rPr>
                <w:bCs/>
              </w:rPr>
              <w:t>.</w:t>
            </w:r>
          </w:p>
        </w:tc>
      </w:tr>
      <w:tr w:rsidR="00C442F7" w:rsidRPr="002227F1" w14:paraId="2D1B88F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0375944" w14:textId="77777777" w:rsidR="00C442F7" w:rsidRPr="002227F1" w:rsidRDefault="00C442F7" w:rsidP="00C442F7">
            <w:pPr>
              <w:rPr>
                <w:bCs/>
              </w:rPr>
            </w:pPr>
            <w:r w:rsidRPr="000A5025">
              <w:t>F18</w:t>
            </w:r>
          </w:p>
        </w:tc>
        <w:tc>
          <w:tcPr>
            <w:tcW w:w="2552" w:type="dxa"/>
          </w:tcPr>
          <w:p w14:paraId="666847D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Receipt of data from existing data sources</w:t>
            </w:r>
          </w:p>
        </w:tc>
        <w:tc>
          <w:tcPr>
            <w:tcW w:w="5387" w:type="dxa"/>
          </w:tcPr>
          <w:p w14:paraId="4999D20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w:t>
            </w:r>
            <w:r>
              <w:rPr>
                <w:bCs/>
              </w:rPr>
              <w:t>shall</w:t>
            </w:r>
            <w:r w:rsidRPr="002227F1">
              <w:rPr>
                <w:bCs/>
              </w:rPr>
              <w:t xml:space="preserve"> have the ability to receive/import data from existing data sources, including administrative data</w:t>
            </w:r>
            <w:r>
              <w:rPr>
                <w:bCs/>
              </w:rPr>
              <w:t>.</w:t>
            </w:r>
          </w:p>
        </w:tc>
      </w:tr>
      <w:tr w:rsidR="00C442F7" w:rsidRPr="002227F1" w14:paraId="6BE0A2D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461986A" w14:textId="77777777" w:rsidR="00C442F7" w:rsidRPr="002227F1" w:rsidRDefault="00C442F7" w:rsidP="00C442F7">
            <w:pPr>
              <w:rPr>
                <w:bCs/>
              </w:rPr>
            </w:pPr>
            <w:r w:rsidRPr="000A5025">
              <w:lastRenderedPageBreak/>
              <w:t>F19</w:t>
            </w:r>
          </w:p>
        </w:tc>
        <w:tc>
          <w:tcPr>
            <w:tcW w:w="2552" w:type="dxa"/>
          </w:tcPr>
          <w:p w14:paraId="7F20CE9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Access control for batch upload</w:t>
            </w:r>
          </w:p>
        </w:tc>
        <w:tc>
          <w:tcPr>
            <w:tcW w:w="5387" w:type="dxa"/>
          </w:tcPr>
          <w:p w14:paraId="28A20D3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role-based access control to enable authorised users to perform batch uploads and prevent unauthorised users from doing so</w:t>
            </w:r>
            <w:r>
              <w:rPr>
                <w:bCs/>
              </w:rPr>
              <w:t>.</w:t>
            </w:r>
          </w:p>
        </w:tc>
      </w:tr>
      <w:tr w:rsidR="00C442F7" w:rsidRPr="002227F1" w14:paraId="69F5E71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3D4A325" w14:textId="77777777" w:rsidR="00C442F7" w:rsidRPr="002227F1" w:rsidRDefault="00C442F7" w:rsidP="00C442F7">
            <w:pPr>
              <w:rPr>
                <w:bCs/>
              </w:rPr>
            </w:pPr>
            <w:r w:rsidRPr="000A5025">
              <w:t>F20</w:t>
            </w:r>
          </w:p>
        </w:tc>
        <w:tc>
          <w:tcPr>
            <w:tcW w:w="2552" w:type="dxa"/>
          </w:tcPr>
          <w:p w14:paraId="2F83986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Authorised system upload</w:t>
            </w:r>
          </w:p>
        </w:tc>
        <w:tc>
          <w:tcPr>
            <w:tcW w:w="5387" w:type="dxa"/>
          </w:tcPr>
          <w:p w14:paraId="6679CE8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authorised systems or users to upload batches of information to the registry</w:t>
            </w:r>
            <w:r>
              <w:rPr>
                <w:bCs/>
              </w:rPr>
              <w:t>.</w:t>
            </w:r>
          </w:p>
        </w:tc>
      </w:tr>
      <w:tr w:rsidR="00C442F7" w:rsidRPr="002227F1" w14:paraId="4FD8C33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9AF3E77" w14:textId="77777777" w:rsidR="00C442F7" w:rsidRPr="002227F1" w:rsidRDefault="00C442F7" w:rsidP="00C442F7">
            <w:pPr>
              <w:rPr>
                <w:bCs/>
              </w:rPr>
            </w:pPr>
            <w:r w:rsidRPr="000A5025">
              <w:t>F21</w:t>
            </w:r>
          </w:p>
        </w:tc>
        <w:tc>
          <w:tcPr>
            <w:tcW w:w="2552" w:type="dxa"/>
          </w:tcPr>
          <w:p w14:paraId="72FC1E4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Cross-check data being imported</w:t>
            </w:r>
          </w:p>
        </w:tc>
        <w:tc>
          <w:tcPr>
            <w:tcW w:w="5387" w:type="dxa"/>
          </w:tcPr>
          <w:p w14:paraId="4D22EC8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cross-check large quantities of records against another set of records as part of the process of importing data to avoid record duplication</w:t>
            </w:r>
            <w:r>
              <w:rPr>
                <w:bCs/>
              </w:rPr>
              <w:t>.</w:t>
            </w:r>
          </w:p>
        </w:tc>
      </w:tr>
      <w:tr w:rsidR="00C442F7" w:rsidRPr="002227F1" w14:paraId="1348A80D"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9C7174F" w14:textId="77777777" w:rsidR="00C442F7" w:rsidRPr="002227F1" w:rsidRDefault="00C442F7" w:rsidP="00C442F7">
            <w:pPr>
              <w:rPr>
                <w:bCs/>
              </w:rPr>
            </w:pPr>
            <w:r w:rsidRPr="000A5025">
              <w:t>F22</w:t>
            </w:r>
          </w:p>
        </w:tc>
        <w:tc>
          <w:tcPr>
            <w:tcW w:w="2552" w:type="dxa"/>
          </w:tcPr>
          <w:p w14:paraId="75D620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Alter records via data import</w:t>
            </w:r>
          </w:p>
        </w:tc>
        <w:tc>
          <w:tcPr>
            <w:tcW w:w="5387" w:type="dxa"/>
          </w:tcPr>
          <w:p w14:paraId="329EDB1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use automated data import processes to append, modify, or discard patient records</w:t>
            </w:r>
            <w:r>
              <w:rPr>
                <w:bCs/>
              </w:rPr>
              <w:t xml:space="preserve"> where possible.</w:t>
            </w:r>
          </w:p>
        </w:tc>
      </w:tr>
      <w:tr w:rsidR="00C442F7" w:rsidRPr="002227F1" w14:paraId="402B735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563BD42" w14:textId="77777777" w:rsidR="00C442F7" w:rsidRPr="002227F1" w:rsidRDefault="00C442F7" w:rsidP="00C442F7">
            <w:pPr>
              <w:rPr>
                <w:bCs/>
              </w:rPr>
            </w:pPr>
            <w:r w:rsidRPr="000A5025">
              <w:t>F23</w:t>
            </w:r>
          </w:p>
        </w:tc>
        <w:tc>
          <w:tcPr>
            <w:tcW w:w="2552" w:type="dxa"/>
          </w:tcPr>
          <w:p w14:paraId="3E60723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Mark mandatory fields</w:t>
            </w:r>
          </w:p>
        </w:tc>
        <w:tc>
          <w:tcPr>
            <w:tcW w:w="5387" w:type="dxa"/>
          </w:tcPr>
          <w:p w14:paraId="150A1DF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identify which fields within a record are mandatory</w:t>
            </w:r>
            <w:r>
              <w:rPr>
                <w:bCs/>
              </w:rPr>
              <w:t>.</w:t>
            </w:r>
          </w:p>
        </w:tc>
      </w:tr>
      <w:tr w:rsidR="00C442F7" w:rsidRPr="002227F1" w14:paraId="21ADFA2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DF52480" w14:textId="77777777" w:rsidR="00C442F7" w:rsidRPr="002227F1" w:rsidRDefault="00C442F7" w:rsidP="00C442F7">
            <w:pPr>
              <w:rPr>
                <w:bCs/>
              </w:rPr>
            </w:pPr>
            <w:r w:rsidRPr="000A5025">
              <w:t>F24</w:t>
            </w:r>
          </w:p>
        </w:tc>
        <w:tc>
          <w:tcPr>
            <w:tcW w:w="2552" w:type="dxa"/>
          </w:tcPr>
          <w:p w14:paraId="2086366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Correct errors identified through validation checks</w:t>
            </w:r>
          </w:p>
        </w:tc>
        <w:tc>
          <w:tcPr>
            <w:tcW w:w="5387" w:type="dxa"/>
          </w:tcPr>
          <w:p w14:paraId="57E25A4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users with the ability to add missing data or fix incorrect information identified through automated validity checks during data entry</w:t>
            </w:r>
            <w:r>
              <w:rPr>
                <w:bCs/>
              </w:rPr>
              <w:t>.</w:t>
            </w:r>
          </w:p>
        </w:tc>
      </w:tr>
      <w:tr w:rsidR="00C442F7" w:rsidRPr="002227F1" w14:paraId="2D5AB27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A61C7DD" w14:textId="77777777" w:rsidR="00C442F7" w:rsidRPr="002227F1" w:rsidRDefault="00C442F7" w:rsidP="00C442F7">
            <w:pPr>
              <w:rPr>
                <w:bCs/>
              </w:rPr>
            </w:pPr>
            <w:r w:rsidRPr="000A5025">
              <w:t>F25</w:t>
            </w:r>
          </w:p>
        </w:tc>
        <w:tc>
          <w:tcPr>
            <w:tcW w:w="2552" w:type="dxa"/>
          </w:tcPr>
          <w:p w14:paraId="043D372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record rejection</w:t>
            </w:r>
          </w:p>
        </w:tc>
        <w:tc>
          <w:tcPr>
            <w:tcW w:w="5387" w:type="dxa"/>
          </w:tcPr>
          <w:p w14:paraId="3B7908F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 the case that records are rejected, a reason can be recorded against it</w:t>
            </w:r>
            <w:r>
              <w:rPr>
                <w:bCs/>
              </w:rPr>
              <w:t>.</w:t>
            </w:r>
          </w:p>
        </w:tc>
      </w:tr>
      <w:tr w:rsidR="00C442F7" w:rsidRPr="002227F1" w14:paraId="4F007DA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B7E6AC9" w14:textId="77777777" w:rsidR="00C442F7" w:rsidRPr="002227F1" w:rsidRDefault="00C442F7" w:rsidP="00C442F7">
            <w:pPr>
              <w:rPr>
                <w:bCs/>
              </w:rPr>
            </w:pPr>
            <w:r w:rsidRPr="000A5025">
              <w:t>F26</w:t>
            </w:r>
          </w:p>
        </w:tc>
        <w:tc>
          <w:tcPr>
            <w:tcW w:w="2552" w:type="dxa"/>
          </w:tcPr>
          <w:p w14:paraId="0BD360C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Eligibility </w:t>
            </w:r>
            <w:r>
              <w:rPr>
                <w:bCs/>
              </w:rPr>
              <w:t>c</w:t>
            </w:r>
            <w:r w:rsidRPr="002227F1">
              <w:rPr>
                <w:bCs/>
              </w:rPr>
              <w:t>riteria</w:t>
            </w:r>
          </w:p>
        </w:tc>
        <w:tc>
          <w:tcPr>
            <w:tcW w:w="5387" w:type="dxa"/>
          </w:tcPr>
          <w:p w14:paraId="4734C89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provide eligibility criteria in a computer processable form</w:t>
            </w:r>
            <w:r w:rsidRPr="00AC3EAA">
              <w:rPr>
                <w:bCs/>
              </w:rPr>
              <w:t xml:space="preserve">. This will allow </w:t>
            </w:r>
            <w:r w:rsidRPr="002227F1">
              <w:rPr>
                <w:bCs/>
              </w:rPr>
              <w:t>systems that provide information to the registry via direct feed to identify eligible patients based on patient events</w:t>
            </w:r>
            <w:r>
              <w:rPr>
                <w:bCs/>
              </w:rPr>
              <w:t>.</w:t>
            </w:r>
          </w:p>
        </w:tc>
      </w:tr>
      <w:tr w:rsidR="00C442F7" w:rsidRPr="002227F1" w14:paraId="7B6391F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0E17B55" w14:textId="77777777" w:rsidR="00C442F7" w:rsidRPr="002227F1" w:rsidRDefault="00C442F7" w:rsidP="00C442F7">
            <w:pPr>
              <w:rPr>
                <w:bCs/>
              </w:rPr>
            </w:pPr>
            <w:r w:rsidRPr="000A5025">
              <w:t>F27</w:t>
            </w:r>
          </w:p>
        </w:tc>
        <w:tc>
          <w:tcPr>
            <w:tcW w:w="2552" w:type="dxa"/>
          </w:tcPr>
          <w:p w14:paraId="45455BE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Automatic updates to eligibility criteria and data specifications</w:t>
            </w:r>
          </w:p>
        </w:tc>
        <w:tc>
          <w:tcPr>
            <w:tcW w:w="5387" w:type="dxa"/>
          </w:tcPr>
          <w:p w14:paraId="10E34F3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When data are automatically fed from administrative systems in participating facilities, registries shall provide automatic updates to those systems when changes to eligibility criteria or data specifications occur</w:t>
            </w:r>
            <w:r>
              <w:rPr>
                <w:bCs/>
              </w:rPr>
              <w:t>.</w:t>
            </w:r>
          </w:p>
        </w:tc>
      </w:tr>
      <w:tr w:rsidR="00C442F7" w:rsidRPr="002227F1" w14:paraId="60D284E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5E41437" w14:textId="77777777" w:rsidR="00C442F7" w:rsidRPr="002227F1" w:rsidRDefault="00C442F7" w:rsidP="00C442F7">
            <w:pPr>
              <w:rPr>
                <w:bCs/>
              </w:rPr>
            </w:pPr>
            <w:r w:rsidRPr="000A5025">
              <w:t>F28</w:t>
            </w:r>
          </w:p>
        </w:tc>
        <w:tc>
          <w:tcPr>
            <w:tcW w:w="2552" w:type="dxa"/>
          </w:tcPr>
          <w:p w14:paraId="09E8472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Scanning of simple data fields</w:t>
            </w:r>
          </w:p>
        </w:tc>
        <w:tc>
          <w:tcPr>
            <w:tcW w:w="5387" w:type="dxa"/>
          </w:tcPr>
          <w:p w14:paraId="2EFDFCA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allow for central or local scanning of simple data fields (e.g. </w:t>
            </w:r>
            <w:r>
              <w:rPr>
                <w:bCs/>
              </w:rPr>
              <w:t>c</w:t>
            </w:r>
            <w:r w:rsidRPr="002227F1">
              <w:rPr>
                <w:bCs/>
              </w:rPr>
              <w:t>heckboxes) in paper</w:t>
            </w:r>
            <w:r>
              <w:rPr>
                <w:bCs/>
              </w:rPr>
              <w:t>-</w:t>
            </w:r>
            <w:r w:rsidRPr="002227F1">
              <w:rPr>
                <w:bCs/>
              </w:rPr>
              <w:t>based capture to convert information to an electronic format</w:t>
            </w:r>
            <w:r>
              <w:rPr>
                <w:bCs/>
              </w:rPr>
              <w:t xml:space="preserve"> where possible.</w:t>
            </w:r>
          </w:p>
        </w:tc>
      </w:tr>
      <w:tr w:rsidR="00C442F7" w:rsidRPr="002227F1" w14:paraId="47D97520"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7429EBE" w14:textId="77777777" w:rsidR="00C442F7" w:rsidRPr="002227F1" w:rsidRDefault="00C442F7" w:rsidP="00C442F7">
            <w:pPr>
              <w:rPr>
                <w:bCs/>
              </w:rPr>
            </w:pPr>
            <w:r w:rsidRPr="000A5025">
              <w:t>F29</w:t>
            </w:r>
          </w:p>
        </w:tc>
        <w:tc>
          <w:tcPr>
            <w:tcW w:w="2552" w:type="dxa"/>
          </w:tcPr>
          <w:p w14:paraId="21D0914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Barcode scanning</w:t>
            </w:r>
          </w:p>
        </w:tc>
        <w:tc>
          <w:tcPr>
            <w:tcW w:w="5387" w:type="dxa"/>
          </w:tcPr>
          <w:p w14:paraId="59630C3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w:t>
            </w:r>
            <w:r>
              <w:rPr>
                <w:bCs/>
              </w:rPr>
              <w:t>may</w:t>
            </w:r>
            <w:r w:rsidRPr="002227F1">
              <w:rPr>
                <w:bCs/>
              </w:rPr>
              <w:t xml:space="preserve"> facilitate barcode scanning of patient identification labels on paper forms</w:t>
            </w:r>
            <w:r>
              <w:rPr>
                <w:bCs/>
              </w:rPr>
              <w:t>.</w:t>
            </w:r>
          </w:p>
        </w:tc>
      </w:tr>
      <w:tr w:rsidR="00C442F7" w:rsidRPr="002227F1" w14:paraId="5B703425"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C6F14DA" w14:textId="77777777" w:rsidR="00C442F7" w:rsidRPr="002227F1" w:rsidRDefault="00C442F7" w:rsidP="00C442F7">
            <w:pPr>
              <w:rPr>
                <w:bCs/>
              </w:rPr>
            </w:pPr>
            <w:r w:rsidRPr="000A5025">
              <w:t>F30</w:t>
            </w:r>
          </w:p>
        </w:tc>
        <w:tc>
          <w:tcPr>
            <w:tcW w:w="2552" w:type="dxa"/>
          </w:tcPr>
          <w:p w14:paraId="4C7FF34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Include automated data validity checks</w:t>
            </w:r>
          </w:p>
        </w:tc>
        <w:tc>
          <w:tcPr>
            <w:tcW w:w="5387" w:type="dxa"/>
          </w:tcPr>
          <w:p w14:paraId="63A5671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automated data validity checks supporting any required data entry such as drop</w:t>
            </w:r>
            <w:r>
              <w:rPr>
                <w:bCs/>
              </w:rPr>
              <w:t>-</w:t>
            </w:r>
            <w:r w:rsidRPr="002227F1">
              <w:rPr>
                <w:bCs/>
              </w:rPr>
              <w:t>down selections, nested drop</w:t>
            </w:r>
            <w:r>
              <w:rPr>
                <w:bCs/>
              </w:rPr>
              <w:t>-</w:t>
            </w:r>
            <w:r w:rsidRPr="002227F1">
              <w:rPr>
                <w:bCs/>
              </w:rPr>
              <w:t>downs, checkboxes, auto complete search clinical terminology, etc</w:t>
            </w:r>
            <w:r>
              <w:rPr>
                <w:bCs/>
              </w:rPr>
              <w:t>.</w:t>
            </w:r>
          </w:p>
        </w:tc>
      </w:tr>
      <w:tr w:rsidR="00C442F7" w:rsidRPr="002227F1" w14:paraId="076F9426"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A8D4D06" w14:textId="77777777" w:rsidR="00C442F7" w:rsidRPr="002227F1" w:rsidRDefault="00C442F7" w:rsidP="00C442F7">
            <w:pPr>
              <w:rPr>
                <w:bCs/>
              </w:rPr>
            </w:pPr>
            <w:r w:rsidRPr="000A5025">
              <w:t>F31</w:t>
            </w:r>
          </w:p>
        </w:tc>
        <w:tc>
          <w:tcPr>
            <w:tcW w:w="2552" w:type="dxa"/>
          </w:tcPr>
          <w:p w14:paraId="19D0DA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Download printable forms</w:t>
            </w:r>
          </w:p>
        </w:tc>
        <w:tc>
          <w:tcPr>
            <w:tcW w:w="5387" w:type="dxa"/>
          </w:tcPr>
          <w:p w14:paraId="7C55ECE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users to download printable forms to aid manual data collection</w:t>
            </w:r>
            <w:r>
              <w:rPr>
                <w:bCs/>
              </w:rPr>
              <w:t>.</w:t>
            </w:r>
          </w:p>
        </w:tc>
      </w:tr>
      <w:tr w:rsidR="00C442F7" w:rsidRPr="002227F1" w14:paraId="56342E7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E932AED" w14:textId="77777777" w:rsidR="00C442F7" w:rsidRPr="002227F1" w:rsidRDefault="00C442F7" w:rsidP="00C442F7">
            <w:pPr>
              <w:rPr>
                <w:bCs/>
              </w:rPr>
            </w:pPr>
            <w:r w:rsidRPr="000A5025">
              <w:lastRenderedPageBreak/>
              <w:t>F32</w:t>
            </w:r>
          </w:p>
        </w:tc>
        <w:tc>
          <w:tcPr>
            <w:tcW w:w="2552" w:type="dxa"/>
          </w:tcPr>
          <w:p w14:paraId="4EE2BDF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Offline forms</w:t>
            </w:r>
          </w:p>
        </w:tc>
        <w:tc>
          <w:tcPr>
            <w:tcW w:w="5387" w:type="dxa"/>
          </w:tcPr>
          <w:p w14:paraId="6B9F37F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Users shall be able to download offline forms for data entry</w:t>
            </w:r>
            <w:r>
              <w:rPr>
                <w:bCs/>
              </w:rPr>
              <w:t>.</w:t>
            </w:r>
          </w:p>
        </w:tc>
      </w:tr>
      <w:tr w:rsidR="00C442F7" w:rsidRPr="002227F1" w14:paraId="2518A49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AE77C99" w14:textId="77777777" w:rsidR="00C442F7" w:rsidRPr="002227F1" w:rsidRDefault="00C442F7" w:rsidP="00C442F7">
            <w:pPr>
              <w:rPr>
                <w:bCs/>
              </w:rPr>
            </w:pPr>
            <w:r w:rsidRPr="000A5025">
              <w:t>F33</w:t>
            </w:r>
          </w:p>
        </w:tc>
        <w:tc>
          <w:tcPr>
            <w:tcW w:w="2552" w:type="dxa"/>
          </w:tcPr>
          <w:p w14:paraId="0DA3CC9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OCR in scanning</w:t>
            </w:r>
          </w:p>
        </w:tc>
        <w:tc>
          <w:tcPr>
            <w:tcW w:w="5387" w:type="dxa"/>
          </w:tcPr>
          <w:p w14:paraId="5FED13A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The CQR </w:t>
            </w:r>
            <w:r>
              <w:rPr>
                <w:bCs/>
              </w:rPr>
              <w:t>shall</w:t>
            </w:r>
            <w:r w:rsidRPr="002227F1">
              <w:rPr>
                <w:bCs/>
              </w:rPr>
              <w:t xml:space="preserve"> facilitate OCR in scanning of paper forms</w:t>
            </w:r>
            <w:r>
              <w:rPr>
                <w:bCs/>
              </w:rPr>
              <w:t>.</w:t>
            </w:r>
          </w:p>
        </w:tc>
      </w:tr>
      <w:tr w:rsidR="00C442F7" w:rsidRPr="002227F1" w14:paraId="43561FBD"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D703A42" w14:textId="77777777" w:rsidR="00C442F7" w:rsidRPr="002227F1" w:rsidRDefault="00C442F7" w:rsidP="00C442F7">
            <w:pPr>
              <w:rPr>
                <w:bCs/>
              </w:rPr>
            </w:pPr>
            <w:r w:rsidRPr="000A5025">
              <w:t>F34</w:t>
            </w:r>
          </w:p>
        </w:tc>
        <w:tc>
          <w:tcPr>
            <w:tcW w:w="2552" w:type="dxa"/>
          </w:tcPr>
          <w:p w14:paraId="1577CF4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Logic checks and rules to guide efficient data entry</w:t>
            </w:r>
          </w:p>
        </w:tc>
        <w:tc>
          <w:tcPr>
            <w:tcW w:w="5387" w:type="dxa"/>
          </w:tcPr>
          <w:p w14:paraId="3058378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define business rules and logic checks that increase the efficiency of any data entry required</w:t>
            </w:r>
            <w:r>
              <w:rPr>
                <w:bCs/>
              </w:rPr>
              <w:t>.</w:t>
            </w:r>
          </w:p>
        </w:tc>
      </w:tr>
      <w:tr w:rsidR="00C442F7" w:rsidRPr="002227F1" w14:paraId="4363E29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A0C6143" w14:textId="77777777" w:rsidR="00C442F7" w:rsidRPr="002227F1" w:rsidRDefault="00C442F7" w:rsidP="00C442F7">
            <w:pPr>
              <w:rPr>
                <w:bCs/>
              </w:rPr>
            </w:pPr>
            <w:r w:rsidRPr="000A5025">
              <w:t>F35</w:t>
            </w:r>
          </w:p>
        </w:tc>
        <w:tc>
          <w:tcPr>
            <w:tcW w:w="2552" w:type="dxa"/>
          </w:tcPr>
          <w:p w14:paraId="27FC2BB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Storage of paper-based data sources</w:t>
            </w:r>
          </w:p>
        </w:tc>
        <w:tc>
          <w:tcPr>
            <w:tcW w:w="5387" w:type="dxa"/>
          </w:tcPr>
          <w:p w14:paraId="1027012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store electronic copies of paper-based data collection forms</w:t>
            </w:r>
            <w:r>
              <w:rPr>
                <w:bCs/>
              </w:rPr>
              <w:t>.</w:t>
            </w:r>
          </w:p>
        </w:tc>
      </w:tr>
      <w:tr w:rsidR="00C442F7" w:rsidRPr="002227F1" w14:paraId="1DBB7B85"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9F7FE16" w14:textId="77777777" w:rsidR="00C442F7" w:rsidRPr="002227F1" w:rsidRDefault="00C442F7" w:rsidP="00C442F7">
            <w:pPr>
              <w:rPr>
                <w:bCs/>
              </w:rPr>
            </w:pPr>
            <w:r w:rsidRPr="000A5025">
              <w:t>F36</w:t>
            </w:r>
          </w:p>
        </w:tc>
        <w:tc>
          <w:tcPr>
            <w:tcW w:w="2552" w:type="dxa"/>
          </w:tcPr>
          <w:p w14:paraId="69DB864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Define period for record update</w:t>
            </w:r>
          </w:p>
        </w:tc>
        <w:tc>
          <w:tcPr>
            <w:tcW w:w="5387" w:type="dxa"/>
          </w:tcPr>
          <w:p w14:paraId="25BB4E6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define the period in which an individual's record </w:t>
            </w:r>
            <w:r>
              <w:rPr>
                <w:bCs/>
              </w:rPr>
              <w:t>shall</w:t>
            </w:r>
            <w:r w:rsidRPr="002227F1">
              <w:rPr>
                <w:bCs/>
              </w:rPr>
              <w:t xml:space="preserve"> be updated or completed</w:t>
            </w:r>
            <w:r>
              <w:rPr>
                <w:bCs/>
              </w:rPr>
              <w:t>.</w:t>
            </w:r>
          </w:p>
        </w:tc>
      </w:tr>
      <w:tr w:rsidR="00C442F7" w:rsidRPr="002227F1" w14:paraId="43239692"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C7E5656" w14:textId="77777777" w:rsidR="00C442F7" w:rsidRPr="002227F1" w:rsidRDefault="00C442F7" w:rsidP="00C442F7">
            <w:pPr>
              <w:rPr>
                <w:bCs/>
              </w:rPr>
            </w:pPr>
            <w:r w:rsidRPr="000A5025">
              <w:t>F37</w:t>
            </w:r>
          </w:p>
        </w:tc>
        <w:tc>
          <w:tcPr>
            <w:tcW w:w="2552" w:type="dxa"/>
          </w:tcPr>
          <w:p w14:paraId="55C303D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Prompt when record incomplete</w:t>
            </w:r>
          </w:p>
        </w:tc>
        <w:tc>
          <w:tcPr>
            <w:tcW w:w="5387" w:type="dxa"/>
          </w:tcPr>
          <w:p w14:paraId="3577772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prompt a user when a record remains incomplete past the permitted duration for data collection/record update</w:t>
            </w:r>
            <w:r>
              <w:rPr>
                <w:bCs/>
              </w:rPr>
              <w:t>.</w:t>
            </w:r>
          </w:p>
        </w:tc>
      </w:tr>
      <w:tr w:rsidR="00C442F7" w:rsidRPr="002227F1" w14:paraId="66436F5E"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75432BC" w14:textId="77777777" w:rsidR="00C442F7" w:rsidRPr="002227F1" w:rsidRDefault="00C442F7" w:rsidP="00C442F7">
            <w:pPr>
              <w:rPr>
                <w:bCs/>
              </w:rPr>
            </w:pPr>
            <w:r w:rsidRPr="000A5025">
              <w:t>F38</w:t>
            </w:r>
          </w:p>
        </w:tc>
        <w:tc>
          <w:tcPr>
            <w:tcW w:w="2552" w:type="dxa"/>
          </w:tcPr>
          <w:p w14:paraId="042B2C0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Report of incomplete record</w:t>
            </w:r>
          </w:p>
        </w:tc>
        <w:tc>
          <w:tcPr>
            <w:tcW w:w="5387" w:type="dxa"/>
          </w:tcPr>
          <w:p w14:paraId="0744678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produce a report that identifies records that are incomplete past the permitted duration for data collection/record update</w:t>
            </w:r>
            <w:r>
              <w:rPr>
                <w:bCs/>
              </w:rPr>
              <w:t>.</w:t>
            </w:r>
          </w:p>
        </w:tc>
      </w:tr>
      <w:tr w:rsidR="00C442F7" w:rsidRPr="002227F1" w14:paraId="1FE0E32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4144922" w14:textId="77777777" w:rsidR="00C442F7" w:rsidRPr="002227F1" w:rsidRDefault="00C442F7" w:rsidP="00C442F7">
            <w:pPr>
              <w:rPr>
                <w:bCs/>
              </w:rPr>
            </w:pPr>
            <w:r w:rsidRPr="000A5025">
              <w:t>F39</w:t>
            </w:r>
          </w:p>
        </w:tc>
        <w:tc>
          <w:tcPr>
            <w:tcW w:w="2552" w:type="dxa"/>
          </w:tcPr>
          <w:p w14:paraId="59466AF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Download follow-up forms</w:t>
            </w:r>
          </w:p>
        </w:tc>
        <w:tc>
          <w:tcPr>
            <w:tcW w:w="5387" w:type="dxa"/>
          </w:tcPr>
          <w:p w14:paraId="7D82D98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users to download printable or offline forms to aid the collection of follow-up information</w:t>
            </w:r>
            <w:r>
              <w:rPr>
                <w:bCs/>
              </w:rPr>
              <w:t>.</w:t>
            </w:r>
          </w:p>
        </w:tc>
      </w:tr>
      <w:tr w:rsidR="00C442F7" w:rsidRPr="002227F1" w14:paraId="3ECB22D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177C682" w14:textId="77777777" w:rsidR="00C442F7" w:rsidRPr="002227F1" w:rsidRDefault="00C442F7" w:rsidP="00C442F7">
            <w:pPr>
              <w:rPr>
                <w:bCs/>
              </w:rPr>
            </w:pPr>
            <w:r w:rsidRPr="000A5025">
              <w:t>F40</w:t>
            </w:r>
          </w:p>
        </w:tc>
        <w:tc>
          <w:tcPr>
            <w:tcW w:w="2552" w:type="dxa"/>
          </w:tcPr>
          <w:p w14:paraId="3B07338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Lock record at case completion</w:t>
            </w:r>
          </w:p>
        </w:tc>
        <w:tc>
          <w:tcPr>
            <w:tcW w:w="5387" w:type="dxa"/>
          </w:tcPr>
          <w:p w14:paraId="1E51AF9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lock a record (to prevent it from being edited by local users) at the point of case completion once it has passed audit checks</w:t>
            </w:r>
            <w:r>
              <w:rPr>
                <w:bCs/>
              </w:rPr>
              <w:t>.</w:t>
            </w:r>
          </w:p>
        </w:tc>
      </w:tr>
      <w:tr w:rsidR="00C442F7" w:rsidRPr="002227F1" w14:paraId="341404E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204F8F6" w14:textId="77777777" w:rsidR="00C442F7" w:rsidRPr="002227F1" w:rsidRDefault="00C442F7" w:rsidP="00C442F7">
            <w:pPr>
              <w:rPr>
                <w:bCs/>
              </w:rPr>
            </w:pPr>
            <w:r w:rsidRPr="000A5025">
              <w:t>F41</w:t>
            </w:r>
          </w:p>
        </w:tc>
        <w:tc>
          <w:tcPr>
            <w:tcW w:w="2552" w:type="dxa"/>
          </w:tcPr>
          <w:p w14:paraId="63CFC13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Authorised users can unlock records</w:t>
            </w:r>
          </w:p>
        </w:tc>
        <w:tc>
          <w:tcPr>
            <w:tcW w:w="5387" w:type="dxa"/>
          </w:tcPr>
          <w:p w14:paraId="34336E1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authorised users to unlock records</w:t>
            </w:r>
            <w:r>
              <w:rPr>
                <w:bCs/>
              </w:rPr>
              <w:t>.</w:t>
            </w:r>
          </w:p>
        </w:tc>
      </w:tr>
      <w:tr w:rsidR="00C442F7" w:rsidRPr="002227F1" w14:paraId="3DD9F78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F0E19B7" w14:textId="77777777" w:rsidR="00C442F7" w:rsidRPr="002227F1" w:rsidRDefault="00C442F7" w:rsidP="00C442F7">
            <w:pPr>
              <w:rPr>
                <w:bCs/>
              </w:rPr>
            </w:pPr>
            <w:r w:rsidRPr="000A5025">
              <w:t>F42</w:t>
            </w:r>
          </w:p>
        </w:tc>
        <w:tc>
          <w:tcPr>
            <w:tcW w:w="2552" w:type="dxa"/>
          </w:tcPr>
          <w:p w14:paraId="5AFD79F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Workflows</w:t>
            </w:r>
          </w:p>
        </w:tc>
        <w:tc>
          <w:tcPr>
            <w:tcW w:w="5387" w:type="dxa"/>
          </w:tcPr>
          <w:p w14:paraId="493CD59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use of generic automated workflows</w:t>
            </w:r>
            <w:r>
              <w:rPr>
                <w:bCs/>
              </w:rPr>
              <w:t>.</w:t>
            </w:r>
          </w:p>
        </w:tc>
      </w:tr>
      <w:tr w:rsidR="00C442F7" w:rsidRPr="002227F1" w14:paraId="5684926D"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DFA3721" w14:textId="77777777" w:rsidR="00C442F7" w:rsidRPr="002227F1" w:rsidRDefault="00C442F7" w:rsidP="00C442F7">
            <w:pPr>
              <w:rPr>
                <w:bCs/>
              </w:rPr>
            </w:pPr>
            <w:r w:rsidRPr="000A5025">
              <w:t>F43</w:t>
            </w:r>
          </w:p>
        </w:tc>
        <w:tc>
          <w:tcPr>
            <w:tcW w:w="2552" w:type="dxa"/>
          </w:tcPr>
          <w:p w14:paraId="3321F09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Define logic checks</w:t>
            </w:r>
          </w:p>
        </w:tc>
        <w:tc>
          <w:tcPr>
            <w:tcW w:w="5387" w:type="dxa"/>
          </w:tcPr>
          <w:p w14:paraId="38169CA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define logic checks that constrain the information able to be entered into a field</w:t>
            </w:r>
            <w:r>
              <w:rPr>
                <w:bCs/>
              </w:rPr>
              <w:t>.</w:t>
            </w:r>
          </w:p>
        </w:tc>
      </w:tr>
      <w:tr w:rsidR="00C442F7" w:rsidRPr="002227F1" w14:paraId="23F5C8F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6F23EAF" w14:textId="77777777" w:rsidR="00C442F7" w:rsidRPr="002227F1" w:rsidRDefault="00C442F7" w:rsidP="00C442F7">
            <w:pPr>
              <w:rPr>
                <w:bCs/>
              </w:rPr>
            </w:pPr>
            <w:r w:rsidRPr="000A5025">
              <w:t>F44</w:t>
            </w:r>
          </w:p>
        </w:tc>
        <w:tc>
          <w:tcPr>
            <w:tcW w:w="2552" w:type="dxa"/>
          </w:tcPr>
          <w:p w14:paraId="065B86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In-built data validation checks</w:t>
            </w:r>
          </w:p>
        </w:tc>
        <w:tc>
          <w:tcPr>
            <w:tcW w:w="5387" w:type="dxa"/>
          </w:tcPr>
          <w:p w14:paraId="003C4A2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incorporate in-built data validation checks such as data range and context sensitive validation</w:t>
            </w:r>
            <w:r>
              <w:rPr>
                <w:bCs/>
              </w:rPr>
              <w:t>.</w:t>
            </w:r>
          </w:p>
        </w:tc>
      </w:tr>
      <w:tr w:rsidR="00C442F7" w:rsidRPr="002227F1" w14:paraId="7EA1273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72C26F8" w14:textId="77777777" w:rsidR="00C442F7" w:rsidRPr="002227F1" w:rsidRDefault="00C442F7" w:rsidP="00C442F7">
            <w:pPr>
              <w:rPr>
                <w:bCs/>
              </w:rPr>
            </w:pPr>
            <w:r w:rsidRPr="000A5025">
              <w:t>F45</w:t>
            </w:r>
          </w:p>
        </w:tc>
        <w:tc>
          <w:tcPr>
            <w:tcW w:w="2552" w:type="dxa"/>
          </w:tcPr>
          <w:p w14:paraId="63DFBB8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Record reason for overriding validity checks</w:t>
            </w:r>
          </w:p>
        </w:tc>
        <w:tc>
          <w:tcPr>
            <w:tcW w:w="5387" w:type="dxa"/>
          </w:tcPr>
          <w:p w14:paraId="192A162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allow users to override validity constraints and annotate the reason for this action</w:t>
            </w:r>
            <w:r>
              <w:rPr>
                <w:bCs/>
              </w:rPr>
              <w:t xml:space="preserve"> or allow ‘other’ responses where applicable.</w:t>
            </w:r>
          </w:p>
        </w:tc>
      </w:tr>
      <w:tr w:rsidR="00C442F7" w:rsidRPr="002227F1" w14:paraId="7975B44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76A60A5" w14:textId="77777777" w:rsidR="00C442F7" w:rsidRPr="002227F1" w:rsidRDefault="00C442F7" w:rsidP="00C442F7">
            <w:pPr>
              <w:rPr>
                <w:bCs/>
              </w:rPr>
            </w:pPr>
            <w:r w:rsidRPr="000A5025">
              <w:t>F46</w:t>
            </w:r>
          </w:p>
        </w:tc>
        <w:tc>
          <w:tcPr>
            <w:tcW w:w="2552" w:type="dxa"/>
          </w:tcPr>
          <w:p w14:paraId="170A509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Probabilistic matching</w:t>
            </w:r>
          </w:p>
        </w:tc>
        <w:tc>
          <w:tcPr>
            <w:tcW w:w="5387" w:type="dxa"/>
          </w:tcPr>
          <w:p w14:paraId="01C18E1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w:t>
            </w:r>
            <w:r>
              <w:rPr>
                <w:bCs/>
              </w:rPr>
              <w:t xml:space="preserve">may </w:t>
            </w:r>
            <w:r w:rsidRPr="002227F1">
              <w:rPr>
                <w:bCs/>
              </w:rPr>
              <w:t>support probabilistic matching of identifying information against existing registry data</w:t>
            </w:r>
            <w:r>
              <w:rPr>
                <w:bCs/>
              </w:rPr>
              <w:t>.</w:t>
            </w:r>
          </w:p>
        </w:tc>
      </w:tr>
      <w:tr w:rsidR="00C442F7" w:rsidRPr="002227F1" w14:paraId="48E4A0B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3927F36" w14:textId="77777777" w:rsidR="00C442F7" w:rsidRPr="002227F1" w:rsidRDefault="00C442F7" w:rsidP="00C442F7">
            <w:pPr>
              <w:rPr>
                <w:bCs/>
              </w:rPr>
            </w:pPr>
            <w:r w:rsidRPr="000A5025">
              <w:lastRenderedPageBreak/>
              <w:t>F47</w:t>
            </w:r>
          </w:p>
        </w:tc>
        <w:tc>
          <w:tcPr>
            <w:tcW w:w="2552" w:type="dxa"/>
          </w:tcPr>
          <w:p w14:paraId="1626FC7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Search identifiers to reduce duplicate records</w:t>
            </w:r>
          </w:p>
        </w:tc>
        <w:tc>
          <w:tcPr>
            <w:tcW w:w="5387" w:type="dxa"/>
          </w:tcPr>
          <w:p w14:paraId="70B0C78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allow authorised users to search patient</w:t>
            </w:r>
            <w:r>
              <w:rPr>
                <w:bCs/>
              </w:rPr>
              <w:t>-</w:t>
            </w:r>
            <w:r w:rsidRPr="002227F1">
              <w:rPr>
                <w:bCs/>
              </w:rPr>
              <w:t>identifying information to reduce duplicates at the point of data entry</w:t>
            </w:r>
            <w:r>
              <w:rPr>
                <w:bCs/>
              </w:rPr>
              <w:t>.</w:t>
            </w:r>
          </w:p>
        </w:tc>
      </w:tr>
      <w:tr w:rsidR="00C442F7" w:rsidRPr="002227F1" w14:paraId="1C68367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5F6C914" w14:textId="77777777" w:rsidR="00C442F7" w:rsidRPr="002227F1" w:rsidRDefault="00C442F7" w:rsidP="00C442F7">
            <w:pPr>
              <w:rPr>
                <w:bCs/>
              </w:rPr>
            </w:pPr>
            <w:r w:rsidRPr="000A5025">
              <w:t>F48</w:t>
            </w:r>
          </w:p>
        </w:tc>
        <w:tc>
          <w:tcPr>
            <w:tcW w:w="2552" w:type="dxa"/>
          </w:tcPr>
          <w:p w14:paraId="678CBF0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Consistency of data from different sources</w:t>
            </w:r>
          </w:p>
        </w:tc>
        <w:tc>
          <w:tcPr>
            <w:tcW w:w="5387" w:type="dxa"/>
          </w:tcPr>
          <w:p w14:paraId="1D88992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produce report</w:t>
            </w:r>
            <w:r>
              <w:rPr>
                <w:bCs/>
              </w:rPr>
              <w:t>s</w:t>
            </w:r>
            <w:r w:rsidRPr="002227F1">
              <w:rPr>
                <w:bCs/>
              </w:rPr>
              <w:t xml:space="preserve"> on the consistency of data obtained through different sources, such as data entry versus checks against other data sources</w:t>
            </w:r>
            <w:r>
              <w:rPr>
                <w:bCs/>
              </w:rPr>
              <w:t>.</w:t>
            </w:r>
          </w:p>
        </w:tc>
      </w:tr>
      <w:tr w:rsidR="00C442F7" w:rsidRPr="002227F1" w14:paraId="1E6E28D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4FDA5FA" w14:textId="77777777" w:rsidR="00C442F7" w:rsidRPr="002227F1" w:rsidRDefault="00C442F7" w:rsidP="00C442F7">
            <w:pPr>
              <w:rPr>
                <w:bCs/>
              </w:rPr>
            </w:pPr>
            <w:r w:rsidRPr="000A5025">
              <w:t>F49</w:t>
            </w:r>
          </w:p>
        </w:tc>
        <w:tc>
          <w:tcPr>
            <w:tcW w:w="2552" w:type="dxa"/>
          </w:tcPr>
          <w:p w14:paraId="71D55D9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Audit for accuracy against source</w:t>
            </w:r>
          </w:p>
        </w:tc>
        <w:tc>
          <w:tcPr>
            <w:tcW w:w="5387" w:type="dxa"/>
          </w:tcPr>
          <w:p w14:paraId="2174F1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w:t>
            </w:r>
            <w:r>
              <w:rPr>
                <w:bCs/>
              </w:rPr>
              <w:t xml:space="preserve"> </w:t>
            </w:r>
            <w:r w:rsidRPr="002227F1">
              <w:rPr>
                <w:bCs/>
              </w:rPr>
              <w:t>check data accuracy in a sample of cases using audits against source records</w:t>
            </w:r>
            <w:r>
              <w:rPr>
                <w:bCs/>
              </w:rPr>
              <w:t>.</w:t>
            </w:r>
          </w:p>
        </w:tc>
      </w:tr>
      <w:tr w:rsidR="00C442F7" w:rsidRPr="002227F1" w14:paraId="33A9A9B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3224768" w14:textId="77777777" w:rsidR="00C442F7" w:rsidRPr="002227F1" w:rsidRDefault="00C442F7" w:rsidP="00C442F7">
            <w:pPr>
              <w:rPr>
                <w:bCs/>
              </w:rPr>
            </w:pPr>
            <w:r w:rsidRPr="000A5025">
              <w:t>F50</w:t>
            </w:r>
          </w:p>
        </w:tc>
        <w:tc>
          <w:tcPr>
            <w:tcW w:w="2552" w:type="dxa"/>
          </w:tcPr>
          <w:p w14:paraId="551A1F3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Double entry to check accuracy</w:t>
            </w:r>
          </w:p>
        </w:tc>
        <w:tc>
          <w:tcPr>
            <w:tcW w:w="5387" w:type="dxa"/>
          </w:tcPr>
          <w:p w14:paraId="662BA6C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Users shall be able to double enter patient information to check the accuracy of data entry</w:t>
            </w:r>
            <w:r>
              <w:rPr>
                <w:bCs/>
              </w:rPr>
              <w:t>.</w:t>
            </w:r>
          </w:p>
        </w:tc>
      </w:tr>
      <w:tr w:rsidR="00C442F7" w:rsidRPr="002227F1" w14:paraId="6ED67F9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EE166CB" w14:textId="77777777" w:rsidR="00C442F7" w:rsidRPr="002227F1" w:rsidRDefault="00C442F7" w:rsidP="00C442F7">
            <w:pPr>
              <w:rPr>
                <w:bCs/>
              </w:rPr>
            </w:pPr>
            <w:r w:rsidRPr="000A5025">
              <w:t>F51</w:t>
            </w:r>
          </w:p>
        </w:tc>
        <w:tc>
          <w:tcPr>
            <w:tcW w:w="2552" w:type="dxa"/>
          </w:tcPr>
          <w:p w14:paraId="783136E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Identification of sample for audit</w:t>
            </w:r>
          </w:p>
        </w:tc>
        <w:tc>
          <w:tcPr>
            <w:tcW w:w="5387" w:type="dxa"/>
          </w:tcPr>
          <w:p w14:paraId="131384B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identify a random sample of cases in which to conduct audits against source records</w:t>
            </w:r>
            <w:r>
              <w:rPr>
                <w:bCs/>
              </w:rPr>
              <w:t>.</w:t>
            </w:r>
          </w:p>
        </w:tc>
      </w:tr>
      <w:tr w:rsidR="00C442F7" w:rsidRPr="002227F1" w14:paraId="54116E1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5E9EFBE" w14:textId="77777777" w:rsidR="00C442F7" w:rsidRPr="002227F1" w:rsidRDefault="00C442F7" w:rsidP="00C442F7">
            <w:pPr>
              <w:rPr>
                <w:bCs/>
              </w:rPr>
            </w:pPr>
            <w:r w:rsidRPr="000A5025">
              <w:t>F52</w:t>
            </w:r>
          </w:p>
        </w:tc>
        <w:tc>
          <w:tcPr>
            <w:tcW w:w="2552" w:type="dxa"/>
          </w:tcPr>
          <w:p w14:paraId="6A9F19B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Feedback on data quality</w:t>
            </w:r>
          </w:p>
        </w:tc>
        <w:tc>
          <w:tcPr>
            <w:tcW w:w="5387" w:type="dxa"/>
          </w:tcPr>
          <w:p w14:paraId="74AAB5E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produce reports to users about the quality of data collected based on data quality standards</w:t>
            </w:r>
            <w:r>
              <w:rPr>
                <w:bCs/>
              </w:rPr>
              <w:t>.</w:t>
            </w:r>
          </w:p>
        </w:tc>
      </w:tr>
      <w:tr w:rsidR="00C442F7" w:rsidRPr="002227F1" w14:paraId="4C1D0202"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BB9E025" w14:textId="77777777" w:rsidR="00C442F7" w:rsidRPr="002227F1" w:rsidRDefault="00C442F7" w:rsidP="00C442F7">
            <w:pPr>
              <w:rPr>
                <w:bCs/>
              </w:rPr>
            </w:pPr>
            <w:r w:rsidRPr="000A5025">
              <w:t>F53</w:t>
            </w:r>
          </w:p>
        </w:tc>
        <w:tc>
          <w:tcPr>
            <w:tcW w:w="2552" w:type="dxa"/>
          </w:tcPr>
          <w:p w14:paraId="64D8B9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Production of audit reports</w:t>
            </w:r>
          </w:p>
        </w:tc>
        <w:tc>
          <w:tcPr>
            <w:tcW w:w="5387" w:type="dxa"/>
          </w:tcPr>
          <w:p w14:paraId="694661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provide reports on the outcome of data audit checks by case, episode or facility</w:t>
            </w:r>
            <w:r>
              <w:rPr>
                <w:bCs/>
              </w:rPr>
              <w:t>.</w:t>
            </w:r>
          </w:p>
        </w:tc>
      </w:tr>
      <w:tr w:rsidR="00C442F7" w:rsidRPr="002227F1" w14:paraId="3C6F114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FE2E55D" w14:textId="77777777" w:rsidR="00C442F7" w:rsidRPr="002227F1" w:rsidRDefault="00C442F7" w:rsidP="00C442F7">
            <w:pPr>
              <w:rPr>
                <w:bCs/>
              </w:rPr>
            </w:pPr>
            <w:r w:rsidRPr="000A5025">
              <w:t>F54</w:t>
            </w:r>
          </w:p>
        </w:tc>
        <w:tc>
          <w:tcPr>
            <w:tcW w:w="2552" w:type="dxa"/>
          </w:tcPr>
          <w:p w14:paraId="0E85E41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Feedback on data entry error rates</w:t>
            </w:r>
          </w:p>
        </w:tc>
        <w:tc>
          <w:tcPr>
            <w:tcW w:w="5387" w:type="dxa"/>
          </w:tcPr>
          <w:p w14:paraId="418B64B9"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provide reports to users about their </w:t>
            </w:r>
            <w:r>
              <w:rPr>
                <w:bCs/>
              </w:rPr>
              <w:t xml:space="preserve">missing </w:t>
            </w:r>
            <w:r w:rsidRPr="002227F1">
              <w:rPr>
                <w:bCs/>
              </w:rPr>
              <w:t>data rates</w:t>
            </w:r>
            <w:r>
              <w:rPr>
                <w:bCs/>
              </w:rPr>
              <w:t>.</w:t>
            </w:r>
          </w:p>
          <w:p w14:paraId="1BA3F369" w14:textId="77777777" w:rsidR="00C442F7"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R</w:t>
            </w:r>
            <w:r w:rsidRPr="004603F5">
              <w:rPr>
                <w:bCs/>
              </w:rPr>
              <w:t xml:space="preserve">egistries </w:t>
            </w:r>
            <w:r>
              <w:rPr>
                <w:bCs/>
              </w:rPr>
              <w:t>shall</w:t>
            </w:r>
            <w:r w:rsidRPr="004603F5">
              <w:rPr>
                <w:bCs/>
              </w:rPr>
              <w:t xml:space="preserve"> be able to produce reports which demonstrate </w:t>
            </w:r>
            <w:r w:rsidRPr="00380EE4">
              <w:t>case ascertainment</w:t>
            </w:r>
            <w:r>
              <w:rPr>
                <w:bCs/>
              </w:rPr>
              <w:t xml:space="preserve"> </w:t>
            </w:r>
            <w:r w:rsidRPr="004603F5">
              <w:rPr>
                <w:bCs/>
              </w:rPr>
              <w:t>when compared to other data sources and highlight missing cases for data entry.</w:t>
            </w:r>
          </w:p>
          <w:p w14:paraId="7BBDD3B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AD581D">
              <w:rPr>
                <w:bCs/>
              </w:rPr>
              <w:t xml:space="preserve">Registries </w:t>
            </w:r>
            <w:r>
              <w:rPr>
                <w:bCs/>
              </w:rPr>
              <w:t>shall</w:t>
            </w:r>
            <w:r w:rsidRPr="00AD581D">
              <w:rPr>
                <w:bCs/>
              </w:rPr>
              <w:t xml:space="preserve"> be able to produce reports which highlight cases where not all data elements have been completed, to improve </w:t>
            </w:r>
            <w:r w:rsidRPr="00380EE4">
              <w:t>case completeness</w:t>
            </w:r>
            <w:r w:rsidRPr="00AD581D">
              <w:rPr>
                <w:bCs/>
              </w:rPr>
              <w:t>.</w:t>
            </w:r>
          </w:p>
        </w:tc>
      </w:tr>
      <w:tr w:rsidR="00C442F7" w:rsidRPr="002227F1" w14:paraId="782A31F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BF5D04B" w14:textId="77777777" w:rsidR="00C442F7" w:rsidRPr="002227F1" w:rsidRDefault="00C442F7" w:rsidP="00C442F7">
            <w:pPr>
              <w:rPr>
                <w:bCs/>
              </w:rPr>
            </w:pPr>
            <w:r w:rsidRPr="000A5025">
              <w:t>F55</w:t>
            </w:r>
          </w:p>
        </w:tc>
        <w:tc>
          <w:tcPr>
            <w:tcW w:w="2552" w:type="dxa"/>
          </w:tcPr>
          <w:p w14:paraId="7044936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Different report formats</w:t>
            </w:r>
          </w:p>
        </w:tc>
        <w:tc>
          <w:tcPr>
            <w:tcW w:w="5387" w:type="dxa"/>
          </w:tcPr>
          <w:p w14:paraId="11D6CAA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Authorised users will be able to print reports, and/or save the results in HTML, PDF and other formats such as </w:t>
            </w:r>
            <w:r>
              <w:rPr>
                <w:bCs/>
              </w:rPr>
              <w:t>XML</w:t>
            </w:r>
            <w:r w:rsidRPr="002227F1">
              <w:rPr>
                <w:bCs/>
              </w:rPr>
              <w:t xml:space="preserve"> that support local analysis</w:t>
            </w:r>
            <w:r>
              <w:rPr>
                <w:bCs/>
              </w:rPr>
              <w:t>.</w:t>
            </w:r>
          </w:p>
        </w:tc>
      </w:tr>
      <w:tr w:rsidR="00C442F7" w:rsidRPr="002227F1" w14:paraId="5506A824"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5CC2994" w14:textId="77777777" w:rsidR="00C442F7" w:rsidRPr="002227F1" w:rsidRDefault="00C442F7" w:rsidP="00C442F7">
            <w:pPr>
              <w:rPr>
                <w:bCs/>
              </w:rPr>
            </w:pPr>
            <w:r w:rsidRPr="000A5025">
              <w:t>F56</w:t>
            </w:r>
          </w:p>
        </w:tc>
        <w:tc>
          <w:tcPr>
            <w:tcW w:w="2552" w:type="dxa"/>
          </w:tcPr>
          <w:p w14:paraId="0463B98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Access to restricted reports</w:t>
            </w:r>
          </w:p>
        </w:tc>
        <w:tc>
          <w:tcPr>
            <w:tcW w:w="5387" w:type="dxa"/>
          </w:tcPr>
          <w:p w14:paraId="00D0602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implement business rules and special permissions relating to access for restricted reports</w:t>
            </w:r>
            <w:r>
              <w:rPr>
                <w:bCs/>
              </w:rPr>
              <w:t>.</w:t>
            </w:r>
          </w:p>
        </w:tc>
      </w:tr>
      <w:tr w:rsidR="00C442F7" w:rsidRPr="002227F1" w14:paraId="3D27735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B6D4857" w14:textId="77777777" w:rsidR="00C442F7" w:rsidRPr="002227F1" w:rsidRDefault="00C442F7" w:rsidP="00C442F7">
            <w:pPr>
              <w:rPr>
                <w:bCs/>
              </w:rPr>
            </w:pPr>
            <w:r w:rsidRPr="000A5025">
              <w:t>F57</w:t>
            </w:r>
          </w:p>
        </w:tc>
        <w:tc>
          <w:tcPr>
            <w:tcW w:w="2552" w:type="dxa"/>
          </w:tcPr>
          <w:p w14:paraId="2A7D20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Secure access to reporting from central registry</w:t>
            </w:r>
          </w:p>
        </w:tc>
        <w:tc>
          <w:tcPr>
            <w:tcW w:w="5387" w:type="dxa"/>
          </w:tcPr>
          <w:p w14:paraId="1D43628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Authorised users shall be able to access reports from the central CQR, for which they have access rights, through a secure portal</w:t>
            </w:r>
            <w:r>
              <w:rPr>
                <w:bCs/>
              </w:rPr>
              <w:t>.</w:t>
            </w:r>
          </w:p>
        </w:tc>
      </w:tr>
      <w:tr w:rsidR="00C442F7" w:rsidRPr="002227F1" w14:paraId="6CDA30D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D7FAC97" w14:textId="77777777" w:rsidR="00C442F7" w:rsidRPr="002227F1" w:rsidRDefault="00C442F7" w:rsidP="00C442F7">
            <w:pPr>
              <w:rPr>
                <w:bCs/>
              </w:rPr>
            </w:pPr>
            <w:r w:rsidRPr="000A5025">
              <w:t>F58</w:t>
            </w:r>
          </w:p>
        </w:tc>
        <w:tc>
          <w:tcPr>
            <w:tcW w:w="2552" w:type="dxa"/>
          </w:tcPr>
          <w:p w14:paraId="160CDF3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Record authorisation to provide identifiable data</w:t>
            </w:r>
          </w:p>
        </w:tc>
        <w:tc>
          <w:tcPr>
            <w:tcW w:w="5387" w:type="dxa"/>
          </w:tcPr>
          <w:p w14:paraId="06DD24D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record authorisation details when providing identifiable information to external parties</w:t>
            </w:r>
            <w:r>
              <w:rPr>
                <w:bCs/>
              </w:rPr>
              <w:t>.</w:t>
            </w:r>
          </w:p>
        </w:tc>
      </w:tr>
      <w:tr w:rsidR="00C442F7" w:rsidRPr="002227F1" w14:paraId="4FE9392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9910D9D" w14:textId="77777777" w:rsidR="00C442F7" w:rsidRPr="002227F1" w:rsidRDefault="00C442F7" w:rsidP="00C442F7">
            <w:pPr>
              <w:rPr>
                <w:bCs/>
              </w:rPr>
            </w:pPr>
            <w:r w:rsidRPr="000A5025">
              <w:lastRenderedPageBreak/>
              <w:t>F59</w:t>
            </w:r>
          </w:p>
        </w:tc>
        <w:tc>
          <w:tcPr>
            <w:tcW w:w="2552" w:type="dxa"/>
          </w:tcPr>
          <w:p w14:paraId="1CC4019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Web access to reports</w:t>
            </w:r>
          </w:p>
        </w:tc>
        <w:tc>
          <w:tcPr>
            <w:tcW w:w="5387" w:type="dxa"/>
          </w:tcPr>
          <w:p w14:paraId="267E21F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secure access for authorised users to standard and ad hoc reports produced by registry staff via a secure web interface</w:t>
            </w:r>
            <w:r>
              <w:rPr>
                <w:bCs/>
              </w:rPr>
              <w:t>.</w:t>
            </w:r>
          </w:p>
        </w:tc>
      </w:tr>
      <w:tr w:rsidR="00C442F7" w:rsidRPr="002227F1" w14:paraId="7B1C5D1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1433B47" w14:textId="77777777" w:rsidR="00C442F7" w:rsidRPr="002227F1" w:rsidRDefault="00C442F7" w:rsidP="00C442F7">
            <w:pPr>
              <w:rPr>
                <w:bCs/>
              </w:rPr>
            </w:pPr>
            <w:r w:rsidRPr="000A5025">
              <w:t>F60</w:t>
            </w:r>
          </w:p>
        </w:tc>
        <w:tc>
          <w:tcPr>
            <w:tcW w:w="2552" w:type="dxa"/>
          </w:tcPr>
          <w:p w14:paraId="4B45FB0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Patient summary</w:t>
            </w:r>
          </w:p>
        </w:tc>
        <w:tc>
          <w:tcPr>
            <w:tcW w:w="5387" w:type="dxa"/>
          </w:tcPr>
          <w:p w14:paraId="56BBBBB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Users shall be able to produce an abstract of information included in the registry that pertains to an individual patient</w:t>
            </w:r>
            <w:r>
              <w:rPr>
                <w:bCs/>
              </w:rPr>
              <w:t>.</w:t>
            </w:r>
          </w:p>
        </w:tc>
      </w:tr>
      <w:tr w:rsidR="00C442F7" w:rsidRPr="002227F1" w14:paraId="2DA4E1B9"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A2B91B3" w14:textId="77777777" w:rsidR="00C442F7" w:rsidRPr="002227F1" w:rsidRDefault="00C442F7" w:rsidP="00C442F7">
            <w:pPr>
              <w:rPr>
                <w:bCs/>
              </w:rPr>
            </w:pPr>
            <w:r w:rsidRPr="000A5025">
              <w:t>F61</w:t>
            </w:r>
          </w:p>
        </w:tc>
        <w:tc>
          <w:tcPr>
            <w:tcW w:w="2552" w:type="dxa"/>
          </w:tcPr>
          <w:p w14:paraId="448133C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Generate standard reports</w:t>
            </w:r>
          </w:p>
        </w:tc>
        <w:tc>
          <w:tcPr>
            <w:tcW w:w="5387" w:type="dxa"/>
          </w:tcPr>
          <w:p w14:paraId="2BAD2D0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generate scheduled/routine standard reports</w:t>
            </w:r>
            <w:r>
              <w:rPr>
                <w:bCs/>
              </w:rPr>
              <w:t xml:space="preserve"> that may</w:t>
            </w:r>
            <w:r w:rsidRPr="002227F1">
              <w:rPr>
                <w:bCs/>
              </w:rPr>
              <w:t xml:space="preserve"> be </w:t>
            </w:r>
            <w:r>
              <w:rPr>
                <w:bCs/>
              </w:rPr>
              <w:t>reviewed by</w:t>
            </w:r>
            <w:r w:rsidRPr="002227F1">
              <w:rPr>
                <w:bCs/>
              </w:rPr>
              <w:t xml:space="preserve"> identified institutions and clinicians</w:t>
            </w:r>
            <w:r>
              <w:rPr>
                <w:bCs/>
              </w:rPr>
              <w:t>.</w:t>
            </w:r>
          </w:p>
        </w:tc>
      </w:tr>
      <w:tr w:rsidR="00C442F7" w:rsidRPr="002227F1" w14:paraId="50A1E076"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97445EF" w14:textId="77777777" w:rsidR="00C442F7" w:rsidRPr="002227F1" w:rsidRDefault="00C442F7" w:rsidP="00C442F7">
            <w:pPr>
              <w:rPr>
                <w:bCs/>
              </w:rPr>
            </w:pPr>
            <w:r w:rsidRPr="000A5025">
              <w:t>F62</w:t>
            </w:r>
          </w:p>
        </w:tc>
        <w:tc>
          <w:tcPr>
            <w:tcW w:w="2552" w:type="dxa"/>
          </w:tcPr>
          <w:p w14:paraId="6CAB9F7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Scheduled reporting</w:t>
            </w:r>
          </w:p>
        </w:tc>
        <w:tc>
          <w:tcPr>
            <w:tcW w:w="5387" w:type="dxa"/>
          </w:tcPr>
          <w:p w14:paraId="0F126B0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authorised users to produce scheduled reports through selection from available reports, parameters and pre-set frequencies (for example, weekly)</w:t>
            </w:r>
            <w:r>
              <w:rPr>
                <w:bCs/>
              </w:rPr>
              <w:t>.</w:t>
            </w:r>
          </w:p>
        </w:tc>
      </w:tr>
      <w:tr w:rsidR="00C442F7" w:rsidRPr="002227F1" w14:paraId="01ED21B9"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D2CE9AE" w14:textId="77777777" w:rsidR="00C442F7" w:rsidRPr="002227F1" w:rsidRDefault="00C442F7" w:rsidP="00C442F7">
            <w:pPr>
              <w:rPr>
                <w:bCs/>
              </w:rPr>
            </w:pPr>
            <w:r w:rsidRPr="000A5025">
              <w:t>F63</w:t>
            </w:r>
          </w:p>
        </w:tc>
        <w:tc>
          <w:tcPr>
            <w:tcW w:w="2552" w:type="dxa"/>
          </w:tcPr>
          <w:p w14:paraId="6F0D97B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Individual facility reports</w:t>
            </w:r>
          </w:p>
        </w:tc>
        <w:tc>
          <w:tcPr>
            <w:tcW w:w="5387" w:type="dxa"/>
          </w:tcPr>
          <w:p w14:paraId="778344A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produce reports for a facility that contains only data that they have contributed.  These reports may contain identified data</w:t>
            </w:r>
            <w:r>
              <w:rPr>
                <w:bCs/>
              </w:rPr>
              <w:t>.</w:t>
            </w:r>
          </w:p>
        </w:tc>
      </w:tr>
      <w:tr w:rsidR="00C442F7" w:rsidRPr="002227F1" w14:paraId="27809090"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133571B" w14:textId="77777777" w:rsidR="00C442F7" w:rsidRPr="002227F1" w:rsidRDefault="00C442F7" w:rsidP="00C442F7">
            <w:pPr>
              <w:rPr>
                <w:bCs/>
              </w:rPr>
            </w:pPr>
            <w:r w:rsidRPr="000A5025">
              <w:t>F64</w:t>
            </w:r>
          </w:p>
        </w:tc>
        <w:tc>
          <w:tcPr>
            <w:tcW w:w="2552" w:type="dxa"/>
          </w:tcPr>
          <w:p w14:paraId="29A1505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Benchmark reports</w:t>
            </w:r>
          </w:p>
        </w:tc>
        <w:tc>
          <w:tcPr>
            <w:tcW w:w="5387" w:type="dxa"/>
          </w:tcPr>
          <w:p w14:paraId="2C933C6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produce reports that enable comparisons of de-identified aggregated data against peer group benchmarks by facilities and by regions (including by jurisdiction and national level).</w:t>
            </w:r>
          </w:p>
        </w:tc>
      </w:tr>
      <w:tr w:rsidR="00C442F7" w:rsidRPr="002227F1" w14:paraId="6ED24D29"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A369BB0" w14:textId="77777777" w:rsidR="00C442F7" w:rsidRPr="002227F1" w:rsidRDefault="00C442F7" w:rsidP="00C442F7">
            <w:pPr>
              <w:rPr>
                <w:bCs/>
              </w:rPr>
            </w:pPr>
            <w:r w:rsidRPr="000A5025">
              <w:t>F65</w:t>
            </w:r>
          </w:p>
        </w:tc>
        <w:tc>
          <w:tcPr>
            <w:tcW w:w="2552" w:type="dxa"/>
          </w:tcPr>
          <w:p w14:paraId="6BFF6B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Clinical and epidemiological reporting</w:t>
            </w:r>
          </w:p>
        </w:tc>
        <w:tc>
          <w:tcPr>
            <w:tcW w:w="5387" w:type="dxa"/>
          </w:tcPr>
          <w:p w14:paraId="40C55EC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clinical and epidemiological reporting</w:t>
            </w:r>
            <w:r>
              <w:rPr>
                <w:bCs/>
              </w:rPr>
              <w:t>.</w:t>
            </w:r>
          </w:p>
        </w:tc>
      </w:tr>
      <w:tr w:rsidR="00C442F7" w:rsidRPr="002227F1" w14:paraId="0E11EE5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4E71FAC" w14:textId="77777777" w:rsidR="00C442F7" w:rsidRPr="002227F1" w:rsidRDefault="00C442F7" w:rsidP="00C442F7">
            <w:pPr>
              <w:rPr>
                <w:bCs/>
              </w:rPr>
            </w:pPr>
            <w:r w:rsidRPr="000A5025">
              <w:t>F66</w:t>
            </w:r>
          </w:p>
        </w:tc>
        <w:tc>
          <w:tcPr>
            <w:tcW w:w="2552" w:type="dxa"/>
          </w:tcPr>
          <w:p w14:paraId="01B6D40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Coverage of eligible population report</w:t>
            </w:r>
          </w:p>
        </w:tc>
        <w:tc>
          <w:tcPr>
            <w:tcW w:w="5387" w:type="dxa"/>
          </w:tcPr>
          <w:p w14:paraId="5DF1533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produce a standard report on the proportion of eligible patients participating in the registry (by facility and region) against </w:t>
            </w:r>
            <w:r>
              <w:rPr>
                <w:bCs/>
              </w:rPr>
              <w:t xml:space="preserve">an </w:t>
            </w:r>
            <w:r w:rsidRPr="002227F1">
              <w:rPr>
                <w:bCs/>
              </w:rPr>
              <w:t>indicator</w:t>
            </w:r>
            <w:r>
              <w:rPr>
                <w:bCs/>
              </w:rPr>
              <w:t>, where the denominator is known.</w:t>
            </w:r>
          </w:p>
        </w:tc>
      </w:tr>
      <w:tr w:rsidR="00C442F7" w:rsidRPr="002227F1" w14:paraId="0D7CBA1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0F1B1DC" w14:textId="77777777" w:rsidR="00C442F7" w:rsidRPr="002227F1" w:rsidRDefault="00C442F7" w:rsidP="00C442F7">
            <w:pPr>
              <w:rPr>
                <w:bCs/>
              </w:rPr>
            </w:pPr>
            <w:r w:rsidRPr="000A5025">
              <w:t>F67</w:t>
            </w:r>
          </w:p>
        </w:tc>
        <w:tc>
          <w:tcPr>
            <w:tcW w:w="2552" w:type="dxa"/>
          </w:tcPr>
          <w:p w14:paraId="3341237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Contributing units can produce centrally configured reports</w:t>
            </w:r>
          </w:p>
        </w:tc>
        <w:tc>
          <w:tcPr>
            <w:tcW w:w="5387" w:type="dxa"/>
          </w:tcPr>
          <w:p w14:paraId="64FB08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authorised users in participating units/institutions and jurisdictions to produce centrally configured reports of their own unit's/institution</w:t>
            </w:r>
            <w:r>
              <w:rPr>
                <w:bCs/>
              </w:rPr>
              <w:t>’</w:t>
            </w:r>
            <w:r w:rsidRPr="002227F1">
              <w:rPr>
                <w:bCs/>
              </w:rPr>
              <w:t>s/jurisdictions</w:t>
            </w:r>
            <w:r>
              <w:rPr>
                <w:bCs/>
              </w:rPr>
              <w:t>’</w:t>
            </w:r>
            <w:r w:rsidRPr="002227F1">
              <w:rPr>
                <w:bCs/>
              </w:rPr>
              <w:t xml:space="preserve"> data to enable monitoring of clinical care</w:t>
            </w:r>
            <w:r>
              <w:rPr>
                <w:bCs/>
              </w:rPr>
              <w:t>.</w:t>
            </w:r>
          </w:p>
        </w:tc>
      </w:tr>
      <w:tr w:rsidR="00C442F7" w:rsidRPr="002227F1" w14:paraId="3F97C305"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4FBEA30" w14:textId="77777777" w:rsidR="00C442F7" w:rsidRPr="002227F1" w:rsidRDefault="00C442F7" w:rsidP="00C442F7">
            <w:pPr>
              <w:rPr>
                <w:bCs/>
              </w:rPr>
            </w:pPr>
            <w:r w:rsidRPr="000A5025">
              <w:t>F68</w:t>
            </w:r>
          </w:p>
        </w:tc>
        <w:tc>
          <w:tcPr>
            <w:tcW w:w="2552" w:type="dxa"/>
          </w:tcPr>
          <w:p w14:paraId="4F53E12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Export of unit record data</w:t>
            </w:r>
          </w:p>
        </w:tc>
        <w:tc>
          <w:tcPr>
            <w:tcW w:w="5387" w:type="dxa"/>
          </w:tcPr>
          <w:p w14:paraId="5FF11AA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export unit record data in delimited format for approved purposes</w:t>
            </w:r>
            <w:r>
              <w:rPr>
                <w:bCs/>
              </w:rPr>
              <w:t>.</w:t>
            </w:r>
          </w:p>
        </w:tc>
      </w:tr>
      <w:tr w:rsidR="00C442F7" w:rsidRPr="002227F1" w14:paraId="00F6E935"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C216E8F" w14:textId="77777777" w:rsidR="00C442F7" w:rsidRPr="002227F1" w:rsidRDefault="00C442F7" w:rsidP="00C442F7">
            <w:pPr>
              <w:rPr>
                <w:bCs/>
              </w:rPr>
            </w:pPr>
            <w:r w:rsidRPr="000A5025">
              <w:t>F69</w:t>
            </w:r>
          </w:p>
        </w:tc>
        <w:tc>
          <w:tcPr>
            <w:tcW w:w="2552" w:type="dxa"/>
          </w:tcPr>
          <w:p w14:paraId="699B325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Default format of unit record data export</w:t>
            </w:r>
          </w:p>
        </w:tc>
        <w:tc>
          <w:tcPr>
            <w:tcW w:w="5387" w:type="dxa"/>
          </w:tcPr>
          <w:p w14:paraId="01E673D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export unit record data using de-identified data as the default format</w:t>
            </w:r>
            <w:r>
              <w:rPr>
                <w:bCs/>
              </w:rPr>
              <w:t>.</w:t>
            </w:r>
          </w:p>
        </w:tc>
      </w:tr>
      <w:tr w:rsidR="00C442F7" w:rsidRPr="002227F1" w14:paraId="568F98F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B5D5187" w14:textId="77777777" w:rsidR="00C442F7" w:rsidRPr="002227F1" w:rsidRDefault="00C442F7" w:rsidP="00C442F7">
            <w:pPr>
              <w:rPr>
                <w:bCs/>
              </w:rPr>
            </w:pPr>
            <w:r w:rsidRPr="000A5025">
              <w:t>F70</w:t>
            </w:r>
          </w:p>
        </w:tc>
        <w:tc>
          <w:tcPr>
            <w:tcW w:w="2552" w:type="dxa"/>
          </w:tcPr>
          <w:p w14:paraId="660D662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Ability to export data for research purposes</w:t>
            </w:r>
          </w:p>
        </w:tc>
        <w:tc>
          <w:tcPr>
            <w:tcW w:w="5387" w:type="dxa"/>
          </w:tcPr>
          <w:p w14:paraId="2B14C32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information to be exported for research purposes</w:t>
            </w:r>
            <w:r>
              <w:rPr>
                <w:bCs/>
              </w:rPr>
              <w:t xml:space="preserve"> </w:t>
            </w:r>
            <w:r w:rsidRPr="002227F1">
              <w:rPr>
                <w:bCs/>
              </w:rPr>
              <w:t>once the necessary approval has been obtained</w:t>
            </w:r>
            <w:r>
              <w:rPr>
                <w:bCs/>
              </w:rPr>
              <w:t>.</w:t>
            </w:r>
          </w:p>
        </w:tc>
      </w:tr>
      <w:tr w:rsidR="00C442F7" w:rsidRPr="002227F1" w14:paraId="60B628ED"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DEC27DA" w14:textId="77777777" w:rsidR="00C442F7" w:rsidRPr="002227F1" w:rsidRDefault="00C442F7" w:rsidP="00C442F7">
            <w:pPr>
              <w:rPr>
                <w:bCs/>
              </w:rPr>
            </w:pPr>
            <w:r w:rsidRPr="000A5025">
              <w:t>F71</w:t>
            </w:r>
          </w:p>
        </w:tc>
        <w:tc>
          <w:tcPr>
            <w:tcW w:w="2552" w:type="dxa"/>
          </w:tcPr>
          <w:p w14:paraId="47C1B42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Ability to record purpose of data export</w:t>
            </w:r>
          </w:p>
        </w:tc>
        <w:tc>
          <w:tcPr>
            <w:tcW w:w="5387" w:type="dxa"/>
          </w:tcPr>
          <w:p w14:paraId="6D2933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When information is exported for research purposes, CQR shall be able to record the purpose for which the information is to be used</w:t>
            </w:r>
            <w:r>
              <w:rPr>
                <w:bCs/>
              </w:rPr>
              <w:t>.</w:t>
            </w:r>
          </w:p>
        </w:tc>
      </w:tr>
      <w:tr w:rsidR="00C442F7" w:rsidRPr="002227F1" w14:paraId="1EE6D1B2"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74CEEEE" w14:textId="77777777" w:rsidR="00C442F7" w:rsidRPr="002227F1" w:rsidRDefault="00C442F7" w:rsidP="00C442F7">
            <w:pPr>
              <w:rPr>
                <w:bCs/>
              </w:rPr>
            </w:pPr>
            <w:r w:rsidRPr="000A5025">
              <w:lastRenderedPageBreak/>
              <w:t>F72</w:t>
            </w:r>
          </w:p>
        </w:tc>
        <w:tc>
          <w:tcPr>
            <w:tcW w:w="2552" w:type="dxa"/>
          </w:tcPr>
          <w:p w14:paraId="6D76EA5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extraction to be audited</w:t>
            </w:r>
          </w:p>
        </w:tc>
        <w:tc>
          <w:tcPr>
            <w:tcW w:w="5387" w:type="dxa"/>
          </w:tcPr>
          <w:p w14:paraId="0608E93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w:t>
            </w:r>
            <w:r>
              <w:rPr>
                <w:bCs/>
              </w:rPr>
              <w:t xml:space="preserve"> </w:t>
            </w:r>
            <w:r w:rsidRPr="002227F1">
              <w:rPr>
                <w:bCs/>
              </w:rPr>
              <w:t>only support data extraction of identifiable information</w:t>
            </w:r>
            <w:r>
              <w:rPr>
                <w:bCs/>
              </w:rPr>
              <w:t>,</w:t>
            </w:r>
            <w:r w:rsidRPr="002227F1">
              <w:rPr>
                <w:bCs/>
              </w:rPr>
              <w:t xml:space="preserve"> via the user interface, to enable auditing</w:t>
            </w:r>
            <w:r>
              <w:rPr>
                <w:bCs/>
              </w:rPr>
              <w:t>.</w:t>
            </w:r>
          </w:p>
        </w:tc>
      </w:tr>
      <w:tr w:rsidR="00C442F7" w:rsidRPr="002227F1" w14:paraId="0C2E003D"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8076BCA" w14:textId="77777777" w:rsidR="00C442F7" w:rsidRPr="002227F1" w:rsidRDefault="00C442F7" w:rsidP="00C442F7">
            <w:pPr>
              <w:rPr>
                <w:bCs/>
              </w:rPr>
            </w:pPr>
            <w:r w:rsidRPr="000A5025">
              <w:t>F73</w:t>
            </w:r>
          </w:p>
        </w:tc>
        <w:tc>
          <w:tcPr>
            <w:tcW w:w="2552" w:type="dxa"/>
          </w:tcPr>
          <w:p w14:paraId="6FBEDAD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Encrypt exported identifiable information</w:t>
            </w:r>
          </w:p>
        </w:tc>
        <w:tc>
          <w:tcPr>
            <w:tcW w:w="5387" w:type="dxa"/>
          </w:tcPr>
          <w:p w14:paraId="07DEDF6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must encrypt identifiable information at the point of export</w:t>
            </w:r>
            <w:r>
              <w:rPr>
                <w:bCs/>
              </w:rPr>
              <w:t>.</w:t>
            </w:r>
          </w:p>
        </w:tc>
      </w:tr>
      <w:tr w:rsidR="00C442F7" w:rsidRPr="002227F1" w14:paraId="5562E2E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5BCBDB02" w14:textId="77777777" w:rsidR="00C442F7" w:rsidRPr="002227F1" w:rsidRDefault="00C442F7" w:rsidP="00C442F7">
            <w:pPr>
              <w:rPr>
                <w:bCs/>
              </w:rPr>
            </w:pPr>
            <w:r w:rsidRPr="000A5025">
              <w:t>F74</w:t>
            </w:r>
          </w:p>
        </w:tc>
        <w:tc>
          <w:tcPr>
            <w:tcW w:w="2552" w:type="dxa"/>
          </w:tcPr>
          <w:p w14:paraId="369DB41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Compatibility of data extracts with statistical packages</w:t>
            </w:r>
          </w:p>
        </w:tc>
        <w:tc>
          <w:tcPr>
            <w:tcW w:w="5387" w:type="dxa"/>
          </w:tcPr>
          <w:p w14:paraId="5B11CFE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support </w:t>
            </w:r>
            <w:r>
              <w:rPr>
                <w:bCs/>
              </w:rPr>
              <w:t xml:space="preserve">the </w:t>
            </w:r>
            <w:r w:rsidRPr="002227F1">
              <w:rPr>
                <w:bCs/>
              </w:rPr>
              <w:t>secure extract of data in formats compatible with major statistical packages</w:t>
            </w:r>
            <w:r>
              <w:rPr>
                <w:bCs/>
              </w:rPr>
              <w:t>.</w:t>
            </w:r>
          </w:p>
        </w:tc>
      </w:tr>
      <w:tr w:rsidR="00C442F7" w:rsidRPr="002227F1" w14:paraId="6775905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DA7CB60" w14:textId="77777777" w:rsidR="00C442F7" w:rsidRPr="002227F1" w:rsidRDefault="00C442F7" w:rsidP="00C442F7">
            <w:pPr>
              <w:rPr>
                <w:bCs/>
              </w:rPr>
            </w:pPr>
            <w:r w:rsidRPr="000A5025">
              <w:t>F75</w:t>
            </w:r>
          </w:p>
        </w:tc>
        <w:tc>
          <w:tcPr>
            <w:tcW w:w="2552" w:type="dxa"/>
          </w:tcPr>
          <w:p w14:paraId="39320DB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 hoc data analysis available to participating units</w:t>
            </w:r>
          </w:p>
        </w:tc>
        <w:tc>
          <w:tcPr>
            <w:tcW w:w="5387" w:type="dxa"/>
          </w:tcPr>
          <w:p w14:paraId="50444E1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participating units/hospitals to undertake ad hoc analyses of their own unit's/patient's data</w:t>
            </w:r>
            <w:r>
              <w:rPr>
                <w:bCs/>
              </w:rPr>
              <w:t>.</w:t>
            </w:r>
          </w:p>
        </w:tc>
      </w:tr>
      <w:tr w:rsidR="00C442F7" w:rsidRPr="002227F1" w14:paraId="5BC0722F"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42E4ED7" w14:textId="77777777" w:rsidR="00C442F7" w:rsidRPr="002227F1" w:rsidRDefault="00C442F7" w:rsidP="00C442F7">
            <w:pPr>
              <w:rPr>
                <w:bCs/>
              </w:rPr>
            </w:pPr>
            <w:r w:rsidRPr="000A5025">
              <w:t>F76</w:t>
            </w:r>
          </w:p>
        </w:tc>
        <w:tc>
          <w:tcPr>
            <w:tcW w:w="2552" w:type="dxa"/>
          </w:tcPr>
          <w:p w14:paraId="1F9358A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Define parameters for ad hoc reports</w:t>
            </w:r>
          </w:p>
        </w:tc>
        <w:tc>
          <w:tcPr>
            <w:tcW w:w="5387" w:type="dxa"/>
          </w:tcPr>
          <w:p w14:paraId="72BD1AF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define parameters, such as date ranges, filter criteria, sort criteria that are specific to a particular ad-hoc report</w:t>
            </w:r>
            <w:r>
              <w:rPr>
                <w:bCs/>
              </w:rPr>
              <w:t>.</w:t>
            </w:r>
          </w:p>
        </w:tc>
      </w:tr>
      <w:tr w:rsidR="00C442F7" w:rsidRPr="002227F1" w14:paraId="4D2A0B13"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00E96A0B" w14:textId="77777777" w:rsidR="00C442F7" w:rsidRPr="002227F1" w:rsidRDefault="00C442F7" w:rsidP="00C442F7">
            <w:pPr>
              <w:rPr>
                <w:bCs/>
              </w:rPr>
            </w:pPr>
            <w:r w:rsidRPr="000A5025">
              <w:t>F77</w:t>
            </w:r>
          </w:p>
        </w:tc>
        <w:tc>
          <w:tcPr>
            <w:tcW w:w="2552" w:type="dxa"/>
          </w:tcPr>
          <w:p w14:paraId="1595C9D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report parameters to generate ad hoc reports</w:t>
            </w:r>
          </w:p>
        </w:tc>
        <w:tc>
          <w:tcPr>
            <w:tcW w:w="5387" w:type="dxa"/>
          </w:tcPr>
          <w:p w14:paraId="2E6E010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 users shall enter information into pre-defined report parameters to generate ad hoc reports</w:t>
            </w:r>
            <w:r>
              <w:rPr>
                <w:bCs/>
              </w:rPr>
              <w:t>.</w:t>
            </w:r>
          </w:p>
        </w:tc>
      </w:tr>
      <w:tr w:rsidR="00C442F7" w:rsidRPr="002227F1" w14:paraId="302CBADA"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60F7A976" w14:textId="77777777" w:rsidR="00C442F7" w:rsidRPr="002227F1" w:rsidRDefault="00C442F7" w:rsidP="00C442F7">
            <w:pPr>
              <w:rPr>
                <w:bCs/>
              </w:rPr>
            </w:pPr>
            <w:r w:rsidRPr="000A5025">
              <w:t>F78</w:t>
            </w:r>
          </w:p>
        </w:tc>
        <w:tc>
          <w:tcPr>
            <w:tcW w:w="2552" w:type="dxa"/>
          </w:tcPr>
          <w:p w14:paraId="182CF6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Individual Healthcare Identifiers</w:t>
            </w:r>
          </w:p>
        </w:tc>
        <w:tc>
          <w:tcPr>
            <w:tcW w:w="5387" w:type="dxa"/>
          </w:tcPr>
          <w:p w14:paraId="0FE71C1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that require individually identifiable data shall have the </w:t>
            </w:r>
            <w:r>
              <w:rPr>
                <w:bCs/>
              </w:rPr>
              <w:t>capability</w:t>
            </w:r>
            <w:r w:rsidRPr="002227F1">
              <w:rPr>
                <w:bCs/>
              </w:rPr>
              <w:t xml:space="preserve"> to use national Individual Healthcare Identifiers</w:t>
            </w:r>
            <w:r>
              <w:rPr>
                <w:bCs/>
              </w:rPr>
              <w:t>.</w:t>
            </w:r>
          </w:p>
        </w:tc>
      </w:tr>
      <w:tr w:rsidR="00C442F7" w:rsidRPr="002227F1" w14:paraId="2261A01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F090EA5" w14:textId="77777777" w:rsidR="00C442F7" w:rsidRPr="002227F1" w:rsidRDefault="00C442F7" w:rsidP="00C442F7">
            <w:pPr>
              <w:rPr>
                <w:bCs/>
              </w:rPr>
            </w:pPr>
            <w:r w:rsidRPr="000A5025">
              <w:t>F79</w:t>
            </w:r>
          </w:p>
        </w:tc>
        <w:tc>
          <w:tcPr>
            <w:tcW w:w="2552" w:type="dxa"/>
          </w:tcPr>
          <w:p w14:paraId="5983946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Specify when record is included in reports</w:t>
            </w:r>
          </w:p>
        </w:tc>
        <w:tc>
          <w:tcPr>
            <w:tcW w:w="5387" w:type="dxa"/>
          </w:tcPr>
          <w:p w14:paraId="27E1F43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specify the stage of record completeness (e.g. provisional or final) at which the record can be included within reports</w:t>
            </w:r>
            <w:r>
              <w:rPr>
                <w:bCs/>
              </w:rPr>
              <w:t>.</w:t>
            </w:r>
          </w:p>
        </w:tc>
      </w:tr>
      <w:tr w:rsidR="00C442F7" w:rsidRPr="002227F1" w14:paraId="726F30C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64682B9" w14:textId="77777777" w:rsidR="00C442F7" w:rsidRPr="002227F1" w:rsidRDefault="00C442F7" w:rsidP="00C442F7">
            <w:pPr>
              <w:rPr>
                <w:bCs/>
              </w:rPr>
            </w:pPr>
            <w:r w:rsidRPr="000A5025">
              <w:t>F80</w:t>
            </w:r>
          </w:p>
        </w:tc>
        <w:tc>
          <w:tcPr>
            <w:tcW w:w="2552" w:type="dxa"/>
          </w:tcPr>
          <w:p w14:paraId="2A119ED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Record that patient has been informed of participation</w:t>
            </w:r>
          </w:p>
        </w:tc>
        <w:tc>
          <w:tcPr>
            <w:tcW w:w="5387" w:type="dxa"/>
          </w:tcPr>
          <w:p w14:paraId="010686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record that the patient has been informed of the inclusion of their data in the registry</w:t>
            </w:r>
            <w:r>
              <w:rPr>
                <w:bCs/>
              </w:rPr>
              <w:t>.</w:t>
            </w:r>
          </w:p>
        </w:tc>
      </w:tr>
      <w:tr w:rsidR="00C442F7" w:rsidRPr="002227F1" w14:paraId="1877F864"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EAE4FBB" w14:textId="77777777" w:rsidR="00C442F7" w:rsidRPr="002227F1" w:rsidRDefault="00C442F7" w:rsidP="00C442F7">
            <w:pPr>
              <w:rPr>
                <w:bCs/>
              </w:rPr>
            </w:pPr>
            <w:r w:rsidRPr="000A5025">
              <w:t>F81</w:t>
            </w:r>
          </w:p>
        </w:tc>
        <w:tc>
          <w:tcPr>
            <w:tcW w:w="2552" w:type="dxa"/>
          </w:tcPr>
          <w:p w14:paraId="7035824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Record patient decision to opt-out</w:t>
            </w:r>
          </w:p>
        </w:tc>
        <w:tc>
          <w:tcPr>
            <w:tcW w:w="5387" w:type="dxa"/>
          </w:tcPr>
          <w:p w14:paraId="4FD424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record that the patient has opted-out of participating in the CQR at both a global and episodic level</w:t>
            </w:r>
            <w:r>
              <w:rPr>
                <w:bCs/>
              </w:rPr>
              <w:t>.</w:t>
            </w:r>
          </w:p>
        </w:tc>
      </w:tr>
      <w:tr w:rsidR="00C442F7" w:rsidRPr="002227F1" w14:paraId="6B581B99"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D80DCDC" w14:textId="77777777" w:rsidR="00C442F7" w:rsidRPr="002227F1" w:rsidRDefault="00C442F7" w:rsidP="00C442F7">
            <w:pPr>
              <w:rPr>
                <w:bCs/>
              </w:rPr>
            </w:pPr>
            <w:r w:rsidRPr="000A5025">
              <w:t>F82</w:t>
            </w:r>
          </w:p>
        </w:tc>
        <w:tc>
          <w:tcPr>
            <w:tcW w:w="2552" w:type="dxa"/>
          </w:tcPr>
          <w:p w14:paraId="63A5B72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definitions</w:t>
            </w:r>
          </w:p>
        </w:tc>
        <w:tc>
          <w:tcPr>
            <w:tcW w:w="5387" w:type="dxa"/>
          </w:tcPr>
          <w:p w14:paraId="6770BEE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maintain data definitions and descriptions for each data element and its usage</w:t>
            </w:r>
            <w:r>
              <w:rPr>
                <w:bCs/>
              </w:rPr>
              <w:t>.</w:t>
            </w:r>
          </w:p>
        </w:tc>
      </w:tr>
      <w:tr w:rsidR="00C442F7" w:rsidRPr="002227F1" w14:paraId="3C5DF2B2"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E27B691" w14:textId="77777777" w:rsidR="00C442F7" w:rsidRPr="002227F1" w:rsidRDefault="00C442F7" w:rsidP="00C442F7">
            <w:pPr>
              <w:rPr>
                <w:bCs/>
              </w:rPr>
            </w:pPr>
            <w:r w:rsidRPr="000A5025">
              <w:t>F83</w:t>
            </w:r>
          </w:p>
        </w:tc>
        <w:tc>
          <w:tcPr>
            <w:tcW w:w="2552" w:type="dxa"/>
          </w:tcPr>
          <w:p w14:paraId="4493A76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Retire data elements</w:t>
            </w:r>
          </w:p>
        </w:tc>
        <w:tc>
          <w:tcPr>
            <w:tcW w:w="5387" w:type="dxa"/>
          </w:tcPr>
          <w:p w14:paraId="6F8AD6C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retire registry data elements to ensure information that is no longer relevant or required for relevant analysis </w:t>
            </w:r>
            <w:r>
              <w:rPr>
                <w:bCs/>
              </w:rPr>
              <w:t>is</w:t>
            </w:r>
            <w:r w:rsidRPr="002227F1">
              <w:rPr>
                <w:bCs/>
              </w:rPr>
              <w:t xml:space="preserve"> deactivated (and no longer collected)</w:t>
            </w:r>
            <w:r>
              <w:rPr>
                <w:bCs/>
              </w:rPr>
              <w:t>.</w:t>
            </w:r>
          </w:p>
        </w:tc>
      </w:tr>
      <w:tr w:rsidR="00C442F7" w:rsidRPr="002227F1" w14:paraId="292BF07B"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B347A3E" w14:textId="77777777" w:rsidR="00C442F7" w:rsidRPr="002227F1" w:rsidRDefault="00C442F7" w:rsidP="00C442F7">
            <w:pPr>
              <w:rPr>
                <w:bCs/>
              </w:rPr>
            </w:pPr>
            <w:r w:rsidRPr="000A5025">
              <w:t>F84</w:t>
            </w:r>
          </w:p>
        </w:tc>
        <w:tc>
          <w:tcPr>
            <w:tcW w:w="2552" w:type="dxa"/>
          </w:tcPr>
          <w:p w14:paraId="274285B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Time variant data</w:t>
            </w:r>
          </w:p>
        </w:tc>
        <w:tc>
          <w:tcPr>
            <w:tcW w:w="5387" w:type="dxa"/>
          </w:tcPr>
          <w:p w14:paraId="3E10E4F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maintain data in such a way that enables the time of data capture to be identified</w:t>
            </w:r>
            <w:r>
              <w:rPr>
                <w:bCs/>
              </w:rPr>
              <w:t>.</w:t>
            </w:r>
          </w:p>
        </w:tc>
      </w:tr>
      <w:tr w:rsidR="00C442F7" w:rsidRPr="002227F1" w14:paraId="2B6B0711"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15B56CFD" w14:textId="77777777" w:rsidR="00C442F7" w:rsidRPr="002227F1" w:rsidRDefault="00C442F7" w:rsidP="00C442F7">
            <w:pPr>
              <w:rPr>
                <w:bCs/>
              </w:rPr>
            </w:pPr>
            <w:r w:rsidRPr="000A5025">
              <w:t>F85</w:t>
            </w:r>
          </w:p>
        </w:tc>
        <w:tc>
          <w:tcPr>
            <w:tcW w:w="2552" w:type="dxa"/>
          </w:tcPr>
          <w:p w14:paraId="6C22D24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Manage business rules</w:t>
            </w:r>
          </w:p>
        </w:tc>
        <w:tc>
          <w:tcPr>
            <w:tcW w:w="5387" w:type="dxa"/>
          </w:tcPr>
          <w:p w14:paraId="0EE968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the ability to determine which business rules were active at a particular date/time</w:t>
            </w:r>
            <w:r>
              <w:rPr>
                <w:bCs/>
              </w:rPr>
              <w:t>.</w:t>
            </w:r>
          </w:p>
        </w:tc>
      </w:tr>
      <w:tr w:rsidR="00C442F7" w:rsidRPr="002227F1" w14:paraId="3A373B9C"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43FAEF24" w14:textId="77777777" w:rsidR="00C442F7" w:rsidRPr="002227F1" w:rsidRDefault="00C442F7" w:rsidP="00C442F7">
            <w:pPr>
              <w:rPr>
                <w:bCs/>
              </w:rPr>
            </w:pPr>
            <w:r w:rsidRPr="000A5025">
              <w:lastRenderedPageBreak/>
              <w:t>F86</w:t>
            </w:r>
          </w:p>
        </w:tc>
        <w:tc>
          <w:tcPr>
            <w:tcW w:w="2552" w:type="dxa"/>
          </w:tcPr>
          <w:p w14:paraId="0CB51B5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Reference data integrity</w:t>
            </w:r>
          </w:p>
        </w:tc>
        <w:tc>
          <w:tcPr>
            <w:tcW w:w="5387" w:type="dxa"/>
          </w:tcPr>
          <w:p w14:paraId="1AE765C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w:t>
            </w:r>
            <w:r>
              <w:rPr>
                <w:bCs/>
              </w:rPr>
              <w:t>shall</w:t>
            </w:r>
            <w:r w:rsidRPr="002227F1">
              <w:rPr>
                <w:bCs/>
              </w:rPr>
              <w:t xml:space="preserve"> support 'ageing of metadata' by maintaining accurate links with reference data over time</w:t>
            </w:r>
            <w:r>
              <w:rPr>
                <w:bCs/>
              </w:rPr>
              <w:t>.</w:t>
            </w:r>
          </w:p>
        </w:tc>
      </w:tr>
      <w:tr w:rsidR="00C442F7" w:rsidRPr="002227F1" w14:paraId="2F612B87"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73F6A6BC" w14:textId="77777777" w:rsidR="00C442F7" w:rsidRPr="002227F1" w:rsidRDefault="00C442F7" w:rsidP="00C442F7">
            <w:pPr>
              <w:rPr>
                <w:bCs/>
              </w:rPr>
            </w:pPr>
            <w:r w:rsidRPr="000A5025">
              <w:t>F87</w:t>
            </w:r>
          </w:p>
        </w:tc>
        <w:tc>
          <w:tcPr>
            <w:tcW w:w="2552" w:type="dxa"/>
          </w:tcPr>
          <w:p w14:paraId="58677D0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Record opt-out notification</w:t>
            </w:r>
          </w:p>
        </w:tc>
        <w:tc>
          <w:tcPr>
            <w:tcW w:w="5387" w:type="dxa"/>
          </w:tcPr>
          <w:p w14:paraId="15350DD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alert users </w:t>
            </w:r>
            <w:r>
              <w:rPr>
                <w:bCs/>
              </w:rPr>
              <w:t xml:space="preserve">if </w:t>
            </w:r>
            <w:r w:rsidRPr="002227F1">
              <w:rPr>
                <w:bCs/>
              </w:rPr>
              <w:t>a patient has opted-out each time that patient's eligibility identifies them for recruitment</w:t>
            </w:r>
            <w:r>
              <w:rPr>
                <w:bCs/>
              </w:rPr>
              <w:t>.</w:t>
            </w:r>
          </w:p>
        </w:tc>
      </w:tr>
      <w:tr w:rsidR="00C442F7" w:rsidRPr="002227F1" w14:paraId="271DC6E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DCFB0E3" w14:textId="77777777" w:rsidR="00C442F7" w:rsidRPr="002227F1" w:rsidRDefault="00C442F7" w:rsidP="00C442F7">
            <w:pPr>
              <w:rPr>
                <w:bCs/>
              </w:rPr>
            </w:pPr>
            <w:r w:rsidRPr="000A5025">
              <w:t>F88</w:t>
            </w:r>
          </w:p>
        </w:tc>
        <w:tc>
          <w:tcPr>
            <w:tcW w:w="2552" w:type="dxa"/>
          </w:tcPr>
          <w:p w14:paraId="63C1BBF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Flag when patient has opted</w:t>
            </w:r>
            <w:r>
              <w:rPr>
                <w:bCs/>
              </w:rPr>
              <w:t>-</w:t>
            </w:r>
            <w:r w:rsidRPr="002227F1">
              <w:rPr>
                <w:bCs/>
              </w:rPr>
              <w:t>out</w:t>
            </w:r>
          </w:p>
        </w:tc>
        <w:tc>
          <w:tcPr>
            <w:tcW w:w="5387" w:type="dxa"/>
          </w:tcPr>
          <w:p w14:paraId="1A5417B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When the patient has opted-out, CQRs shall </w:t>
            </w:r>
            <w:r>
              <w:rPr>
                <w:bCs/>
              </w:rPr>
              <w:t>follow the process approved by their governing HREC.</w:t>
            </w:r>
          </w:p>
        </w:tc>
      </w:tr>
      <w:tr w:rsidR="00C442F7" w:rsidRPr="002227F1" w14:paraId="6D09A818"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3C647172" w14:textId="77777777" w:rsidR="00C442F7" w:rsidRPr="002227F1" w:rsidRDefault="00C442F7" w:rsidP="00C442F7">
            <w:pPr>
              <w:rPr>
                <w:bCs/>
              </w:rPr>
            </w:pPr>
            <w:r w:rsidRPr="000A5025">
              <w:t>F89</w:t>
            </w:r>
          </w:p>
        </w:tc>
        <w:tc>
          <w:tcPr>
            <w:tcW w:w="2552" w:type="dxa"/>
          </w:tcPr>
          <w:p w14:paraId="746100F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Support for data retrieval</w:t>
            </w:r>
          </w:p>
        </w:tc>
        <w:tc>
          <w:tcPr>
            <w:tcW w:w="5387" w:type="dxa"/>
          </w:tcPr>
          <w:p w14:paraId="486F332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store data in a retrievable form with data descriptions and data structures</w:t>
            </w:r>
            <w:r>
              <w:rPr>
                <w:bCs/>
              </w:rPr>
              <w:t>.</w:t>
            </w:r>
          </w:p>
        </w:tc>
      </w:tr>
      <w:tr w:rsidR="00C442F7" w:rsidRPr="002227F1" w14:paraId="00C19BB2" w14:textId="77777777" w:rsidTr="00C442F7">
        <w:tc>
          <w:tcPr>
            <w:cnfStyle w:val="001000000000" w:firstRow="0" w:lastRow="0" w:firstColumn="1" w:lastColumn="0" w:oddVBand="0" w:evenVBand="0" w:oddHBand="0" w:evenHBand="0" w:firstRowFirstColumn="0" w:firstRowLastColumn="0" w:lastRowFirstColumn="0" w:lastRowLastColumn="0"/>
            <w:tcW w:w="1409" w:type="dxa"/>
          </w:tcPr>
          <w:p w14:paraId="26828D84" w14:textId="77777777" w:rsidR="00C442F7" w:rsidRPr="002227F1" w:rsidRDefault="00C442F7" w:rsidP="00C442F7">
            <w:pPr>
              <w:rPr>
                <w:bCs/>
              </w:rPr>
            </w:pPr>
            <w:r w:rsidRPr="000A5025">
              <w:t>F90</w:t>
            </w:r>
          </w:p>
        </w:tc>
        <w:tc>
          <w:tcPr>
            <w:tcW w:w="2552" w:type="dxa"/>
          </w:tcPr>
          <w:p w14:paraId="797BD0E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Reference data sources</w:t>
            </w:r>
          </w:p>
        </w:tc>
        <w:tc>
          <w:tcPr>
            <w:tcW w:w="5387" w:type="dxa"/>
          </w:tcPr>
          <w:p w14:paraId="1E0A007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clearly identify sources of reference data as well as reference data currency in their data dictionary</w:t>
            </w:r>
            <w:r>
              <w:rPr>
                <w:bCs/>
              </w:rPr>
              <w:t>.</w:t>
            </w:r>
          </w:p>
        </w:tc>
      </w:tr>
    </w:tbl>
    <w:p w14:paraId="1E7EBECD" w14:textId="77777777" w:rsidR="00C442F7" w:rsidRPr="002227F1" w:rsidRDefault="00C442F7" w:rsidP="00C442F7"/>
    <w:p w14:paraId="7F6A8EB8" w14:textId="77777777" w:rsidR="00C442F7" w:rsidRPr="002227F1" w:rsidRDefault="00C442F7" w:rsidP="00C442F7">
      <w:pPr>
        <w:pStyle w:val="Heading2"/>
      </w:pPr>
      <w:bookmarkStart w:id="699" w:name="_Toc175550423"/>
      <w:r>
        <w:t>CQR technical requirements</w:t>
      </w:r>
      <w:bookmarkEnd w:id="699"/>
    </w:p>
    <w:tbl>
      <w:tblPr>
        <w:tblStyle w:val="SurveyQuestions"/>
        <w:tblW w:w="9348" w:type="dxa"/>
        <w:tblLook w:val="04A0" w:firstRow="1" w:lastRow="0" w:firstColumn="1" w:lastColumn="0" w:noHBand="0" w:noVBand="1"/>
      </w:tblPr>
      <w:tblGrid>
        <w:gridCol w:w="1145"/>
        <w:gridCol w:w="2816"/>
        <w:gridCol w:w="5387"/>
      </w:tblGrid>
      <w:tr w:rsidR="00C442F7" w:rsidRPr="002227F1" w14:paraId="5C9C74D9" w14:textId="77777777" w:rsidTr="00C442F7">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145" w:type="dxa"/>
          </w:tcPr>
          <w:p w14:paraId="35F222CA" w14:textId="77777777" w:rsidR="00C442F7" w:rsidRPr="002227F1" w:rsidRDefault="00C442F7" w:rsidP="00C442F7">
            <w:pPr>
              <w:rPr>
                <w:iCs/>
              </w:rPr>
            </w:pPr>
            <w:r w:rsidRPr="000A5025">
              <w:t>Identifier</w:t>
            </w:r>
          </w:p>
        </w:tc>
        <w:tc>
          <w:tcPr>
            <w:tcW w:w="2816" w:type="dxa"/>
          </w:tcPr>
          <w:p w14:paraId="252D7DDF"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Summary</w:t>
            </w:r>
          </w:p>
        </w:tc>
        <w:tc>
          <w:tcPr>
            <w:tcW w:w="5387" w:type="dxa"/>
          </w:tcPr>
          <w:p w14:paraId="5D42895C" w14:textId="77777777" w:rsidR="00C442F7" w:rsidRPr="002227F1" w:rsidRDefault="00C442F7" w:rsidP="00C442F7">
            <w:pPr>
              <w:cnfStyle w:val="100000000000" w:firstRow="1" w:lastRow="0" w:firstColumn="0" w:lastColumn="0" w:oddVBand="0" w:evenVBand="0" w:oddHBand="0" w:evenHBand="0" w:firstRowFirstColumn="0" w:firstRowLastColumn="0" w:lastRowFirstColumn="0" w:lastRowLastColumn="0"/>
              <w:rPr>
                <w:iCs/>
              </w:rPr>
            </w:pPr>
            <w:r w:rsidRPr="002227F1">
              <w:rPr>
                <w:iCs/>
              </w:rPr>
              <w:t>Detail</w:t>
            </w:r>
          </w:p>
        </w:tc>
      </w:tr>
      <w:tr w:rsidR="00C442F7" w:rsidRPr="002227F1" w14:paraId="7568985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93B8E48" w14:textId="77777777" w:rsidR="00C442F7" w:rsidRPr="002227F1" w:rsidRDefault="00C442F7" w:rsidP="00C442F7">
            <w:pPr>
              <w:rPr>
                <w:bCs/>
              </w:rPr>
            </w:pPr>
            <w:r w:rsidRPr="000A5025">
              <w:t>NF01</w:t>
            </w:r>
          </w:p>
        </w:tc>
        <w:tc>
          <w:tcPr>
            <w:tcW w:w="2816" w:type="dxa"/>
          </w:tcPr>
          <w:p w14:paraId="7CCE5E1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Site branding</w:t>
            </w:r>
          </w:p>
        </w:tc>
        <w:tc>
          <w:tcPr>
            <w:tcW w:w="5387" w:type="dxa"/>
          </w:tcPr>
          <w:p w14:paraId="13FD3F0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support configurable branding (e.g. logos, colour themes, version numbering, copyright information)</w:t>
            </w:r>
            <w:r>
              <w:rPr>
                <w:bCs/>
              </w:rPr>
              <w:t>.</w:t>
            </w:r>
          </w:p>
        </w:tc>
      </w:tr>
      <w:tr w:rsidR="00C442F7" w:rsidRPr="002227F1" w14:paraId="4CA9C6D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8A8E113" w14:textId="77777777" w:rsidR="00C442F7" w:rsidRPr="002227F1" w:rsidRDefault="00C442F7" w:rsidP="00C442F7">
            <w:pPr>
              <w:rPr>
                <w:bCs/>
              </w:rPr>
            </w:pPr>
            <w:r w:rsidRPr="000A5025">
              <w:t>NF02</w:t>
            </w:r>
          </w:p>
        </w:tc>
        <w:tc>
          <w:tcPr>
            <w:tcW w:w="2816" w:type="dxa"/>
          </w:tcPr>
          <w:p w14:paraId="11CF7AD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 friendly</w:t>
            </w:r>
          </w:p>
        </w:tc>
        <w:tc>
          <w:tcPr>
            <w:tcW w:w="5387" w:type="dxa"/>
          </w:tcPr>
          <w:p w14:paraId="5FA80A8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user interfaces are intuitive and easy to use</w:t>
            </w:r>
            <w:r>
              <w:rPr>
                <w:bCs/>
              </w:rPr>
              <w:t>.</w:t>
            </w:r>
          </w:p>
        </w:tc>
      </w:tr>
      <w:tr w:rsidR="00C442F7" w:rsidRPr="002227F1" w14:paraId="119468A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83F3853" w14:textId="77777777" w:rsidR="00C442F7" w:rsidRPr="002227F1" w:rsidRDefault="00C442F7" w:rsidP="00C442F7">
            <w:pPr>
              <w:rPr>
                <w:bCs/>
              </w:rPr>
            </w:pPr>
            <w:r w:rsidRPr="000A5025">
              <w:t>NF03</w:t>
            </w:r>
          </w:p>
        </w:tc>
        <w:tc>
          <w:tcPr>
            <w:tcW w:w="2816" w:type="dxa"/>
          </w:tcPr>
          <w:p w14:paraId="1C607D6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Support for keyboard and mouse input navigation</w:t>
            </w:r>
          </w:p>
        </w:tc>
        <w:tc>
          <w:tcPr>
            <w:tcW w:w="5387" w:type="dxa"/>
          </w:tcPr>
          <w:p w14:paraId="3CB89E0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use of keyboard and mouse input and navigation</w:t>
            </w:r>
            <w:r>
              <w:rPr>
                <w:bCs/>
              </w:rPr>
              <w:t>.</w:t>
            </w:r>
          </w:p>
        </w:tc>
      </w:tr>
      <w:tr w:rsidR="00C442F7" w:rsidRPr="002227F1" w14:paraId="6648EEA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57FF29D" w14:textId="77777777" w:rsidR="00C442F7" w:rsidRPr="002227F1" w:rsidRDefault="00C442F7" w:rsidP="00C442F7">
            <w:pPr>
              <w:rPr>
                <w:bCs/>
              </w:rPr>
            </w:pPr>
            <w:r w:rsidRPr="000A5025">
              <w:t>NF04</w:t>
            </w:r>
          </w:p>
        </w:tc>
        <w:tc>
          <w:tcPr>
            <w:tcW w:w="2816" w:type="dxa"/>
          </w:tcPr>
          <w:p w14:paraId="188B34F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Windows navigation</w:t>
            </w:r>
          </w:p>
        </w:tc>
        <w:tc>
          <w:tcPr>
            <w:tcW w:w="5387" w:type="dxa"/>
          </w:tcPr>
          <w:p w14:paraId="2F7CEAD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navigation aids (e.g. menus, tabs, breadcrumbs) to aid user navigation between windows and forms</w:t>
            </w:r>
            <w:r>
              <w:rPr>
                <w:bCs/>
              </w:rPr>
              <w:t>.</w:t>
            </w:r>
          </w:p>
        </w:tc>
      </w:tr>
      <w:tr w:rsidR="00C442F7" w:rsidRPr="002227F1" w14:paraId="40F82B0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6F936C5" w14:textId="77777777" w:rsidR="00C442F7" w:rsidRPr="002227F1" w:rsidRDefault="00C442F7" w:rsidP="00C442F7">
            <w:pPr>
              <w:rPr>
                <w:bCs/>
              </w:rPr>
            </w:pPr>
            <w:r w:rsidRPr="000A5025">
              <w:t>NF05</w:t>
            </w:r>
          </w:p>
        </w:tc>
        <w:tc>
          <w:tcPr>
            <w:tcW w:w="2816" w:type="dxa"/>
          </w:tcPr>
          <w:p w14:paraId="71B6E7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Web browser compatibility</w:t>
            </w:r>
          </w:p>
        </w:tc>
        <w:tc>
          <w:tcPr>
            <w:tcW w:w="5387" w:type="dxa"/>
          </w:tcPr>
          <w:p w14:paraId="10E875B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support multiple web browsers and will include backwards compatibility to popular browsers.</w:t>
            </w:r>
          </w:p>
        </w:tc>
      </w:tr>
      <w:tr w:rsidR="00C442F7" w:rsidRPr="002227F1" w14:paraId="04461AE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B97343D" w14:textId="77777777" w:rsidR="00C442F7" w:rsidRPr="002227F1" w:rsidRDefault="00C442F7" w:rsidP="00C442F7">
            <w:pPr>
              <w:rPr>
                <w:bCs/>
              </w:rPr>
            </w:pPr>
            <w:r w:rsidRPr="000A5025">
              <w:t>NF06</w:t>
            </w:r>
          </w:p>
        </w:tc>
        <w:tc>
          <w:tcPr>
            <w:tcW w:w="2816" w:type="dxa"/>
          </w:tcPr>
          <w:p w14:paraId="42BBBE5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Interactive user support on each page</w:t>
            </w:r>
          </w:p>
        </w:tc>
        <w:tc>
          <w:tcPr>
            <w:tcW w:w="5387" w:type="dxa"/>
          </w:tcPr>
          <w:p w14:paraId="3781A93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incorporate</w:t>
            </w:r>
            <w:r>
              <w:rPr>
                <w:bCs/>
              </w:rPr>
              <w:t xml:space="preserve"> </w:t>
            </w:r>
            <w:r w:rsidRPr="002227F1">
              <w:rPr>
                <w:bCs/>
              </w:rPr>
              <w:t>information to users in relation to each page to assist them in the use of the system</w:t>
            </w:r>
            <w:r>
              <w:rPr>
                <w:bCs/>
              </w:rPr>
              <w:t>.</w:t>
            </w:r>
          </w:p>
        </w:tc>
      </w:tr>
      <w:tr w:rsidR="00C442F7" w:rsidRPr="002227F1" w14:paraId="6736D0B9"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0838516" w14:textId="77777777" w:rsidR="00C442F7" w:rsidRPr="002227F1" w:rsidRDefault="00C442F7" w:rsidP="00C442F7">
            <w:pPr>
              <w:rPr>
                <w:bCs/>
              </w:rPr>
            </w:pPr>
            <w:r w:rsidRPr="000A5025">
              <w:t>NF07</w:t>
            </w:r>
          </w:p>
        </w:tc>
        <w:tc>
          <w:tcPr>
            <w:tcW w:w="2816" w:type="dxa"/>
          </w:tcPr>
          <w:p w14:paraId="20955D0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Interactive user support for each field</w:t>
            </w:r>
          </w:p>
        </w:tc>
        <w:tc>
          <w:tcPr>
            <w:tcW w:w="5387" w:type="dxa"/>
          </w:tcPr>
          <w:p w14:paraId="1D1FC78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incorporate information (e.g. tool tips, interactive pop-ups) to users in relation to each field to assist them in the use of the system</w:t>
            </w:r>
            <w:r>
              <w:rPr>
                <w:bCs/>
              </w:rPr>
              <w:t>.</w:t>
            </w:r>
          </w:p>
        </w:tc>
      </w:tr>
      <w:tr w:rsidR="00C442F7" w:rsidRPr="002227F1" w14:paraId="5FBF7DE9"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CF23002" w14:textId="77777777" w:rsidR="00C442F7" w:rsidRPr="002227F1" w:rsidRDefault="00C442F7" w:rsidP="00C442F7">
            <w:pPr>
              <w:rPr>
                <w:bCs/>
              </w:rPr>
            </w:pPr>
            <w:r w:rsidRPr="000A5025">
              <w:t>NF08</w:t>
            </w:r>
          </w:p>
        </w:tc>
        <w:tc>
          <w:tcPr>
            <w:tcW w:w="2816" w:type="dxa"/>
          </w:tcPr>
          <w:p w14:paraId="32289EA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Screen resolution</w:t>
            </w:r>
          </w:p>
        </w:tc>
        <w:tc>
          <w:tcPr>
            <w:tcW w:w="5387" w:type="dxa"/>
          </w:tcPr>
          <w:p w14:paraId="5B5B7C6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a screen resolution on web pages equal to or higher than 1024x768</w:t>
            </w:r>
            <w:r>
              <w:rPr>
                <w:bCs/>
              </w:rPr>
              <w:t>.</w:t>
            </w:r>
          </w:p>
        </w:tc>
      </w:tr>
      <w:tr w:rsidR="00C442F7" w:rsidRPr="002227F1" w14:paraId="3E359D1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04E4A55" w14:textId="77777777" w:rsidR="00C442F7" w:rsidRPr="002227F1" w:rsidRDefault="00C442F7" w:rsidP="00C442F7">
            <w:pPr>
              <w:rPr>
                <w:bCs/>
              </w:rPr>
            </w:pPr>
            <w:r w:rsidRPr="000A5025">
              <w:lastRenderedPageBreak/>
              <w:t>NF09</w:t>
            </w:r>
          </w:p>
        </w:tc>
        <w:tc>
          <w:tcPr>
            <w:tcW w:w="2816" w:type="dxa"/>
          </w:tcPr>
          <w:p w14:paraId="66866D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touch screens</w:t>
            </w:r>
          </w:p>
        </w:tc>
        <w:tc>
          <w:tcPr>
            <w:tcW w:w="5387" w:type="dxa"/>
          </w:tcPr>
          <w:p w14:paraId="4E340F2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use of touchscreen</w:t>
            </w:r>
            <w:r>
              <w:rPr>
                <w:bCs/>
              </w:rPr>
              <w:t xml:space="preserve"> devices. </w:t>
            </w:r>
          </w:p>
        </w:tc>
      </w:tr>
      <w:tr w:rsidR="00C442F7" w:rsidRPr="002227F1" w14:paraId="0CF63BF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9D839FF" w14:textId="77777777" w:rsidR="00C442F7" w:rsidRPr="002227F1" w:rsidRDefault="00C442F7" w:rsidP="00C442F7">
            <w:pPr>
              <w:rPr>
                <w:bCs/>
              </w:rPr>
            </w:pPr>
            <w:r w:rsidRPr="000A5025">
              <w:t>NF12</w:t>
            </w:r>
          </w:p>
        </w:tc>
        <w:tc>
          <w:tcPr>
            <w:tcW w:w="2816" w:type="dxa"/>
          </w:tcPr>
          <w:p w14:paraId="6735BFC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Usability for non-registry staff</w:t>
            </w:r>
          </w:p>
        </w:tc>
        <w:tc>
          <w:tcPr>
            <w:tcW w:w="5387" w:type="dxa"/>
          </w:tcPr>
          <w:p w14:paraId="140B34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support a level of usability for data entry/import functions that is suitable for </w:t>
            </w:r>
            <w:r>
              <w:rPr>
                <w:bCs/>
              </w:rPr>
              <w:t>‘</w:t>
            </w:r>
            <w:r w:rsidRPr="002227F1">
              <w:rPr>
                <w:bCs/>
              </w:rPr>
              <w:t>familiar users</w:t>
            </w:r>
            <w:r>
              <w:rPr>
                <w:bCs/>
              </w:rPr>
              <w:t>’</w:t>
            </w:r>
            <w:r w:rsidRPr="002227F1">
              <w:rPr>
                <w:bCs/>
              </w:rPr>
              <w:t xml:space="preserve"> who use the same CQR often, as </w:t>
            </w:r>
            <w:r>
              <w:rPr>
                <w:bCs/>
              </w:rPr>
              <w:t xml:space="preserve">well as </w:t>
            </w:r>
            <w:r w:rsidRPr="002227F1">
              <w:rPr>
                <w:bCs/>
              </w:rPr>
              <w:t>to casual users who only use the specific CQR once or twice</w:t>
            </w:r>
            <w:r>
              <w:rPr>
                <w:bCs/>
              </w:rPr>
              <w:t>.</w:t>
            </w:r>
          </w:p>
        </w:tc>
      </w:tr>
      <w:tr w:rsidR="00C442F7" w:rsidRPr="002227F1" w14:paraId="36BF656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D679792" w14:textId="77777777" w:rsidR="00C442F7" w:rsidRPr="002227F1" w:rsidRDefault="00C442F7" w:rsidP="00C442F7">
            <w:pPr>
              <w:rPr>
                <w:bCs/>
              </w:rPr>
            </w:pPr>
            <w:r w:rsidRPr="000A5025">
              <w:t>NF13</w:t>
            </w:r>
          </w:p>
        </w:tc>
        <w:tc>
          <w:tcPr>
            <w:tcW w:w="2816" w:type="dxa"/>
          </w:tcPr>
          <w:p w14:paraId="6A2EAD4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Training expectations</w:t>
            </w:r>
          </w:p>
        </w:tc>
        <w:tc>
          <w:tcPr>
            <w:tcW w:w="5387" w:type="dxa"/>
          </w:tcPr>
          <w:p w14:paraId="1BB9821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users (participating data providers) performing data entry functions shall only require basic training</w:t>
            </w:r>
            <w:r>
              <w:rPr>
                <w:bCs/>
              </w:rPr>
              <w:t>.</w:t>
            </w:r>
          </w:p>
        </w:tc>
      </w:tr>
      <w:tr w:rsidR="00C442F7" w:rsidRPr="002227F1" w14:paraId="0F55AB6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7A2B041" w14:textId="77777777" w:rsidR="00C442F7" w:rsidRPr="002227F1" w:rsidRDefault="00C442F7" w:rsidP="00C442F7">
            <w:pPr>
              <w:rPr>
                <w:bCs/>
              </w:rPr>
            </w:pPr>
            <w:r w:rsidRPr="000A5025">
              <w:t>NF14</w:t>
            </w:r>
          </w:p>
        </w:tc>
        <w:tc>
          <w:tcPr>
            <w:tcW w:w="2816" w:type="dxa"/>
          </w:tcPr>
          <w:p w14:paraId="6750AD8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Usability for registry staff</w:t>
            </w:r>
          </w:p>
        </w:tc>
        <w:tc>
          <w:tcPr>
            <w:tcW w:w="5387" w:type="dxa"/>
          </w:tcPr>
          <w:p w14:paraId="1D1D7D1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a level of usability for registry staff that is suitable for expert users of the system who use the system on a frequent/daily basis</w:t>
            </w:r>
            <w:r>
              <w:rPr>
                <w:bCs/>
              </w:rPr>
              <w:t>.</w:t>
            </w:r>
          </w:p>
        </w:tc>
      </w:tr>
      <w:tr w:rsidR="00C442F7" w:rsidRPr="002227F1" w14:paraId="3D2FD10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49DA7DF" w14:textId="77777777" w:rsidR="00C442F7" w:rsidRPr="002227F1" w:rsidRDefault="00C442F7" w:rsidP="00C442F7">
            <w:pPr>
              <w:rPr>
                <w:bCs/>
              </w:rPr>
            </w:pPr>
            <w:r w:rsidRPr="000A5025">
              <w:t>NF15</w:t>
            </w:r>
          </w:p>
        </w:tc>
        <w:tc>
          <w:tcPr>
            <w:tcW w:w="2816" w:type="dxa"/>
          </w:tcPr>
          <w:p w14:paraId="0F3DEFD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Supported language</w:t>
            </w:r>
          </w:p>
        </w:tc>
        <w:tc>
          <w:tcPr>
            <w:tcW w:w="5387" w:type="dxa"/>
          </w:tcPr>
          <w:p w14:paraId="56274FD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use of the English language</w:t>
            </w:r>
            <w:r>
              <w:rPr>
                <w:bCs/>
              </w:rPr>
              <w:t>.</w:t>
            </w:r>
          </w:p>
        </w:tc>
      </w:tr>
      <w:tr w:rsidR="00C442F7" w:rsidRPr="002227F1" w14:paraId="5005746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E733ADB" w14:textId="77777777" w:rsidR="00C442F7" w:rsidRPr="002227F1" w:rsidRDefault="00C442F7" w:rsidP="00C442F7">
            <w:pPr>
              <w:rPr>
                <w:bCs/>
              </w:rPr>
            </w:pPr>
            <w:r w:rsidRPr="000A5025">
              <w:t>NF16</w:t>
            </w:r>
          </w:p>
        </w:tc>
        <w:tc>
          <w:tcPr>
            <w:tcW w:w="2816" w:type="dxa"/>
          </w:tcPr>
          <w:p w14:paraId="55A5D5A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Accessibility of publicly available information</w:t>
            </w:r>
          </w:p>
        </w:tc>
        <w:tc>
          <w:tcPr>
            <w:tcW w:w="5387" w:type="dxa"/>
          </w:tcPr>
          <w:p w14:paraId="560319E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move towards being accessible to people with physical impairments (such as colour blindness) by demonstrating to what level they comply with the Web Content Accessibility Guidelines (WCAG) 1.0</w:t>
            </w:r>
            <w:r>
              <w:rPr>
                <w:bCs/>
              </w:rPr>
              <w:t>.</w:t>
            </w:r>
          </w:p>
        </w:tc>
      </w:tr>
      <w:tr w:rsidR="00C442F7" w:rsidRPr="002227F1" w14:paraId="6F8CDC2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C4F8A2D" w14:textId="77777777" w:rsidR="00C442F7" w:rsidRPr="002227F1" w:rsidRDefault="00C442F7" w:rsidP="00C442F7">
            <w:pPr>
              <w:rPr>
                <w:bCs/>
              </w:rPr>
            </w:pPr>
            <w:r w:rsidRPr="000A5025">
              <w:t>NF17</w:t>
            </w:r>
          </w:p>
        </w:tc>
        <w:tc>
          <w:tcPr>
            <w:tcW w:w="2816" w:type="dxa"/>
          </w:tcPr>
          <w:p w14:paraId="1274DCB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Capacity</w:t>
            </w:r>
            <w:r>
              <w:rPr>
                <w:bCs/>
              </w:rPr>
              <w:t xml:space="preserve"> – n</w:t>
            </w:r>
            <w:r w:rsidRPr="002227F1">
              <w:rPr>
                <w:bCs/>
              </w:rPr>
              <w:t>umber of provider institutions</w:t>
            </w:r>
          </w:p>
        </w:tc>
        <w:tc>
          <w:tcPr>
            <w:tcW w:w="5387" w:type="dxa"/>
          </w:tcPr>
          <w:p w14:paraId="2844B97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support </w:t>
            </w:r>
            <w:r>
              <w:rPr>
                <w:bCs/>
              </w:rPr>
              <w:t>their total</w:t>
            </w:r>
            <w:r w:rsidRPr="002227F1">
              <w:rPr>
                <w:bCs/>
              </w:rPr>
              <w:t xml:space="preserve"> participating institution</w:t>
            </w:r>
            <w:r>
              <w:rPr>
                <w:bCs/>
              </w:rPr>
              <w:t xml:space="preserve"> cohort.</w:t>
            </w:r>
          </w:p>
        </w:tc>
      </w:tr>
      <w:tr w:rsidR="00C442F7" w:rsidRPr="002227F1" w14:paraId="5E14A80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9E6CC04" w14:textId="77777777" w:rsidR="00C442F7" w:rsidRPr="002227F1" w:rsidRDefault="00C442F7" w:rsidP="00C442F7">
            <w:pPr>
              <w:rPr>
                <w:bCs/>
              </w:rPr>
            </w:pPr>
            <w:r w:rsidRPr="000A5025">
              <w:t>NF18</w:t>
            </w:r>
          </w:p>
        </w:tc>
        <w:tc>
          <w:tcPr>
            <w:tcW w:w="2816" w:type="dxa"/>
          </w:tcPr>
          <w:p w14:paraId="762D751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Capacity</w:t>
            </w:r>
            <w:r>
              <w:rPr>
                <w:bCs/>
              </w:rPr>
              <w:t xml:space="preserve"> – s</w:t>
            </w:r>
            <w:r w:rsidRPr="002227F1">
              <w:rPr>
                <w:bCs/>
              </w:rPr>
              <w:t>ize of eligible population</w:t>
            </w:r>
          </w:p>
        </w:tc>
        <w:tc>
          <w:tcPr>
            <w:tcW w:w="5387" w:type="dxa"/>
          </w:tcPr>
          <w:p w14:paraId="48F0EF2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collect data in relation to </w:t>
            </w:r>
            <w:r>
              <w:rPr>
                <w:bCs/>
              </w:rPr>
              <w:t>their total</w:t>
            </w:r>
            <w:r w:rsidRPr="002227F1">
              <w:rPr>
                <w:bCs/>
              </w:rPr>
              <w:t xml:space="preserve"> eligible population</w:t>
            </w:r>
            <w:r>
              <w:rPr>
                <w:bCs/>
              </w:rPr>
              <w:t>.</w:t>
            </w:r>
          </w:p>
        </w:tc>
      </w:tr>
      <w:tr w:rsidR="00C442F7" w:rsidRPr="002227F1" w14:paraId="2A4B408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97EF918" w14:textId="77777777" w:rsidR="00C442F7" w:rsidRPr="002227F1" w:rsidRDefault="00C442F7" w:rsidP="00C442F7">
            <w:pPr>
              <w:rPr>
                <w:bCs/>
              </w:rPr>
            </w:pPr>
            <w:r w:rsidRPr="000A5025">
              <w:t>NF19</w:t>
            </w:r>
          </w:p>
        </w:tc>
        <w:tc>
          <w:tcPr>
            <w:tcW w:w="2816" w:type="dxa"/>
          </w:tcPr>
          <w:p w14:paraId="772704C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entry peak transaction rate</w:t>
            </w:r>
          </w:p>
        </w:tc>
        <w:tc>
          <w:tcPr>
            <w:tcW w:w="5387" w:type="dxa"/>
          </w:tcPr>
          <w:p w14:paraId="2EEF382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support </w:t>
            </w:r>
            <w:r>
              <w:rPr>
                <w:bCs/>
              </w:rPr>
              <w:t>expected</w:t>
            </w:r>
            <w:r w:rsidRPr="002227F1">
              <w:rPr>
                <w:bCs/>
              </w:rPr>
              <w:t xml:space="preserve"> data entry transactions </w:t>
            </w:r>
            <w:r>
              <w:rPr>
                <w:bCs/>
              </w:rPr>
              <w:t>for the size and data requirements of the registry.</w:t>
            </w:r>
          </w:p>
        </w:tc>
      </w:tr>
      <w:tr w:rsidR="00C442F7" w:rsidRPr="002227F1" w14:paraId="2DAB917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3F6A879" w14:textId="77777777" w:rsidR="00C442F7" w:rsidRPr="002227F1" w:rsidRDefault="00C442F7" w:rsidP="00C442F7">
            <w:pPr>
              <w:rPr>
                <w:bCs/>
              </w:rPr>
            </w:pPr>
            <w:r w:rsidRPr="000A5025">
              <w:t>NF20</w:t>
            </w:r>
          </w:p>
        </w:tc>
        <w:tc>
          <w:tcPr>
            <w:tcW w:w="2816" w:type="dxa"/>
          </w:tcPr>
          <w:p w14:paraId="48A9FD5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Concurrent and logged in users</w:t>
            </w:r>
          </w:p>
        </w:tc>
        <w:tc>
          <w:tcPr>
            <w:tcW w:w="5387" w:type="dxa"/>
          </w:tcPr>
          <w:p w14:paraId="3C6945E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able to support </w:t>
            </w:r>
            <w:r>
              <w:rPr>
                <w:bCs/>
              </w:rPr>
              <w:t xml:space="preserve">their total number of </w:t>
            </w:r>
            <w:r w:rsidRPr="002227F1">
              <w:rPr>
                <w:bCs/>
              </w:rPr>
              <w:t xml:space="preserve">users </w:t>
            </w:r>
            <w:r>
              <w:rPr>
                <w:bCs/>
              </w:rPr>
              <w:t>including up to 20% of</w:t>
            </w:r>
            <w:r w:rsidRPr="002227F1">
              <w:rPr>
                <w:bCs/>
              </w:rPr>
              <w:t xml:space="preserve"> concurrent users</w:t>
            </w:r>
            <w:r>
              <w:rPr>
                <w:bCs/>
              </w:rPr>
              <w:t xml:space="preserve"> at any one time.</w:t>
            </w:r>
          </w:p>
        </w:tc>
      </w:tr>
      <w:tr w:rsidR="00C442F7" w:rsidRPr="002227F1" w14:paraId="178699E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9F7BD26" w14:textId="77777777" w:rsidR="00C442F7" w:rsidRPr="002227F1" w:rsidRDefault="00C442F7" w:rsidP="00C442F7">
            <w:pPr>
              <w:rPr>
                <w:bCs/>
              </w:rPr>
            </w:pPr>
            <w:r w:rsidRPr="000A5025">
              <w:t>NF21</w:t>
            </w:r>
          </w:p>
        </w:tc>
        <w:tc>
          <w:tcPr>
            <w:tcW w:w="2816" w:type="dxa"/>
          </w:tcPr>
          <w:p w14:paraId="202022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Concurrent users</w:t>
            </w:r>
          </w:p>
        </w:tc>
        <w:tc>
          <w:tcPr>
            <w:tcW w:w="5387" w:type="dxa"/>
          </w:tcPr>
          <w:p w14:paraId="0BD8CEE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support </w:t>
            </w:r>
            <w:r>
              <w:rPr>
                <w:bCs/>
              </w:rPr>
              <w:t>their maximum</w:t>
            </w:r>
            <w:r w:rsidRPr="002227F1">
              <w:rPr>
                <w:bCs/>
              </w:rPr>
              <w:t xml:space="preserve"> concurrent registry staff users to support data entry/import functions, quality management, data analysis and internal report production</w:t>
            </w:r>
            <w:r>
              <w:rPr>
                <w:bCs/>
              </w:rPr>
              <w:t>.</w:t>
            </w:r>
          </w:p>
        </w:tc>
      </w:tr>
      <w:tr w:rsidR="00C442F7" w:rsidRPr="002227F1" w14:paraId="75D996F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1CA59C1" w14:textId="77777777" w:rsidR="00C442F7" w:rsidRPr="002227F1" w:rsidRDefault="00C442F7" w:rsidP="00C442F7">
            <w:pPr>
              <w:rPr>
                <w:bCs/>
              </w:rPr>
            </w:pPr>
            <w:r w:rsidRPr="000A5025">
              <w:t>NF22</w:t>
            </w:r>
          </w:p>
        </w:tc>
        <w:tc>
          <w:tcPr>
            <w:tcW w:w="2816" w:type="dxa"/>
          </w:tcPr>
          <w:p w14:paraId="6AE2151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Point to digital images</w:t>
            </w:r>
          </w:p>
        </w:tc>
        <w:tc>
          <w:tcPr>
            <w:tcW w:w="5387" w:type="dxa"/>
          </w:tcPr>
          <w:p w14:paraId="7E509E6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w:t>
            </w:r>
            <w:r>
              <w:rPr>
                <w:bCs/>
              </w:rPr>
              <w:t>provide</w:t>
            </w:r>
            <w:r w:rsidRPr="002227F1">
              <w:rPr>
                <w:bCs/>
              </w:rPr>
              <w:t xml:space="preserve"> the location of a stored image</w:t>
            </w:r>
            <w:r>
              <w:rPr>
                <w:bCs/>
              </w:rPr>
              <w:t xml:space="preserve"> or scanned document.</w:t>
            </w:r>
          </w:p>
        </w:tc>
      </w:tr>
      <w:tr w:rsidR="00C442F7" w:rsidRPr="002227F1" w14:paraId="33D2181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781F2A0" w14:textId="77777777" w:rsidR="00C442F7" w:rsidRPr="002227F1" w:rsidRDefault="00C442F7" w:rsidP="00C442F7">
            <w:pPr>
              <w:rPr>
                <w:bCs/>
              </w:rPr>
            </w:pPr>
            <w:r w:rsidRPr="000A5025">
              <w:t>NF23</w:t>
            </w:r>
          </w:p>
        </w:tc>
        <w:tc>
          <w:tcPr>
            <w:tcW w:w="2816" w:type="dxa"/>
          </w:tcPr>
          <w:p w14:paraId="0F45BD1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Addition of data elements</w:t>
            </w:r>
          </w:p>
        </w:tc>
        <w:tc>
          <w:tcPr>
            <w:tcW w:w="5387" w:type="dxa"/>
          </w:tcPr>
          <w:p w14:paraId="0172FFF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add data elements to the registry dataset either permanently or for a specified period of time</w:t>
            </w:r>
            <w:r>
              <w:rPr>
                <w:bCs/>
              </w:rPr>
              <w:t>.</w:t>
            </w:r>
          </w:p>
        </w:tc>
      </w:tr>
      <w:tr w:rsidR="00C442F7" w:rsidRPr="002227F1" w14:paraId="338DC1C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DF426FF" w14:textId="77777777" w:rsidR="00C442F7" w:rsidRPr="002227F1" w:rsidRDefault="00C442F7" w:rsidP="00C442F7">
            <w:pPr>
              <w:rPr>
                <w:bCs/>
              </w:rPr>
            </w:pPr>
            <w:r w:rsidRPr="000A5025">
              <w:t>NF24</w:t>
            </w:r>
          </w:p>
        </w:tc>
        <w:tc>
          <w:tcPr>
            <w:tcW w:w="2816" w:type="dxa"/>
          </w:tcPr>
          <w:p w14:paraId="3A88B96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Storage of digital images</w:t>
            </w:r>
          </w:p>
        </w:tc>
        <w:tc>
          <w:tcPr>
            <w:tcW w:w="5387" w:type="dxa"/>
          </w:tcPr>
          <w:p w14:paraId="2A3E4FF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 xml:space="preserve">be able to </w:t>
            </w:r>
            <w:r w:rsidRPr="002227F1">
              <w:rPr>
                <w:bCs/>
              </w:rPr>
              <w:t>store digital images</w:t>
            </w:r>
            <w:r>
              <w:rPr>
                <w:bCs/>
              </w:rPr>
              <w:t xml:space="preserve"> if required for their primary or secondary purpose.</w:t>
            </w:r>
          </w:p>
        </w:tc>
      </w:tr>
      <w:tr w:rsidR="00C442F7" w:rsidRPr="002227F1" w14:paraId="2911217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04F67A6" w14:textId="77777777" w:rsidR="00C442F7" w:rsidRPr="002227F1" w:rsidRDefault="00C442F7" w:rsidP="00C442F7">
            <w:pPr>
              <w:rPr>
                <w:bCs/>
              </w:rPr>
            </w:pPr>
            <w:r w:rsidRPr="000A5025">
              <w:t>NF25</w:t>
            </w:r>
          </w:p>
        </w:tc>
        <w:tc>
          <w:tcPr>
            <w:tcW w:w="2816" w:type="dxa"/>
          </w:tcPr>
          <w:p w14:paraId="6148374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Period of record retention</w:t>
            </w:r>
          </w:p>
        </w:tc>
        <w:tc>
          <w:tcPr>
            <w:tcW w:w="5387" w:type="dxa"/>
          </w:tcPr>
          <w:p w14:paraId="2A7D6ED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retention of active records</w:t>
            </w:r>
            <w:r>
              <w:rPr>
                <w:bCs/>
              </w:rPr>
              <w:t xml:space="preserve"> for the</w:t>
            </w:r>
            <w:r w:rsidRPr="002227F1">
              <w:rPr>
                <w:bCs/>
              </w:rPr>
              <w:t xml:space="preserve"> period</w:t>
            </w:r>
            <w:r>
              <w:rPr>
                <w:bCs/>
              </w:rPr>
              <w:t xml:space="preserve"> defined by the relevant Health Records </w:t>
            </w:r>
            <w:r>
              <w:rPr>
                <w:bCs/>
              </w:rPr>
              <w:lastRenderedPageBreak/>
              <w:t>Act</w:t>
            </w:r>
            <w:r w:rsidRPr="002227F1">
              <w:rPr>
                <w:bCs/>
              </w:rPr>
              <w:t xml:space="preserve"> to support longitudinal data analysis. After </w:t>
            </w:r>
            <w:r>
              <w:rPr>
                <w:bCs/>
              </w:rPr>
              <w:t>this time</w:t>
            </w:r>
            <w:r w:rsidRPr="002227F1">
              <w:rPr>
                <w:bCs/>
              </w:rPr>
              <w:t>, records will be archived, but still be available for analysis</w:t>
            </w:r>
            <w:r>
              <w:rPr>
                <w:bCs/>
              </w:rPr>
              <w:t>.</w:t>
            </w:r>
          </w:p>
        </w:tc>
      </w:tr>
      <w:tr w:rsidR="00C442F7" w:rsidRPr="002227F1" w14:paraId="6BE35E3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13DAE65" w14:textId="77777777" w:rsidR="00C442F7" w:rsidRPr="002227F1" w:rsidRDefault="00C442F7" w:rsidP="00C442F7">
            <w:pPr>
              <w:rPr>
                <w:bCs/>
              </w:rPr>
            </w:pPr>
            <w:r w:rsidRPr="000A5025">
              <w:lastRenderedPageBreak/>
              <w:t>NF26</w:t>
            </w:r>
          </w:p>
        </w:tc>
        <w:tc>
          <w:tcPr>
            <w:tcW w:w="2816" w:type="dxa"/>
          </w:tcPr>
          <w:p w14:paraId="06581C3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Support for partially saved data</w:t>
            </w:r>
          </w:p>
        </w:tc>
        <w:tc>
          <w:tcPr>
            <w:tcW w:w="5387" w:type="dxa"/>
          </w:tcPr>
          <w:p w14:paraId="7D3EC39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users to close a record that is being added or modified, save partially entered data and return the user to the record in a subsequent session</w:t>
            </w:r>
            <w:r>
              <w:rPr>
                <w:bCs/>
              </w:rPr>
              <w:t>.</w:t>
            </w:r>
          </w:p>
        </w:tc>
      </w:tr>
      <w:tr w:rsidR="00C442F7" w:rsidRPr="002227F1" w14:paraId="3F91839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CA31BE9" w14:textId="77777777" w:rsidR="00C442F7" w:rsidRPr="002227F1" w:rsidRDefault="00C442F7" w:rsidP="00C442F7">
            <w:pPr>
              <w:rPr>
                <w:bCs/>
              </w:rPr>
            </w:pPr>
            <w:r w:rsidRPr="000A5025">
              <w:t>NF27</w:t>
            </w:r>
          </w:p>
        </w:tc>
        <w:tc>
          <w:tcPr>
            <w:tcW w:w="2816" w:type="dxa"/>
          </w:tcPr>
          <w:p w14:paraId="687273B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Backup facilities and procedures</w:t>
            </w:r>
          </w:p>
        </w:tc>
        <w:tc>
          <w:tcPr>
            <w:tcW w:w="5387" w:type="dxa"/>
          </w:tcPr>
          <w:p w14:paraId="09CE048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appropriate (relative to assessed risk) backup facilities are provided and backup procedures implemented</w:t>
            </w:r>
            <w:r>
              <w:rPr>
                <w:bCs/>
              </w:rPr>
              <w:t>.</w:t>
            </w:r>
          </w:p>
        </w:tc>
      </w:tr>
      <w:tr w:rsidR="00C442F7" w:rsidRPr="002227F1" w14:paraId="0BE5EDDE"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C72270C" w14:textId="77777777" w:rsidR="00C442F7" w:rsidRPr="002227F1" w:rsidRDefault="00C442F7" w:rsidP="00C442F7">
            <w:pPr>
              <w:rPr>
                <w:bCs/>
              </w:rPr>
            </w:pPr>
            <w:r w:rsidRPr="000A5025">
              <w:t>NF28</w:t>
            </w:r>
          </w:p>
        </w:tc>
        <w:tc>
          <w:tcPr>
            <w:tcW w:w="2816" w:type="dxa"/>
          </w:tcPr>
          <w:p w14:paraId="5250E67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Frequency of backup</w:t>
            </w:r>
          </w:p>
        </w:tc>
        <w:tc>
          <w:tcPr>
            <w:tcW w:w="5387" w:type="dxa"/>
          </w:tcPr>
          <w:p w14:paraId="04A6BE7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perform scheduled backups to meet availability requirements</w:t>
            </w:r>
            <w:r>
              <w:rPr>
                <w:bCs/>
              </w:rPr>
              <w:t>.</w:t>
            </w:r>
          </w:p>
        </w:tc>
      </w:tr>
      <w:tr w:rsidR="00C442F7" w:rsidRPr="002227F1" w14:paraId="3E35121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EE3232F" w14:textId="77777777" w:rsidR="00C442F7" w:rsidRPr="002227F1" w:rsidRDefault="00C442F7" w:rsidP="00C442F7">
            <w:pPr>
              <w:rPr>
                <w:bCs/>
              </w:rPr>
            </w:pPr>
            <w:r w:rsidRPr="000A5025">
              <w:t>NF29</w:t>
            </w:r>
          </w:p>
        </w:tc>
        <w:tc>
          <w:tcPr>
            <w:tcW w:w="2816" w:type="dxa"/>
          </w:tcPr>
          <w:p w14:paraId="3AC98B2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Backup retention</w:t>
            </w:r>
          </w:p>
        </w:tc>
        <w:tc>
          <w:tcPr>
            <w:tcW w:w="5387" w:type="dxa"/>
          </w:tcPr>
          <w:p w14:paraId="60EB4E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keep backups to support the requirements for:</w:t>
            </w:r>
            <w:r w:rsidRPr="002227F1">
              <w:rPr>
                <w:bCs/>
              </w:rPr>
              <w:br/>
              <w:t xml:space="preserve">• </w:t>
            </w:r>
            <w:r>
              <w:rPr>
                <w:bCs/>
              </w:rPr>
              <w:t xml:space="preserve">NF25 </w:t>
            </w:r>
            <w:r w:rsidRPr="002227F1">
              <w:rPr>
                <w:bCs/>
              </w:rPr>
              <w:t>Period of record retention</w:t>
            </w:r>
            <w:r w:rsidRPr="002227F1">
              <w:rPr>
                <w:bCs/>
              </w:rPr>
              <w:br/>
              <w:t xml:space="preserve">• </w:t>
            </w:r>
            <w:r>
              <w:rPr>
                <w:bCs/>
              </w:rPr>
              <w:t>NF34</w:t>
            </w:r>
            <w:r w:rsidRPr="002227F1">
              <w:rPr>
                <w:bCs/>
              </w:rPr>
              <w:t xml:space="preserve"> Recovery time</w:t>
            </w:r>
            <w:r w:rsidRPr="002227F1">
              <w:rPr>
                <w:bCs/>
              </w:rPr>
              <w:br/>
              <w:t xml:space="preserve">• </w:t>
            </w:r>
            <w:r>
              <w:rPr>
                <w:bCs/>
              </w:rPr>
              <w:t>NF31</w:t>
            </w:r>
            <w:r w:rsidRPr="002227F1">
              <w:rPr>
                <w:bCs/>
              </w:rPr>
              <w:t xml:space="preserve"> Loss of data following disaster recovery</w:t>
            </w:r>
            <w:r w:rsidRPr="002227F1">
              <w:rPr>
                <w:bCs/>
              </w:rPr>
              <w:br/>
              <w:t xml:space="preserve">• </w:t>
            </w:r>
            <w:r>
              <w:rPr>
                <w:bCs/>
              </w:rPr>
              <w:t>NF30</w:t>
            </w:r>
            <w:r w:rsidRPr="002227F1">
              <w:rPr>
                <w:bCs/>
              </w:rPr>
              <w:t xml:space="preserve"> Disaster recovery procedures and facilities</w:t>
            </w:r>
          </w:p>
        </w:tc>
      </w:tr>
      <w:tr w:rsidR="00C442F7" w:rsidRPr="002227F1" w14:paraId="7E9B3F7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503E9C1" w14:textId="77777777" w:rsidR="00C442F7" w:rsidRPr="002227F1" w:rsidRDefault="00C442F7" w:rsidP="00C442F7">
            <w:pPr>
              <w:rPr>
                <w:bCs/>
              </w:rPr>
            </w:pPr>
            <w:r w:rsidRPr="000A5025">
              <w:t>NF30</w:t>
            </w:r>
          </w:p>
        </w:tc>
        <w:tc>
          <w:tcPr>
            <w:tcW w:w="2816" w:type="dxa"/>
          </w:tcPr>
          <w:p w14:paraId="522B4C1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Disaster recovery procedures and facilities</w:t>
            </w:r>
          </w:p>
        </w:tc>
        <w:tc>
          <w:tcPr>
            <w:tcW w:w="5387" w:type="dxa"/>
          </w:tcPr>
          <w:p w14:paraId="6212999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develop appropriate disaster recovery procedures and associated infrastructure (e.g. failover and redundancy)</w:t>
            </w:r>
            <w:r>
              <w:rPr>
                <w:bCs/>
              </w:rPr>
              <w:t>.</w:t>
            </w:r>
          </w:p>
        </w:tc>
      </w:tr>
      <w:tr w:rsidR="00C442F7" w:rsidRPr="002227F1" w14:paraId="64557A6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4DFDED4" w14:textId="77777777" w:rsidR="00C442F7" w:rsidRPr="002227F1" w:rsidRDefault="00C442F7" w:rsidP="00C442F7">
            <w:pPr>
              <w:rPr>
                <w:bCs/>
              </w:rPr>
            </w:pPr>
            <w:r w:rsidRPr="000A5025">
              <w:t>NF31</w:t>
            </w:r>
          </w:p>
        </w:tc>
        <w:tc>
          <w:tcPr>
            <w:tcW w:w="2816" w:type="dxa"/>
          </w:tcPr>
          <w:p w14:paraId="3B742FE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Loss of data following disaster recovery</w:t>
            </w:r>
          </w:p>
        </w:tc>
        <w:tc>
          <w:tcPr>
            <w:tcW w:w="5387" w:type="dxa"/>
          </w:tcPr>
          <w:p w14:paraId="735D7B7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tolerate the loss of not more than one hour of data loss following disaster recovery</w:t>
            </w:r>
            <w:r>
              <w:rPr>
                <w:bCs/>
              </w:rPr>
              <w:t>.</w:t>
            </w:r>
          </w:p>
        </w:tc>
      </w:tr>
      <w:tr w:rsidR="00C442F7" w:rsidRPr="002227F1" w14:paraId="2080D69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E46F32E" w14:textId="77777777" w:rsidR="00C442F7" w:rsidRPr="002227F1" w:rsidRDefault="00C442F7" w:rsidP="00C442F7">
            <w:pPr>
              <w:rPr>
                <w:bCs/>
              </w:rPr>
            </w:pPr>
            <w:r w:rsidRPr="000A5025">
              <w:t>NF33</w:t>
            </w:r>
          </w:p>
        </w:tc>
        <w:tc>
          <w:tcPr>
            <w:tcW w:w="2816" w:type="dxa"/>
          </w:tcPr>
          <w:p w14:paraId="42EBF30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Flag to indicate data that do</w:t>
            </w:r>
            <w:r>
              <w:rPr>
                <w:bCs/>
              </w:rPr>
              <w:t>es</w:t>
            </w:r>
            <w:r w:rsidRPr="002227F1">
              <w:rPr>
                <w:bCs/>
              </w:rPr>
              <w:t xml:space="preserve"> not meet business validation rules</w:t>
            </w:r>
          </w:p>
        </w:tc>
        <w:tc>
          <w:tcPr>
            <w:tcW w:w="5387" w:type="dxa"/>
          </w:tcPr>
          <w:p w14:paraId="70D7C3D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flag items for follow-up where data were saved that did not meet business validation rules</w:t>
            </w:r>
            <w:r>
              <w:rPr>
                <w:bCs/>
              </w:rPr>
              <w:t>.</w:t>
            </w:r>
          </w:p>
        </w:tc>
      </w:tr>
      <w:tr w:rsidR="00C442F7" w:rsidRPr="002227F1" w14:paraId="769DBCD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9B51D46" w14:textId="77777777" w:rsidR="00C442F7" w:rsidRPr="002227F1" w:rsidRDefault="00C442F7" w:rsidP="00C442F7">
            <w:pPr>
              <w:rPr>
                <w:bCs/>
              </w:rPr>
            </w:pPr>
            <w:r w:rsidRPr="000A5025">
              <w:t>NF34</w:t>
            </w:r>
          </w:p>
        </w:tc>
        <w:tc>
          <w:tcPr>
            <w:tcW w:w="2816" w:type="dxa"/>
          </w:tcPr>
          <w:p w14:paraId="0430C5A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Recovery time</w:t>
            </w:r>
          </w:p>
        </w:tc>
        <w:tc>
          <w:tcPr>
            <w:tcW w:w="5387" w:type="dxa"/>
          </w:tcPr>
          <w:p w14:paraId="5E1C16A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recover data entry and data import functions no later than 48 hours following a loss of system availability</w:t>
            </w:r>
            <w:r>
              <w:rPr>
                <w:bCs/>
              </w:rPr>
              <w:t>.</w:t>
            </w:r>
          </w:p>
        </w:tc>
      </w:tr>
      <w:tr w:rsidR="00C442F7" w:rsidRPr="002227F1" w14:paraId="0B29F20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C634CF8" w14:textId="77777777" w:rsidR="00C442F7" w:rsidRPr="002227F1" w:rsidRDefault="00C442F7" w:rsidP="00C442F7">
            <w:pPr>
              <w:rPr>
                <w:bCs/>
              </w:rPr>
            </w:pPr>
            <w:r w:rsidRPr="000A5025">
              <w:t>NF35</w:t>
            </w:r>
          </w:p>
        </w:tc>
        <w:tc>
          <w:tcPr>
            <w:tcW w:w="2816" w:type="dxa"/>
          </w:tcPr>
          <w:p w14:paraId="288C821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Availability for data entry</w:t>
            </w:r>
          </w:p>
        </w:tc>
        <w:tc>
          <w:tcPr>
            <w:tcW w:w="5387" w:type="dxa"/>
          </w:tcPr>
          <w:p w14:paraId="316858F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provide 24/7 system availability to participating data providers under normal conditions. In the event of failure, the requirements for: </w:t>
            </w:r>
            <w:r>
              <w:rPr>
                <w:bCs/>
              </w:rPr>
              <w:t>r</w:t>
            </w:r>
            <w:r w:rsidRPr="002227F1">
              <w:rPr>
                <w:bCs/>
              </w:rPr>
              <w:t>ecovery time requirement (</w:t>
            </w:r>
            <w:r>
              <w:rPr>
                <w:bCs/>
              </w:rPr>
              <w:t>NF34)</w:t>
            </w:r>
            <w:r w:rsidRPr="002227F1">
              <w:rPr>
                <w:bCs/>
              </w:rPr>
              <w:t xml:space="preserve">; and </w:t>
            </w:r>
            <w:r>
              <w:rPr>
                <w:bCs/>
              </w:rPr>
              <w:t>t</w:t>
            </w:r>
            <w:r w:rsidRPr="002227F1">
              <w:rPr>
                <w:bCs/>
              </w:rPr>
              <w:t>urnaround time for critical production bug fixes (</w:t>
            </w:r>
            <w:r>
              <w:rPr>
                <w:bCs/>
              </w:rPr>
              <w:t>NF54</w:t>
            </w:r>
            <w:r w:rsidRPr="002227F1">
              <w:rPr>
                <w:bCs/>
              </w:rPr>
              <w:t>); will apply</w:t>
            </w:r>
            <w:r>
              <w:rPr>
                <w:bCs/>
              </w:rPr>
              <w:t>.</w:t>
            </w:r>
          </w:p>
        </w:tc>
      </w:tr>
      <w:tr w:rsidR="00C442F7" w:rsidRPr="002227F1" w14:paraId="1469191D"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3376291" w14:textId="77777777" w:rsidR="00C442F7" w:rsidRPr="002227F1" w:rsidRDefault="00C442F7" w:rsidP="00C442F7">
            <w:pPr>
              <w:rPr>
                <w:bCs/>
              </w:rPr>
            </w:pPr>
            <w:r w:rsidRPr="000A5025">
              <w:t>NF36</w:t>
            </w:r>
          </w:p>
        </w:tc>
        <w:tc>
          <w:tcPr>
            <w:tcW w:w="2816" w:type="dxa"/>
          </w:tcPr>
          <w:p w14:paraId="5ECD34F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System availability</w:t>
            </w:r>
          </w:p>
        </w:tc>
        <w:tc>
          <w:tcPr>
            <w:tcW w:w="5387" w:type="dxa"/>
          </w:tcPr>
          <w:p w14:paraId="0175848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 systems shall provide 24/7 system availability in relation to functions performed by registry staff, with peak usage expected between </w:t>
            </w:r>
            <w:r>
              <w:rPr>
                <w:bCs/>
              </w:rPr>
              <w:t>9</w:t>
            </w:r>
            <w:r w:rsidRPr="002227F1">
              <w:rPr>
                <w:bCs/>
              </w:rPr>
              <w:t xml:space="preserve">am and </w:t>
            </w:r>
            <w:r>
              <w:rPr>
                <w:bCs/>
              </w:rPr>
              <w:t>5</w:t>
            </w:r>
            <w:r w:rsidRPr="002227F1">
              <w:rPr>
                <w:bCs/>
              </w:rPr>
              <w:t xml:space="preserve">pm. In the event of failure, the requirements for: </w:t>
            </w:r>
            <w:r>
              <w:rPr>
                <w:bCs/>
              </w:rPr>
              <w:t>r</w:t>
            </w:r>
            <w:r w:rsidRPr="002227F1">
              <w:rPr>
                <w:bCs/>
              </w:rPr>
              <w:t>ecovery time requirement (</w:t>
            </w:r>
            <w:r>
              <w:rPr>
                <w:bCs/>
              </w:rPr>
              <w:t>NF34)</w:t>
            </w:r>
            <w:r w:rsidRPr="002227F1">
              <w:rPr>
                <w:bCs/>
              </w:rPr>
              <w:t xml:space="preserve">; and </w:t>
            </w:r>
            <w:r>
              <w:rPr>
                <w:bCs/>
              </w:rPr>
              <w:t>t</w:t>
            </w:r>
            <w:r w:rsidRPr="002227F1">
              <w:rPr>
                <w:bCs/>
              </w:rPr>
              <w:t>urnaround time for critical production bug fixes (</w:t>
            </w:r>
            <w:r>
              <w:rPr>
                <w:bCs/>
              </w:rPr>
              <w:t>NF54</w:t>
            </w:r>
            <w:r w:rsidRPr="002227F1">
              <w:rPr>
                <w:bCs/>
              </w:rPr>
              <w:t>); will apply</w:t>
            </w:r>
            <w:r>
              <w:rPr>
                <w:bCs/>
              </w:rPr>
              <w:t>.</w:t>
            </w:r>
          </w:p>
        </w:tc>
      </w:tr>
      <w:tr w:rsidR="00C442F7" w:rsidRPr="002227F1" w14:paraId="766CDEA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EF5359F" w14:textId="77777777" w:rsidR="00C442F7" w:rsidRPr="002227F1" w:rsidRDefault="00C442F7" w:rsidP="00C442F7">
            <w:pPr>
              <w:rPr>
                <w:bCs/>
              </w:rPr>
            </w:pPr>
            <w:r w:rsidRPr="000A5025">
              <w:t>NF37</w:t>
            </w:r>
          </w:p>
        </w:tc>
        <w:tc>
          <w:tcPr>
            <w:tcW w:w="2816" w:type="dxa"/>
          </w:tcPr>
          <w:p w14:paraId="4016C9B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Minimal impact of reporting on other registry functions</w:t>
            </w:r>
          </w:p>
        </w:tc>
        <w:tc>
          <w:tcPr>
            <w:tcW w:w="5387" w:type="dxa"/>
          </w:tcPr>
          <w:p w14:paraId="4544AB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ensure that the use of reporting and data extraction (output) functions will have minimal impact on other registry functions such as data entry, data </w:t>
            </w:r>
            <w:r w:rsidRPr="002227F1">
              <w:rPr>
                <w:bCs/>
              </w:rPr>
              <w:lastRenderedPageBreak/>
              <w:t>quality management, data analysis and other reporting functions</w:t>
            </w:r>
            <w:r>
              <w:rPr>
                <w:bCs/>
              </w:rPr>
              <w:t>.</w:t>
            </w:r>
          </w:p>
        </w:tc>
      </w:tr>
      <w:tr w:rsidR="00C442F7" w:rsidRPr="002227F1" w14:paraId="77D434E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9A758AE" w14:textId="77777777" w:rsidR="00C442F7" w:rsidRPr="002227F1" w:rsidRDefault="00C442F7" w:rsidP="00C442F7">
            <w:pPr>
              <w:rPr>
                <w:bCs/>
              </w:rPr>
            </w:pPr>
            <w:r w:rsidRPr="000A5025">
              <w:lastRenderedPageBreak/>
              <w:t>NF38</w:t>
            </w:r>
          </w:p>
        </w:tc>
        <w:tc>
          <w:tcPr>
            <w:tcW w:w="2816" w:type="dxa"/>
          </w:tcPr>
          <w:p w14:paraId="3401F02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Support for portable devices</w:t>
            </w:r>
          </w:p>
        </w:tc>
        <w:tc>
          <w:tcPr>
            <w:tcW w:w="5387" w:type="dxa"/>
          </w:tcPr>
          <w:p w14:paraId="4966624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use of portable devices</w:t>
            </w:r>
            <w:r>
              <w:rPr>
                <w:bCs/>
              </w:rPr>
              <w:t>.</w:t>
            </w:r>
          </w:p>
        </w:tc>
      </w:tr>
      <w:tr w:rsidR="00C442F7" w:rsidRPr="002227F1" w14:paraId="4DDD0D60"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2FE3ADE" w14:textId="77777777" w:rsidR="00C442F7" w:rsidRPr="002227F1" w:rsidRDefault="00C442F7" w:rsidP="00C442F7">
            <w:pPr>
              <w:rPr>
                <w:bCs/>
              </w:rPr>
            </w:pPr>
            <w:r w:rsidRPr="000A5025">
              <w:t>NF39</w:t>
            </w:r>
          </w:p>
        </w:tc>
        <w:tc>
          <w:tcPr>
            <w:tcW w:w="2816" w:type="dxa"/>
          </w:tcPr>
          <w:p w14:paraId="0E250BE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centre standard</w:t>
            </w:r>
          </w:p>
        </w:tc>
        <w:tc>
          <w:tcPr>
            <w:tcW w:w="5387" w:type="dxa"/>
          </w:tcPr>
          <w:p w14:paraId="3E473C3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housed in an environment that meets the requirements of a Tier 2 data centre (TIA-942 Telecommunications Infrastructure Standard for Data Centres)</w:t>
            </w:r>
            <w:r>
              <w:rPr>
                <w:bCs/>
              </w:rPr>
              <w:t>.</w:t>
            </w:r>
          </w:p>
        </w:tc>
      </w:tr>
      <w:tr w:rsidR="00C442F7" w:rsidRPr="002227F1" w14:paraId="723D091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456F318" w14:textId="77777777" w:rsidR="00C442F7" w:rsidRPr="002227F1" w:rsidRDefault="00C442F7" w:rsidP="00C442F7">
            <w:pPr>
              <w:rPr>
                <w:bCs/>
              </w:rPr>
            </w:pPr>
            <w:r w:rsidRPr="000A5025">
              <w:t>NF40</w:t>
            </w:r>
          </w:p>
        </w:tc>
        <w:tc>
          <w:tcPr>
            <w:tcW w:w="2816" w:type="dxa"/>
          </w:tcPr>
          <w:p w14:paraId="06B8A3A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standards for demographic information</w:t>
            </w:r>
          </w:p>
        </w:tc>
        <w:tc>
          <w:tcPr>
            <w:tcW w:w="5387" w:type="dxa"/>
          </w:tcPr>
          <w:p w14:paraId="746C1A6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use the </w:t>
            </w:r>
            <w:r>
              <w:rPr>
                <w:bCs/>
              </w:rPr>
              <w:t xml:space="preserve">Provider and Individual Healthcare Identifier </w:t>
            </w:r>
            <w:r w:rsidRPr="002227F1">
              <w:rPr>
                <w:bCs/>
              </w:rPr>
              <w:t>standard to support the interchange of participant demographic data between health information repositories</w:t>
            </w:r>
            <w:r>
              <w:rPr>
                <w:bCs/>
              </w:rPr>
              <w:t xml:space="preserve"> where possible.</w:t>
            </w:r>
          </w:p>
        </w:tc>
      </w:tr>
      <w:tr w:rsidR="00C442F7" w:rsidRPr="002227F1" w14:paraId="53D3E434"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A921843" w14:textId="77777777" w:rsidR="00C442F7" w:rsidRPr="002227F1" w:rsidRDefault="00C442F7" w:rsidP="00C442F7">
            <w:pPr>
              <w:rPr>
                <w:bCs/>
              </w:rPr>
            </w:pPr>
            <w:r w:rsidRPr="000A5025">
              <w:t>NF41</w:t>
            </w:r>
          </w:p>
        </w:tc>
        <w:tc>
          <w:tcPr>
            <w:tcW w:w="2816" w:type="dxa"/>
          </w:tcPr>
          <w:p w14:paraId="41B98DA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Metadata to support local system design</w:t>
            </w:r>
          </w:p>
        </w:tc>
        <w:tc>
          <w:tcPr>
            <w:tcW w:w="5387" w:type="dxa"/>
          </w:tcPr>
          <w:p w14:paraId="067BBB7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maintain and make accessible a catalogue of metadata to support software vendors in the design of local systems that interface and interact with registries. The catalogue shall include data element definitions and cross references to reference data</w:t>
            </w:r>
            <w:r>
              <w:rPr>
                <w:bCs/>
              </w:rPr>
              <w:t>.</w:t>
            </w:r>
          </w:p>
        </w:tc>
      </w:tr>
      <w:tr w:rsidR="00C442F7" w:rsidRPr="002227F1" w14:paraId="6C0521C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2E6712A" w14:textId="77777777" w:rsidR="00C442F7" w:rsidRPr="002227F1" w:rsidRDefault="00C442F7" w:rsidP="00C442F7">
            <w:pPr>
              <w:rPr>
                <w:bCs/>
              </w:rPr>
            </w:pPr>
            <w:r w:rsidRPr="000A5025">
              <w:t>NF42</w:t>
            </w:r>
          </w:p>
        </w:tc>
        <w:tc>
          <w:tcPr>
            <w:tcW w:w="2816" w:type="dxa"/>
          </w:tcPr>
          <w:p w14:paraId="5D901CA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Employ standard to support data linkage</w:t>
            </w:r>
          </w:p>
        </w:tc>
        <w:tc>
          <w:tcPr>
            <w:tcW w:w="5387" w:type="dxa"/>
          </w:tcPr>
          <w:p w14:paraId="7CA89FB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employ technical and data information standards that support data linkage to, or eventual integration with, other disease and procedure registers or other databases</w:t>
            </w:r>
            <w:r>
              <w:rPr>
                <w:bCs/>
              </w:rPr>
              <w:t>.</w:t>
            </w:r>
          </w:p>
        </w:tc>
      </w:tr>
      <w:tr w:rsidR="00C442F7" w:rsidRPr="002227F1" w14:paraId="4A9340A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BED9C66" w14:textId="77777777" w:rsidR="00C442F7" w:rsidRPr="002227F1" w:rsidRDefault="00C442F7" w:rsidP="00C442F7">
            <w:pPr>
              <w:rPr>
                <w:bCs/>
              </w:rPr>
            </w:pPr>
            <w:r w:rsidRPr="000A5025">
              <w:t>NF44</w:t>
            </w:r>
          </w:p>
        </w:tc>
        <w:tc>
          <w:tcPr>
            <w:tcW w:w="2816" w:type="dxa"/>
          </w:tcPr>
          <w:p w14:paraId="0595A51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Interfaces for receiving data</w:t>
            </w:r>
          </w:p>
        </w:tc>
        <w:tc>
          <w:tcPr>
            <w:tcW w:w="5387" w:type="dxa"/>
          </w:tcPr>
          <w:p w14:paraId="58EB010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interfaces that enable external parties to 'push' data to the registr</w:t>
            </w:r>
            <w:r>
              <w:rPr>
                <w:bCs/>
              </w:rPr>
              <w:t>y.</w:t>
            </w:r>
          </w:p>
        </w:tc>
      </w:tr>
      <w:tr w:rsidR="00C442F7" w:rsidRPr="002227F1" w14:paraId="214C766D"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E255CEF" w14:textId="77777777" w:rsidR="00C442F7" w:rsidRPr="002227F1" w:rsidRDefault="00C442F7" w:rsidP="00C442F7">
            <w:pPr>
              <w:rPr>
                <w:bCs/>
              </w:rPr>
            </w:pPr>
            <w:r w:rsidRPr="000A5025">
              <w:t>NF45</w:t>
            </w:r>
          </w:p>
        </w:tc>
        <w:tc>
          <w:tcPr>
            <w:tcW w:w="2816" w:type="dxa"/>
          </w:tcPr>
          <w:p w14:paraId="4A6AEAC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Interfaces to third</w:t>
            </w:r>
            <w:r>
              <w:rPr>
                <w:bCs/>
              </w:rPr>
              <w:t>-</w:t>
            </w:r>
            <w:r w:rsidRPr="002227F1">
              <w:rPr>
                <w:bCs/>
              </w:rPr>
              <w:t>party sources</w:t>
            </w:r>
          </w:p>
        </w:tc>
        <w:tc>
          <w:tcPr>
            <w:tcW w:w="5387" w:type="dxa"/>
          </w:tcPr>
          <w:p w14:paraId="02BCD53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interfaces to third</w:t>
            </w:r>
            <w:r>
              <w:rPr>
                <w:bCs/>
              </w:rPr>
              <w:t>-</w:t>
            </w:r>
            <w:r w:rsidRPr="002227F1">
              <w:rPr>
                <w:bCs/>
              </w:rPr>
              <w:t>party sources that enable registries to consume data 'pulled' from those sources</w:t>
            </w:r>
            <w:r>
              <w:rPr>
                <w:bCs/>
              </w:rPr>
              <w:t>.</w:t>
            </w:r>
          </w:p>
        </w:tc>
      </w:tr>
      <w:tr w:rsidR="00C442F7" w:rsidRPr="002227F1" w14:paraId="31F580C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D67E61B" w14:textId="77777777" w:rsidR="00C442F7" w:rsidRPr="002227F1" w:rsidRDefault="00C442F7" w:rsidP="00C442F7">
            <w:pPr>
              <w:rPr>
                <w:bCs/>
              </w:rPr>
            </w:pPr>
            <w:r w:rsidRPr="000A5025">
              <w:t>NF46</w:t>
            </w:r>
          </w:p>
        </w:tc>
        <w:tc>
          <w:tcPr>
            <w:tcW w:w="2816" w:type="dxa"/>
          </w:tcPr>
          <w:p w14:paraId="65F34E4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health industry standard terminologies</w:t>
            </w:r>
          </w:p>
        </w:tc>
        <w:tc>
          <w:tcPr>
            <w:tcW w:w="5387" w:type="dxa"/>
          </w:tcPr>
          <w:p w14:paraId="420E19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Australian health industry standard terminologies (e.g. SNOMED CT) to support data import and export to other health information systems</w:t>
            </w:r>
            <w:r>
              <w:rPr>
                <w:bCs/>
              </w:rPr>
              <w:t>.</w:t>
            </w:r>
          </w:p>
        </w:tc>
      </w:tr>
      <w:tr w:rsidR="00C442F7" w:rsidRPr="002227F1" w14:paraId="625BA661"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259D8AA" w14:textId="77777777" w:rsidR="00C442F7" w:rsidRPr="002227F1" w:rsidRDefault="00C442F7" w:rsidP="00C442F7">
            <w:pPr>
              <w:rPr>
                <w:bCs/>
              </w:rPr>
            </w:pPr>
            <w:r w:rsidRPr="000A5025">
              <w:t>NF47</w:t>
            </w:r>
          </w:p>
        </w:tc>
        <w:tc>
          <w:tcPr>
            <w:tcW w:w="2816" w:type="dxa"/>
          </w:tcPr>
          <w:p w14:paraId="3BD9B61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Health documents exchange</w:t>
            </w:r>
          </w:p>
        </w:tc>
        <w:tc>
          <w:tcPr>
            <w:tcW w:w="5387" w:type="dxa"/>
          </w:tcPr>
          <w:p w14:paraId="2A2B835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the Clinical Document Architecture (CDA) to encode and structure clinical documents for exchange</w:t>
            </w:r>
            <w:r>
              <w:rPr>
                <w:bCs/>
              </w:rPr>
              <w:t>.</w:t>
            </w:r>
          </w:p>
        </w:tc>
      </w:tr>
      <w:tr w:rsidR="00C442F7" w:rsidRPr="002227F1" w14:paraId="2FBDCDD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10AD364" w14:textId="77777777" w:rsidR="00C442F7" w:rsidRPr="002227F1" w:rsidRDefault="00C442F7" w:rsidP="00C442F7">
            <w:pPr>
              <w:rPr>
                <w:bCs/>
              </w:rPr>
            </w:pPr>
            <w:r w:rsidRPr="000A5025">
              <w:t>NF48</w:t>
            </w:r>
          </w:p>
        </w:tc>
        <w:tc>
          <w:tcPr>
            <w:tcW w:w="2816" w:type="dxa"/>
          </w:tcPr>
          <w:p w14:paraId="475CA2B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standard data exchange mechanisms</w:t>
            </w:r>
          </w:p>
        </w:tc>
        <w:tc>
          <w:tcPr>
            <w:tcW w:w="5387" w:type="dxa"/>
          </w:tcPr>
          <w:p w14:paraId="47DACB8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adopt agreed </w:t>
            </w:r>
            <w:r>
              <w:rPr>
                <w:bCs/>
              </w:rPr>
              <w:t xml:space="preserve">ADHA interoperability </w:t>
            </w:r>
            <w:r w:rsidRPr="002227F1">
              <w:rPr>
                <w:bCs/>
              </w:rPr>
              <w:t>standards for health</w:t>
            </w:r>
            <w:r>
              <w:rPr>
                <w:bCs/>
              </w:rPr>
              <w:t xml:space="preserve"> </w:t>
            </w:r>
            <w:r w:rsidRPr="002227F1">
              <w:rPr>
                <w:bCs/>
              </w:rPr>
              <w:t>care</w:t>
            </w:r>
            <w:r>
              <w:rPr>
                <w:bCs/>
              </w:rPr>
              <w:t>.</w:t>
            </w:r>
          </w:p>
        </w:tc>
      </w:tr>
      <w:tr w:rsidR="00C442F7" w:rsidRPr="002227F1" w14:paraId="74813ED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F8F3B07" w14:textId="77777777" w:rsidR="00C442F7" w:rsidRPr="002227F1" w:rsidRDefault="00C442F7" w:rsidP="00C442F7">
            <w:pPr>
              <w:rPr>
                <w:bCs/>
              </w:rPr>
            </w:pPr>
            <w:r w:rsidRPr="000A5025">
              <w:t>NF49</w:t>
            </w:r>
          </w:p>
        </w:tc>
        <w:tc>
          <w:tcPr>
            <w:tcW w:w="2816" w:type="dxa"/>
          </w:tcPr>
          <w:p w14:paraId="54D847A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exchange agreements and contracts</w:t>
            </w:r>
          </w:p>
        </w:tc>
        <w:tc>
          <w:tcPr>
            <w:tcW w:w="5387" w:type="dxa"/>
          </w:tcPr>
          <w:p w14:paraId="084259F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Each data provider and consumer shall have a data exchange agreement and data exchange contract detailing the specific data being exchanged and how it interfaces</w:t>
            </w:r>
            <w:r>
              <w:rPr>
                <w:bCs/>
              </w:rPr>
              <w:t>.</w:t>
            </w:r>
          </w:p>
        </w:tc>
      </w:tr>
      <w:tr w:rsidR="00C442F7" w:rsidRPr="002227F1" w14:paraId="20AE0C71"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D542169" w14:textId="77777777" w:rsidR="00C442F7" w:rsidRPr="002227F1" w:rsidRDefault="00C442F7" w:rsidP="00C442F7">
            <w:pPr>
              <w:rPr>
                <w:bCs/>
              </w:rPr>
            </w:pPr>
            <w:r w:rsidRPr="000A5025">
              <w:lastRenderedPageBreak/>
              <w:t>NF51</w:t>
            </w:r>
          </w:p>
        </w:tc>
        <w:tc>
          <w:tcPr>
            <w:tcW w:w="2816" w:type="dxa"/>
          </w:tcPr>
          <w:p w14:paraId="3F927D4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Changing data requirements and standards</w:t>
            </w:r>
          </w:p>
        </w:tc>
        <w:tc>
          <w:tcPr>
            <w:tcW w:w="5387" w:type="dxa"/>
          </w:tcPr>
          <w:p w14:paraId="71DC04B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change data elements and health information standards (e.g. ICD10) over the life of a registry</w:t>
            </w:r>
            <w:r>
              <w:rPr>
                <w:bCs/>
              </w:rPr>
              <w:t>.</w:t>
            </w:r>
          </w:p>
        </w:tc>
      </w:tr>
      <w:tr w:rsidR="00C442F7" w:rsidRPr="002227F1" w14:paraId="3B46C65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0201FCB" w14:textId="77777777" w:rsidR="00C442F7" w:rsidRPr="002227F1" w:rsidRDefault="00C442F7" w:rsidP="00C442F7">
            <w:pPr>
              <w:rPr>
                <w:bCs/>
              </w:rPr>
            </w:pPr>
            <w:r w:rsidRPr="000A5025">
              <w:t>NF52</w:t>
            </w:r>
          </w:p>
        </w:tc>
        <w:tc>
          <w:tcPr>
            <w:tcW w:w="2816" w:type="dxa"/>
          </w:tcPr>
          <w:p w14:paraId="7B70994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Expected frequency of major upgrade</w:t>
            </w:r>
          </w:p>
        </w:tc>
        <w:tc>
          <w:tcPr>
            <w:tcW w:w="5387" w:type="dxa"/>
          </w:tcPr>
          <w:p w14:paraId="29B5B75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support major upgrades of applications and databases </w:t>
            </w:r>
            <w:r>
              <w:rPr>
                <w:bCs/>
              </w:rPr>
              <w:t>when required.</w:t>
            </w:r>
          </w:p>
        </w:tc>
      </w:tr>
      <w:tr w:rsidR="00C442F7" w:rsidRPr="002227F1" w14:paraId="646C78B4"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533D39F" w14:textId="77777777" w:rsidR="00C442F7" w:rsidRPr="002227F1" w:rsidRDefault="00C442F7" w:rsidP="00C442F7">
            <w:pPr>
              <w:rPr>
                <w:bCs/>
              </w:rPr>
            </w:pPr>
            <w:r w:rsidRPr="000A5025">
              <w:t>NF53</w:t>
            </w:r>
          </w:p>
        </w:tc>
        <w:tc>
          <w:tcPr>
            <w:tcW w:w="2816" w:type="dxa"/>
          </w:tcPr>
          <w:p w14:paraId="504A305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Expected frequency of minor upgrade</w:t>
            </w:r>
          </w:p>
        </w:tc>
        <w:tc>
          <w:tcPr>
            <w:tcW w:w="5387" w:type="dxa"/>
          </w:tcPr>
          <w:p w14:paraId="492D283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the ability to support minor upgrades of applications and databases </w:t>
            </w:r>
            <w:r>
              <w:rPr>
                <w:bCs/>
              </w:rPr>
              <w:t>when required.</w:t>
            </w:r>
          </w:p>
        </w:tc>
      </w:tr>
      <w:tr w:rsidR="00C442F7" w:rsidRPr="002227F1" w14:paraId="6099208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05F9078" w14:textId="77777777" w:rsidR="00C442F7" w:rsidRPr="002227F1" w:rsidRDefault="00C442F7" w:rsidP="00C442F7">
            <w:pPr>
              <w:rPr>
                <w:bCs/>
              </w:rPr>
            </w:pPr>
            <w:r w:rsidRPr="000A5025">
              <w:t>NF54</w:t>
            </w:r>
          </w:p>
        </w:tc>
        <w:tc>
          <w:tcPr>
            <w:tcW w:w="2816" w:type="dxa"/>
          </w:tcPr>
          <w:p w14:paraId="5D3627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Turnaround time for critical production bug fixes</w:t>
            </w:r>
          </w:p>
        </w:tc>
        <w:tc>
          <w:tcPr>
            <w:tcW w:w="5387" w:type="dxa"/>
          </w:tcPr>
          <w:p w14:paraId="01A2E0D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have a turnaround time </w:t>
            </w:r>
            <w:r>
              <w:rPr>
                <w:bCs/>
              </w:rPr>
              <w:t>as per service/performance contracts</w:t>
            </w:r>
            <w:r w:rsidRPr="002227F1">
              <w:rPr>
                <w:bCs/>
              </w:rPr>
              <w:t xml:space="preserve"> to enable correction of critical bugs in production</w:t>
            </w:r>
            <w:r>
              <w:rPr>
                <w:bCs/>
              </w:rPr>
              <w:t>.</w:t>
            </w:r>
          </w:p>
        </w:tc>
      </w:tr>
      <w:tr w:rsidR="00C442F7" w:rsidRPr="002227F1" w14:paraId="75DF2E4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D81B541" w14:textId="77777777" w:rsidR="00C442F7" w:rsidRPr="002227F1" w:rsidRDefault="00C442F7" w:rsidP="00C442F7">
            <w:pPr>
              <w:rPr>
                <w:bCs/>
              </w:rPr>
            </w:pPr>
            <w:r w:rsidRPr="000A5025">
              <w:t>NF55</w:t>
            </w:r>
          </w:p>
        </w:tc>
        <w:tc>
          <w:tcPr>
            <w:tcW w:w="2816" w:type="dxa"/>
          </w:tcPr>
          <w:p w14:paraId="24137E9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 acceptance testing</w:t>
            </w:r>
          </w:p>
        </w:tc>
        <w:tc>
          <w:tcPr>
            <w:tcW w:w="5387" w:type="dxa"/>
          </w:tcPr>
          <w:p w14:paraId="1AEC49F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perform user acceptance testing for system components that will be used by non-registry staff before changes are placed into production</w:t>
            </w:r>
            <w:r>
              <w:rPr>
                <w:bCs/>
              </w:rPr>
              <w:t>.</w:t>
            </w:r>
          </w:p>
        </w:tc>
      </w:tr>
      <w:tr w:rsidR="00C442F7" w:rsidRPr="002227F1" w14:paraId="7461641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E000D14" w14:textId="77777777" w:rsidR="00C442F7" w:rsidRPr="002227F1" w:rsidRDefault="00C442F7" w:rsidP="00C442F7">
            <w:pPr>
              <w:rPr>
                <w:bCs/>
              </w:rPr>
            </w:pPr>
            <w:r w:rsidRPr="000A5025">
              <w:t>NF56</w:t>
            </w:r>
          </w:p>
        </w:tc>
        <w:tc>
          <w:tcPr>
            <w:tcW w:w="2816" w:type="dxa"/>
          </w:tcPr>
          <w:p w14:paraId="3302684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Administration support hours of operation</w:t>
            </w:r>
          </w:p>
        </w:tc>
        <w:tc>
          <w:tcPr>
            <w:tcW w:w="5387" w:type="dxa"/>
          </w:tcPr>
          <w:p w14:paraId="7E67EFA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system administration support during weekday office hours (public holidays excluded).</w:t>
            </w:r>
          </w:p>
        </w:tc>
      </w:tr>
      <w:tr w:rsidR="00C442F7" w:rsidRPr="002227F1" w14:paraId="542820C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7495D0F" w14:textId="77777777" w:rsidR="00C442F7" w:rsidRPr="002227F1" w:rsidRDefault="00C442F7" w:rsidP="00C442F7">
            <w:pPr>
              <w:rPr>
                <w:bCs/>
              </w:rPr>
            </w:pPr>
            <w:r w:rsidRPr="000A5025">
              <w:t>NF57</w:t>
            </w:r>
          </w:p>
        </w:tc>
        <w:tc>
          <w:tcPr>
            <w:tcW w:w="2816" w:type="dxa"/>
          </w:tcPr>
          <w:p w14:paraId="3483E3C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Development and test environments</w:t>
            </w:r>
          </w:p>
        </w:tc>
        <w:tc>
          <w:tcPr>
            <w:tcW w:w="5387" w:type="dxa"/>
          </w:tcPr>
          <w:p w14:paraId="42C67FF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A </w:t>
            </w:r>
            <w:r w:rsidRPr="002227F1">
              <w:rPr>
                <w:bCs/>
              </w:rPr>
              <w:t>CQR</w:t>
            </w:r>
            <w:r>
              <w:rPr>
                <w:bCs/>
              </w:rPr>
              <w:t>’</w:t>
            </w:r>
            <w:r w:rsidRPr="002227F1">
              <w:rPr>
                <w:bCs/>
              </w:rPr>
              <w:t xml:space="preserve">s IT infrastructure shall provide the ability to configure development and test environments </w:t>
            </w:r>
            <w:r>
              <w:rPr>
                <w:bCs/>
              </w:rPr>
              <w:t>as required.</w:t>
            </w:r>
          </w:p>
        </w:tc>
      </w:tr>
      <w:tr w:rsidR="00C442F7" w:rsidRPr="002227F1" w14:paraId="1AA14490"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27EBB1A" w14:textId="77777777" w:rsidR="00C442F7" w:rsidRPr="002227F1" w:rsidRDefault="00C442F7" w:rsidP="00C442F7">
            <w:pPr>
              <w:rPr>
                <w:bCs/>
              </w:rPr>
            </w:pPr>
            <w:r w:rsidRPr="000A5025">
              <w:t>NF58</w:t>
            </w:r>
          </w:p>
        </w:tc>
        <w:tc>
          <w:tcPr>
            <w:tcW w:w="2816" w:type="dxa"/>
          </w:tcPr>
          <w:p w14:paraId="72DCA67D"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Number of development licences</w:t>
            </w:r>
          </w:p>
        </w:tc>
        <w:tc>
          <w:tcPr>
            <w:tcW w:w="5387" w:type="dxa"/>
          </w:tcPr>
          <w:p w14:paraId="15EC05A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make provision for development software licen</w:t>
            </w:r>
            <w:r>
              <w:rPr>
                <w:bCs/>
              </w:rPr>
              <w:t>c</w:t>
            </w:r>
            <w:r w:rsidRPr="002227F1">
              <w:rPr>
                <w:bCs/>
              </w:rPr>
              <w:t>es. The number of development licen</w:t>
            </w:r>
            <w:r>
              <w:rPr>
                <w:bCs/>
              </w:rPr>
              <w:t>c</w:t>
            </w:r>
            <w:r w:rsidRPr="002227F1">
              <w:rPr>
                <w:bCs/>
              </w:rPr>
              <w:t>es will depend on the arrangements/resources/time</w:t>
            </w:r>
            <w:r>
              <w:rPr>
                <w:bCs/>
              </w:rPr>
              <w:t xml:space="preserve"> </w:t>
            </w:r>
            <w:r w:rsidRPr="002227F1">
              <w:rPr>
                <w:bCs/>
              </w:rPr>
              <w:t>frames for development, maintenance and support</w:t>
            </w:r>
            <w:r>
              <w:rPr>
                <w:bCs/>
              </w:rPr>
              <w:t>.</w:t>
            </w:r>
          </w:p>
        </w:tc>
      </w:tr>
      <w:tr w:rsidR="00C442F7" w:rsidRPr="002227F1" w14:paraId="687A4D4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7D015F0" w14:textId="77777777" w:rsidR="00C442F7" w:rsidRPr="002227F1" w:rsidRDefault="00C442F7" w:rsidP="00C442F7">
            <w:pPr>
              <w:rPr>
                <w:bCs/>
              </w:rPr>
            </w:pPr>
            <w:r w:rsidRPr="000A5025">
              <w:t>NF59</w:t>
            </w:r>
          </w:p>
        </w:tc>
        <w:tc>
          <w:tcPr>
            <w:tcW w:w="2816" w:type="dxa"/>
          </w:tcPr>
          <w:p w14:paraId="44E678E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Training environments</w:t>
            </w:r>
          </w:p>
        </w:tc>
        <w:tc>
          <w:tcPr>
            <w:tcW w:w="5387" w:type="dxa"/>
          </w:tcPr>
          <w:p w14:paraId="58B9BC5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Pr>
                <w:bCs/>
              </w:rPr>
              <w:t xml:space="preserve">A </w:t>
            </w:r>
            <w:r w:rsidRPr="002227F1">
              <w:rPr>
                <w:bCs/>
              </w:rPr>
              <w:t>CQR</w:t>
            </w:r>
            <w:r>
              <w:rPr>
                <w:bCs/>
              </w:rPr>
              <w:t>’</w:t>
            </w:r>
            <w:r w:rsidRPr="002227F1">
              <w:rPr>
                <w:bCs/>
              </w:rPr>
              <w:t xml:space="preserve">s IT infrastructure shall provide the ability to configure a training environment </w:t>
            </w:r>
            <w:r>
              <w:rPr>
                <w:bCs/>
              </w:rPr>
              <w:t>as required.</w:t>
            </w:r>
          </w:p>
        </w:tc>
      </w:tr>
      <w:tr w:rsidR="00C442F7" w:rsidRPr="002227F1" w14:paraId="3011E924"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6F4C064" w14:textId="77777777" w:rsidR="00C442F7" w:rsidRPr="002227F1" w:rsidRDefault="00C442F7" w:rsidP="00C442F7">
            <w:pPr>
              <w:rPr>
                <w:bCs/>
              </w:rPr>
            </w:pPr>
            <w:r w:rsidRPr="000A5025">
              <w:t>NF60</w:t>
            </w:r>
          </w:p>
        </w:tc>
        <w:tc>
          <w:tcPr>
            <w:tcW w:w="2816" w:type="dxa"/>
          </w:tcPr>
          <w:p w14:paraId="66859D5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Review security and access requirements against standards</w:t>
            </w:r>
          </w:p>
        </w:tc>
        <w:tc>
          <w:tcPr>
            <w:tcW w:w="5387" w:type="dxa"/>
          </w:tcPr>
          <w:p w14:paraId="2EF2B4E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review their security and access requirements annually against AS ISO 27799</w:t>
            </w:r>
            <w:r>
              <w:rPr>
                <w:bCs/>
              </w:rPr>
              <w:t>:</w:t>
            </w:r>
            <w:r w:rsidRPr="002227F1">
              <w:rPr>
                <w:bCs/>
              </w:rPr>
              <w:t xml:space="preserve"> </w:t>
            </w:r>
            <w:r w:rsidRPr="00205931">
              <w:rPr>
                <w:bCs/>
                <w:i/>
                <w:iCs/>
              </w:rPr>
              <w:t>Information security management in health using ISO/IEC 27002</w:t>
            </w:r>
            <w:r w:rsidRPr="002227F1">
              <w:rPr>
                <w:bCs/>
              </w:rPr>
              <w:t xml:space="preserve"> and emerging frameworks such as the National E-Health Security and Access Framework (currently in development)</w:t>
            </w:r>
            <w:r>
              <w:rPr>
                <w:bCs/>
              </w:rPr>
              <w:t>.</w:t>
            </w:r>
          </w:p>
        </w:tc>
      </w:tr>
      <w:tr w:rsidR="00C442F7" w:rsidRPr="002227F1" w14:paraId="2900B14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A29D5E8" w14:textId="77777777" w:rsidR="00C442F7" w:rsidRPr="002227F1" w:rsidRDefault="00C442F7" w:rsidP="00C442F7">
            <w:pPr>
              <w:rPr>
                <w:bCs/>
              </w:rPr>
            </w:pPr>
            <w:r w:rsidRPr="000A5025">
              <w:t>NF61</w:t>
            </w:r>
          </w:p>
        </w:tc>
        <w:tc>
          <w:tcPr>
            <w:tcW w:w="2816" w:type="dxa"/>
          </w:tcPr>
          <w:p w14:paraId="71FFF83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Inclusion of audit processes in registry design</w:t>
            </w:r>
          </w:p>
        </w:tc>
        <w:tc>
          <w:tcPr>
            <w:tcW w:w="5387" w:type="dxa"/>
          </w:tcPr>
          <w:p w14:paraId="03E2A5D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audit processes inherent in their design. These will be automated where possible</w:t>
            </w:r>
            <w:r>
              <w:rPr>
                <w:bCs/>
              </w:rPr>
              <w:t>.</w:t>
            </w:r>
          </w:p>
        </w:tc>
      </w:tr>
      <w:tr w:rsidR="00C442F7" w:rsidRPr="002227F1" w14:paraId="50C21410"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A9D9C8E" w14:textId="77777777" w:rsidR="00C442F7" w:rsidRPr="002227F1" w:rsidRDefault="00C442F7" w:rsidP="00C442F7">
            <w:pPr>
              <w:rPr>
                <w:bCs/>
              </w:rPr>
            </w:pPr>
            <w:r w:rsidRPr="000A5025">
              <w:t>NF62</w:t>
            </w:r>
          </w:p>
        </w:tc>
        <w:tc>
          <w:tcPr>
            <w:tcW w:w="2816" w:type="dxa"/>
          </w:tcPr>
          <w:p w14:paraId="2B8BAA0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Audit trails to record data linkage details</w:t>
            </w:r>
          </w:p>
        </w:tc>
        <w:tc>
          <w:tcPr>
            <w:tcW w:w="5387" w:type="dxa"/>
          </w:tcPr>
          <w:p w14:paraId="2807DD5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record details of data export (for the purpose of data linkage) in comprehensive audit trails</w:t>
            </w:r>
            <w:r>
              <w:rPr>
                <w:bCs/>
              </w:rPr>
              <w:t>.</w:t>
            </w:r>
          </w:p>
        </w:tc>
      </w:tr>
      <w:tr w:rsidR="00C442F7" w:rsidRPr="002227F1" w14:paraId="2AC15EFD"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0888706" w14:textId="77777777" w:rsidR="00C442F7" w:rsidRPr="002227F1" w:rsidRDefault="00C442F7" w:rsidP="00C442F7">
            <w:pPr>
              <w:rPr>
                <w:bCs/>
              </w:rPr>
            </w:pPr>
            <w:r w:rsidRPr="000A5025">
              <w:lastRenderedPageBreak/>
              <w:t>NF63</w:t>
            </w:r>
          </w:p>
        </w:tc>
        <w:tc>
          <w:tcPr>
            <w:tcW w:w="2816" w:type="dxa"/>
          </w:tcPr>
          <w:p w14:paraId="50B0C98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Ability to trace export of data</w:t>
            </w:r>
          </w:p>
        </w:tc>
        <w:tc>
          <w:tcPr>
            <w:tcW w:w="5387" w:type="dxa"/>
          </w:tcPr>
          <w:p w14:paraId="292FD31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When information is exported for research or other purposes</w:t>
            </w:r>
            <w:r>
              <w:rPr>
                <w:bCs/>
              </w:rPr>
              <w:t>,</w:t>
            </w:r>
            <w:r w:rsidRPr="002227F1">
              <w:rPr>
                <w:bCs/>
              </w:rPr>
              <w:t xml:space="preserve"> CQRs shall be able to trace when the information has been exported in the system (audit trail)</w:t>
            </w:r>
            <w:r>
              <w:rPr>
                <w:bCs/>
              </w:rPr>
              <w:t>.</w:t>
            </w:r>
          </w:p>
        </w:tc>
      </w:tr>
      <w:tr w:rsidR="00C442F7" w:rsidRPr="002227F1" w14:paraId="0A04E8A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765D6A4" w14:textId="77777777" w:rsidR="00C442F7" w:rsidRPr="002227F1" w:rsidRDefault="00C442F7" w:rsidP="00C442F7">
            <w:pPr>
              <w:rPr>
                <w:bCs/>
              </w:rPr>
            </w:pPr>
            <w:r w:rsidRPr="000A5025">
              <w:t>NF64</w:t>
            </w:r>
          </w:p>
        </w:tc>
        <w:tc>
          <w:tcPr>
            <w:tcW w:w="2816" w:type="dxa"/>
          </w:tcPr>
          <w:p w14:paraId="78E83D6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Audit trails will track users and activity</w:t>
            </w:r>
          </w:p>
        </w:tc>
        <w:tc>
          <w:tcPr>
            <w:tcW w:w="5387" w:type="dxa"/>
          </w:tcPr>
          <w:p w14:paraId="00885A8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 audit trails shall track all instances of record creation, reading, updating and deletion</w:t>
            </w:r>
            <w:r>
              <w:rPr>
                <w:bCs/>
              </w:rPr>
              <w:t>,</w:t>
            </w:r>
            <w:r w:rsidRPr="002227F1">
              <w:rPr>
                <w:bCs/>
              </w:rPr>
              <w:t xml:space="preserve"> and record who undertook the activity (e.g. who entered data from where; what records were viewed, altered; what reports were viewed/generated/issued)</w:t>
            </w:r>
            <w:r>
              <w:rPr>
                <w:bCs/>
              </w:rPr>
              <w:t>.</w:t>
            </w:r>
          </w:p>
        </w:tc>
      </w:tr>
      <w:tr w:rsidR="00C442F7" w:rsidRPr="002227F1" w14:paraId="7308690B"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95DDD5A" w14:textId="77777777" w:rsidR="00C442F7" w:rsidRPr="002227F1" w:rsidRDefault="00C442F7" w:rsidP="00C442F7">
            <w:pPr>
              <w:rPr>
                <w:bCs/>
              </w:rPr>
            </w:pPr>
            <w:r w:rsidRPr="000A5025">
              <w:t>NF65</w:t>
            </w:r>
          </w:p>
        </w:tc>
        <w:tc>
          <w:tcPr>
            <w:tcW w:w="2816" w:type="dxa"/>
          </w:tcPr>
          <w:p w14:paraId="2101C21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Data extraction to be audited</w:t>
            </w:r>
          </w:p>
        </w:tc>
        <w:tc>
          <w:tcPr>
            <w:tcW w:w="5387" w:type="dxa"/>
          </w:tcPr>
          <w:p w14:paraId="5B80B0B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w:t>
            </w:r>
            <w:r>
              <w:rPr>
                <w:bCs/>
              </w:rPr>
              <w:t xml:space="preserve">in general </w:t>
            </w:r>
            <w:r w:rsidRPr="002227F1">
              <w:rPr>
                <w:bCs/>
              </w:rPr>
              <w:t>only support data extraction of identifiable information via the user interface, to enable auditing</w:t>
            </w:r>
            <w:r>
              <w:rPr>
                <w:bCs/>
              </w:rPr>
              <w:t>.</w:t>
            </w:r>
          </w:p>
        </w:tc>
      </w:tr>
      <w:tr w:rsidR="00C442F7" w:rsidRPr="002227F1" w14:paraId="70C39C5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4B2C1E9" w14:textId="77777777" w:rsidR="00C442F7" w:rsidRPr="002227F1" w:rsidRDefault="00C442F7" w:rsidP="00C442F7">
            <w:pPr>
              <w:rPr>
                <w:bCs/>
              </w:rPr>
            </w:pPr>
            <w:r w:rsidRPr="000A5025">
              <w:t>NF66</w:t>
            </w:r>
          </w:p>
        </w:tc>
        <w:tc>
          <w:tcPr>
            <w:tcW w:w="2816" w:type="dxa"/>
          </w:tcPr>
          <w:p w14:paraId="78C5C54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Audit log to record data export and recipient details</w:t>
            </w:r>
          </w:p>
        </w:tc>
        <w:tc>
          <w:tcPr>
            <w:tcW w:w="5387" w:type="dxa"/>
          </w:tcPr>
          <w:p w14:paraId="562F545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have an audit log that records what records and fields were exported, the recipient of the exported data, when the data were received, and the authorisation code</w:t>
            </w:r>
            <w:r>
              <w:rPr>
                <w:bCs/>
              </w:rPr>
              <w:t>.</w:t>
            </w:r>
          </w:p>
        </w:tc>
      </w:tr>
      <w:tr w:rsidR="00C442F7" w:rsidRPr="002227F1" w14:paraId="6D4C934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B51B6C9" w14:textId="77777777" w:rsidR="00C442F7" w:rsidRPr="002227F1" w:rsidRDefault="00C442F7" w:rsidP="00C442F7">
            <w:pPr>
              <w:rPr>
                <w:bCs/>
              </w:rPr>
            </w:pPr>
            <w:r w:rsidRPr="000A5025">
              <w:t>NF67</w:t>
            </w:r>
          </w:p>
        </w:tc>
        <w:tc>
          <w:tcPr>
            <w:tcW w:w="2816" w:type="dxa"/>
          </w:tcPr>
          <w:p w14:paraId="28DDF63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secure access controls</w:t>
            </w:r>
          </w:p>
        </w:tc>
        <w:tc>
          <w:tcPr>
            <w:tcW w:w="5387" w:type="dxa"/>
          </w:tcPr>
          <w:p w14:paraId="663A7FF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must use secure access controls to protect the privacy of participants and restrict access to those who are authorised</w:t>
            </w:r>
            <w:r>
              <w:rPr>
                <w:bCs/>
              </w:rPr>
              <w:t>.</w:t>
            </w:r>
          </w:p>
        </w:tc>
      </w:tr>
      <w:tr w:rsidR="00C442F7" w:rsidRPr="002227F1" w14:paraId="2D0AC063"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DBAF57E" w14:textId="77777777" w:rsidR="00C442F7" w:rsidRPr="002227F1" w:rsidRDefault="00C442F7" w:rsidP="00C442F7">
            <w:pPr>
              <w:rPr>
                <w:bCs/>
              </w:rPr>
            </w:pPr>
            <w:r w:rsidRPr="000A5025">
              <w:t>NF68</w:t>
            </w:r>
          </w:p>
        </w:tc>
        <w:tc>
          <w:tcPr>
            <w:tcW w:w="2816" w:type="dxa"/>
          </w:tcPr>
          <w:p w14:paraId="7868AF6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Authenticate identity at each session</w:t>
            </w:r>
          </w:p>
        </w:tc>
        <w:tc>
          <w:tcPr>
            <w:tcW w:w="5387" w:type="dxa"/>
          </w:tcPr>
          <w:p w14:paraId="631EBB7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require </w:t>
            </w:r>
            <w:r>
              <w:rPr>
                <w:bCs/>
              </w:rPr>
              <w:t xml:space="preserve">individual </w:t>
            </w:r>
            <w:r w:rsidRPr="002227F1">
              <w:rPr>
                <w:bCs/>
              </w:rPr>
              <w:t>users to authenticate their identity at the beginning of a session</w:t>
            </w:r>
            <w:r>
              <w:rPr>
                <w:bCs/>
              </w:rPr>
              <w:t>.</w:t>
            </w:r>
          </w:p>
        </w:tc>
      </w:tr>
      <w:tr w:rsidR="00C442F7" w:rsidRPr="002227F1" w14:paraId="0299E86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0836EFC" w14:textId="77777777" w:rsidR="00C442F7" w:rsidRPr="002227F1" w:rsidDel="00AC6240" w:rsidRDefault="00C442F7" w:rsidP="00C442F7">
            <w:pPr>
              <w:rPr>
                <w:bCs/>
              </w:rPr>
            </w:pPr>
            <w:r w:rsidRPr="000A5025">
              <w:t>NF69</w:t>
            </w:r>
          </w:p>
        </w:tc>
        <w:tc>
          <w:tcPr>
            <w:tcW w:w="2816" w:type="dxa"/>
          </w:tcPr>
          <w:p w14:paraId="1D4564E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Individuals to authenticate themselves separately</w:t>
            </w:r>
          </w:p>
        </w:tc>
        <w:tc>
          <w:tcPr>
            <w:tcW w:w="5387" w:type="dxa"/>
          </w:tcPr>
          <w:p w14:paraId="0A3DDED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individual users authenticate themselves separately to enable audit trails to identify each user who has interacted with the system</w:t>
            </w:r>
          </w:p>
        </w:tc>
      </w:tr>
      <w:tr w:rsidR="00C442F7" w:rsidRPr="002227F1" w14:paraId="72FEF572"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57536D1" w14:textId="77777777" w:rsidR="00C442F7" w:rsidRPr="002227F1" w:rsidRDefault="00C442F7" w:rsidP="00C442F7">
            <w:pPr>
              <w:rPr>
                <w:bCs/>
              </w:rPr>
            </w:pPr>
            <w:r w:rsidRPr="000A5025">
              <w:t>NF70</w:t>
            </w:r>
          </w:p>
        </w:tc>
        <w:tc>
          <w:tcPr>
            <w:tcW w:w="2816" w:type="dxa"/>
          </w:tcPr>
          <w:p w14:paraId="5CC4DEB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Log failed authentication attempts</w:t>
            </w:r>
          </w:p>
        </w:tc>
        <w:tc>
          <w:tcPr>
            <w:tcW w:w="5387" w:type="dxa"/>
          </w:tcPr>
          <w:p w14:paraId="07A228A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log failed authentication attempts</w:t>
            </w:r>
            <w:r>
              <w:rPr>
                <w:bCs/>
              </w:rPr>
              <w:t>.</w:t>
            </w:r>
          </w:p>
        </w:tc>
      </w:tr>
      <w:tr w:rsidR="00C442F7" w:rsidRPr="002227F1" w14:paraId="0168CDCE"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A1B01A3" w14:textId="77777777" w:rsidR="00C442F7" w:rsidRPr="002227F1" w:rsidRDefault="00C442F7" w:rsidP="00C442F7">
            <w:pPr>
              <w:rPr>
                <w:bCs/>
              </w:rPr>
            </w:pPr>
            <w:r w:rsidRPr="000A5025">
              <w:t>NF71</w:t>
            </w:r>
          </w:p>
        </w:tc>
        <w:tc>
          <w:tcPr>
            <w:tcW w:w="2816" w:type="dxa"/>
          </w:tcPr>
          <w:p w14:paraId="391AA15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Terminate inactive sessions</w:t>
            </w:r>
          </w:p>
        </w:tc>
        <w:tc>
          <w:tcPr>
            <w:tcW w:w="5387" w:type="dxa"/>
          </w:tcPr>
          <w:p w14:paraId="4DAD036A"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terminate inactive sessions after a defined period of time</w:t>
            </w:r>
            <w:r>
              <w:rPr>
                <w:bCs/>
              </w:rPr>
              <w:t>.</w:t>
            </w:r>
          </w:p>
        </w:tc>
      </w:tr>
      <w:tr w:rsidR="00C442F7" w:rsidRPr="002227F1" w14:paraId="7ACCA43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CAC1893" w14:textId="77777777" w:rsidR="00C442F7" w:rsidRPr="002227F1" w:rsidRDefault="00C442F7" w:rsidP="00C442F7">
            <w:pPr>
              <w:rPr>
                <w:bCs/>
              </w:rPr>
            </w:pPr>
            <w:r w:rsidRPr="000A5025">
              <w:t>NF72</w:t>
            </w:r>
          </w:p>
        </w:tc>
        <w:tc>
          <w:tcPr>
            <w:tcW w:w="2816" w:type="dxa"/>
          </w:tcPr>
          <w:p w14:paraId="613796D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Management of multiple identifiers for an individual</w:t>
            </w:r>
          </w:p>
        </w:tc>
        <w:tc>
          <w:tcPr>
            <w:tcW w:w="5387" w:type="dxa"/>
          </w:tcPr>
          <w:p w14:paraId="2CA2C0D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ability of an individual user to be assigned with different system privileges in different organisational settings</w:t>
            </w:r>
            <w:r>
              <w:rPr>
                <w:bCs/>
              </w:rPr>
              <w:t>.</w:t>
            </w:r>
          </w:p>
        </w:tc>
      </w:tr>
      <w:tr w:rsidR="00C442F7" w:rsidRPr="002227F1" w14:paraId="6602E42E"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7C5917A" w14:textId="77777777" w:rsidR="00C442F7" w:rsidRPr="002227F1" w:rsidRDefault="00C442F7" w:rsidP="00C442F7">
            <w:pPr>
              <w:rPr>
                <w:bCs/>
              </w:rPr>
            </w:pPr>
            <w:r w:rsidRPr="000A5025">
              <w:t>NF73</w:t>
            </w:r>
          </w:p>
        </w:tc>
        <w:tc>
          <w:tcPr>
            <w:tcW w:w="2816" w:type="dxa"/>
          </w:tcPr>
          <w:p w14:paraId="116ABC9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Different permissions for subsets of data</w:t>
            </w:r>
          </w:p>
        </w:tc>
        <w:tc>
          <w:tcPr>
            <w:tcW w:w="5387" w:type="dxa"/>
          </w:tcPr>
          <w:p w14:paraId="46D149A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support the setting and use of different permissions for different uses of subsets of registry data</w:t>
            </w:r>
            <w:r>
              <w:rPr>
                <w:bCs/>
              </w:rPr>
              <w:t>.</w:t>
            </w:r>
          </w:p>
        </w:tc>
      </w:tr>
      <w:tr w:rsidR="00C442F7" w:rsidRPr="002227F1" w14:paraId="37C56CF2"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7F89D1E" w14:textId="77777777" w:rsidR="00C442F7" w:rsidRPr="002227F1" w:rsidRDefault="00C442F7" w:rsidP="00C442F7">
            <w:pPr>
              <w:rPr>
                <w:bCs/>
              </w:rPr>
            </w:pPr>
            <w:r w:rsidRPr="000A5025">
              <w:t>NF74</w:t>
            </w:r>
          </w:p>
        </w:tc>
        <w:tc>
          <w:tcPr>
            <w:tcW w:w="2816" w:type="dxa"/>
          </w:tcPr>
          <w:p w14:paraId="37B04AA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authentication mechanisms across registries</w:t>
            </w:r>
          </w:p>
        </w:tc>
        <w:tc>
          <w:tcPr>
            <w:tcW w:w="5387" w:type="dxa"/>
          </w:tcPr>
          <w:p w14:paraId="012D092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use consistent authentication mechanisms </w:t>
            </w:r>
            <w:r>
              <w:rPr>
                <w:bCs/>
              </w:rPr>
              <w:t>such as multifactor authentication.</w:t>
            </w:r>
          </w:p>
        </w:tc>
      </w:tr>
      <w:tr w:rsidR="00C442F7" w:rsidRPr="002227F1" w14:paraId="21C53D6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BF14DD8" w14:textId="77777777" w:rsidR="00C442F7" w:rsidRPr="002227F1" w:rsidRDefault="00C442F7" w:rsidP="00C442F7">
            <w:pPr>
              <w:rPr>
                <w:bCs/>
              </w:rPr>
            </w:pPr>
            <w:r w:rsidRPr="000A5025">
              <w:t>NF76</w:t>
            </w:r>
          </w:p>
        </w:tc>
        <w:tc>
          <w:tcPr>
            <w:tcW w:w="2816" w:type="dxa"/>
          </w:tcPr>
          <w:p w14:paraId="634412C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Selection of own passwords or pin codes</w:t>
            </w:r>
          </w:p>
        </w:tc>
        <w:tc>
          <w:tcPr>
            <w:tcW w:w="5387" w:type="dxa"/>
          </w:tcPr>
          <w:p w14:paraId="45928A0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allow individual users to select their own passwords or pin codes</w:t>
            </w:r>
            <w:r>
              <w:rPr>
                <w:bCs/>
              </w:rPr>
              <w:t>.</w:t>
            </w:r>
          </w:p>
        </w:tc>
      </w:tr>
      <w:tr w:rsidR="00C442F7" w:rsidRPr="002227F1" w14:paraId="29998A19"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26D1679E" w14:textId="77777777" w:rsidR="00C442F7" w:rsidRPr="002227F1" w:rsidRDefault="00C442F7" w:rsidP="00C442F7">
            <w:pPr>
              <w:rPr>
                <w:bCs/>
              </w:rPr>
            </w:pPr>
            <w:r w:rsidRPr="000A5025">
              <w:lastRenderedPageBreak/>
              <w:t>NF77</w:t>
            </w:r>
          </w:p>
        </w:tc>
        <w:tc>
          <w:tcPr>
            <w:tcW w:w="2816" w:type="dxa"/>
          </w:tcPr>
          <w:p w14:paraId="4A80F20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Users can have password reset</w:t>
            </w:r>
          </w:p>
        </w:tc>
        <w:tc>
          <w:tcPr>
            <w:tcW w:w="5387" w:type="dxa"/>
          </w:tcPr>
          <w:p w14:paraId="4FD1403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provide users with the ability to have their password reset if it has been forgotten</w:t>
            </w:r>
            <w:r>
              <w:rPr>
                <w:bCs/>
              </w:rPr>
              <w:t>.</w:t>
            </w:r>
          </w:p>
        </w:tc>
      </w:tr>
      <w:tr w:rsidR="00C442F7" w:rsidRPr="002227F1" w14:paraId="3BAF16BE"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253AE30" w14:textId="77777777" w:rsidR="00C442F7" w:rsidRPr="002227F1" w:rsidRDefault="00C442F7" w:rsidP="00C442F7">
            <w:pPr>
              <w:rPr>
                <w:bCs/>
              </w:rPr>
            </w:pPr>
            <w:r w:rsidRPr="000A5025">
              <w:t>NF78</w:t>
            </w:r>
          </w:p>
        </w:tc>
        <w:tc>
          <w:tcPr>
            <w:tcW w:w="2816" w:type="dxa"/>
          </w:tcPr>
          <w:p w14:paraId="5F4E176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Encrypt passwords</w:t>
            </w:r>
          </w:p>
        </w:tc>
        <w:tc>
          <w:tcPr>
            <w:tcW w:w="5387" w:type="dxa"/>
          </w:tcPr>
          <w:p w14:paraId="51E43AC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passwords are store</w:t>
            </w:r>
            <w:r>
              <w:rPr>
                <w:bCs/>
              </w:rPr>
              <w:t>d</w:t>
            </w:r>
            <w:r w:rsidRPr="002227F1">
              <w:rPr>
                <w:bCs/>
              </w:rPr>
              <w:t xml:space="preserve"> in an encrypted form</w:t>
            </w:r>
            <w:r>
              <w:rPr>
                <w:bCs/>
              </w:rPr>
              <w:t>.</w:t>
            </w:r>
          </w:p>
        </w:tc>
      </w:tr>
      <w:tr w:rsidR="00C442F7" w:rsidRPr="002227F1" w14:paraId="3DF6C81F"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70850F0" w14:textId="77777777" w:rsidR="00C442F7" w:rsidRPr="002227F1" w:rsidRDefault="00C442F7" w:rsidP="00C442F7">
            <w:pPr>
              <w:rPr>
                <w:bCs/>
              </w:rPr>
            </w:pPr>
            <w:r w:rsidRPr="000A5025">
              <w:t>NF79</w:t>
            </w:r>
          </w:p>
        </w:tc>
        <w:tc>
          <w:tcPr>
            <w:tcW w:w="2816" w:type="dxa"/>
          </w:tcPr>
          <w:p w14:paraId="2515DFD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Strong password policies</w:t>
            </w:r>
          </w:p>
        </w:tc>
        <w:tc>
          <w:tcPr>
            <w:tcW w:w="5387" w:type="dxa"/>
          </w:tcPr>
          <w:p w14:paraId="53389D4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employ strong password policies</w:t>
            </w:r>
            <w:r>
              <w:rPr>
                <w:bCs/>
              </w:rPr>
              <w:t xml:space="preserve"> based on current standards.</w:t>
            </w:r>
          </w:p>
        </w:tc>
      </w:tr>
      <w:tr w:rsidR="00C442F7" w:rsidRPr="002227F1" w14:paraId="5D22AF7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3F68157E" w14:textId="77777777" w:rsidR="00C442F7" w:rsidRPr="002227F1" w:rsidRDefault="00C442F7" w:rsidP="00C442F7">
            <w:pPr>
              <w:rPr>
                <w:bCs/>
              </w:rPr>
            </w:pPr>
            <w:r w:rsidRPr="000A5025">
              <w:t>NF80</w:t>
            </w:r>
          </w:p>
        </w:tc>
        <w:tc>
          <w:tcPr>
            <w:tcW w:w="2816" w:type="dxa"/>
          </w:tcPr>
          <w:p w14:paraId="170D608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Apply expiry dates to user access</w:t>
            </w:r>
          </w:p>
        </w:tc>
        <w:tc>
          <w:tcPr>
            <w:tcW w:w="5387" w:type="dxa"/>
          </w:tcPr>
          <w:p w14:paraId="773C3DF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expiry dates to be applied to user access</w:t>
            </w:r>
            <w:r>
              <w:rPr>
                <w:bCs/>
              </w:rPr>
              <w:t>.</w:t>
            </w:r>
          </w:p>
        </w:tc>
      </w:tr>
      <w:tr w:rsidR="00C442F7" w:rsidRPr="002227F1" w14:paraId="0474FBD1"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6B1FD4A" w14:textId="77777777" w:rsidR="00C442F7" w:rsidRPr="002227F1" w:rsidRDefault="00C442F7" w:rsidP="00C442F7">
            <w:pPr>
              <w:rPr>
                <w:bCs/>
              </w:rPr>
            </w:pPr>
            <w:r w:rsidRPr="000A5025">
              <w:t>NF81</w:t>
            </w:r>
          </w:p>
        </w:tc>
        <w:tc>
          <w:tcPr>
            <w:tcW w:w="2816" w:type="dxa"/>
          </w:tcPr>
          <w:p w14:paraId="454EB4E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Password changes</w:t>
            </w:r>
          </w:p>
        </w:tc>
        <w:tc>
          <w:tcPr>
            <w:tcW w:w="5387" w:type="dxa"/>
          </w:tcPr>
          <w:p w14:paraId="777FFF6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define the period after which user passwords must be changed</w:t>
            </w:r>
            <w:r>
              <w:rPr>
                <w:bCs/>
              </w:rPr>
              <w:t xml:space="preserve"> if applicable.</w:t>
            </w:r>
          </w:p>
        </w:tc>
      </w:tr>
      <w:tr w:rsidR="00C442F7" w:rsidRPr="002227F1" w14:paraId="79BD0F7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6ED30A8" w14:textId="77777777" w:rsidR="00C442F7" w:rsidRPr="002227F1" w:rsidRDefault="00C442F7" w:rsidP="00C442F7">
            <w:pPr>
              <w:rPr>
                <w:bCs/>
              </w:rPr>
            </w:pPr>
            <w:r w:rsidRPr="000A5025">
              <w:t>NF82</w:t>
            </w:r>
          </w:p>
        </w:tc>
        <w:tc>
          <w:tcPr>
            <w:tcW w:w="2816" w:type="dxa"/>
          </w:tcPr>
          <w:p w14:paraId="24706B8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Local user registration</w:t>
            </w:r>
          </w:p>
        </w:tc>
        <w:tc>
          <w:tcPr>
            <w:tcW w:w="5387" w:type="dxa"/>
          </w:tcPr>
          <w:p w14:paraId="07DB0E3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allow for user registration to be undertaken </w:t>
            </w:r>
            <w:r>
              <w:rPr>
                <w:bCs/>
              </w:rPr>
              <w:t xml:space="preserve">by registry management staff such as </w:t>
            </w:r>
            <w:r w:rsidRPr="002227F1">
              <w:rPr>
                <w:bCs/>
              </w:rPr>
              <w:t>allocat</w:t>
            </w:r>
            <w:r>
              <w:rPr>
                <w:bCs/>
              </w:rPr>
              <w:t>ing</w:t>
            </w:r>
            <w:r w:rsidRPr="002227F1">
              <w:rPr>
                <w:bCs/>
              </w:rPr>
              <w:t xml:space="preserve"> passwords and system privileges to users within </w:t>
            </w:r>
            <w:r>
              <w:rPr>
                <w:bCs/>
              </w:rPr>
              <w:t>the registry.</w:t>
            </w:r>
          </w:p>
        </w:tc>
      </w:tr>
      <w:tr w:rsidR="00C442F7" w:rsidRPr="002227F1" w14:paraId="6647E697"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5077756" w14:textId="77777777" w:rsidR="00C442F7" w:rsidRPr="002227F1" w:rsidRDefault="00C442F7" w:rsidP="00C442F7">
            <w:pPr>
              <w:rPr>
                <w:bCs/>
              </w:rPr>
            </w:pPr>
            <w:r w:rsidRPr="000A5025">
              <w:t>NF83</w:t>
            </w:r>
          </w:p>
        </w:tc>
        <w:tc>
          <w:tcPr>
            <w:tcW w:w="2816" w:type="dxa"/>
          </w:tcPr>
          <w:p w14:paraId="6A7A0B1C"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Expiration of user accounts</w:t>
            </w:r>
          </w:p>
        </w:tc>
        <w:tc>
          <w:tcPr>
            <w:tcW w:w="5387" w:type="dxa"/>
          </w:tcPr>
          <w:p w14:paraId="67092E7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ensure that user accounts are reviewed by system administrators after a pre-defined period and extended if further access is required</w:t>
            </w:r>
            <w:r>
              <w:rPr>
                <w:bCs/>
              </w:rPr>
              <w:t>.</w:t>
            </w:r>
          </w:p>
        </w:tc>
      </w:tr>
      <w:tr w:rsidR="00C442F7" w:rsidRPr="002227F1" w14:paraId="68CFD966"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F660F83" w14:textId="77777777" w:rsidR="00C442F7" w:rsidRPr="002227F1" w:rsidRDefault="00C442F7" w:rsidP="00C442F7">
            <w:pPr>
              <w:rPr>
                <w:bCs/>
              </w:rPr>
            </w:pPr>
            <w:r w:rsidRPr="000A5025">
              <w:t>NF84</w:t>
            </w:r>
          </w:p>
        </w:tc>
        <w:tc>
          <w:tcPr>
            <w:tcW w:w="2816" w:type="dxa"/>
          </w:tcPr>
          <w:p w14:paraId="396DFA9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Agree to terms of registry participation</w:t>
            </w:r>
          </w:p>
        </w:tc>
        <w:tc>
          <w:tcPr>
            <w:tcW w:w="5387" w:type="dxa"/>
          </w:tcPr>
          <w:p w14:paraId="4B326EC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require users to agree to the terms and conditions of participating in a registry when they first authenticate themself to the system, when their password is reset</w:t>
            </w:r>
            <w:r>
              <w:rPr>
                <w:bCs/>
              </w:rPr>
              <w:t>,</w:t>
            </w:r>
            <w:r w:rsidRPr="002227F1">
              <w:rPr>
                <w:bCs/>
              </w:rPr>
              <w:t xml:space="preserve"> and when Terms and Conditions of participation change</w:t>
            </w:r>
            <w:r>
              <w:rPr>
                <w:bCs/>
              </w:rPr>
              <w:t>.</w:t>
            </w:r>
          </w:p>
        </w:tc>
      </w:tr>
      <w:tr w:rsidR="00C442F7" w:rsidRPr="002227F1" w14:paraId="4BF68CE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08D3FE7E" w14:textId="77777777" w:rsidR="00C442F7" w:rsidRPr="002227F1" w:rsidRDefault="00C442F7" w:rsidP="00C442F7">
            <w:pPr>
              <w:rPr>
                <w:bCs/>
              </w:rPr>
            </w:pPr>
            <w:r w:rsidRPr="000A5025">
              <w:t>NF85</w:t>
            </w:r>
          </w:p>
        </w:tc>
        <w:tc>
          <w:tcPr>
            <w:tcW w:w="2816" w:type="dxa"/>
          </w:tcPr>
          <w:p w14:paraId="47D6D27B"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Lock account after unsuccessful authentication attempts</w:t>
            </w:r>
          </w:p>
        </w:tc>
        <w:tc>
          <w:tcPr>
            <w:tcW w:w="5387" w:type="dxa"/>
          </w:tcPr>
          <w:p w14:paraId="1755A70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lock a user account for a defined period of time once a specified limited number of unsuccessful authentication attempts have been made by a user to access the system</w:t>
            </w:r>
            <w:r>
              <w:rPr>
                <w:bCs/>
              </w:rPr>
              <w:t>.</w:t>
            </w:r>
          </w:p>
        </w:tc>
      </w:tr>
      <w:tr w:rsidR="00C442F7" w:rsidRPr="002227F1" w14:paraId="69B69F6C"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4C88DC20" w14:textId="77777777" w:rsidR="00C442F7" w:rsidRPr="002227F1" w:rsidRDefault="00C442F7" w:rsidP="00C442F7">
            <w:pPr>
              <w:rPr>
                <w:bCs/>
              </w:rPr>
            </w:pPr>
            <w:r w:rsidRPr="000A5025">
              <w:t>NF86</w:t>
            </w:r>
          </w:p>
        </w:tc>
        <w:tc>
          <w:tcPr>
            <w:tcW w:w="2816" w:type="dxa"/>
          </w:tcPr>
          <w:p w14:paraId="39719FC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CF1191">
              <w:rPr>
                <w:bCs/>
              </w:rPr>
              <w:t xml:space="preserve">Use of </w:t>
            </w:r>
            <w:r>
              <w:rPr>
                <w:bCs/>
              </w:rPr>
              <w:t>DTO</w:t>
            </w:r>
          </w:p>
        </w:tc>
        <w:tc>
          <w:tcPr>
            <w:tcW w:w="5387" w:type="dxa"/>
          </w:tcPr>
          <w:p w14:paraId="570B5B3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the National E-Authentication Framework in registry system design to determine an appropriate level of authentication</w:t>
            </w:r>
            <w:r>
              <w:rPr>
                <w:bCs/>
              </w:rPr>
              <w:t>.</w:t>
            </w:r>
          </w:p>
        </w:tc>
      </w:tr>
      <w:tr w:rsidR="00C442F7" w:rsidRPr="002227F1" w14:paraId="49694A5E"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E0EE1A8" w14:textId="77777777" w:rsidR="00C442F7" w:rsidRPr="002227F1" w:rsidRDefault="00C442F7" w:rsidP="00C442F7">
            <w:pPr>
              <w:rPr>
                <w:bCs/>
              </w:rPr>
            </w:pPr>
            <w:r w:rsidRPr="000A5025">
              <w:t>NF87</w:t>
            </w:r>
          </w:p>
        </w:tc>
        <w:tc>
          <w:tcPr>
            <w:tcW w:w="2816" w:type="dxa"/>
          </w:tcPr>
          <w:p w14:paraId="3BF3A154"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Automatic logoff after inactivity</w:t>
            </w:r>
          </w:p>
        </w:tc>
        <w:tc>
          <w:tcPr>
            <w:tcW w:w="5387" w:type="dxa"/>
          </w:tcPr>
          <w:p w14:paraId="0C80EF4E"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Users shall be automatically logged off after a pre-set period of inactivity</w:t>
            </w:r>
            <w:r>
              <w:rPr>
                <w:bCs/>
              </w:rPr>
              <w:t>.</w:t>
            </w:r>
          </w:p>
        </w:tc>
      </w:tr>
      <w:tr w:rsidR="00C442F7" w:rsidRPr="002227F1" w14:paraId="684351D1"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6756D97A" w14:textId="77777777" w:rsidR="00C442F7" w:rsidRPr="002227F1" w:rsidRDefault="00C442F7" w:rsidP="00C442F7">
            <w:pPr>
              <w:rPr>
                <w:bCs/>
              </w:rPr>
            </w:pPr>
            <w:r w:rsidRPr="000A5025">
              <w:t>NF88</w:t>
            </w:r>
          </w:p>
        </w:tc>
        <w:tc>
          <w:tcPr>
            <w:tcW w:w="2816" w:type="dxa"/>
          </w:tcPr>
          <w:p w14:paraId="09E21BA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IP address monitoring</w:t>
            </w:r>
          </w:p>
        </w:tc>
        <w:tc>
          <w:tcPr>
            <w:tcW w:w="5387" w:type="dxa"/>
          </w:tcPr>
          <w:p w14:paraId="424B9296"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automatically identify equipment to authenticate connections from specific locations and equipment</w:t>
            </w:r>
            <w:r>
              <w:rPr>
                <w:bCs/>
              </w:rPr>
              <w:t>.</w:t>
            </w:r>
          </w:p>
        </w:tc>
      </w:tr>
      <w:tr w:rsidR="00C442F7" w:rsidRPr="002227F1" w14:paraId="747C067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9A6AA25" w14:textId="77777777" w:rsidR="00C442F7" w:rsidRPr="002227F1" w:rsidRDefault="00C442F7" w:rsidP="00C442F7">
            <w:pPr>
              <w:rPr>
                <w:bCs/>
              </w:rPr>
            </w:pPr>
            <w:r w:rsidRPr="000A5025">
              <w:t>NF89</w:t>
            </w:r>
          </w:p>
        </w:tc>
        <w:tc>
          <w:tcPr>
            <w:tcW w:w="2816" w:type="dxa"/>
          </w:tcPr>
          <w:p w14:paraId="09DA4AE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Define period of inactivity</w:t>
            </w:r>
          </w:p>
        </w:tc>
        <w:tc>
          <w:tcPr>
            <w:tcW w:w="5387" w:type="dxa"/>
          </w:tcPr>
          <w:p w14:paraId="1677296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enable local system administrators to define the period of inactivity that can be permitted prior to terminating an inactive session</w:t>
            </w:r>
            <w:r>
              <w:rPr>
                <w:bCs/>
              </w:rPr>
              <w:t>.</w:t>
            </w:r>
          </w:p>
        </w:tc>
      </w:tr>
      <w:tr w:rsidR="00C442F7" w:rsidRPr="002227F1" w14:paraId="783A5188"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5111052" w14:textId="77777777" w:rsidR="00C442F7" w:rsidRPr="002227F1" w:rsidRDefault="00C442F7" w:rsidP="00C442F7">
            <w:pPr>
              <w:rPr>
                <w:bCs/>
              </w:rPr>
            </w:pPr>
            <w:r w:rsidRPr="000A5025">
              <w:t>NF90</w:t>
            </w:r>
          </w:p>
        </w:tc>
        <w:tc>
          <w:tcPr>
            <w:tcW w:w="2816" w:type="dxa"/>
          </w:tcPr>
          <w:p w14:paraId="0AABF4D5"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Receive encrypted records when importing data</w:t>
            </w:r>
          </w:p>
        </w:tc>
        <w:tc>
          <w:tcPr>
            <w:tcW w:w="5387" w:type="dxa"/>
          </w:tcPr>
          <w:p w14:paraId="01DC3718"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w:t>
            </w:r>
            <w:r>
              <w:rPr>
                <w:bCs/>
              </w:rPr>
              <w:t>shall</w:t>
            </w:r>
            <w:r w:rsidRPr="002227F1">
              <w:rPr>
                <w:bCs/>
              </w:rPr>
              <w:t xml:space="preserve"> have the ability to accept encrypted records when importing data</w:t>
            </w:r>
            <w:r>
              <w:rPr>
                <w:bCs/>
              </w:rPr>
              <w:t>.</w:t>
            </w:r>
          </w:p>
        </w:tc>
      </w:tr>
      <w:tr w:rsidR="00C442F7" w:rsidRPr="002227F1" w14:paraId="4CAF17D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056C8FD" w14:textId="77777777" w:rsidR="00C442F7" w:rsidRPr="002227F1" w:rsidRDefault="00C442F7" w:rsidP="00C442F7">
            <w:pPr>
              <w:rPr>
                <w:bCs/>
              </w:rPr>
            </w:pPr>
            <w:r w:rsidRPr="000A5025">
              <w:lastRenderedPageBreak/>
              <w:t>NF91</w:t>
            </w:r>
          </w:p>
        </w:tc>
        <w:tc>
          <w:tcPr>
            <w:tcW w:w="2816" w:type="dxa"/>
          </w:tcPr>
          <w:p w14:paraId="4C6988F9"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secure electronic transfer</w:t>
            </w:r>
          </w:p>
        </w:tc>
        <w:tc>
          <w:tcPr>
            <w:tcW w:w="5387" w:type="dxa"/>
          </w:tcPr>
          <w:p w14:paraId="07B88410"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must use secure electronic transfer and electronic messaging systems to protect the privacy of participant information when data are in transit</w:t>
            </w:r>
            <w:r>
              <w:rPr>
                <w:bCs/>
              </w:rPr>
              <w:t xml:space="preserve"> (noting some CQRs use paper forms for various reasons).</w:t>
            </w:r>
          </w:p>
        </w:tc>
      </w:tr>
      <w:tr w:rsidR="00C442F7" w:rsidRPr="002227F1" w14:paraId="0E6D8D2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7432EF51" w14:textId="77777777" w:rsidR="00C442F7" w:rsidRPr="002227F1" w:rsidRDefault="00C442F7" w:rsidP="00C442F7">
            <w:pPr>
              <w:rPr>
                <w:bCs/>
              </w:rPr>
            </w:pPr>
            <w:r w:rsidRPr="000A5025">
              <w:t>NF92</w:t>
            </w:r>
          </w:p>
        </w:tc>
        <w:tc>
          <w:tcPr>
            <w:tcW w:w="2816" w:type="dxa"/>
          </w:tcPr>
          <w:p w14:paraId="6113F08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Ability to receive secure electronic messages</w:t>
            </w:r>
          </w:p>
        </w:tc>
        <w:tc>
          <w:tcPr>
            <w:tcW w:w="5387" w:type="dxa"/>
          </w:tcPr>
          <w:p w14:paraId="55007AA2"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be able to receive messages and information received through secure electronic messaging and secure electronic transfers</w:t>
            </w:r>
            <w:r>
              <w:rPr>
                <w:bCs/>
              </w:rPr>
              <w:t>.</w:t>
            </w:r>
          </w:p>
        </w:tc>
      </w:tr>
      <w:tr w:rsidR="00C442F7" w:rsidRPr="002227F1" w14:paraId="5B3D2175"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1BCC7453" w14:textId="77777777" w:rsidR="00C442F7" w:rsidRPr="002227F1" w:rsidRDefault="00C442F7" w:rsidP="00C442F7">
            <w:pPr>
              <w:rPr>
                <w:bCs/>
              </w:rPr>
            </w:pPr>
            <w:r w:rsidRPr="000A5025">
              <w:t>NF93</w:t>
            </w:r>
          </w:p>
        </w:tc>
        <w:tc>
          <w:tcPr>
            <w:tcW w:w="2816" w:type="dxa"/>
          </w:tcPr>
          <w:p w14:paraId="0D974A4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Use of virus scanning</w:t>
            </w:r>
          </w:p>
        </w:tc>
        <w:tc>
          <w:tcPr>
            <w:tcW w:w="5387" w:type="dxa"/>
          </w:tcPr>
          <w:p w14:paraId="000858A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use virus scanning software to allow prevention, detection and/or removal the introduction of damaging or disruptive malware to the system</w:t>
            </w:r>
            <w:r>
              <w:rPr>
                <w:bCs/>
              </w:rPr>
              <w:t>.</w:t>
            </w:r>
          </w:p>
        </w:tc>
      </w:tr>
      <w:tr w:rsidR="00C442F7" w:rsidRPr="002227F1" w14:paraId="2656647A"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33960D8" w14:textId="77777777" w:rsidR="00C442F7" w:rsidRPr="002227F1" w:rsidRDefault="00C442F7" w:rsidP="00C442F7">
            <w:pPr>
              <w:rPr>
                <w:bCs/>
              </w:rPr>
            </w:pPr>
            <w:r w:rsidRPr="000A5025">
              <w:t>NF94</w:t>
            </w:r>
          </w:p>
        </w:tc>
        <w:tc>
          <w:tcPr>
            <w:tcW w:w="2816" w:type="dxa"/>
          </w:tcPr>
          <w:p w14:paraId="5B450FB1"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Hosting location</w:t>
            </w:r>
          </w:p>
        </w:tc>
        <w:tc>
          <w:tcPr>
            <w:tcW w:w="5387" w:type="dxa"/>
          </w:tcPr>
          <w:p w14:paraId="0377CF3F"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 xml:space="preserve">CQRs shall be hosted in Australia and be subject to Australian law to fully comply with the </w:t>
            </w:r>
            <w:r w:rsidRPr="00005CEF">
              <w:rPr>
                <w:bCs/>
                <w:i/>
                <w:iCs/>
              </w:rPr>
              <w:t xml:space="preserve">Privacy Act 1988 </w:t>
            </w:r>
            <w:r w:rsidRPr="002227F1">
              <w:rPr>
                <w:bCs/>
              </w:rPr>
              <w:t>(Cth)</w:t>
            </w:r>
            <w:r>
              <w:rPr>
                <w:bCs/>
              </w:rPr>
              <w:t>.</w:t>
            </w:r>
          </w:p>
        </w:tc>
      </w:tr>
      <w:tr w:rsidR="00C442F7" w:rsidRPr="002227F1" w14:paraId="040B4634" w14:textId="77777777" w:rsidTr="00C442F7">
        <w:tc>
          <w:tcPr>
            <w:cnfStyle w:val="001000000000" w:firstRow="0" w:lastRow="0" w:firstColumn="1" w:lastColumn="0" w:oddVBand="0" w:evenVBand="0" w:oddHBand="0" w:evenHBand="0" w:firstRowFirstColumn="0" w:firstRowLastColumn="0" w:lastRowFirstColumn="0" w:lastRowLastColumn="0"/>
            <w:tcW w:w="1145" w:type="dxa"/>
          </w:tcPr>
          <w:p w14:paraId="5B5965D3" w14:textId="77777777" w:rsidR="00C442F7" w:rsidRPr="002227F1" w:rsidRDefault="00C442F7" w:rsidP="00C442F7">
            <w:pPr>
              <w:rPr>
                <w:bCs/>
              </w:rPr>
            </w:pPr>
            <w:r w:rsidRPr="000A5025">
              <w:t>NF95</w:t>
            </w:r>
          </w:p>
        </w:tc>
        <w:tc>
          <w:tcPr>
            <w:tcW w:w="2816" w:type="dxa"/>
          </w:tcPr>
          <w:p w14:paraId="0FA430C3"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Information and records management standards</w:t>
            </w:r>
          </w:p>
        </w:tc>
        <w:tc>
          <w:tcPr>
            <w:tcW w:w="5387" w:type="dxa"/>
          </w:tcPr>
          <w:p w14:paraId="28EF6BE7" w14:textId="77777777" w:rsidR="00C442F7" w:rsidRPr="002227F1" w:rsidRDefault="00C442F7" w:rsidP="00C442F7">
            <w:pPr>
              <w:cnfStyle w:val="000000000000" w:firstRow="0" w:lastRow="0" w:firstColumn="0" w:lastColumn="0" w:oddVBand="0" w:evenVBand="0" w:oddHBand="0" w:evenHBand="0" w:firstRowFirstColumn="0" w:firstRowLastColumn="0" w:lastRowFirstColumn="0" w:lastRowLastColumn="0"/>
              <w:rPr>
                <w:bCs/>
              </w:rPr>
            </w:pPr>
            <w:r w:rsidRPr="002227F1">
              <w:rPr>
                <w:bCs/>
              </w:rPr>
              <w:t>CQRs shall comply with the Australian and international standard for records management</w:t>
            </w:r>
            <w:r>
              <w:rPr>
                <w:bCs/>
              </w:rPr>
              <w:t>.</w:t>
            </w:r>
          </w:p>
        </w:tc>
      </w:tr>
    </w:tbl>
    <w:p w14:paraId="3F90DEBB" w14:textId="77777777" w:rsidR="00C442F7" w:rsidRPr="002227F1" w:rsidRDefault="00C442F7" w:rsidP="00C442F7"/>
    <w:p w14:paraId="3573A820" w14:textId="6AEAB367" w:rsidR="00BE3465" w:rsidRDefault="00BE3465" w:rsidP="00BE3465">
      <w:pPr>
        <w:pStyle w:val="Heading1"/>
      </w:pPr>
      <w:r>
        <w:br w:type="page"/>
      </w:r>
      <w:bookmarkStart w:id="700" w:name="_Toc175550424"/>
      <w:r>
        <w:lastRenderedPageBreak/>
        <w:t>References</w:t>
      </w:r>
      <w:bookmarkEnd w:id="700"/>
    </w:p>
    <w:p w14:paraId="164AFDF4" w14:textId="77777777" w:rsidR="00BE3465" w:rsidRDefault="00BE3465">
      <w:pPr>
        <w:pStyle w:val="ListParagraph"/>
        <w:numPr>
          <w:ilvl w:val="0"/>
          <w:numId w:val="70"/>
        </w:numPr>
      </w:pPr>
      <w:r w:rsidRPr="0069051B">
        <w:t>Australian Government Australian Institute of Health and Welfare. METeOR Metadata Online Registry. Canberra: AIHW.</w:t>
      </w:r>
      <w:hyperlink r:id="rId64" w:history="1">
        <w:r w:rsidRPr="0069051B">
          <w:rPr>
            <w:rStyle w:val="Hyperlink"/>
          </w:rPr>
          <w:t xml:space="preserve"> http://meteor.aihw.gov.au/content/index.phtml/itemId/181162 </w:t>
        </w:r>
      </w:hyperlink>
      <w:r w:rsidRPr="0069051B">
        <w:t xml:space="preserve"> (accessed Feb 2024)</w:t>
      </w:r>
    </w:p>
    <w:p w14:paraId="55FD39A1" w14:textId="77777777" w:rsidR="00BE3465" w:rsidRDefault="00BE3465">
      <w:pPr>
        <w:pStyle w:val="ListParagraph"/>
        <w:numPr>
          <w:ilvl w:val="0"/>
          <w:numId w:val="70"/>
        </w:numPr>
      </w:pPr>
      <w:r w:rsidRPr="00272A16">
        <w:t xml:space="preserve">Australian Government Australian Institute of Health and Welfare. [METEOR] </w:t>
      </w:r>
      <w:hyperlink r:id="rId65" w:history="1">
        <w:r w:rsidRPr="00272A16">
          <w:rPr>
            <w:rStyle w:val="Hyperlink"/>
          </w:rPr>
          <w:t>Data set specification (DSS).</w:t>
        </w:r>
      </w:hyperlink>
      <w:r w:rsidRPr="00272A16">
        <w:rPr>
          <w:rStyle w:val="Hyperlink"/>
        </w:rPr>
        <w:t xml:space="preserve"> Canberra: AIHW.</w:t>
      </w:r>
      <w:r w:rsidRPr="00272A16">
        <w:t xml:space="preserve"> </w:t>
      </w:r>
      <w:hyperlink r:id="rId66" w:history="1">
        <w:r w:rsidRPr="00272A16">
          <w:rPr>
            <w:rStyle w:val="Hyperlink"/>
          </w:rPr>
          <w:t>https://meteor.aihw.gov.au/content/237561</w:t>
        </w:r>
      </w:hyperlink>
      <w:r w:rsidRPr="00272A16">
        <w:t xml:space="preserve"> (accessed Feb 2024)</w:t>
      </w:r>
    </w:p>
    <w:p w14:paraId="6E98B3F8" w14:textId="77777777" w:rsidR="00BE3465" w:rsidRDefault="00BE3465">
      <w:pPr>
        <w:pStyle w:val="ListParagraph"/>
        <w:numPr>
          <w:ilvl w:val="0"/>
          <w:numId w:val="70"/>
        </w:numPr>
        <w:rPr>
          <w:rStyle w:val="Hyperlink"/>
        </w:rPr>
      </w:pPr>
      <w:r w:rsidRPr="00272A16">
        <w:t xml:space="preserve">Australian Government Australian Institute of Health and Welfare. [METEOR] </w:t>
      </w:r>
      <w:hyperlink r:id="rId67" w:history="1">
        <w:r w:rsidRPr="00272A16">
          <w:rPr>
            <w:rStyle w:val="Hyperlink"/>
          </w:rPr>
          <w:t xml:space="preserve">About metadata standards. Canberra: AIHW. </w:t>
        </w:r>
      </w:hyperlink>
      <w:r w:rsidRPr="00272A16">
        <w:t xml:space="preserve"> </w:t>
      </w:r>
      <w:hyperlink r:id="rId68" w:history="1">
        <w:r w:rsidRPr="00272A16">
          <w:rPr>
            <w:rStyle w:val="Hyperlink"/>
          </w:rPr>
          <w:t>https://meteor.aihw.gov.au/content/276533</w:t>
        </w:r>
      </w:hyperlink>
      <w:r w:rsidRPr="00272A16">
        <w:rPr>
          <w:rStyle w:val="Hyperlink"/>
        </w:rPr>
        <w:t xml:space="preserve"> (accessed Feb 2024)</w:t>
      </w:r>
    </w:p>
    <w:p w14:paraId="733D332B" w14:textId="77777777" w:rsidR="00BE3465" w:rsidRDefault="00BE3465">
      <w:pPr>
        <w:pStyle w:val="ListParagraph"/>
        <w:numPr>
          <w:ilvl w:val="0"/>
          <w:numId w:val="70"/>
        </w:numPr>
        <w:rPr>
          <w:rStyle w:val="Hyperlink"/>
        </w:rPr>
      </w:pPr>
      <w:r w:rsidRPr="009B7E83">
        <w:t xml:space="preserve">Australian Commission on Safety and Quality in Health Care. </w:t>
      </w:r>
      <w:hyperlink r:id="rId69" w:history="1">
        <w:r w:rsidRPr="009B7E83">
          <w:rPr>
            <w:rStyle w:val="Hyperlink"/>
          </w:rPr>
          <w:t>Clinical Care Standards.</w:t>
        </w:r>
      </w:hyperlink>
      <w:r w:rsidRPr="009B7E83">
        <w:rPr>
          <w:rStyle w:val="Hyperlink"/>
        </w:rPr>
        <w:t xml:space="preserve"> Sydney: ACSQHC. https://www.safetyandquality.gov.au/standards/clinical-care-standards (accessed Feb 2024)</w:t>
      </w:r>
    </w:p>
    <w:p w14:paraId="0DE0DF0D" w14:textId="77777777" w:rsidR="00BE3465" w:rsidRDefault="00BE3465">
      <w:pPr>
        <w:pStyle w:val="ListParagraph"/>
        <w:numPr>
          <w:ilvl w:val="0"/>
          <w:numId w:val="70"/>
        </w:numPr>
      </w:pPr>
      <w:r w:rsidRPr="00C1348B">
        <w:t>Australian Government Australian Institute of Health and Welfare. METEOR Metadata Online Registry. Canberra: AIHW. http://meteor.aihw.gov.au/content/index.phtml/itemId/181162 (accessed Feb 2024)</w:t>
      </w:r>
      <w:r>
        <w:t xml:space="preserve"> </w:t>
      </w:r>
    </w:p>
    <w:p w14:paraId="06D9B4E4" w14:textId="77777777" w:rsidR="00BE3465" w:rsidRDefault="00BE3465">
      <w:pPr>
        <w:pStyle w:val="ListParagraph"/>
        <w:numPr>
          <w:ilvl w:val="0"/>
          <w:numId w:val="70"/>
        </w:numPr>
      </w:pPr>
      <w:r>
        <w:t>A</w:t>
      </w:r>
      <w:r w:rsidRPr="004E1DFB">
        <w:t xml:space="preserve">ustralian Government Department of Health and Aged Care. </w:t>
      </w:r>
      <w:r w:rsidRPr="002E3284">
        <w:t>Healthcare Identifiers and the Healthcare Identifier Service</w:t>
      </w:r>
      <w:r>
        <w:t xml:space="preserve">. Canberra: Dept of Health. </w:t>
      </w:r>
      <w:hyperlink r:id="rId70" w:history="1">
        <w:r w:rsidRPr="00586D2B">
          <w:rPr>
            <w:rStyle w:val="Hyperlink"/>
          </w:rPr>
          <w:t>https://www.health.gov.au/topics/health-technologies-and-digital-health/about/healthcare-identifiers</w:t>
        </w:r>
      </w:hyperlink>
      <w:r>
        <w:t xml:space="preserve"> (accessed Feb 2024)</w:t>
      </w:r>
    </w:p>
    <w:p w14:paraId="68FD4706" w14:textId="77777777" w:rsidR="00BE3465" w:rsidRDefault="00BE3465">
      <w:pPr>
        <w:pStyle w:val="ListParagraph"/>
        <w:numPr>
          <w:ilvl w:val="0"/>
          <w:numId w:val="70"/>
        </w:numPr>
      </w:pPr>
      <w:r w:rsidRPr="00DF444A">
        <w:t xml:space="preserve">Australian Government </w:t>
      </w:r>
      <w:r>
        <w:t xml:space="preserve">Australian Digital Health Agency. </w:t>
      </w:r>
      <w:r w:rsidRPr="00F81B3B">
        <w:t>National Clinical Terminology Service (NCTS)</w:t>
      </w:r>
      <w:r>
        <w:t xml:space="preserve">. Canberra: ADHA. </w:t>
      </w:r>
      <w:hyperlink r:id="rId71" w:history="1">
        <w:r w:rsidRPr="00235163">
          <w:rPr>
            <w:rStyle w:val="Hyperlink"/>
          </w:rPr>
          <w:t>https://developer.digitalhealth.gov.au/resources/services/national-clinical-terminology-service-ncts</w:t>
        </w:r>
      </w:hyperlink>
      <w:r>
        <w:t xml:space="preserve"> (accessed Feb 2024)</w:t>
      </w:r>
    </w:p>
    <w:p w14:paraId="579A93DC" w14:textId="77777777" w:rsidR="00BE3465" w:rsidRDefault="00BE3465">
      <w:pPr>
        <w:pStyle w:val="ListParagraph"/>
        <w:numPr>
          <w:ilvl w:val="0"/>
          <w:numId w:val="70"/>
        </w:numPr>
      </w:pPr>
      <w:r w:rsidRPr="00752C0B">
        <w:t xml:space="preserve">Australian Government Australian Digital Health Agency. National Clinical Terminology Service (NCTS). Canberra: ADHA. </w:t>
      </w:r>
      <w:hyperlink r:id="rId72" w:history="1">
        <w:r w:rsidRPr="00A77B0B">
          <w:rPr>
            <w:rStyle w:val="Hyperlink"/>
          </w:rPr>
          <w:t>https://developer.digitalhealth.gov.au/resources/services/national-clinical-terminology-service-ncts</w:t>
        </w:r>
      </w:hyperlink>
      <w:r>
        <w:t xml:space="preserve"> </w:t>
      </w:r>
      <w:r w:rsidRPr="00752C0B">
        <w:t>(accessed Feb 2024)</w:t>
      </w:r>
    </w:p>
    <w:p w14:paraId="2157CF91" w14:textId="77777777" w:rsidR="00BE3465" w:rsidRDefault="00BE3465">
      <w:pPr>
        <w:pStyle w:val="ListParagraph"/>
        <w:numPr>
          <w:ilvl w:val="0"/>
          <w:numId w:val="70"/>
        </w:numPr>
        <w:rPr>
          <w:rStyle w:val="Hyperlink"/>
        </w:rPr>
      </w:pPr>
      <w:r>
        <w:t xml:space="preserve">GS1 Australia. </w:t>
      </w:r>
      <w:hyperlink r:id="rId73" w:history="1">
        <w:r w:rsidRPr="00576EB2">
          <w:rPr>
            <w:rStyle w:val="Hyperlink"/>
          </w:rPr>
          <w:t>National Product Catalogue</w:t>
        </w:r>
        <w:r w:rsidRPr="00531E48">
          <w:rPr>
            <w:rStyle w:val="Hyperlink"/>
          </w:rPr>
          <w:t xml:space="preserve">. </w:t>
        </w:r>
      </w:hyperlink>
      <w:r>
        <w:t xml:space="preserve">Melbourne: GS1 Australia. </w:t>
      </w:r>
      <w:r w:rsidRPr="00576EB2">
        <w:rPr>
          <w:rStyle w:val="Hyperlink"/>
        </w:rPr>
        <w:t>https://www.gs1au.org/services/data-and-content/national-product-catalogue</w:t>
      </w:r>
      <w:r>
        <w:rPr>
          <w:rStyle w:val="Hyperlink"/>
        </w:rPr>
        <w:t xml:space="preserve"> (accessed Feb 2024)</w:t>
      </w:r>
    </w:p>
    <w:p w14:paraId="5CFE33E5" w14:textId="1191C0E8" w:rsidR="00BE3465" w:rsidRPr="00BE3465" w:rsidRDefault="00BE3465">
      <w:pPr>
        <w:pStyle w:val="ListParagraph"/>
        <w:numPr>
          <w:ilvl w:val="0"/>
          <w:numId w:val="70"/>
        </w:numPr>
        <w:rPr>
          <w:rStyle w:val="Hyperlink"/>
        </w:rPr>
      </w:pPr>
      <w:r w:rsidRPr="00F2449F">
        <w:t>Australian Commission on Safety and Quality in Health Care. Measurement for Improvement Toolkit</w:t>
      </w:r>
      <w:r w:rsidR="00F0565A">
        <w:rPr>
          <w:rStyle w:val="Hyperlink"/>
          <w:sz w:val="16"/>
          <w:szCs w:val="16"/>
          <w:u w:val="none"/>
        </w:rPr>
        <w:t xml:space="preserve"> </w:t>
      </w:r>
      <w:r w:rsidRPr="00100CED">
        <w:t xml:space="preserve">B. Sydney: ACSQHC; 2006. </w:t>
      </w:r>
      <w:hyperlink r:id="rId74" w:history="1">
        <w:r w:rsidRPr="00BE3465">
          <w:rPr>
            <w:rStyle w:val="Hyperlink"/>
          </w:rPr>
          <w:t>https://www.safetyandquality.gov.au/sites/default/files/migrated/measurement-for-Improvement-toolkit-b.pdf</w:t>
        </w:r>
      </w:hyperlink>
      <w:r w:rsidRPr="00BE3465">
        <w:rPr>
          <w:rStyle w:val="Hyperlink"/>
        </w:rPr>
        <w:t xml:space="preserve"> (accessed Feb 2024)</w:t>
      </w:r>
    </w:p>
    <w:p w14:paraId="1F19D2A0" w14:textId="0305A960" w:rsidR="00BE3465" w:rsidRDefault="00BE3465">
      <w:pPr>
        <w:pStyle w:val="ListParagraph"/>
        <w:numPr>
          <w:ilvl w:val="0"/>
          <w:numId w:val="70"/>
        </w:numPr>
        <w:rPr>
          <w:rStyle w:val="Hyperlink"/>
        </w:rPr>
      </w:pPr>
      <w:r>
        <w:t xml:space="preserve">Australian Commission on Safety and Quality in Health Care </w:t>
      </w:r>
      <w:r w:rsidR="0022593F">
        <w:t>National Safety and Quality Health Service (</w:t>
      </w:r>
      <w:r>
        <w:t>NSQHS</w:t>
      </w:r>
      <w:r w:rsidR="0022593F">
        <w:t>)</w:t>
      </w:r>
      <w:r>
        <w:t xml:space="preserve"> </w:t>
      </w:r>
      <w:hyperlink r:id="rId75" w:history="1">
        <w:r w:rsidRPr="00D21CDC">
          <w:rPr>
            <w:rStyle w:val="Hyperlink"/>
          </w:rPr>
          <w:t>Clinical Governance Standard</w:t>
        </w:r>
      </w:hyperlink>
    </w:p>
    <w:p w14:paraId="3CB21652" w14:textId="34F7D0BC" w:rsidR="00BE3465" w:rsidRDefault="00BE3465">
      <w:pPr>
        <w:pStyle w:val="ListParagraph"/>
        <w:numPr>
          <w:ilvl w:val="0"/>
          <w:numId w:val="70"/>
        </w:numPr>
      </w:pPr>
      <w:r>
        <w:t xml:space="preserve">Refer to </w:t>
      </w:r>
      <w:hyperlink r:id="rId76" w:history="1">
        <w:r w:rsidR="00B00A7F" w:rsidRPr="00A06F06">
          <w:rPr>
            <w:rStyle w:val="Hyperlink"/>
          </w:rPr>
          <w:t>http://meteor.aihw.gov.au/content/index.phtml/itemId/370931</w:t>
        </w:r>
      </w:hyperlink>
      <w:r>
        <w:t xml:space="preserve"> </w:t>
      </w:r>
      <w:r w:rsidRPr="006D6272">
        <w:t>(SACC 2008)</w:t>
      </w:r>
      <w:r>
        <w:t xml:space="preserve"> for the classicisation scheme. </w:t>
      </w:r>
      <w:r>
        <w:br/>
      </w:r>
      <w:r w:rsidRPr="001E4FDC">
        <w:t xml:space="preserve">Australian Government Australian Institute of Health and Welfare. </w:t>
      </w:r>
      <w:r>
        <w:t xml:space="preserve">[METEOR] </w:t>
      </w:r>
      <w:r w:rsidRPr="001E4FDC">
        <w:t>Standard Australian Classification of Countries 2008</w:t>
      </w:r>
      <w:r>
        <w:t xml:space="preserve">. Canberra: AIHW. </w:t>
      </w:r>
      <w:hyperlink r:id="rId77" w:history="1">
        <w:r w:rsidRPr="00100CED">
          <w:rPr>
            <w:rStyle w:val="Hyperlink"/>
          </w:rPr>
          <w:t>https://meteor.aihw.gov.au/content/370931</w:t>
        </w:r>
      </w:hyperlink>
      <w:r>
        <w:t xml:space="preserve"> (accessed Feb 2024)</w:t>
      </w:r>
    </w:p>
    <w:p w14:paraId="170F2B99" w14:textId="0D3D9E19" w:rsidR="00BE3465" w:rsidRDefault="00BE3465">
      <w:pPr>
        <w:pStyle w:val="ListParagraph"/>
        <w:numPr>
          <w:ilvl w:val="0"/>
          <w:numId w:val="70"/>
        </w:numPr>
      </w:pPr>
      <w:r>
        <w:t xml:space="preserve">Australian Bureau of Statistics. </w:t>
      </w:r>
      <w:r w:rsidRPr="00CD79B2">
        <w:t>Australian Statistical Geography Standard (ASGS)</w:t>
      </w:r>
      <w:r>
        <w:t xml:space="preserve">. Canberra: ABS; 2021–2023. </w:t>
      </w:r>
      <w:hyperlink r:id="rId78" w:history="1">
        <w:r w:rsidRPr="00100CED">
          <w:rPr>
            <w:rStyle w:val="Hyperlink"/>
          </w:rPr>
          <w:t>https://www.abs.gov.au/statistics/statistical-geography/australian-statistical-geography-standard-asgs</w:t>
        </w:r>
      </w:hyperlink>
      <w:r>
        <w:t xml:space="preserve"> (accessed Feb 2024)</w:t>
      </w:r>
    </w:p>
    <w:p w14:paraId="3C083DF6" w14:textId="77777777" w:rsidR="00BE3465" w:rsidRDefault="00BE3465">
      <w:pPr>
        <w:pStyle w:val="ListParagraph"/>
        <w:numPr>
          <w:ilvl w:val="0"/>
          <w:numId w:val="70"/>
        </w:numPr>
      </w:pPr>
      <w:r>
        <w:t xml:space="preserve">Australian Bureau of Statistics. </w:t>
      </w:r>
      <w:r w:rsidRPr="00556D21">
        <w:t>1270.0.55.001 - Australian Statistical Geography Standard (ASGS): Volume 1 - Main Structure and Greater Capital City Statistical Areas, July 2011</w:t>
      </w:r>
      <w:r>
        <w:t>. Canberra: ABS; 2011.</w:t>
      </w:r>
    </w:p>
    <w:p w14:paraId="7160F881" w14:textId="0E30B7FC" w:rsidR="00BE3465" w:rsidRPr="00BE3465" w:rsidRDefault="00BE3465" w:rsidP="00BE3465">
      <w:pPr>
        <w:sectPr w:rsidR="00BE3465" w:rsidRPr="00BE3465" w:rsidSect="00A028AC">
          <w:headerReference w:type="even" r:id="rId79"/>
          <w:headerReference w:type="default" r:id="rId80"/>
          <w:footerReference w:type="even" r:id="rId81"/>
          <w:footerReference w:type="default" r:id="rId82"/>
          <w:headerReference w:type="first" r:id="rId83"/>
          <w:footerReference w:type="first" r:id="rId84"/>
          <w:pgSz w:w="11906" w:h="16838"/>
          <w:pgMar w:top="1418" w:right="1134" w:bottom="1418" w:left="1134" w:header="709" w:footer="709" w:gutter="0"/>
          <w:cols w:space="708"/>
          <w:docGrid w:linePitch="360"/>
        </w:sectPr>
      </w:pPr>
    </w:p>
    <w:p w14:paraId="6BFC2026" w14:textId="77777777" w:rsidR="00A12B60" w:rsidRPr="00B70655" w:rsidRDefault="00A12B60" w:rsidP="00A12B60">
      <w:pPr>
        <w:pStyle w:val="Backpagelogoholder"/>
        <w:spacing w:before="10440"/>
        <w:rPr>
          <w:highlight w:val="green"/>
        </w:rPr>
      </w:pPr>
      <w:r w:rsidRPr="00B70655">
        <w:lastRenderedPageBreak/>
        <w:drawing>
          <wp:inline distT="0" distB="0" distL="0" distR="0" wp14:anchorId="3203FFDE" wp14:editId="5E7BA52A">
            <wp:extent cx="3941445" cy="555625"/>
            <wp:effectExtent l="0" t="0" r="0" b="3175"/>
            <wp:docPr id="49" name="Picture 49" descr="Australian Commission on Safety and Quality in Health 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41445" cy="555625"/>
                    </a:xfrm>
                    <a:prstGeom prst="rect">
                      <a:avLst/>
                    </a:prstGeom>
                  </pic:spPr>
                </pic:pic>
              </a:graphicData>
            </a:graphic>
          </wp:inline>
        </w:drawing>
      </w:r>
    </w:p>
    <w:p w14:paraId="426A305D" w14:textId="77777777" w:rsidR="00A12B60" w:rsidRPr="00B70655" w:rsidRDefault="00A12B60" w:rsidP="00A12B60">
      <w:r w:rsidRPr="00B70655">
        <w:t>Level 5, 255 Elizabeth Street, Sydney NSW 2000</w:t>
      </w:r>
      <w:r w:rsidRPr="00B70655">
        <w:br/>
        <w:t>GPO Box 5480, Sydney NSW 2001</w:t>
      </w:r>
    </w:p>
    <w:p w14:paraId="7ECE4276" w14:textId="77777777" w:rsidR="00A12B60" w:rsidRPr="00B70655" w:rsidRDefault="00A12B60" w:rsidP="00A12B60">
      <w:r w:rsidRPr="00B70655">
        <w:t>Phone: (02) 9126 3600</w:t>
      </w:r>
    </w:p>
    <w:p w14:paraId="49D8B189" w14:textId="77777777" w:rsidR="00465AB0" w:rsidRDefault="00A12B60" w:rsidP="009374DD">
      <w:r w:rsidRPr="00B70655">
        <w:t xml:space="preserve">Email: </w:t>
      </w:r>
      <w:hyperlink r:id="rId86" w:history="1">
        <w:r w:rsidRPr="00B70655">
          <w:rPr>
            <w:rStyle w:val="Hyperlink"/>
          </w:rPr>
          <w:t>mail@safetyandquality.gov.au</w:t>
        </w:r>
      </w:hyperlink>
      <w:r w:rsidRPr="00B70655">
        <w:t xml:space="preserve"> </w:t>
      </w:r>
      <w:r w:rsidRPr="00B70655">
        <w:br/>
        <w:t xml:space="preserve">Website: </w:t>
      </w:r>
      <w:hyperlink r:id="rId87" w:history="1">
        <w:r w:rsidRPr="00B70655">
          <w:rPr>
            <w:rStyle w:val="Hyperlink"/>
          </w:rPr>
          <w:t>www.safetyandquality.gov.au</w:t>
        </w:r>
      </w:hyperlink>
    </w:p>
    <w:sectPr w:rsidR="00465AB0" w:rsidSect="00A028AC">
      <w:footerReference w:type="default" r:id="rId88"/>
      <w:headerReference w:type="first" r:id="rId89"/>
      <w:footerReference w:type="first" r:id="rId90"/>
      <w:footnotePr>
        <w:numFmt w:val="chicago"/>
      </w:footnotePr>
      <w:pgSz w:w="11900" w:h="16840"/>
      <w:pgMar w:top="1735" w:right="1134" w:bottom="144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8167D" w14:textId="77777777" w:rsidR="00683720" w:rsidRDefault="00683720" w:rsidP="000B0274">
      <w:r>
        <w:separator/>
      </w:r>
    </w:p>
    <w:p w14:paraId="3CB37C79" w14:textId="77777777" w:rsidR="00683720" w:rsidRDefault="00683720"/>
    <w:p w14:paraId="4CBAF73D" w14:textId="77777777" w:rsidR="00683720" w:rsidRDefault="00683720"/>
    <w:p w14:paraId="3BABAB5D" w14:textId="77777777" w:rsidR="00683720" w:rsidRDefault="00683720"/>
    <w:p w14:paraId="43D9DE36" w14:textId="77777777" w:rsidR="00683720" w:rsidRDefault="00683720"/>
  </w:endnote>
  <w:endnote w:type="continuationSeparator" w:id="0">
    <w:p w14:paraId="4BCED3B2" w14:textId="77777777" w:rsidR="00683720" w:rsidRDefault="00683720" w:rsidP="000B0274">
      <w:r>
        <w:continuationSeparator/>
      </w:r>
    </w:p>
    <w:p w14:paraId="589C3A8A" w14:textId="77777777" w:rsidR="00683720" w:rsidRDefault="00683720"/>
    <w:p w14:paraId="7C7EA907" w14:textId="77777777" w:rsidR="00683720" w:rsidRDefault="00683720"/>
    <w:p w14:paraId="22277D23" w14:textId="77777777" w:rsidR="00683720" w:rsidRDefault="00683720"/>
    <w:p w14:paraId="5FF86A79" w14:textId="77777777" w:rsidR="00683720" w:rsidRDefault="006837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Arial (Body)">
    <w:altName w:val="Arial"/>
    <w:charset w:val="00"/>
    <w:family w:val="roman"/>
    <w:pitch w:val="default"/>
  </w:font>
  <w:font w:name="Gotham Medium">
    <w:panose1 w:val="00000000000000000000"/>
    <w:charset w:val="00"/>
    <w:family w:val="auto"/>
    <w:notTrueType/>
    <w:pitch w:val="variable"/>
    <w:sig w:usb0="A100007F" w:usb1="4000005B" w:usb2="00000000" w:usb3="00000000" w:csb0="0000009B"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Univers LightUltraCondensed">
    <w:altName w:val="Courier New"/>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useo Sans 300">
    <w:altName w:val="Times New Roman"/>
    <w:panose1 w:val="00000000000000000000"/>
    <w:charset w:val="00"/>
    <w:family w:val="modern"/>
    <w:notTrueType/>
    <w:pitch w:val="variable"/>
    <w:sig w:usb0="A00000AF" w:usb1="4000004A" w:usb2="00000000" w:usb3="00000000" w:csb0="00000093" w:csb1="00000000"/>
  </w:font>
  <w:font w:name="Times">
    <w:panose1 w:val="02020603050405020304"/>
    <w:charset w:val="00"/>
    <w:family w:val="roman"/>
    <w:pitch w:val="variable"/>
    <w:sig w:usb0="E0002EFF" w:usb1="C000785B" w:usb2="00000009" w:usb3="00000000" w:csb0="000001FF" w:csb1="00000000"/>
  </w:font>
  <w:font w:name="Arial (W1)">
    <w:altName w:val="Arial"/>
    <w:charset w:val="00"/>
    <w:family w:val="swiss"/>
    <w:pitch w:val="variable"/>
    <w:sig w:usb0="00000000" w:usb1="80000000" w:usb2="00000008"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FAF76" w14:textId="77777777" w:rsidR="00295887" w:rsidRDefault="00295887" w:rsidP="00D84622">
    <w:pPr>
      <w:pStyle w:val="Footer"/>
    </w:pPr>
  </w:p>
  <w:p w14:paraId="16DB2D2B" w14:textId="77777777" w:rsidR="00295887" w:rsidRDefault="00295887"/>
  <w:p w14:paraId="7160824A" w14:textId="77777777" w:rsidR="00295887" w:rsidRDefault="00295887"/>
  <w:p w14:paraId="1E734F84" w14:textId="77777777" w:rsidR="00295887" w:rsidRDefault="0029588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74658143"/>
      <w:docPartObj>
        <w:docPartGallery w:val="Page Numbers (Bottom of Page)"/>
        <w:docPartUnique/>
      </w:docPartObj>
    </w:sdtPr>
    <w:sdtContent>
      <w:p w14:paraId="1B5E517F" w14:textId="6B274987" w:rsidR="007E6134" w:rsidRDefault="007E6134" w:rsidP="00C91E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1D2404" w14:textId="0334CB0D" w:rsidR="00192720" w:rsidRDefault="00192720" w:rsidP="007E6134">
    <w:pPr>
      <w:pStyle w:val="Footerlandscape"/>
      <w:ind w:right="360"/>
    </w:pPr>
    <w:r>
      <w:rPr>
        <w:rStyle w:val="PageNumber"/>
      </w:rPr>
      <w:tab/>
    </w:r>
    <w:r>
      <w:rPr>
        <w:rStyle w:val="PageNumber"/>
      </w:rPr>
      <w:fldChar w:fldCharType="begin"/>
    </w:r>
    <w:r>
      <w:rPr>
        <w:rStyle w:val="PageNumber"/>
      </w:rPr>
      <w:instrText xml:space="preserve"> DOCPROPERTY  Status </w:instrText>
    </w:r>
    <w:r>
      <w:rPr>
        <w:rStyle w:val="PageNumber"/>
      </w:rPr>
      <w:fldChar w:fldCharType="separate"/>
    </w:r>
    <w:r>
      <w:rPr>
        <w:rStyle w:val="PageNumber"/>
        <w:b/>
        <w:bCs/>
        <w:lang w:val="en-GB"/>
      </w:rPr>
      <w:t>Error! Unknown document property name.</w:t>
    </w:r>
    <w:r>
      <w:rPr>
        <w:rStyle w:val="PageNumber"/>
      </w:rPr>
      <w:fldChar w:fldCharType="end"/>
    </w:r>
    <w:r>
      <w:rPr>
        <w:rStyle w:val="PageNumber"/>
      </w:rPr>
      <w:tab/>
      <w:t>v</w:t>
    </w:r>
    <w:r>
      <w:rPr>
        <w:rStyle w:val="PageNumber"/>
      </w:rPr>
      <w:fldChar w:fldCharType="begin"/>
    </w:r>
    <w:r>
      <w:rPr>
        <w:rStyle w:val="PageNumber"/>
      </w:rPr>
      <w:instrText xml:space="preserve"> DOCPROPERTY  Version </w:instrText>
    </w:r>
    <w:r>
      <w:rPr>
        <w:rStyle w:val="PageNumber"/>
      </w:rPr>
      <w:fldChar w:fldCharType="separate"/>
    </w:r>
    <w:r>
      <w:rPr>
        <w:rStyle w:val="PageNumber"/>
        <w:b/>
        <w:bCs/>
        <w:lang w:val="en-GB"/>
      </w:rPr>
      <w:t>Error! Unknown document property name.</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B09F6" w14:textId="158A02CE" w:rsidR="00BF7DA5" w:rsidRPr="00BF7DA5" w:rsidRDefault="00BF7DA5" w:rsidP="00BF7DA5">
    <w:pPr>
      <w:pStyle w:val="Footer"/>
    </w:pPr>
    <w:r w:rsidRPr="006F6AC1">
      <w:t xml:space="preserve">Attachment </w:t>
    </w:r>
    <w:r>
      <w:t>1</w:t>
    </w:r>
    <w:r w:rsidRPr="006F6AC1">
      <w:t xml:space="preserve">: </w:t>
    </w:r>
    <w:r>
      <w:t>Australian CQR Logical Design and Infrastructure</w:t>
    </w:r>
    <w:r w:rsidRPr="006F6AC1">
      <w:t xml:space="preserve"> guideline </w:t>
    </w:r>
    <w:r w:rsidRPr="00D84622">
      <w:tab/>
    </w:r>
    <w:r w:rsidRPr="00D84622">
      <w:fldChar w:fldCharType="begin"/>
    </w:r>
    <w:r w:rsidRPr="00D84622">
      <w:instrText xml:space="preserve"> PAGE   \* MERGEFORMAT </w:instrText>
    </w:r>
    <w:r w:rsidRPr="00D84622">
      <w:fldChar w:fldCharType="separate"/>
    </w:r>
    <w:r>
      <w:t>3</w:t>
    </w:r>
    <w:r w:rsidRPr="00D84622">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1736709"/>
      <w:docPartObj>
        <w:docPartGallery w:val="Page Numbers (Bottom of Page)"/>
        <w:docPartUnique/>
      </w:docPartObj>
    </w:sdtPr>
    <w:sdtEndPr>
      <w:rPr>
        <w:noProof/>
      </w:rPr>
    </w:sdtEndPr>
    <w:sdtContent>
      <w:p w14:paraId="56BC748B" w14:textId="77777777" w:rsidR="00192720" w:rsidRDefault="0019272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CFECDD" w14:textId="77777777" w:rsidR="00192720" w:rsidRPr="00871A4D" w:rsidRDefault="00192720" w:rsidP="00871A4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21026" w14:textId="77777777" w:rsidR="00A12B60" w:rsidRDefault="00A12B6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287E5" w14:textId="18BA0F5B" w:rsidR="00A12B60" w:rsidRDefault="001C2D39">
    <w:pPr>
      <w:pStyle w:val="Footer"/>
    </w:pPr>
    <w:r w:rsidRPr="006F6AC1">
      <w:t xml:space="preserve">Attachment </w:t>
    </w:r>
    <w:r>
      <w:t>1</w:t>
    </w:r>
    <w:r w:rsidRPr="006F6AC1">
      <w:t xml:space="preserve">: </w:t>
    </w:r>
    <w:r>
      <w:t>Australian CQR Logical Design and Infrastructure</w:t>
    </w:r>
    <w:r w:rsidRPr="006F6AC1">
      <w:t xml:space="preserve"> guideline</w:t>
    </w:r>
    <w:r w:rsidR="00A12B60" w:rsidRPr="00D84622">
      <w:tab/>
    </w:r>
    <w:r w:rsidR="00A12B60" w:rsidRPr="00D84622">
      <w:fldChar w:fldCharType="begin"/>
    </w:r>
    <w:r w:rsidR="00A12B60" w:rsidRPr="00D84622">
      <w:instrText xml:space="preserve"> PAGE   \* MERGEFORMAT </w:instrText>
    </w:r>
    <w:r w:rsidR="00A12B60" w:rsidRPr="00D84622">
      <w:fldChar w:fldCharType="separate"/>
    </w:r>
    <w:r w:rsidR="00A12B60" w:rsidRPr="00D84622">
      <w:t>4</w:t>
    </w:r>
    <w:r w:rsidR="00A12B60" w:rsidRPr="00D84622">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267A8" w14:textId="77777777" w:rsidR="00A12B60" w:rsidRDefault="00A12B6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6A6E9" w14:textId="7371681D" w:rsidR="002E4B35" w:rsidRDefault="00BE3465">
    <w:pPr>
      <w:pStyle w:val="Footer"/>
    </w:pPr>
    <w:r w:rsidRPr="006F6AC1">
      <w:t xml:space="preserve">Attachment </w:t>
    </w:r>
    <w:r>
      <w:t>1</w:t>
    </w:r>
    <w:r w:rsidRPr="006F6AC1">
      <w:t xml:space="preserve">: </w:t>
    </w:r>
    <w:r>
      <w:t>Australian CQR Logical Design and Infrastructure</w:t>
    </w:r>
    <w:r w:rsidRPr="006F6AC1">
      <w:t xml:space="preserve"> guideline</w:t>
    </w:r>
    <w:r w:rsidR="002E4B35" w:rsidRPr="00D84622">
      <w:tab/>
    </w:r>
    <w:r w:rsidR="002E4B35" w:rsidRPr="00D84622">
      <w:fldChar w:fldCharType="begin"/>
    </w:r>
    <w:r w:rsidR="002E4B35" w:rsidRPr="00D84622">
      <w:instrText xml:space="preserve"> PAGE   \* MERGEFORMAT </w:instrText>
    </w:r>
    <w:r w:rsidR="002E4B35" w:rsidRPr="00D84622">
      <w:fldChar w:fldCharType="separate"/>
    </w:r>
    <w:r w:rsidR="002E4B35" w:rsidRPr="00D84622">
      <w:t>4</w:t>
    </w:r>
    <w:r w:rsidR="002E4B35" w:rsidRPr="00D84622">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31399" w14:textId="77777777" w:rsidR="006D4CD4" w:rsidRPr="006D4CD4" w:rsidRDefault="006D4CD4" w:rsidP="006D4CD4">
    <w:pPr>
      <w:pStyle w:val="Footer"/>
    </w:pPr>
    <w:r>
      <w:t>Report name goes here</w:t>
    </w:r>
    <w:r w:rsidRPr="00D84622">
      <w:tab/>
    </w:r>
    <w:r w:rsidRPr="00D84622">
      <w:fldChar w:fldCharType="begin"/>
    </w:r>
    <w:r w:rsidRPr="00D84622">
      <w:instrText xml:space="preserve"> PAGE   \* MERGEFORMAT </w:instrText>
    </w:r>
    <w:r w:rsidRPr="00D84622">
      <w:fldChar w:fldCharType="separate"/>
    </w:r>
    <w:r>
      <w:t>2</w:t>
    </w:r>
    <w:r w:rsidRPr="00D8462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B7B292" w14:textId="77777777" w:rsidR="00683720" w:rsidRDefault="00683720" w:rsidP="000B0274">
      <w:r>
        <w:separator/>
      </w:r>
    </w:p>
    <w:p w14:paraId="004A72BE" w14:textId="77777777" w:rsidR="00683720" w:rsidRDefault="00683720"/>
    <w:p w14:paraId="4320A57C" w14:textId="77777777" w:rsidR="00683720" w:rsidRDefault="00683720"/>
    <w:p w14:paraId="5679644F" w14:textId="77777777" w:rsidR="00683720" w:rsidRDefault="00683720"/>
    <w:p w14:paraId="0A09FFE5" w14:textId="77777777" w:rsidR="00683720" w:rsidRDefault="00683720"/>
  </w:footnote>
  <w:footnote w:type="continuationSeparator" w:id="0">
    <w:p w14:paraId="7CF45A00" w14:textId="77777777" w:rsidR="00683720" w:rsidRDefault="00683720" w:rsidP="000B0274">
      <w:r>
        <w:continuationSeparator/>
      </w:r>
    </w:p>
    <w:p w14:paraId="452DB5B9" w14:textId="77777777" w:rsidR="00683720" w:rsidRDefault="00683720"/>
    <w:p w14:paraId="05A160A3" w14:textId="77777777" w:rsidR="00683720" w:rsidRDefault="00683720"/>
    <w:p w14:paraId="1B050C4F" w14:textId="77777777" w:rsidR="00683720" w:rsidRDefault="00683720"/>
    <w:p w14:paraId="2BB5E3EE" w14:textId="77777777" w:rsidR="00683720" w:rsidRDefault="0068372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92896" w14:textId="77777777" w:rsidR="00295887" w:rsidRDefault="00295887"/>
  <w:p w14:paraId="15D70326" w14:textId="77777777" w:rsidR="00295887" w:rsidRDefault="00295887"/>
  <w:p w14:paraId="74A077A2" w14:textId="77777777" w:rsidR="00295887" w:rsidRDefault="00295887"/>
  <w:p w14:paraId="4B1A6FD9" w14:textId="77777777" w:rsidR="00295887" w:rsidRDefault="0029588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47C70" w14:textId="77777777" w:rsidR="00295887" w:rsidRPr="002E4B35" w:rsidRDefault="00295887" w:rsidP="002E4B35">
    <w:pPr>
      <w:tabs>
        <w:tab w:val="left" w:pos="7062"/>
        <w:tab w:val="right" w:pos="9638"/>
      </w:tabs>
      <w:spacing w:before="0"/>
      <w:ind w:left="-142"/>
    </w:pPr>
    <w:r w:rsidRPr="00FB375B">
      <w:rPr>
        <w:rFonts w:eastAsiaTheme="majorEastAsia"/>
        <w:noProof/>
        <w:lang w:val="en-US" w:eastAsia="en-US"/>
      </w:rPr>
      <w:drawing>
        <wp:inline distT="0" distB="0" distL="0" distR="0" wp14:anchorId="1919AB5D" wp14:editId="08CFD320">
          <wp:extent cx="4307149" cy="543600"/>
          <wp:effectExtent l="0" t="0" r="0" b="2540"/>
          <wp:docPr id="11" name="Picture 11" descr="Australian Commission on Safety and Quality in Health Care lo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rotWithShape="1">
                  <a:blip r:embed="rId1" cstate="print">
                    <a:extLst>
                      <a:ext uri="{28A0092B-C50C-407E-A947-70E740481C1C}">
                        <a14:useLocalDpi xmlns:a14="http://schemas.microsoft.com/office/drawing/2010/main" val="0"/>
                      </a:ext>
                    </a:extLst>
                  </a:blip>
                  <a:srcRect b="10614"/>
                  <a:stretch/>
                </pic:blipFill>
                <pic:spPr bwMode="auto">
                  <a:xfrm>
                    <a:off x="0" y="0"/>
                    <a:ext cx="4334400" cy="547039"/>
                  </a:xfrm>
                  <a:prstGeom prst="rect">
                    <a:avLst/>
                  </a:prstGeom>
                  <a:ln>
                    <a:noFill/>
                  </a:ln>
                  <a:extLst>
                    <a:ext uri="{53640926-AAD7-44D8-BBD7-CCE9431645EC}">
                      <a14:shadowObscured xmlns:a14="http://schemas.microsoft.com/office/drawing/2010/main"/>
                    </a:ext>
                  </a:extLst>
                </pic:spPr>
              </pic:pic>
            </a:graphicData>
          </a:graphic>
        </wp:inline>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DCFC7" w14:textId="77777777" w:rsidR="00192720" w:rsidRDefault="00000000" w:rsidP="00E9663B">
    <w:pPr>
      <w:pStyle w:val="Headerlandscape"/>
    </w:pPr>
    <w:r>
      <w:pict w14:anchorId="4A9E2D71">
        <v:shapetype id="_x0000_t202" coordsize="21600,21600" o:spt="202" path="m,l,21600r21600,l21600,xe">
          <v:stroke joinstyle="miter"/>
          <v:path gradientshapeok="t" o:connecttype="rect"/>
        </v:shapetype>
        <v:shape id="Text Box 1" o:spid="_x0000_s1026" type="#_x0000_t202" alt="" style="position:absolute;margin-left:0;margin-top:0;width:611.45pt;height:67.9pt;z-index:-251656192;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allowincell="f" filled="f" stroked="f">
          <o:lock v:ext="edit" aspectratio="t" verticies="t" shapetype="t"/>
          <v:textbox>
            <w:txbxContent>
              <w:p w14:paraId="353AA121" w14:textId="77777777" w:rsidR="00192720" w:rsidRDefault="00192720" w:rsidP="00B33BF6">
                <w:pPr>
                  <w:jc w:val="center"/>
                  <w:rPr>
                    <w:rFonts w:ascii="Arial" w:hAnsi="Arial" w:cs="Arial"/>
                    <w:color w:val="C0C0C0"/>
                    <w:sz w:val="16"/>
                    <w:szCs w:val="16"/>
                    <w:lang w:val="en-GB"/>
                    <w14:textFill>
                      <w14:solidFill>
                        <w14:srgbClr w14:val="C0C0C0">
                          <w14:alpha w14:val="50000"/>
                        </w14:srgbClr>
                      </w14:solidFill>
                    </w14:textFill>
                  </w:rPr>
                </w:pPr>
                <w:r>
                  <w:rPr>
                    <w:rFonts w:ascii="Arial" w:hAnsi="Arial" w:cs="Arial"/>
                    <w:color w:val="C0C0C0"/>
                    <w:sz w:val="16"/>
                    <w:szCs w:val="16"/>
                    <w:lang w:val="en-GB"/>
                    <w14:textFill>
                      <w14:solidFill>
                        <w14:srgbClr w14:val="C0C0C0">
                          <w14:alpha w14:val="50000"/>
                        </w14:srgbClr>
                      </w14:solidFill>
                    </w14:textFill>
                  </w:rPr>
                  <w:t xml:space="preserve">Consultation version </w:t>
                </w:r>
              </w:p>
            </w:txbxContent>
          </v:textbox>
          <w10:wrap anchorx="margin" anchory="margin"/>
        </v:shape>
      </w:pict>
    </w:r>
    <w:r w:rsidR="00192720">
      <w:fldChar w:fldCharType="begin"/>
    </w:r>
    <w:r w:rsidR="00192720">
      <w:instrText xml:space="preserve"> TITLE  </w:instrText>
    </w:r>
    <w:r w:rsidR="00192720">
      <w:fldChar w:fldCharType="end"/>
    </w:r>
    <w:r w:rsidR="00192720">
      <w:tab/>
    </w:r>
    <w:r w:rsidR="00192720">
      <w:fldChar w:fldCharType="begin"/>
    </w:r>
    <w:r w:rsidR="00192720">
      <w:instrText xml:space="preserve"> SUBJECT  </w:instrText>
    </w:r>
    <w:r w:rsidR="00192720">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6EF18" w14:textId="77777777" w:rsidR="00192720" w:rsidRDefault="0019272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19452" w14:textId="77777777" w:rsidR="00192720" w:rsidRDefault="00000000" w:rsidP="00E332C6">
    <w:pPr>
      <w:pStyle w:val="Header"/>
      <w:tabs>
        <w:tab w:val="right" w:pos="13750"/>
      </w:tabs>
    </w:pPr>
    <w:r>
      <w:rPr>
        <w:noProof/>
      </w:rPr>
      <w:pict w14:anchorId="635251BD">
        <v:shapetype id="_x0000_t202" coordsize="21600,21600" o:spt="202" path="m,l,21600r21600,l21600,xe">
          <v:stroke joinstyle="miter"/>
          <v:path gradientshapeok="t" o:connecttype="rect"/>
        </v:shapetype>
        <v:shape id="WordArt 10" o:spid="_x0000_s1025" type="#_x0000_t202" alt="" style="position:absolute;margin-left:0;margin-top:0;width:611.45pt;height:67.9pt;rotation:315;z-index:-251657216;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allowincell="f" filled="f" stroked="f">
          <v:stroke joinstyle="round"/>
          <o:lock v:ext="edit" aspectratio="t" verticies="t" shapetype="t"/>
          <v:textbox>
            <w:txbxContent>
              <w:p w14:paraId="44916262" w14:textId="77777777" w:rsidR="00192720" w:rsidRDefault="00192720" w:rsidP="00B33BF6">
                <w:pPr>
                  <w:jc w:val="center"/>
                  <w:rPr>
                    <w:rFonts w:ascii="Arial" w:hAnsi="Arial" w:cs="Arial"/>
                    <w:color w:val="C0C0C0"/>
                    <w:sz w:val="16"/>
                    <w:szCs w:val="16"/>
                    <w:lang w:val="en-GB"/>
                    <w14:textFill>
                      <w14:solidFill>
                        <w14:srgbClr w14:val="C0C0C0">
                          <w14:alpha w14:val="50000"/>
                        </w14:srgbClr>
                      </w14:solidFill>
                    </w14:textFill>
                  </w:rPr>
                </w:pPr>
                <w:r>
                  <w:rPr>
                    <w:rFonts w:ascii="Arial" w:hAnsi="Arial" w:cs="Arial"/>
                    <w:color w:val="C0C0C0"/>
                    <w:sz w:val="16"/>
                    <w:szCs w:val="16"/>
                    <w:lang w:val="en-GB"/>
                    <w14:textFill>
                      <w14:solidFill>
                        <w14:srgbClr w14:val="C0C0C0">
                          <w14:alpha w14:val="50000"/>
                        </w14:srgbClr>
                      </w14:solidFill>
                    </w14:textFill>
                  </w:rPr>
                  <w:t xml:space="preserve">Consultation version </w:t>
                </w:r>
              </w:p>
            </w:txbxContent>
          </v:textbox>
          <w10:wrap anchorx="margin" anchory="margin"/>
        </v:shape>
      </w:pict>
    </w:r>
    <w:r w:rsidR="00192720">
      <w:t>Attachment 1: Australian CQR logical design and infrastructure Second edition – Consultation Draft</w:t>
    </w:r>
  </w:p>
  <w:p w14:paraId="49A3BC52" w14:textId="77777777" w:rsidR="00192720" w:rsidRDefault="00192720" w:rsidP="00E332C6">
    <w:pPr>
      <w:pStyle w:val="Header"/>
      <w:tabs>
        <w:tab w:val="right" w:pos="13750"/>
      </w:tabs>
    </w:pPr>
    <w:r>
      <w:t xml:space="preserve"> </w:t>
    </w:r>
    <w:r>
      <w:tab/>
      <w:t>May 2022</w:t>
    </w:r>
  </w:p>
  <w:p w14:paraId="297C67EA" w14:textId="77777777" w:rsidR="00192720" w:rsidRPr="00871A4D" w:rsidRDefault="00192720" w:rsidP="00871A4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FC572" w14:textId="77777777" w:rsidR="00A12B60" w:rsidRDefault="00A12B6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7B0EA" w14:textId="77777777" w:rsidR="00A12B60" w:rsidRPr="00EB3985" w:rsidRDefault="00A12B60" w:rsidP="00EB39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08CBD" w14:textId="77777777" w:rsidR="00A12B60" w:rsidRDefault="00A12B6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EDF22" w14:textId="77777777" w:rsidR="00EE552C" w:rsidRDefault="00EE552C">
    <w:pPr>
      <w:pStyle w:val="Header"/>
    </w:pPr>
    <w:r w:rsidRPr="00FB375B">
      <w:rPr>
        <w:rFonts w:eastAsiaTheme="majorEastAsia"/>
        <w:noProof/>
        <w:lang w:val="en-US" w:eastAsia="en-US"/>
      </w:rPr>
      <w:drawing>
        <wp:inline distT="0" distB="0" distL="0" distR="0" wp14:anchorId="27E318EA" wp14:editId="4E3F9BE1">
          <wp:extent cx="4307149" cy="543600"/>
          <wp:effectExtent l="0" t="0" r="0" b="2540"/>
          <wp:docPr id="1" name="Picture 1" descr="Australian Commission on Safety and Quality in Health Care lo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rotWithShape="1">
                  <a:blip r:embed="rId1" cstate="print">
                    <a:extLst>
                      <a:ext uri="{28A0092B-C50C-407E-A947-70E740481C1C}">
                        <a14:useLocalDpi xmlns:a14="http://schemas.microsoft.com/office/drawing/2010/main" val="0"/>
                      </a:ext>
                    </a:extLst>
                  </a:blip>
                  <a:srcRect b="10614"/>
                  <a:stretch/>
                </pic:blipFill>
                <pic:spPr bwMode="auto">
                  <a:xfrm>
                    <a:off x="0" y="0"/>
                    <a:ext cx="4334400" cy="547039"/>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49FA"/>
    <w:multiLevelType w:val="multilevel"/>
    <w:tmpl w:val="EABE25FA"/>
    <w:styleLink w:val="Listbullets"/>
    <w:lvl w:ilvl="0">
      <w:start w:val="1"/>
      <w:numFmt w:val="bullet"/>
      <w:pStyle w:val="Bulletlast"/>
      <w:lvlText w:val=""/>
      <w:lvlJc w:val="left"/>
      <w:pPr>
        <w:ind w:left="360" w:hanging="360"/>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080" w:hanging="360"/>
      </w:pPr>
      <w:rPr>
        <w:rFonts w:ascii="Arial" w:hAnsi="Aria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BB4FFB"/>
    <w:multiLevelType w:val="hybridMultilevel"/>
    <w:tmpl w:val="2F36703C"/>
    <w:lvl w:ilvl="0" w:tplc="45A40A1E">
      <w:start w:val="1"/>
      <w:numFmt w:val="bullet"/>
      <w:pStyle w:val="Numstepbullet"/>
      <w:lvlText w:val=""/>
      <w:lvlJc w:val="left"/>
      <w:pPr>
        <w:tabs>
          <w:tab w:val="num" w:pos="2843"/>
        </w:tabs>
        <w:ind w:left="2840" w:hanging="357"/>
      </w:pPr>
      <w:rPr>
        <w:rFonts w:ascii="Wingdings 3" w:hAnsi="Wingdings 3" w:hint="default"/>
        <w:color w:val="336699"/>
      </w:rPr>
    </w:lvl>
    <w:lvl w:ilvl="1" w:tplc="04090003" w:tentative="1">
      <w:start w:val="1"/>
      <w:numFmt w:val="bullet"/>
      <w:lvlText w:val="o"/>
      <w:lvlJc w:val="left"/>
      <w:pPr>
        <w:tabs>
          <w:tab w:val="num" w:pos="3923"/>
        </w:tabs>
        <w:ind w:left="3923" w:hanging="360"/>
      </w:pPr>
      <w:rPr>
        <w:rFonts w:ascii="Courier New" w:hAnsi="Courier New" w:hint="default"/>
      </w:rPr>
    </w:lvl>
    <w:lvl w:ilvl="2" w:tplc="04090005" w:tentative="1">
      <w:start w:val="1"/>
      <w:numFmt w:val="bullet"/>
      <w:lvlText w:val=""/>
      <w:lvlJc w:val="left"/>
      <w:pPr>
        <w:tabs>
          <w:tab w:val="num" w:pos="4643"/>
        </w:tabs>
        <w:ind w:left="4643" w:hanging="360"/>
      </w:pPr>
      <w:rPr>
        <w:rFonts w:ascii="Wingdings" w:hAnsi="Wingdings" w:hint="default"/>
      </w:rPr>
    </w:lvl>
    <w:lvl w:ilvl="3" w:tplc="04090001" w:tentative="1">
      <w:start w:val="1"/>
      <w:numFmt w:val="bullet"/>
      <w:lvlText w:val=""/>
      <w:lvlJc w:val="left"/>
      <w:pPr>
        <w:tabs>
          <w:tab w:val="num" w:pos="5363"/>
        </w:tabs>
        <w:ind w:left="5363" w:hanging="360"/>
      </w:pPr>
      <w:rPr>
        <w:rFonts w:ascii="Symbol" w:hAnsi="Symbol" w:hint="default"/>
      </w:rPr>
    </w:lvl>
    <w:lvl w:ilvl="4" w:tplc="04090003" w:tentative="1">
      <w:start w:val="1"/>
      <w:numFmt w:val="bullet"/>
      <w:lvlText w:val="o"/>
      <w:lvlJc w:val="left"/>
      <w:pPr>
        <w:tabs>
          <w:tab w:val="num" w:pos="6083"/>
        </w:tabs>
        <w:ind w:left="6083" w:hanging="360"/>
      </w:pPr>
      <w:rPr>
        <w:rFonts w:ascii="Courier New" w:hAnsi="Courier New" w:hint="default"/>
      </w:rPr>
    </w:lvl>
    <w:lvl w:ilvl="5" w:tplc="04090005" w:tentative="1">
      <w:start w:val="1"/>
      <w:numFmt w:val="bullet"/>
      <w:lvlText w:val=""/>
      <w:lvlJc w:val="left"/>
      <w:pPr>
        <w:tabs>
          <w:tab w:val="num" w:pos="6803"/>
        </w:tabs>
        <w:ind w:left="6803" w:hanging="360"/>
      </w:pPr>
      <w:rPr>
        <w:rFonts w:ascii="Wingdings" w:hAnsi="Wingdings" w:hint="default"/>
      </w:rPr>
    </w:lvl>
    <w:lvl w:ilvl="6" w:tplc="04090001" w:tentative="1">
      <w:start w:val="1"/>
      <w:numFmt w:val="bullet"/>
      <w:lvlText w:val=""/>
      <w:lvlJc w:val="left"/>
      <w:pPr>
        <w:tabs>
          <w:tab w:val="num" w:pos="7523"/>
        </w:tabs>
        <w:ind w:left="7523" w:hanging="360"/>
      </w:pPr>
      <w:rPr>
        <w:rFonts w:ascii="Symbol" w:hAnsi="Symbol" w:hint="default"/>
      </w:rPr>
    </w:lvl>
    <w:lvl w:ilvl="7" w:tplc="04090003" w:tentative="1">
      <w:start w:val="1"/>
      <w:numFmt w:val="bullet"/>
      <w:lvlText w:val="o"/>
      <w:lvlJc w:val="left"/>
      <w:pPr>
        <w:tabs>
          <w:tab w:val="num" w:pos="8243"/>
        </w:tabs>
        <w:ind w:left="8243" w:hanging="360"/>
      </w:pPr>
      <w:rPr>
        <w:rFonts w:ascii="Courier New" w:hAnsi="Courier New" w:hint="default"/>
      </w:rPr>
    </w:lvl>
    <w:lvl w:ilvl="8" w:tplc="04090005" w:tentative="1">
      <w:start w:val="1"/>
      <w:numFmt w:val="bullet"/>
      <w:lvlText w:val=""/>
      <w:lvlJc w:val="left"/>
      <w:pPr>
        <w:tabs>
          <w:tab w:val="num" w:pos="8963"/>
        </w:tabs>
        <w:ind w:left="8963" w:hanging="360"/>
      </w:pPr>
      <w:rPr>
        <w:rFonts w:ascii="Wingdings" w:hAnsi="Wingdings" w:hint="default"/>
      </w:rPr>
    </w:lvl>
  </w:abstractNum>
  <w:abstractNum w:abstractNumId="2" w15:restartNumberingAfterBreak="0">
    <w:nsid w:val="048D33A5"/>
    <w:multiLevelType w:val="hybridMultilevel"/>
    <w:tmpl w:val="1C1A9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A7112E"/>
    <w:multiLevelType w:val="multilevel"/>
    <w:tmpl w:val="CE74C91A"/>
    <w:styleLink w:val="CurrentList1"/>
    <w:lvl w:ilvl="0">
      <w:start w:val="1"/>
      <w:numFmt w:val="decimal"/>
      <w:lvlText w:val="%1"/>
      <w:lvlJc w:val="left"/>
      <w:pPr>
        <w:tabs>
          <w:tab w:val="num" w:pos="964"/>
        </w:tabs>
        <w:ind w:left="964" w:hanging="964"/>
      </w:pPr>
    </w:lvl>
    <w:lvl w:ilvl="1">
      <w:start w:val="1"/>
      <w:numFmt w:val="decimal"/>
      <w:lvlText w:val="%1.%2"/>
      <w:lvlJc w:val="left"/>
      <w:pPr>
        <w:tabs>
          <w:tab w:val="num" w:pos="964"/>
        </w:tabs>
        <w:ind w:left="964" w:hanging="964"/>
      </w:pPr>
    </w:lvl>
    <w:lvl w:ilvl="2">
      <w:start w:val="1"/>
      <w:numFmt w:val="decimal"/>
      <w:lvlText w:val="%1.%2.%3"/>
      <w:lvlJc w:val="left"/>
      <w:pPr>
        <w:tabs>
          <w:tab w:val="num" w:pos="1106"/>
        </w:tabs>
        <w:ind w:left="1106" w:hanging="964"/>
      </w:pPr>
    </w:lvl>
    <w:lvl w:ilvl="3">
      <w:start w:val="1"/>
      <w:numFmt w:val="decimal"/>
      <w:lvlText w:val="%1.%2.%3.%4"/>
      <w:lvlJc w:val="left"/>
      <w:pPr>
        <w:tabs>
          <w:tab w:val="num" w:pos="964"/>
        </w:tabs>
        <w:ind w:left="964" w:hanging="964"/>
      </w:pPr>
    </w:lvl>
    <w:lvl w:ilvl="4">
      <w:start w:val="1"/>
      <w:numFmt w:val="decimal"/>
      <w:suff w:val="nothing"/>
      <w:lvlText w:val=""/>
      <w:lvlJc w:val="left"/>
      <w:pPr>
        <w:ind w:left="0" w:firstLine="0"/>
      </w:pPr>
    </w:lvl>
    <w:lvl w:ilvl="5">
      <w:start w:val="1"/>
      <w:numFmt w:val="decimal"/>
      <w:suff w:val="nothing"/>
      <w:lvlText w:val=""/>
      <w:lvlJc w:val="left"/>
      <w:pPr>
        <w:ind w:left="0" w:firstLine="0"/>
      </w:pPr>
    </w:lvl>
    <w:lvl w:ilvl="6">
      <w:start w:val="1"/>
      <w:numFmt w:val="decimal"/>
      <w:suff w:val="nothing"/>
      <w:lvlText w:val=""/>
      <w:lvlJc w:val="left"/>
      <w:pPr>
        <w:ind w:left="0" w:firstLine="0"/>
      </w:pPr>
    </w:lvl>
    <w:lvl w:ilvl="7">
      <w:start w:val="1"/>
      <w:numFmt w:val="decimal"/>
      <w:suff w:val="nothing"/>
      <w:lvlText w:val=""/>
      <w:lvlJc w:val="left"/>
      <w:pPr>
        <w:ind w:left="0" w:firstLine="0"/>
      </w:pPr>
    </w:lvl>
    <w:lvl w:ilvl="8">
      <w:start w:val="1"/>
      <w:numFmt w:val="decimal"/>
      <w:suff w:val="nothing"/>
      <w:lvlText w:val=""/>
      <w:lvlJc w:val="left"/>
      <w:pPr>
        <w:ind w:left="0" w:firstLine="0"/>
      </w:pPr>
    </w:lvl>
  </w:abstractNum>
  <w:abstractNum w:abstractNumId="4" w15:restartNumberingAfterBreak="0">
    <w:nsid w:val="06256FAB"/>
    <w:multiLevelType w:val="hybridMultilevel"/>
    <w:tmpl w:val="5F141E36"/>
    <w:lvl w:ilvl="0" w:tplc="069CDD90">
      <w:start w:val="1"/>
      <w:numFmt w:val="bullet"/>
      <w:pStyle w:val="Notice"/>
      <w:lvlText w:val=""/>
      <w:lvlJc w:val="left"/>
      <w:pPr>
        <w:tabs>
          <w:tab w:val="num" w:pos="2061"/>
        </w:tabs>
        <w:ind w:left="2058" w:hanging="357"/>
      </w:pPr>
      <w:rPr>
        <w:rFonts w:ascii="Webdings" w:hAnsi="Webdings" w:hint="default"/>
        <w:sz w:val="28"/>
        <w:szCs w:val="28"/>
      </w:rPr>
    </w:lvl>
    <w:lvl w:ilvl="1" w:tplc="04090003" w:tentative="1">
      <w:start w:val="1"/>
      <w:numFmt w:val="bullet"/>
      <w:lvlText w:val="o"/>
      <w:lvlJc w:val="left"/>
      <w:pPr>
        <w:tabs>
          <w:tab w:val="num" w:pos="3141"/>
        </w:tabs>
        <w:ind w:left="3141" w:hanging="360"/>
      </w:pPr>
      <w:rPr>
        <w:rFonts w:ascii="Courier New" w:hAnsi="Courier New" w:cs="Courier New" w:hint="default"/>
      </w:rPr>
    </w:lvl>
    <w:lvl w:ilvl="2" w:tplc="04090005" w:tentative="1">
      <w:start w:val="1"/>
      <w:numFmt w:val="bullet"/>
      <w:lvlText w:val=""/>
      <w:lvlJc w:val="left"/>
      <w:pPr>
        <w:tabs>
          <w:tab w:val="num" w:pos="3861"/>
        </w:tabs>
        <w:ind w:left="3861" w:hanging="360"/>
      </w:pPr>
      <w:rPr>
        <w:rFonts w:ascii="Wingdings" w:hAnsi="Wingdings" w:hint="default"/>
      </w:rPr>
    </w:lvl>
    <w:lvl w:ilvl="3" w:tplc="04090001" w:tentative="1">
      <w:start w:val="1"/>
      <w:numFmt w:val="bullet"/>
      <w:lvlText w:val=""/>
      <w:lvlJc w:val="left"/>
      <w:pPr>
        <w:tabs>
          <w:tab w:val="num" w:pos="4581"/>
        </w:tabs>
        <w:ind w:left="4581" w:hanging="360"/>
      </w:pPr>
      <w:rPr>
        <w:rFonts w:ascii="Symbol" w:hAnsi="Symbol" w:hint="default"/>
      </w:rPr>
    </w:lvl>
    <w:lvl w:ilvl="4" w:tplc="04090003" w:tentative="1">
      <w:start w:val="1"/>
      <w:numFmt w:val="bullet"/>
      <w:lvlText w:val="o"/>
      <w:lvlJc w:val="left"/>
      <w:pPr>
        <w:tabs>
          <w:tab w:val="num" w:pos="5301"/>
        </w:tabs>
        <w:ind w:left="5301" w:hanging="360"/>
      </w:pPr>
      <w:rPr>
        <w:rFonts w:ascii="Courier New" w:hAnsi="Courier New" w:cs="Courier New" w:hint="default"/>
      </w:rPr>
    </w:lvl>
    <w:lvl w:ilvl="5" w:tplc="04090005" w:tentative="1">
      <w:start w:val="1"/>
      <w:numFmt w:val="bullet"/>
      <w:lvlText w:val=""/>
      <w:lvlJc w:val="left"/>
      <w:pPr>
        <w:tabs>
          <w:tab w:val="num" w:pos="6021"/>
        </w:tabs>
        <w:ind w:left="6021" w:hanging="360"/>
      </w:pPr>
      <w:rPr>
        <w:rFonts w:ascii="Wingdings" w:hAnsi="Wingdings" w:hint="default"/>
      </w:rPr>
    </w:lvl>
    <w:lvl w:ilvl="6" w:tplc="04090001" w:tentative="1">
      <w:start w:val="1"/>
      <w:numFmt w:val="bullet"/>
      <w:lvlText w:val=""/>
      <w:lvlJc w:val="left"/>
      <w:pPr>
        <w:tabs>
          <w:tab w:val="num" w:pos="6741"/>
        </w:tabs>
        <w:ind w:left="6741" w:hanging="360"/>
      </w:pPr>
      <w:rPr>
        <w:rFonts w:ascii="Symbol" w:hAnsi="Symbol" w:hint="default"/>
      </w:rPr>
    </w:lvl>
    <w:lvl w:ilvl="7" w:tplc="04090003" w:tentative="1">
      <w:start w:val="1"/>
      <w:numFmt w:val="bullet"/>
      <w:lvlText w:val="o"/>
      <w:lvlJc w:val="left"/>
      <w:pPr>
        <w:tabs>
          <w:tab w:val="num" w:pos="7461"/>
        </w:tabs>
        <w:ind w:left="7461" w:hanging="360"/>
      </w:pPr>
      <w:rPr>
        <w:rFonts w:ascii="Courier New" w:hAnsi="Courier New" w:cs="Courier New" w:hint="default"/>
      </w:rPr>
    </w:lvl>
    <w:lvl w:ilvl="8" w:tplc="04090005" w:tentative="1">
      <w:start w:val="1"/>
      <w:numFmt w:val="bullet"/>
      <w:lvlText w:val=""/>
      <w:lvlJc w:val="left"/>
      <w:pPr>
        <w:tabs>
          <w:tab w:val="num" w:pos="8181"/>
        </w:tabs>
        <w:ind w:left="8181" w:hanging="360"/>
      </w:pPr>
      <w:rPr>
        <w:rFonts w:ascii="Wingdings" w:hAnsi="Wingdings" w:hint="default"/>
      </w:rPr>
    </w:lvl>
  </w:abstractNum>
  <w:abstractNum w:abstractNumId="5" w15:restartNumberingAfterBreak="0">
    <w:nsid w:val="063D11BD"/>
    <w:multiLevelType w:val="hybridMultilevel"/>
    <w:tmpl w:val="5CF6A150"/>
    <w:lvl w:ilvl="0" w:tplc="8716E170">
      <w:start w:val="1"/>
      <w:numFmt w:val="bullet"/>
      <w:pStyle w:val="Writeitdown"/>
      <w:lvlText w:val=""/>
      <w:lvlJc w:val="left"/>
      <w:pPr>
        <w:tabs>
          <w:tab w:val="num" w:pos="2058"/>
        </w:tabs>
        <w:ind w:left="2058" w:hanging="357"/>
      </w:pPr>
      <w:rPr>
        <w:rFonts w:ascii="Wingdings" w:hAnsi="Wingdings" w:hint="default"/>
        <w:b/>
        <w:i w:val="0"/>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AE47A4"/>
    <w:multiLevelType w:val="multilevel"/>
    <w:tmpl w:val="AF32BA24"/>
    <w:styleLink w:val="CurrentList5"/>
    <w:lvl w:ilvl="0">
      <w:start w:val="1"/>
      <w:numFmt w:val="decimal"/>
      <w:lvlText w:val="%1"/>
      <w:lvlJc w:val="left"/>
      <w:pPr>
        <w:tabs>
          <w:tab w:val="num" w:pos="964"/>
        </w:tabs>
        <w:ind w:left="964" w:hanging="964"/>
      </w:pPr>
    </w:lvl>
    <w:lvl w:ilvl="1">
      <w:start w:val="1"/>
      <w:numFmt w:val="decimal"/>
      <w:lvlText w:val="%1.%2"/>
      <w:lvlJc w:val="left"/>
      <w:pPr>
        <w:tabs>
          <w:tab w:val="num" w:pos="964"/>
        </w:tabs>
        <w:ind w:left="964" w:hanging="964"/>
      </w:pPr>
    </w:lvl>
    <w:lvl w:ilvl="2">
      <w:start w:val="1"/>
      <w:numFmt w:val="decimal"/>
      <w:lvlText w:val="%1.%2.%3"/>
      <w:lvlJc w:val="left"/>
      <w:pPr>
        <w:tabs>
          <w:tab w:val="num" w:pos="1106"/>
        </w:tabs>
        <w:ind w:left="1106" w:hanging="964"/>
      </w:pPr>
    </w:lvl>
    <w:lvl w:ilvl="3">
      <w:start w:val="1"/>
      <w:numFmt w:val="decimal"/>
      <w:lvlText w:val="%1.%2.%3.%4"/>
      <w:lvlJc w:val="left"/>
      <w:pPr>
        <w:tabs>
          <w:tab w:val="num" w:pos="964"/>
        </w:tabs>
        <w:ind w:left="964" w:hanging="964"/>
      </w:pPr>
    </w:lvl>
    <w:lvl w:ilvl="4">
      <w:start w:val="1"/>
      <w:numFmt w:val="decimal"/>
      <w:suff w:val="nothing"/>
      <w:lvlText w:val=""/>
      <w:lvlJc w:val="left"/>
      <w:pPr>
        <w:ind w:left="0" w:firstLine="0"/>
      </w:pPr>
    </w:lvl>
    <w:lvl w:ilvl="5">
      <w:start w:val="1"/>
      <w:numFmt w:val="decimal"/>
      <w:suff w:val="nothing"/>
      <w:lvlText w:val=""/>
      <w:lvlJc w:val="left"/>
      <w:pPr>
        <w:ind w:left="0" w:firstLine="0"/>
      </w:pPr>
    </w:lvl>
    <w:lvl w:ilvl="6">
      <w:start w:val="1"/>
      <w:numFmt w:val="decimal"/>
      <w:suff w:val="nothing"/>
      <w:lvlText w:val=""/>
      <w:lvlJc w:val="left"/>
      <w:pPr>
        <w:ind w:left="0" w:firstLine="0"/>
      </w:pPr>
    </w:lvl>
    <w:lvl w:ilvl="7">
      <w:start w:val="1"/>
      <w:numFmt w:val="decimal"/>
      <w:suff w:val="nothing"/>
      <w:lvlText w:val=""/>
      <w:lvlJc w:val="left"/>
      <w:pPr>
        <w:ind w:left="0" w:firstLine="0"/>
      </w:pPr>
    </w:lvl>
    <w:lvl w:ilvl="8">
      <w:start w:val="1"/>
      <w:numFmt w:val="decimal"/>
      <w:suff w:val="nothing"/>
      <w:lvlText w:val=""/>
      <w:lvlJc w:val="left"/>
      <w:pPr>
        <w:ind w:left="0" w:firstLine="0"/>
      </w:pPr>
    </w:lvl>
  </w:abstractNum>
  <w:abstractNum w:abstractNumId="7" w15:restartNumberingAfterBreak="0">
    <w:nsid w:val="07BD0189"/>
    <w:multiLevelType w:val="hybridMultilevel"/>
    <w:tmpl w:val="2576A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8D4057"/>
    <w:multiLevelType w:val="hybridMultilevel"/>
    <w:tmpl w:val="2FB6E80C"/>
    <w:lvl w:ilvl="0" w:tplc="1C7C0B2C">
      <w:start w:val="1"/>
      <w:numFmt w:val="none"/>
      <w:pStyle w:val="Editorialnote"/>
      <w:lvlText w:val="Editorial note:"/>
      <w:lvlJc w:val="left"/>
      <w:pPr>
        <w:tabs>
          <w:tab w:val="num" w:pos="4536"/>
        </w:tabs>
        <w:ind w:left="4536" w:hanging="1701"/>
      </w:pPr>
      <w:rPr>
        <w:rFonts w:hint="default"/>
        <w:b/>
        <w:i w:val="0"/>
      </w:rPr>
    </w:lvl>
    <w:lvl w:ilvl="1" w:tplc="0C090019" w:tentative="1">
      <w:start w:val="1"/>
      <w:numFmt w:val="lowerLetter"/>
      <w:lvlText w:val="%2."/>
      <w:lvlJc w:val="left"/>
      <w:pPr>
        <w:tabs>
          <w:tab w:val="num" w:pos="3141"/>
        </w:tabs>
        <w:ind w:left="3141" w:hanging="360"/>
      </w:pPr>
    </w:lvl>
    <w:lvl w:ilvl="2" w:tplc="0C09001B" w:tentative="1">
      <w:start w:val="1"/>
      <w:numFmt w:val="lowerRoman"/>
      <w:lvlText w:val="%3."/>
      <w:lvlJc w:val="right"/>
      <w:pPr>
        <w:tabs>
          <w:tab w:val="num" w:pos="3861"/>
        </w:tabs>
        <w:ind w:left="3861" w:hanging="180"/>
      </w:pPr>
    </w:lvl>
    <w:lvl w:ilvl="3" w:tplc="0C09000F" w:tentative="1">
      <w:start w:val="1"/>
      <w:numFmt w:val="decimal"/>
      <w:lvlText w:val="%4."/>
      <w:lvlJc w:val="left"/>
      <w:pPr>
        <w:tabs>
          <w:tab w:val="num" w:pos="4581"/>
        </w:tabs>
        <w:ind w:left="4581" w:hanging="360"/>
      </w:pPr>
    </w:lvl>
    <w:lvl w:ilvl="4" w:tplc="0C090019" w:tentative="1">
      <w:start w:val="1"/>
      <w:numFmt w:val="lowerLetter"/>
      <w:lvlText w:val="%5."/>
      <w:lvlJc w:val="left"/>
      <w:pPr>
        <w:tabs>
          <w:tab w:val="num" w:pos="5301"/>
        </w:tabs>
        <w:ind w:left="5301" w:hanging="360"/>
      </w:pPr>
    </w:lvl>
    <w:lvl w:ilvl="5" w:tplc="0C09001B" w:tentative="1">
      <w:start w:val="1"/>
      <w:numFmt w:val="lowerRoman"/>
      <w:lvlText w:val="%6."/>
      <w:lvlJc w:val="right"/>
      <w:pPr>
        <w:tabs>
          <w:tab w:val="num" w:pos="6021"/>
        </w:tabs>
        <w:ind w:left="6021" w:hanging="180"/>
      </w:pPr>
    </w:lvl>
    <w:lvl w:ilvl="6" w:tplc="0C09000F" w:tentative="1">
      <w:start w:val="1"/>
      <w:numFmt w:val="decimal"/>
      <w:lvlText w:val="%7."/>
      <w:lvlJc w:val="left"/>
      <w:pPr>
        <w:tabs>
          <w:tab w:val="num" w:pos="6741"/>
        </w:tabs>
        <w:ind w:left="6741" w:hanging="360"/>
      </w:pPr>
    </w:lvl>
    <w:lvl w:ilvl="7" w:tplc="0C090019" w:tentative="1">
      <w:start w:val="1"/>
      <w:numFmt w:val="lowerLetter"/>
      <w:lvlText w:val="%8."/>
      <w:lvlJc w:val="left"/>
      <w:pPr>
        <w:tabs>
          <w:tab w:val="num" w:pos="7461"/>
        </w:tabs>
        <w:ind w:left="7461" w:hanging="360"/>
      </w:pPr>
    </w:lvl>
    <w:lvl w:ilvl="8" w:tplc="0C09001B" w:tentative="1">
      <w:start w:val="1"/>
      <w:numFmt w:val="lowerRoman"/>
      <w:lvlText w:val="%9."/>
      <w:lvlJc w:val="right"/>
      <w:pPr>
        <w:tabs>
          <w:tab w:val="num" w:pos="8181"/>
        </w:tabs>
        <w:ind w:left="8181" w:hanging="180"/>
      </w:pPr>
    </w:lvl>
  </w:abstractNum>
  <w:abstractNum w:abstractNumId="9" w15:restartNumberingAfterBreak="0">
    <w:nsid w:val="0B46282F"/>
    <w:multiLevelType w:val="hybridMultilevel"/>
    <w:tmpl w:val="5190816C"/>
    <w:lvl w:ilvl="0" w:tplc="78886C1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DCB4511"/>
    <w:multiLevelType w:val="multilevel"/>
    <w:tmpl w:val="0C09001D"/>
    <w:styleLink w:val="Bullet"/>
    <w:lvl w:ilvl="0">
      <w:start w:val="1"/>
      <w:numFmt w:val="bullet"/>
      <w:lvlText w:val=""/>
      <w:lvlJc w:val="left"/>
      <w:pPr>
        <w:ind w:left="360" w:hanging="360"/>
      </w:pPr>
      <w:rPr>
        <w:rFonts w:ascii="Symbol" w:hAnsi="Symbol" w:hint="default"/>
        <w:sz w:val="22"/>
      </w:rPr>
    </w:lvl>
    <w:lvl w:ilvl="1">
      <w:start w:val="1"/>
      <w:numFmt w:val="bullet"/>
      <w:lvlText w:val="-"/>
      <w:lvlJc w:val="left"/>
      <w:pPr>
        <w:ind w:left="720" w:hanging="360"/>
      </w:pPr>
      <w:rPr>
        <w:rFonts w:ascii="Arial" w:hAnsi="Arial" w:hint="default"/>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2BF5833"/>
    <w:multiLevelType w:val="multilevel"/>
    <w:tmpl w:val="CF4AEF0C"/>
    <w:name w:val="appendixNum22"/>
    <w:lvl w:ilvl="0">
      <w:start w:val="1"/>
      <w:numFmt w:val="upperLetter"/>
      <w:pStyle w:val="HeadingAppendix1"/>
      <w:suff w:val="space"/>
      <w:lvlText w:val="Appendix %1:"/>
      <w:lvlJc w:val="left"/>
      <w:pPr>
        <w:ind w:left="-1134" w:firstLine="0"/>
      </w:pPr>
      <w:rPr>
        <w:rFonts w:hint="default"/>
      </w:rPr>
    </w:lvl>
    <w:lvl w:ilvl="1">
      <w:start w:val="1"/>
      <w:numFmt w:val="decimal"/>
      <w:pStyle w:val="HeadingAppendix2"/>
      <w:lvlText w:val="%1.%2"/>
      <w:lvlJc w:val="left"/>
      <w:pPr>
        <w:tabs>
          <w:tab w:val="num" w:pos="833"/>
        </w:tabs>
        <w:ind w:left="833" w:hanging="833"/>
      </w:pPr>
      <w:rPr>
        <w:rFonts w:hint="default"/>
      </w:rPr>
    </w:lvl>
    <w:lvl w:ilvl="2">
      <w:start w:val="1"/>
      <w:numFmt w:val="decimal"/>
      <w:pStyle w:val="HeadingAppendix3"/>
      <w:lvlText w:val="%1.%2.%3"/>
      <w:lvlJc w:val="left"/>
      <w:pPr>
        <w:tabs>
          <w:tab w:val="num" w:pos="1134"/>
        </w:tabs>
        <w:ind w:left="1134" w:hanging="1134"/>
      </w:pPr>
      <w:rPr>
        <w:rFonts w:hint="default"/>
      </w:rPr>
    </w:lvl>
    <w:lvl w:ilvl="3">
      <w:start w:val="1"/>
      <w:numFmt w:val="decimal"/>
      <w:pStyle w:val="HeadingAppendix4"/>
      <w:lvlText w:val="%1.%2.%3.%4"/>
      <w:lvlJc w:val="left"/>
      <w:pPr>
        <w:tabs>
          <w:tab w:val="num" w:pos="1418"/>
        </w:tabs>
        <w:ind w:left="1418" w:hanging="1418"/>
      </w:pPr>
      <w:rPr>
        <w:rFonts w:hint="default"/>
      </w:rPr>
    </w:lvl>
    <w:lvl w:ilvl="4">
      <w:start w:val="1"/>
      <w:numFmt w:val="decimal"/>
      <w:pStyle w:val="HeadingAppendix5"/>
      <w:lvlText w:val="%1.%2.%3.%4.%5"/>
      <w:lvlJc w:val="left"/>
      <w:pPr>
        <w:tabs>
          <w:tab w:val="num" w:pos="1701"/>
        </w:tabs>
        <w:ind w:left="1701" w:hanging="1701"/>
      </w:pPr>
      <w:rPr>
        <w:rFonts w:hint="default"/>
      </w:rPr>
    </w:lvl>
    <w:lvl w:ilvl="5">
      <w:start w:val="1"/>
      <w:numFmt w:val="decimal"/>
      <w:lvlText w:val="%1.%2.%3.%4.%5.%6"/>
      <w:lvlJc w:val="left"/>
      <w:pPr>
        <w:tabs>
          <w:tab w:val="num" w:pos="-1116"/>
        </w:tabs>
        <w:ind w:left="-1116" w:hanging="1152"/>
      </w:pPr>
      <w:rPr>
        <w:rFonts w:hint="default"/>
      </w:rPr>
    </w:lvl>
    <w:lvl w:ilvl="6">
      <w:start w:val="1"/>
      <w:numFmt w:val="decimal"/>
      <w:lvlText w:val="%1.%2.%3.%4.%5.%6.%7"/>
      <w:lvlJc w:val="left"/>
      <w:pPr>
        <w:tabs>
          <w:tab w:val="num" w:pos="-972"/>
        </w:tabs>
        <w:ind w:left="-972" w:hanging="1296"/>
      </w:pPr>
      <w:rPr>
        <w:rFonts w:hint="default"/>
      </w:rPr>
    </w:lvl>
    <w:lvl w:ilvl="7">
      <w:start w:val="1"/>
      <w:numFmt w:val="decimal"/>
      <w:lvlText w:val="%1.%2.%3.%4.%5.%6.%7.%8"/>
      <w:lvlJc w:val="left"/>
      <w:pPr>
        <w:tabs>
          <w:tab w:val="num" w:pos="-828"/>
        </w:tabs>
        <w:ind w:left="-828" w:hanging="1440"/>
      </w:pPr>
      <w:rPr>
        <w:rFonts w:hint="default"/>
      </w:rPr>
    </w:lvl>
    <w:lvl w:ilvl="8">
      <w:start w:val="1"/>
      <w:numFmt w:val="decimal"/>
      <w:lvlText w:val="%1.%2.%3.%4.%5.%6.%7.%8.%9"/>
      <w:lvlJc w:val="left"/>
      <w:pPr>
        <w:tabs>
          <w:tab w:val="num" w:pos="-684"/>
        </w:tabs>
        <w:ind w:left="-684" w:hanging="1584"/>
      </w:pPr>
      <w:rPr>
        <w:rFonts w:hint="default"/>
      </w:rPr>
    </w:lvl>
  </w:abstractNum>
  <w:abstractNum w:abstractNumId="12" w15:restartNumberingAfterBreak="0">
    <w:nsid w:val="15093CBA"/>
    <w:multiLevelType w:val="hybridMultilevel"/>
    <w:tmpl w:val="E1AE5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DB51DD"/>
    <w:multiLevelType w:val="hybridMultilevel"/>
    <w:tmpl w:val="D8829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EB5B96"/>
    <w:multiLevelType w:val="hybridMultilevel"/>
    <w:tmpl w:val="8FFC5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B096344"/>
    <w:multiLevelType w:val="hybridMultilevel"/>
    <w:tmpl w:val="88940A66"/>
    <w:lvl w:ilvl="0" w:tplc="1C9E465C">
      <w:start w:val="1"/>
      <w:numFmt w:val="bullet"/>
      <w:pStyle w:val="Warning"/>
      <w:lvlText w:val=""/>
      <w:lvlJc w:val="left"/>
      <w:pPr>
        <w:tabs>
          <w:tab w:val="num" w:pos="2061"/>
        </w:tabs>
        <w:ind w:left="2058" w:hanging="357"/>
      </w:pPr>
      <w:rPr>
        <w:rFonts w:ascii="Wingdings" w:hAnsi="Wingdings" w:hint="default"/>
        <w:sz w:val="28"/>
        <w:szCs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BB0FDD"/>
    <w:multiLevelType w:val="hybridMultilevel"/>
    <w:tmpl w:val="963E7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5D40F6"/>
    <w:multiLevelType w:val="hybridMultilevel"/>
    <w:tmpl w:val="AF1C7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E002126"/>
    <w:multiLevelType w:val="multilevel"/>
    <w:tmpl w:val="FC2255C8"/>
    <w:lvl w:ilvl="0">
      <w:start w:val="1"/>
      <w:numFmt w:val="bullet"/>
      <w:lvlText w:val=""/>
      <w:lvlJc w:val="left"/>
      <w:pPr>
        <w:tabs>
          <w:tab w:val="num" w:pos="924"/>
        </w:tabs>
        <w:ind w:left="924" w:hanging="924"/>
      </w:pPr>
      <w:rPr>
        <w:rFonts w:ascii="Symbol" w:hAnsi="Symbol" w:hint="default"/>
        <w:b w:val="0"/>
        <w:i w:val="0"/>
        <w:color w:val="auto"/>
        <w:sz w:val="16"/>
      </w:rPr>
    </w:lvl>
    <w:lvl w:ilvl="1">
      <w:start w:val="1"/>
      <w:numFmt w:val="bullet"/>
      <w:lvlText w:val=""/>
      <w:lvlJc w:val="left"/>
      <w:pPr>
        <w:tabs>
          <w:tab w:val="num" w:pos="1848"/>
        </w:tabs>
        <w:ind w:left="1848" w:hanging="924"/>
      </w:pPr>
      <w:rPr>
        <w:rFonts w:ascii="Symbol" w:hAnsi="Symbol" w:hint="default"/>
        <w:b w:val="0"/>
        <w:i w:val="0"/>
        <w:color w:val="auto"/>
        <w:sz w:val="16"/>
      </w:rPr>
    </w:lvl>
    <w:lvl w:ilvl="2">
      <w:start w:val="1"/>
      <w:numFmt w:val="bullet"/>
      <w:pStyle w:val="PFBulletLevel1"/>
      <w:lvlText w:val=""/>
      <w:lvlJc w:val="left"/>
      <w:pPr>
        <w:tabs>
          <w:tab w:val="num" w:pos="2773"/>
        </w:tabs>
        <w:ind w:left="2773" w:hanging="925"/>
      </w:pPr>
      <w:rPr>
        <w:rFonts w:ascii="Symbol" w:hAnsi="Symbol" w:hint="default"/>
        <w:b w:val="0"/>
        <w:i w:val="0"/>
        <w:color w:val="auto"/>
        <w:sz w:val="16"/>
      </w:rPr>
    </w:lvl>
    <w:lvl w:ilvl="3">
      <w:start w:val="1"/>
      <w:numFmt w:val="bullet"/>
      <w:pStyle w:val="PFBulletLevel2"/>
      <w:lvlText w:val=""/>
      <w:lvlJc w:val="left"/>
      <w:pPr>
        <w:tabs>
          <w:tab w:val="num" w:pos="3697"/>
        </w:tabs>
        <w:ind w:left="3697" w:hanging="924"/>
      </w:pPr>
      <w:rPr>
        <w:rFonts w:ascii="Symbol" w:hAnsi="Symbol" w:hint="default"/>
        <w:b w:val="0"/>
        <w:i w:val="0"/>
        <w:color w:val="auto"/>
        <w:sz w:val="16"/>
      </w:rPr>
    </w:lvl>
    <w:lvl w:ilvl="4">
      <w:start w:val="1"/>
      <w:numFmt w:val="none"/>
      <w:suff w:val="nothing"/>
      <w:lvlText w:val=""/>
      <w:lvlJc w:val="left"/>
      <w:pPr>
        <w:ind w:left="3708" w:firstLine="0"/>
      </w:pPr>
      <w:rPr>
        <w:rFonts w:hint="default"/>
      </w:rPr>
    </w:lvl>
    <w:lvl w:ilvl="5">
      <w:start w:val="1"/>
      <w:numFmt w:val="none"/>
      <w:suff w:val="nothing"/>
      <w:lvlText w:val=""/>
      <w:lvlJc w:val="left"/>
      <w:pPr>
        <w:ind w:left="3708" w:firstLine="0"/>
      </w:pPr>
      <w:rPr>
        <w:rFonts w:hint="default"/>
      </w:rPr>
    </w:lvl>
    <w:lvl w:ilvl="6">
      <w:start w:val="1"/>
      <w:numFmt w:val="none"/>
      <w:lvlText w:val="%7."/>
      <w:lvlJc w:val="left"/>
      <w:pPr>
        <w:tabs>
          <w:tab w:val="num" w:pos="6228"/>
        </w:tabs>
        <w:ind w:left="6228" w:hanging="360"/>
      </w:pPr>
      <w:rPr>
        <w:rFonts w:hint="default"/>
      </w:rPr>
    </w:lvl>
    <w:lvl w:ilvl="7">
      <w:start w:val="1"/>
      <w:numFmt w:val="lowerLetter"/>
      <w:lvlText w:val="%8."/>
      <w:lvlJc w:val="left"/>
      <w:pPr>
        <w:tabs>
          <w:tab w:val="num" w:pos="6588"/>
        </w:tabs>
        <w:ind w:left="6588" w:hanging="360"/>
      </w:pPr>
      <w:rPr>
        <w:rFonts w:hint="default"/>
      </w:rPr>
    </w:lvl>
    <w:lvl w:ilvl="8">
      <w:start w:val="1"/>
      <w:numFmt w:val="lowerRoman"/>
      <w:lvlText w:val="%9."/>
      <w:lvlJc w:val="left"/>
      <w:pPr>
        <w:tabs>
          <w:tab w:val="num" w:pos="6948"/>
        </w:tabs>
        <w:ind w:left="6948" w:hanging="360"/>
      </w:pPr>
      <w:rPr>
        <w:rFonts w:hint="default"/>
      </w:rPr>
    </w:lvl>
  </w:abstractNum>
  <w:abstractNum w:abstractNumId="19" w15:restartNumberingAfterBreak="0">
    <w:nsid w:val="22166480"/>
    <w:multiLevelType w:val="multilevel"/>
    <w:tmpl w:val="F51E2B46"/>
    <w:lvl w:ilvl="0">
      <w:start w:val="1"/>
      <w:numFmt w:val="upperLetter"/>
      <w:pStyle w:val="Attachmentheading"/>
      <w:suff w:val="nothing"/>
      <w:lvlText w:val="Attachment %1"/>
      <w:lvlJc w:val="left"/>
      <w:pPr>
        <w:ind w:left="0" w:firstLine="0"/>
      </w:pPr>
      <w:rPr>
        <w:rFonts w:hint="default"/>
      </w:rPr>
    </w:lvl>
    <w:lvl w:ilvl="1">
      <w:start w:val="1"/>
      <w:numFmt w:val="decimal"/>
      <w:pStyle w:val="AttachmentHeading2"/>
      <w:lvlText w:val="%1.%2"/>
      <w:lvlJc w:val="left"/>
      <w:pPr>
        <w:tabs>
          <w:tab w:val="num" w:pos="833"/>
        </w:tabs>
        <w:ind w:left="833" w:hanging="833"/>
      </w:pPr>
      <w:rPr>
        <w:rFonts w:hint="default"/>
      </w:rPr>
    </w:lvl>
    <w:lvl w:ilvl="2">
      <w:start w:val="1"/>
      <w:numFmt w:val="decimal"/>
      <w:pStyle w:val="AttachmentHeading3"/>
      <w:lvlText w:val="%1.%2.%3"/>
      <w:lvlJc w:val="left"/>
      <w:pPr>
        <w:tabs>
          <w:tab w:val="num" w:pos="833"/>
        </w:tabs>
        <w:ind w:left="833" w:hanging="833"/>
      </w:pPr>
      <w:rPr>
        <w:rFonts w:hint="default"/>
      </w:rPr>
    </w:lvl>
    <w:lvl w:ilvl="3">
      <w:start w:val="1"/>
      <w:numFmt w:val="decimal"/>
      <w:pStyle w:val="AttachmentHeading4"/>
      <w:lvlText w:val="%1.%2.%3.%4"/>
      <w:lvlJc w:val="left"/>
      <w:pPr>
        <w:tabs>
          <w:tab w:val="num" w:pos="833"/>
        </w:tabs>
        <w:ind w:left="833" w:hanging="833"/>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2654405"/>
    <w:multiLevelType w:val="hybridMultilevel"/>
    <w:tmpl w:val="4CE8B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33E2D5E"/>
    <w:multiLevelType w:val="hybridMultilevel"/>
    <w:tmpl w:val="74148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3F52A50"/>
    <w:multiLevelType w:val="multilevel"/>
    <w:tmpl w:val="A3CE8E94"/>
    <w:styleLink w:val="Bullets"/>
    <w:lvl w:ilvl="0">
      <w:start w:val="1"/>
      <w:numFmt w:val="bullet"/>
      <w:lvlText w:val=""/>
      <w:lvlJc w:val="left"/>
      <w:pPr>
        <w:ind w:left="1080" w:hanging="360"/>
      </w:pPr>
      <w:rPr>
        <w:rFonts w:ascii="Symbol" w:hAnsi="Symbol" w:hint="default"/>
        <w:sz w:val="22"/>
      </w:rPr>
    </w:lvl>
    <w:lvl w:ilvl="1">
      <w:start w:val="1"/>
      <w:numFmt w:val="bullet"/>
      <w:lvlText w:val="-"/>
      <w:lvlJc w:val="left"/>
      <w:pPr>
        <w:ind w:left="1440" w:hanging="360"/>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3" w15:restartNumberingAfterBreak="0">
    <w:nsid w:val="24784FC0"/>
    <w:multiLevelType w:val="multilevel"/>
    <w:tmpl w:val="D7569034"/>
    <w:styleLink w:val="CurrentList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25D62BD4"/>
    <w:multiLevelType w:val="multilevel"/>
    <w:tmpl w:val="8DB6DFBE"/>
    <w:lvl w:ilvl="0">
      <w:start w:val="1"/>
      <w:numFmt w:val="upperLetter"/>
      <w:pStyle w:val="Appendix1"/>
      <w:lvlText w:val="Appendix %1."/>
      <w:lvlJc w:val="left"/>
      <w:pPr>
        <w:tabs>
          <w:tab w:val="num" w:pos="4678"/>
        </w:tabs>
        <w:ind w:left="4678" w:hanging="1276"/>
      </w:pPr>
      <w:rPr>
        <w:rFonts w:cs="Times New Roman" w:hint="default"/>
      </w:rPr>
    </w:lvl>
    <w:lvl w:ilvl="1">
      <w:start w:val="1"/>
      <w:numFmt w:val="decimal"/>
      <w:pStyle w:val="Appendix2"/>
      <w:lvlText w:val="%1.%2."/>
      <w:lvlJc w:val="left"/>
      <w:pPr>
        <w:tabs>
          <w:tab w:val="num" w:pos="1276"/>
        </w:tabs>
        <w:ind w:left="1276" w:hanging="1276"/>
      </w:pPr>
      <w:rPr>
        <w:rFonts w:cs="Times New Roman"/>
        <w:b w:val="0"/>
        <w:bCs w:val="0"/>
        <w:i w:val="0"/>
        <w:iCs w:val="0"/>
        <w:caps w:val="0"/>
        <w:smallCaps w:val="0"/>
        <w:strike w:val="0"/>
        <w:dstrike w:val="0"/>
        <w:vanish w:val="0"/>
        <w:spacing w:val="0"/>
        <w:kern w:val="0"/>
        <w:position w:val="0"/>
        <w:u w:val="none"/>
        <w:vertAlign w:val="baseline"/>
      </w:rPr>
    </w:lvl>
    <w:lvl w:ilvl="2">
      <w:start w:val="1"/>
      <w:numFmt w:val="decimal"/>
      <w:pStyle w:val="Appendix3"/>
      <w:lvlText w:val="%1.%2.%3."/>
      <w:lvlJc w:val="left"/>
      <w:pPr>
        <w:tabs>
          <w:tab w:val="num" w:pos="1276"/>
        </w:tabs>
        <w:ind w:left="1276" w:hanging="1276"/>
      </w:pPr>
      <w:rPr>
        <w:rFonts w:cs="Times New Roman" w:hint="default"/>
      </w:rPr>
    </w:lvl>
    <w:lvl w:ilvl="3">
      <w:start w:val="1"/>
      <w:numFmt w:val="decimal"/>
      <w:pStyle w:val="Appendix4"/>
      <w:lvlText w:val="%1.%2.%3.%4."/>
      <w:lvlJc w:val="left"/>
      <w:pPr>
        <w:tabs>
          <w:tab w:val="num" w:pos="1276"/>
        </w:tabs>
        <w:ind w:left="1276" w:hanging="1276"/>
      </w:pPr>
      <w:rPr>
        <w:rFonts w:cs="Times New Roman" w:hint="default"/>
      </w:rPr>
    </w:lvl>
    <w:lvl w:ilvl="4">
      <w:start w:val="1"/>
      <w:numFmt w:val="decimal"/>
      <w:lvlText w:val="%1.%2.%3.%4.%5."/>
      <w:lvlJc w:val="left"/>
      <w:pPr>
        <w:tabs>
          <w:tab w:val="num" w:pos="1276"/>
        </w:tabs>
        <w:ind w:left="1276" w:hanging="1276"/>
      </w:pPr>
      <w:rPr>
        <w:rFonts w:cs="Times New Roman" w:hint="default"/>
      </w:rPr>
    </w:lvl>
    <w:lvl w:ilvl="5">
      <w:start w:val="1"/>
      <w:numFmt w:val="decimal"/>
      <w:lvlText w:val="%1.%2.%3.%4.%5.%6."/>
      <w:lvlJc w:val="left"/>
      <w:pPr>
        <w:tabs>
          <w:tab w:val="num" w:pos="1276"/>
        </w:tabs>
        <w:ind w:left="1276" w:hanging="127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5" w15:restartNumberingAfterBreak="0">
    <w:nsid w:val="26CB6918"/>
    <w:multiLevelType w:val="hybridMultilevel"/>
    <w:tmpl w:val="11A8B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83070DC"/>
    <w:multiLevelType w:val="multilevel"/>
    <w:tmpl w:val="E1F61B9E"/>
    <w:styleLink w:val="CurrentList4"/>
    <w:lvl w:ilvl="0">
      <w:start w:val="1"/>
      <w:numFmt w:val="decimal"/>
      <w:lvlText w:val="%1"/>
      <w:lvlJc w:val="left"/>
      <w:pPr>
        <w:tabs>
          <w:tab w:val="num" w:pos="964"/>
        </w:tabs>
        <w:ind w:left="964" w:hanging="964"/>
      </w:pPr>
    </w:lvl>
    <w:lvl w:ilvl="1">
      <w:start w:val="1"/>
      <w:numFmt w:val="decimal"/>
      <w:lvlText w:val="%1.%2"/>
      <w:lvlJc w:val="left"/>
      <w:pPr>
        <w:tabs>
          <w:tab w:val="num" w:pos="964"/>
        </w:tabs>
        <w:ind w:left="964" w:hanging="964"/>
      </w:pPr>
    </w:lvl>
    <w:lvl w:ilvl="2">
      <w:start w:val="1"/>
      <w:numFmt w:val="decimal"/>
      <w:lvlText w:val="%1.%2.%3"/>
      <w:lvlJc w:val="left"/>
      <w:pPr>
        <w:tabs>
          <w:tab w:val="num" w:pos="1106"/>
        </w:tabs>
        <w:ind w:left="1106" w:hanging="964"/>
      </w:pPr>
    </w:lvl>
    <w:lvl w:ilvl="3">
      <w:start w:val="1"/>
      <w:numFmt w:val="decimal"/>
      <w:lvlText w:val="%1.%2.%3.%4"/>
      <w:lvlJc w:val="left"/>
      <w:pPr>
        <w:tabs>
          <w:tab w:val="num" w:pos="964"/>
        </w:tabs>
        <w:ind w:left="964" w:hanging="964"/>
      </w:pPr>
    </w:lvl>
    <w:lvl w:ilvl="4">
      <w:start w:val="1"/>
      <w:numFmt w:val="decimal"/>
      <w:suff w:val="nothing"/>
      <w:lvlText w:val=""/>
      <w:lvlJc w:val="left"/>
      <w:pPr>
        <w:ind w:left="0" w:firstLine="0"/>
      </w:pPr>
    </w:lvl>
    <w:lvl w:ilvl="5">
      <w:start w:val="1"/>
      <w:numFmt w:val="decimal"/>
      <w:suff w:val="nothing"/>
      <w:lvlText w:val=""/>
      <w:lvlJc w:val="left"/>
      <w:pPr>
        <w:ind w:left="0" w:firstLine="0"/>
      </w:pPr>
    </w:lvl>
    <w:lvl w:ilvl="6">
      <w:start w:val="1"/>
      <w:numFmt w:val="decimal"/>
      <w:suff w:val="nothing"/>
      <w:lvlText w:val=""/>
      <w:lvlJc w:val="left"/>
      <w:pPr>
        <w:ind w:left="0" w:firstLine="0"/>
      </w:pPr>
    </w:lvl>
    <w:lvl w:ilvl="7">
      <w:start w:val="1"/>
      <w:numFmt w:val="decimal"/>
      <w:suff w:val="nothing"/>
      <w:lvlText w:val=""/>
      <w:lvlJc w:val="left"/>
      <w:pPr>
        <w:ind w:left="0" w:firstLine="0"/>
      </w:pPr>
    </w:lvl>
    <w:lvl w:ilvl="8">
      <w:start w:val="1"/>
      <w:numFmt w:val="decimal"/>
      <w:suff w:val="nothing"/>
      <w:lvlText w:val=""/>
      <w:lvlJc w:val="left"/>
      <w:pPr>
        <w:ind w:left="0" w:firstLine="0"/>
      </w:pPr>
    </w:lvl>
  </w:abstractNum>
  <w:abstractNum w:abstractNumId="27" w15:restartNumberingAfterBreak="0">
    <w:nsid w:val="294B4E85"/>
    <w:multiLevelType w:val="multilevel"/>
    <w:tmpl w:val="D7569034"/>
    <w:styleLink w:val="CurrentList7"/>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2B343076"/>
    <w:multiLevelType w:val="hybridMultilevel"/>
    <w:tmpl w:val="26E69150"/>
    <w:lvl w:ilvl="0" w:tplc="584A9792">
      <w:start w:val="1"/>
      <w:numFmt w:val="bullet"/>
      <w:pStyle w:val="baresumeblackbullets"/>
      <w:lvlText w:val=""/>
      <w:lvlJc w:val="left"/>
      <w:pPr>
        <w:ind w:left="1636" w:hanging="360"/>
      </w:pPr>
      <w:rPr>
        <w:rFonts w:ascii="Symbol" w:hAnsi="Symbol" w:hint="default"/>
      </w:rPr>
    </w:lvl>
    <w:lvl w:ilvl="1" w:tplc="0C090003" w:tentative="1">
      <w:start w:val="1"/>
      <w:numFmt w:val="bullet"/>
      <w:lvlText w:val="o"/>
      <w:lvlJc w:val="left"/>
      <w:pPr>
        <w:ind w:left="2356" w:hanging="360"/>
      </w:pPr>
      <w:rPr>
        <w:rFonts w:ascii="Courier New" w:hAnsi="Courier New" w:hint="default"/>
      </w:rPr>
    </w:lvl>
    <w:lvl w:ilvl="2" w:tplc="0C090005" w:tentative="1">
      <w:start w:val="1"/>
      <w:numFmt w:val="bullet"/>
      <w:lvlText w:val=""/>
      <w:lvlJc w:val="left"/>
      <w:pPr>
        <w:ind w:left="3076" w:hanging="360"/>
      </w:pPr>
      <w:rPr>
        <w:rFonts w:ascii="Wingdings" w:hAnsi="Wingdings" w:hint="default"/>
      </w:rPr>
    </w:lvl>
    <w:lvl w:ilvl="3" w:tplc="0C090001" w:tentative="1">
      <w:start w:val="1"/>
      <w:numFmt w:val="bullet"/>
      <w:lvlText w:val=""/>
      <w:lvlJc w:val="left"/>
      <w:pPr>
        <w:ind w:left="3796" w:hanging="360"/>
      </w:pPr>
      <w:rPr>
        <w:rFonts w:ascii="Symbol" w:hAnsi="Symbol" w:hint="default"/>
      </w:rPr>
    </w:lvl>
    <w:lvl w:ilvl="4" w:tplc="0C090003" w:tentative="1">
      <w:start w:val="1"/>
      <w:numFmt w:val="bullet"/>
      <w:lvlText w:val="o"/>
      <w:lvlJc w:val="left"/>
      <w:pPr>
        <w:ind w:left="4516" w:hanging="360"/>
      </w:pPr>
      <w:rPr>
        <w:rFonts w:ascii="Courier New" w:hAnsi="Courier New" w:hint="default"/>
      </w:rPr>
    </w:lvl>
    <w:lvl w:ilvl="5" w:tplc="0C090005" w:tentative="1">
      <w:start w:val="1"/>
      <w:numFmt w:val="bullet"/>
      <w:lvlText w:val=""/>
      <w:lvlJc w:val="left"/>
      <w:pPr>
        <w:ind w:left="5236" w:hanging="360"/>
      </w:pPr>
      <w:rPr>
        <w:rFonts w:ascii="Wingdings" w:hAnsi="Wingdings" w:hint="default"/>
      </w:rPr>
    </w:lvl>
    <w:lvl w:ilvl="6" w:tplc="0C090001" w:tentative="1">
      <w:start w:val="1"/>
      <w:numFmt w:val="bullet"/>
      <w:lvlText w:val=""/>
      <w:lvlJc w:val="left"/>
      <w:pPr>
        <w:ind w:left="5956" w:hanging="360"/>
      </w:pPr>
      <w:rPr>
        <w:rFonts w:ascii="Symbol" w:hAnsi="Symbol" w:hint="default"/>
      </w:rPr>
    </w:lvl>
    <w:lvl w:ilvl="7" w:tplc="0C090003" w:tentative="1">
      <w:start w:val="1"/>
      <w:numFmt w:val="bullet"/>
      <w:lvlText w:val="o"/>
      <w:lvlJc w:val="left"/>
      <w:pPr>
        <w:ind w:left="6676" w:hanging="360"/>
      </w:pPr>
      <w:rPr>
        <w:rFonts w:ascii="Courier New" w:hAnsi="Courier New" w:hint="default"/>
      </w:rPr>
    </w:lvl>
    <w:lvl w:ilvl="8" w:tplc="0C090005" w:tentative="1">
      <w:start w:val="1"/>
      <w:numFmt w:val="bullet"/>
      <w:lvlText w:val=""/>
      <w:lvlJc w:val="left"/>
      <w:pPr>
        <w:ind w:left="7396" w:hanging="360"/>
      </w:pPr>
      <w:rPr>
        <w:rFonts w:ascii="Wingdings" w:hAnsi="Wingdings" w:hint="default"/>
      </w:rPr>
    </w:lvl>
  </w:abstractNum>
  <w:abstractNum w:abstractNumId="29" w15:restartNumberingAfterBreak="0">
    <w:nsid w:val="2B3D6DDC"/>
    <w:multiLevelType w:val="hybridMultilevel"/>
    <w:tmpl w:val="CB727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2313B07"/>
    <w:multiLevelType w:val="multilevel"/>
    <w:tmpl w:val="5AD65F7C"/>
    <w:lvl w:ilvl="0">
      <w:start w:val="1"/>
      <w:numFmt w:val="decimal"/>
      <w:pStyle w:val="StyleHeading1Before6ptAfter12pt"/>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1" w15:restartNumberingAfterBreak="0">
    <w:nsid w:val="3835779D"/>
    <w:multiLevelType w:val="hybridMultilevel"/>
    <w:tmpl w:val="5E9E3084"/>
    <w:lvl w:ilvl="0" w:tplc="04090003">
      <w:start w:val="1"/>
      <w:numFmt w:val="bullet"/>
      <w:lvlText w:val="o"/>
      <w:lvlJc w:val="left"/>
      <w:pPr>
        <w:tabs>
          <w:tab w:val="num" w:pos="720"/>
        </w:tabs>
        <w:ind w:left="720" w:hanging="360"/>
      </w:pPr>
      <w:rPr>
        <w:rFonts w:ascii="Courier New" w:hAnsi="Courier New" w:hint="default"/>
      </w:rPr>
    </w:lvl>
    <w:lvl w:ilvl="1" w:tplc="ADE8079E">
      <w:start w:val="1"/>
      <w:numFmt w:val="bullet"/>
      <w:pStyle w:val="BARESUMECLEARBULLETS"/>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8FA11F1"/>
    <w:multiLevelType w:val="hybridMultilevel"/>
    <w:tmpl w:val="01043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B8C2872"/>
    <w:multiLevelType w:val="hybridMultilevel"/>
    <w:tmpl w:val="43E8A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DE82169"/>
    <w:multiLevelType w:val="hybridMultilevel"/>
    <w:tmpl w:val="FEFCA172"/>
    <w:lvl w:ilvl="0" w:tplc="BFD6E81E">
      <w:start w:val="1"/>
      <w:numFmt w:val="bullet"/>
      <w:pStyle w:val="Tooltip"/>
      <w:lvlText w:val=""/>
      <w:lvlJc w:val="left"/>
      <w:pPr>
        <w:tabs>
          <w:tab w:val="num" w:pos="2058"/>
        </w:tabs>
        <w:ind w:left="2058" w:hanging="357"/>
      </w:pPr>
      <w:rPr>
        <w:rFonts w:ascii="Webdings" w:hAnsi="Webdings"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3E0275D"/>
    <w:multiLevelType w:val="hybridMultilevel"/>
    <w:tmpl w:val="F360456C"/>
    <w:lvl w:ilvl="0" w:tplc="8B6C1192">
      <w:start w:val="1"/>
      <w:numFmt w:val="bullet"/>
      <w:pStyle w:val="Bullet1stlevel"/>
      <w:lvlText w:val=""/>
      <w:lvlJc w:val="left"/>
      <w:pPr>
        <w:ind w:left="1352"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443F61E1"/>
    <w:multiLevelType w:val="multilevel"/>
    <w:tmpl w:val="8E643F94"/>
    <w:styleLink w:val="CurrentList2"/>
    <w:lvl w:ilvl="0">
      <w:start w:val="1"/>
      <w:numFmt w:val="decimal"/>
      <w:lvlText w:val="%1"/>
      <w:lvlJc w:val="left"/>
      <w:pPr>
        <w:ind w:left="964" w:hanging="964"/>
      </w:pPr>
      <w:rPr>
        <w:rFonts w:hint="default"/>
      </w:rPr>
    </w:lvl>
    <w:lvl w:ilvl="1">
      <w:start w:val="2"/>
      <w:numFmt w:val="decimal"/>
      <w:lvlText w:val="%1.%2"/>
      <w:lvlJc w:val="left"/>
      <w:pPr>
        <w:tabs>
          <w:tab w:val="num" w:pos="964"/>
        </w:tabs>
        <w:ind w:left="964" w:hanging="964"/>
      </w:pPr>
      <w:rPr>
        <w:rFonts w:hint="default"/>
      </w:rPr>
    </w:lvl>
    <w:lvl w:ilvl="2">
      <w:start w:val="1"/>
      <w:numFmt w:val="decimal"/>
      <w:lvlText w:val="%1.%2.%3"/>
      <w:lvlJc w:val="left"/>
      <w:pPr>
        <w:tabs>
          <w:tab w:val="num" w:pos="1106"/>
        </w:tabs>
        <w:ind w:left="1106" w:hanging="964"/>
      </w:pPr>
      <w:rPr>
        <w:rFonts w:hint="default"/>
      </w:rPr>
    </w:lvl>
    <w:lvl w:ilvl="3">
      <w:start w:val="1"/>
      <w:numFmt w:val="decimal"/>
      <w:lvlText w:val="%1.%2.%3.%4"/>
      <w:lvlJc w:val="left"/>
      <w:pPr>
        <w:tabs>
          <w:tab w:val="num" w:pos="964"/>
        </w:tabs>
        <w:ind w:left="964" w:hanging="964"/>
      </w:pPr>
      <w:rPr>
        <w:rFonts w:hint="default"/>
      </w:rPr>
    </w:lvl>
    <w:lvl w:ilvl="4">
      <w:start w:val="1"/>
      <w:numFmt w:val="decimal"/>
      <w:suff w:val="nothing"/>
      <w:lvlText w:val=""/>
      <w:lvlJc w:val="left"/>
      <w:pPr>
        <w:ind w:left="0" w:firstLine="0"/>
      </w:pPr>
      <w:rPr>
        <w:rFonts w:hint="default"/>
      </w:rPr>
    </w:lvl>
    <w:lvl w:ilvl="5">
      <w:start w:val="1"/>
      <w:numFmt w:val="decimal"/>
      <w:suff w:val="nothing"/>
      <w:lvlText w:val=""/>
      <w:lvlJc w:val="left"/>
      <w:pPr>
        <w:ind w:left="0" w:firstLine="0"/>
      </w:pPr>
      <w:rPr>
        <w:rFonts w:hint="default"/>
      </w:rPr>
    </w:lvl>
    <w:lvl w:ilvl="6">
      <w:start w:val="1"/>
      <w:numFmt w:val="decimal"/>
      <w:suff w:val="nothing"/>
      <w:lvlText w:val=""/>
      <w:lvlJc w:val="left"/>
      <w:pPr>
        <w:ind w:left="0" w:firstLine="0"/>
      </w:pPr>
      <w:rPr>
        <w:rFonts w:hint="default"/>
      </w:rPr>
    </w:lvl>
    <w:lvl w:ilvl="7">
      <w:start w:val="1"/>
      <w:numFmt w:val="decimal"/>
      <w:suff w:val="nothing"/>
      <w:lvlText w:val=""/>
      <w:lvlJc w:val="left"/>
      <w:pPr>
        <w:ind w:left="0" w:firstLine="0"/>
      </w:pPr>
      <w:rPr>
        <w:rFonts w:hint="default"/>
      </w:rPr>
    </w:lvl>
    <w:lvl w:ilvl="8">
      <w:start w:val="1"/>
      <w:numFmt w:val="decimal"/>
      <w:suff w:val="nothing"/>
      <w:lvlText w:val=""/>
      <w:lvlJc w:val="left"/>
      <w:pPr>
        <w:ind w:left="0" w:firstLine="0"/>
      </w:pPr>
      <w:rPr>
        <w:rFonts w:hint="default"/>
      </w:rPr>
    </w:lvl>
  </w:abstractNum>
  <w:abstractNum w:abstractNumId="37" w15:restartNumberingAfterBreak="0">
    <w:nsid w:val="45B3366B"/>
    <w:multiLevelType w:val="hybridMultilevel"/>
    <w:tmpl w:val="4D6ED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BD975F5"/>
    <w:multiLevelType w:val="multilevel"/>
    <w:tmpl w:val="0C09001D"/>
    <w:styleLink w:val="BulletsLevel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4E4C715D"/>
    <w:multiLevelType w:val="hybridMultilevel"/>
    <w:tmpl w:val="CD90A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2043A3A"/>
    <w:multiLevelType w:val="hybridMultilevel"/>
    <w:tmpl w:val="EFC84C8C"/>
    <w:lvl w:ilvl="0" w:tplc="0C09000F">
      <w:start w:val="1"/>
      <w:numFmt w:val="lowerLetter"/>
      <w:pStyle w:val="ListAlpha"/>
      <w:lvlText w:val="%1)"/>
      <w:lvlJc w:val="left"/>
      <w:pPr>
        <w:tabs>
          <w:tab w:val="num" w:pos="1843"/>
        </w:tabs>
        <w:ind w:left="1843" w:hanging="567"/>
      </w:pPr>
      <w:rPr>
        <w:rFonts w:cs="Times New Roman" w:hint="default"/>
      </w:rPr>
    </w:lvl>
    <w:lvl w:ilvl="1" w:tplc="0C090003" w:tentative="1">
      <w:start w:val="1"/>
      <w:numFmt w:val="lowerLetter"/>
      <w:lvlText w:val="%2."/>
      <w:lvlJc w:val="left"/>
      <w:pPr>
        <w:ind w:left="2716" w:hanging="360"/>
      </w:pPr>
      <w:rPr>
        <w:rFonts w:cs="Times New Roman"/>
      </w:rPr>
    </w:lvl>
    <w:lvl w:ilvl="2" w:tplc="0C090005" w:tentative="1">
      <w:start w:val="1"/>
      <w:numFmt w:val="lowerRoman"/>
      <w:lvlText w:val="%3."/>
      <w:lvlJc w:val="right"/>
      <w:pPr>
        <w:ind w:left="3436" w:hanging="180"/>
      </w:pPr>
      <w:rPr>
        <w:rFonts w:cs="Times New Roman"/>
      </w:rPr>
    </w:lvl>
    <w:lvl w:ilvl="3" w:tplc="0C090001" w:tentative="1">
      <w:start w:val="1"/>
      <w:numFmt w:val="decimal"/>
      <w:lvlText w:val="%4."/>
      <w:lvlJc w:val="left"/>
      <w:pPr>
        <w:ind w:left="4156" w:hanging="360"/>
      </w:pPr>
      <w:rPr>
        <w:rFonts w:cs="Times New Roman"/>
      </w:rPr>
    </w:lvl>
    <w:lvl w:ilvl="4" w:tplc="0C090003" w:tentative="1">
      <w:start w:val="1"/>
      <w:numFmt w:val="lowerLetter"/>
      <w:lvlText w:val="%5."/>
      <w:lvlJc w:val="left"/>
      <w:pPr>
        <w:ind w:left="4876" w:hanging="360"/>
      </w:pPr>
      <w:rPr>
        <w:rFonts w:cs="Times New Roman"/>
      </w:rPr>
    </w:lvl>
    <w:lvl w:ilvl="5" w:tplc="0C090005" w:tentative="1">
      <w:start w:val="1"/>
      <w:numFmt w:val="lowerRoman"/>
      <w:lvlText w:val="%6."/>
      <w:lvlJc w:val="right"/>
      <w:pPr>
        <w:ind w:left="5596" w:hanging="180"/>
      </w:pPr>
      <w:rPr>
        <w:rFonts w:cs="Times New Roman"/>
      </w:rPr>
    </w:lvl>
    <w:lvl w:ilvl="6" w:tplc="0C090001" w:tentative="1">
      <w:start w:val="1"/>
      <w:numFmt w:val="decimal"/>
      <w:lvlText w:val="%7."/>
      <w:lvlJc w:val="left"/>
      <w:pPr>
        <w:ind w:left="6316" w:hanging="360"/>
      </w:pPr>
      <w:rPr>
        <w:rFonts w:cs="Times New Roman"/>
      </w:rPr>
    </w:lvl>
    <w:lvl w:ilvl="7" w:tplc="0C090003" w:tentative="1">
      <w:start w:val="1"/>
      <w:numFmt w:val="lowerLetter"/>
      <w:lvlText w:val="%8."/>
      <w:lvlJc w:val="left"/>
      <w:pPr>
        <w:ind w:left="7036" w:hanging="360"/>
      </w:pPr>
      <w:rPr>
        <w:rFonts w:cs="Times New Roman"/>
      </w:rPr>
    </w:lvl>
    <w:lvl w:ilvl="8" w:tplc="0C090005" w:tentative="1">
      <w:start w:val="1"/>
      <w:numFmt w:val="lowerRoman"/>
      <w:lvlText w:val="%9."/>
      <w:lvlJc w:val="right"/>
      <w:pPr>
        <w:ind w:left="7756" w:hanging="180"/>
      </w:pPr>
      <w:rPr>
        <w:rFonts w:cs="Times New Roman"/>
      </w:rPr>
    </w:lvl>
  </w:abstractNum>
  <w:abstractNum w:abstractNumId="41" w15:restartNumberingAfterBreak="0">
    <w:nsid w:val="523B70C0"/>
    <w:multiLevelType w:val="hybridMultilevel"/>
    <w:tmpl w:val="AEC2D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2541745"/>
    <w:multiLevelType w:val="hybridMultilevel"/>
    <w:tmpl w:val="BE22B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656224"/>
    <w:multiLevelType w:val="hybridMultilevel"/>
    <w:tmpl w:val="778A7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5A56CDD"/>
    <w:multiLevelType w:val="hybridMultilevel"/>
    <w:tmpl w:val="6D666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7047AB0"/>
    <w:multiLevelType w:val="multilevel"/>
    <w:tmpl w:val="E1F61B9E"/>
    <w:styleLink w:val="CurrentList3"/>
    <w:lvl w:ilvl="0">
      <w:start w:val="1"/>
      <w:numFmt w:val="decimal"/>
      <w:lvlText w:val="%1"/>
      <w:lvlJc w:val="left"/>
      <w:pPr>
        <w:tabs>
          <w:tab w:val="num" w:pos="964"/>
        </w:tabs>
        <w:ind w:left="964" w:hanging="964"/>
      </w:pPr>
    </w:lvl>
    <w:lvl w:ilvl="1">
      <w:start w:val="1"/>
      <w:numFmt w:val="decimal"/>
      <w:lvlText w:val="%1.%2"/>
      <w:lvlJc w:val="left"/>
      <w:pPr>
        <w:tabs>
          <w:tab w:val="num" w:pos="964"/>
        </w:tabs>
        <w:ind w:left="964" w:hanging="964"/>
      </w:pPr>
    </w:lvl>
    <w:lvl w:ilvl="2">
      <w:start w:val="1"/>
      <w:numFmt w:val="decimal"/>
      <w:lvlText w:val="%1.%2.%3"/>
      <w:lvlJc w:val="left"/>
      <w:pPr>
        <w:tabs>
          <w:tab w:val="num" w:pos="1106"/>
        </w:tabs>
        <w:ind w:left="1106" w:hanging="964"/>
      </w:pPr>
    </w:lvl>
    <w:lvl w:ilvl="3">
      <w:start w:val="1"/>
      <w:numFmt w:val="decimal"/>
      <w:lvlText w:val="%1.%2.%3.%4"/>
      <w:lvlJc w:val="left"/>
      <w:pPr>
        <w:tabs>
          <w:tab w:val="num" w:pos="964"/>
        </w:tabs>
        <w:ind w:left="964" w:hanging="964"/>
      </w:pPr>
    </w:lvl>
    <w:lvl w:ilvl="4">
      <w:start w:val="1"/>
      <w:numFmt w:val="decimal"/>
      <w:suff w:val="nothing"/>
      <w:lvlText w:val=""/>
      <w:lvlJc w:val="left"/>
      <w:pPr>
        <w:ind w:left="0" w:firstLine="0"/>
      </w:pPr>
    </w:lvl>
    <w:lvl w:ilvl="5">
      <w:start w:val="1"/>
      <w:numFmt w:val="decimal"/>
      <w:suff w:val="nothing"/>
      <w:lvlText w:val=""/>
      <w:lvlJc w:val="left"/>
      <w:pPr>
        <w:ind w:left="0" w:firstLine="0"/>
      </w:pPr>
    </w:lvl>
    <w:lvl w:ilvl="6">
      <w:start w:val="1"/>
      <w:numFmt w:val="decimal"/>
      <w:suff w:val="nothing"/>
      <w:lvlText w:val=""/>
      <w:lvlJc w:val="left"/>
      <w:pPr>
        <w:ind w:left="0" w:firstLine="0"/>
      </w:pPr>
    </w:lvl>
    <w:lvl w:ilvl="7">
      <w:start w:val="1"/>
      <w:numFmt w:val="decimal"/>
      <w:suff w:val="nothing"/>
      <w:lvlText w:val=""/>
      <w:lvlJc w:val="left"/>
      <w:pPr>
        <w:ind w:left="0" w:firstLine="0"/>
      </w:pPr>
    </w:lvl>
    <w:lvl w:ilvl="8">
      <w:start w:val="1"/>
      <w:numFmt w:val="decimal"/>
      <w:suff w:val="nothing"/>
      <w:lvlText w:val=""/>
      <w:lvlJc w:val="left"/>
      <w:pPr>
        <w:ind w:left="0" w:firstLine="0"/>
      </w:pPr>
    </w:lvl>
  </w:abstractNum>
  <w:abstractNum w:abstractNumId="46" w15:restartNumberingAfterBreak="0">
    <w:nsid w:val="57C43C86"/>
    <w:multiLevelType w:val="hybridMultilevel"/>
    <w:tmpl w:val="5E569516"/>
    <w:lvl w:ilvl="0" w:tplc="A55AF8B0">
      <w:start w:val="1"/>
      <w:numFmt w:val="bullet"/>
      <w:pStyle w:val="Numsteplastbull"/>
      <w:lvlText w:val=""/>
      <w:lvlJc w:val="left"/>
      <w:pPr>
        <w:tabs>
          <w:tab w:val="num" w:pos="2486"/>
        </w:tabs>
        <w:ind w:left="2483" w:hanging="357"/>
      </w:pPr>
      <w:rPr>
        <w:rFonts w:ascii="Wingdings 3" w:hAnsi="Wingdings 3" w:hint="default"/>
        <w:color w:val="336699"/>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8352932"/>
    <w:multiLevelType w:val="hybridMultilevel"/>
    <w:tmpl w:val="F71A676A"/>
    <w:lvl w:ilvl="0" w:tplc="47F4C69A">
      <w:start w:val="1"/>
      <w:numFmt w:val="bullet"/>
      <w:pStyle w:val="CellBullet"/>
      <w:lvlText w:val=""/>
      <w:lvlJc w:val="left"/>
      <w:pPr>
        <w:tabs>
          <w:tab w:val="num" w:pos="284"/>
        </w:tabs>
        <w:ind w:left="284" w:hanging="284"/>
      </w:pPr>
      <w:rPr>
        <w:rFonts w:ascii="Wingdings" w:hAnsi="Wingdings" w:hint="default"/>
        <w:color w:val="800000"/>
        <w:sz w:val="24"/>
        <w:u w:color="0000CC"/>
      </w:rPr>
    </w:lvl>
    <w:lvl w:ilvl="1" w:tplc="A87E9C74" w:tentative="1">
      <w:start w:val="1"/>
      <w:numFmt w:val="bullet"/>
      <w:lvlText w:val="o"/>
      <w:lvlJc w:val="left"/>
      <w:pPr>
        <w:tabs>
          <w:tab w:val="num" w:pos="1440"/>
        </w:tabs>
        <w:ind w:left="1440" w:hanging="360"/>
      </w:pPr>
      <w:rPr>
        <w:rFonts w:ascii="Courier New" w:hAnsi="Courier New" w:hint="default"/>
      </w:rPr>
    </w:lvl>
    <w:lvl w:ilvl="2" w:tplc="A8B81E24" w:tentative="1">
      <w:start w:val="1"/>
      <w:numFmt w:val="bullet"/>
      <w:lvlText w:val=""/>
      <w:lvlJc w:val="left"/>
      <w:pPr>
        <w:tabs>
          <w:tab w:val="num" w:pos="2160"/>
        </w:tabs>
        <w:ind w:left="2160" w:hanging="360"/>
      </w:pPr>
      <w:rPr>
        <w:rFonts w:ascii="Wingdings" w:hAnsi="Wingdings" w:hint="default"/>
      </w:rPr>
    </w:lvl>
    <w:lvl w:ilvl="3" w:tplc="9C10C09C" w:tentative="1">
      <w:start w:val="1"/>
      <w:numFmt w:val="bullet"/>
      <w:lvlText w:val=""/>
      <w:lvlJc w:val="left"/>
      <w:pPr>
        <w:tabs>
          <w:tab w:val="num" w:pos="2880"/>
        </w:tabs>
        <w:ind w:left="2880" w:hanging="360"/>
      </w:pPr>
      <w:rPr>
        <w:rFonts w:ascii="Symbol" w:hAnsi="Symbol" w:hint="default"/>
      </w:rPr>
    </w:lvl>
    <w:lvl w:ilvl="4" w:tplc="A352F92E" w:tentative="1">
      <w:start w:val="1"/>
      <w:numFmt w:val="bullet"/>
      <w:lvlText w:val="o"/>
      <w:lvlJc w:val="left"/>
      <w:pPr>
        <w:tabs>
          <w:tab w:val="num" w:pos="3600"/>
        </w:tabs>
        <w:ind w:left="3600" w:hanging="360"/>
      </w:pPr>
      <w:rPr>
        <w:rFonts w:ascii="Courier New" w:hAnsi="Courier New" w:hint="default"/>
      </w:rPr>
    </w:lvl>
    <w:lvl w:ilvl="5" w:tplc="1B645044" w:tentative="1">
      <w:start w:val="1"/>
      <w:numFmt w:val="bullet"/>
      <w:lvlText w:val=""/>
      <w:lvlJc w:val="left"/>
      <w:pPr>
        <w:tabs>
          <w:tab w:val="num" w:pos="4320"/>
        </w:tabs>
        <w:ind w:left="4320" w:hanging="360"/>
      </w:pPr>
      <w:rPr>
        <w:rFonts w:ascii="Wingdings" w:hAnsi="Wingdings" w:hint="default"/>
      </w:rPr>
    </w:lvl>
    <w:lvl w:ilvl="6" w:tplc="C03E9C12" w:tentative="1">
      <w:start w:val="1"/>
      <w:numFmt w:val="bullet"/>
      <w:lvlText w:val=""/>
      <w:lvlJc w:val="left"/>
      <w:pPr>
        <w:tabs>
          <w:tab w:val="num" w:pos="5040"/>
        </w:tabs>
        <w:ind w:left="5040" w:hanging="360"/>
      </w:pPr>
      <w:rPr>
        <w:rFonts w:ascii="Symbol" w:hAnsi="Symbol" w:hint="default"/>
      </w:rPr>
    </w:lvl>
    <w:lvl w:ilvl="7" w:tplc="E716B880" w:tentative="1">
      <w:start w:val="1"/>
      <w:numFmt w:val="bullet"/>
      <w:lvlText w:val="o"/>
      <w:lvlJc w:val="left"/>
      <w:pPr>
        <w:tabs>
          <w:tab w:val="num" w:pos="5760"/>
        </w:tabs>
        <w:ind w:left="5760" w:hanging="360"/>
      </w:pPr>
      <w:rPr>
        <w:rFonts w:ascii="Courier New" w:hAnsi="Courier New" w:hint="default"/>
      </w:rPr>
    </w:lvl>
    <w:lvl w:ilvl="8" w:tplc="91FAB10C"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83D7717"/>
    <w:multiLevelType w:val="hybridMultilevel"/>
    <w:tmpl w:val="EC121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E2D2F8B"/>
    <w:multiLevelType w:val="hybridMultilevel"/>
    <w:tmpl w:val="333E6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F006046"/>
    <w:multiLevelType w:val="hybridMultilevel"/>
    <w:tmpl w:val="4B1E437C"/>
    <w:lvl w:ilvl="0" w:tplc="09B0F8AE">
      <w:start w:val="1"/>
      <w:numFmt w:val="bullet"/>
      <w:pStyle w:val="Bullet2"/>
      <w:lvlText w:val="-"/>
      <w:lvlJc w:val="left"/>
      <w:pPr>
        <w:ind w:left="1400" w:hanging="360"/>
      </w:pPr>
      <w:rPr>
        <w:rFonts w:ascii="Arial" w:hAnsi="Arial" w:hint="default"/>
      </w:rPr>
    </w:lvl>
    <w:lvl w:ilvl="1" w:tplc="0C090003" w:tentative="1">
      <w:start w:val="1"/>
      <w:numFmt w:val="bullet"/>
      <w:lvlText w:val="o"/>
      <w:lvlJc w:val="left"/>
      <w:pPr>
        <w:ind w:left="2120" w:hanging="360"/>
      </w:pPr>
      <w:rPr>
        <w:rFonts w:ascii="Courier New" w:hAnsi="Courier New" w:cs="Courier New" w:hint="default"/>
      </w:rPr>
    </w:lvl>
    <w:lvl w:ilvl="2" w:tplc="0C090005" w:tentative="1">
      <w:start w:val="1"/>
      <w:numFmt w:val="bullet"/>
      <w:lvlText w:val=""/>
      <w:lvlJc w:val="left"/>
      <w:pPr>
        <w:ind w:left="2840" w:hanging="360"/>
      </w:pPr>
      <w:rPr>
        <w:rFonts w:ascii="Wingdings" w:hAnsi="Wingdings" w:hint="default"/>
      </w:rPr>
    </w:lvl>
    <w:lvl w:ilvl="3" w:tplc="0C090001" w:tentative="1">
      <w:start w:val="1"/>
      <w:numFmt w:val="bullet"/>
      <w:lvlText w:val=""/>
      <w:lvlJc w:val="left"/>
      <w:pPr>
        <w:ind w:left="3560" w:hanging="360"/>
      </w:pPr>
      <w:rPr>
        <w:rFonts w:ascii="Symbol" w:hAnsi="Symbol" w:hint="default"/>
      </w:rPr>
    </w:lvl>
    <w:lvl w:ilvl="4" w:tplc="0C090003" w:tentative="1">
      <w:start w:val="1"/>
      <w:numFmt w:val="bullet"/>
      <w:lvlText w:val="o"/>
      <w:lvlJc w:val="left"/>
      <w:pPr>
        <w:ind w:left="4280" w:hanging="360"/>
      </w:pPr>
      <w:rPr>
        <w:rFonts w:ascii="Courier New" w:hAnsi="Courier New" w:cs="Courier New" w:hint="default"/>
      </w:rPr>
    </w:lvl>
    <w:lvl w:ilvl="5" w:tplc="0C090005" w:tentative="1">
      <w:start w:val="1"/>
      <w:numFmt w:val="bullet"/>
      <w:lvlText w:val=""/>
      <w:lvlJc w:val="left"/>
      <w:pPr>
        <w:ind w:left="5000" w:hanging="360"/>
      </w:pPr>
      <w:rPr>
        <w:rFonts w:ascii="Wingdings" w:hAnsi="Wingdings" w:hint="default"/>
      </w:rPr>
    </w:lvl>
    <w:lvl w:ilvl="6" w:tplc="0C090001" w:tentative="1">
      <w:start w:val="1"/>
      <w:numFmt w:val="bullet"/>
      <w:lvlText w:val=""/>
      <w:lvlJc w:val="left"/>
      <w:pPr>
        <w:ind w:left="5720" w:hanging="360"/>
      </w:pPr>
      <w:rPr>
        <w:rFonts w:ascii="Symbol" w:hAnsi="Symbol" w:hint="default"/>
      </w:rPr>
    </w:lvl>
    <w:lvl w:ilvl="7" w:tplc="0C090003" w:tentative="1">
      <w:start w:val="1"/>
      <w:numFmt w:val="bullet"/>
      <w:lvlText w:val="o"/>
      <w:lvlJc w:val="left"/>
      <w:pPr>
        <w:ind w:left="6440" w:hanging="360"/>
      </w:pPr>
      <w:rPr>
        <w:rFonts w:ascii="Courier New" w:hAnsi="Courier New" w:cs="Courier New" w:hint="default"/>
      </w:rPr>
    </w:lvl>
    <w:lvl w:ilvl="8" w:tplc="0C090005" w:tentative="1">
      <w:start w:val="1"/>
      <w:numFmt w:val="bullet"/>
      <w:lvlText w:val=""/>
      <w:lvlJc w:val="left"/>
      <w:pPr>
        <w:ind w:left="7160" w:hanging="360"/>
      </w:pPr>
      <w:rPr>
        <w:rFonts w:ascii="Wingdings" w:hAnsi="Wingdings" w:hint="default"/>
      </w:rPr>
    </w:lvl>
  </w:abstractNum>
  <w:abstractNum w:abstractNumId="51" w15:restartNumberingAfterBreak="0">
    <w:nsid w:val="5F020A00"/>
    <w:multiLevelType w:val="hybridMultilevel"/>
    <w:tmpl w:val="C3147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40605F1"/>
    <w:multiLevelType w:val="hybridMultilevel"/>
    <w:tmpl w:val="7D8E24D8"/>
    <w:lvl w:ilvl="0" w:tplc="D6A290E2">
      <w:start w:val="1"/>
      <w:numFmt w:val="decimal"/>
      <w:pStyle w:val="Numstep"/>
      <w:lvlText w:val="%1."/>
      <w:lvlJc w:val="left"/>
      <w:pPr>
        <w:tabs>
          <w:tab w:val="num" w:pos="2058"/>
        </w:tabs>
        <w:ind w:left="2058" w:hanging="357"/>
      </w:pPr>
      <w:rPr>
        <w:rFonts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7F86DB3A">
      <w:start w:val="1"/>
      <w:numFmt w:val="upperRoman"/>
      <w:lvlText w:val="%5."/>
      <w:lvlJc w:val="left"/>
      <w:pPr>
        <w:tabs>
          <w:tab w:val="num" w:pos="3960"/>
        </w:tabs>
        <w:ind w:left="3960" w:hanging="720"/>
      </w:pPr>
      <w:rPr>
        <w:rFonts w:hint="default"/>
      </w:r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3" w15:restartNumberingAfterBreak="0">
    <w:nsid w:val="64A13D77"/>
    <w:multiLevelType w:val="hybridMultilevel"/>
    <w:tmpl w:val="7B58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4F67EA7"/>
    <w:multiLevelType w:val="hybridMultilevel"/>
    <w:tmpl w:val="5AD4D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5775BEF"/>
    <w:multiLevelType w:val="multilevel"/>
    <w:tmpl w:val="BEC89E50"/>
    <w:styleLink w:val="CurrentList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6620293D"/>
    <w:multiLevelType w:val="hybridMultilevel"/>
    <w:tmpl w:val="BDFE3992"/>
    <w:lvl w:ilvl="0" w:tplc="CEF060F0">
      <w:start w:val="1"/>
      <w:numFmt w:val="bullet"/>
      <w:pStyle w:val="BABullets"/>
      <w:lvlText w:val=""/>
      <w:lvlJc w:val="left"/>
      <w:pPr>
        <w:ind w:left="720" w:hanging="360"/>
      </w:pPr>
      <w:rPr>
        <w:rFonts w:ascii="Wingdings" w:hAnsi="Wingdings" w:hint="default"/>
        <w:color w:val="990033"/>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B975925"/>
    <w:multiLevelType w:val="hybridMultilevel"/>
    <w:tmpl w:val="416E9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01C24B3"/>
    <w:multiLevelType w:val="hybridMultilevel"/>
    <w:tmpl w:val="45D43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0F6601C"/>
    <w:multiLevelType w:val="hybridMultilevel"/>
    <w:tmpl w:val="AD96C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11B5C67"/>
    <w:multiLevelType w:val="hybridMultilevel"/>
    <w:tmpl w:val="763A26EA"/>
    <w:lvl w:ilvl="0" w:tplc="30A8E2C2">
      <w:start w:val="1"/>
      <w:numFmt w:val="bullet"/>
      <w:pStyle w:val="Tips"/>
      <w:lvlText w:val=""/>
      <w:lvlJc w:val="left"/>
      <w:pPr>
        <w:tabs>
          <w:tab w:val="num" w:pos="2061"/>
        </w:tabs>
        <w:ind w:left="2058" w:hanging="357"/>
      </w:pPr>
      <w:rPr>
        <w:rFonts w:ascii="Webdings" w:hAnsi="Webdings" w:hint="default"/>
        <w:sz w:val="28"/>
        <w:szCs w:val="28"/>
      </w:rPr>
    </w:lvl>
    <w:lvl w:ilvl="1" w:tplc="04090003">
      <w:start w:val="1"/>
      <w:numFmt w:val="bullet"/>
      <w:lvlText w:val="o"/>
      <w:lvlJc w:val="left"/>
      <w:pPr>
        <w:tabs>
          <w:tab w:val="num" w:pos="1440"/>
        </w:tabs>
        <w:ind w:left="1440" w:hanging="360"/>
      </w:pPr>
      <w:rPr>
        <w:rFonts w:ascii="Courier New" w:hAnsi="Courier New" w:hint="default"/>
      </w:rPr>
    </w:lvl>
    <w:lvl w:ilvl="2" w:tplc="A568244C">
      <w:start w:val="1"/>
      <w:numFmt w:val="bullet"/>
      <w:pStyle w:val="Appendixbulletheading"/>
      <w:lvlText w:val=""/>
      <w:lvlJc w:val="left"/>
      <w:pPr>
        <w:tabs>
          <w:tab w:val="num" w:pos="2160"/>
        </w:tabs>
        <w:ind w:left="2160" w:hanging="360"/>
      </w:pPr>
      <w:rPr>
        <w:rFonts w:ascii="Wingdings" w:hAnsi="Wingdings" w:hint="default"/>
      </w:rPr>
    </w:lvl>
    <w:lvl w:ilvl="3" w:tplc="281E80B8">
      <w:start w:val="1"/>
      <w:numFmt w:val="bullet"/>
      <w:pStyle w:val="AppendixBulletHeading2"/>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1D549D9"/>
    <w:multiLevelType w:val="hybridMultilevel"/>
    <w:tmpl w:val="B5E48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2BD0EA9"/>
    <w:multiLevelType w:val="hybridMultilevel"/>
    <w:tmpl w:val="4E4AE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58C5989"/>
    <w:multiLevelType w:val="multilevel"/>
    <w:tmpl w:val="B82E519C"/>
    <w:styleLink w:val="CurrentList9"/>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4" w15:restartNumberingAfterBreak="0">
    <w:nsid w:val="777E5F97"/>
    <w:multiLevelType w:val="multilevel"/>
    <w:tmpl w:val="8D58E176"/>
    <w:lvl w:ilvl="0">
      <w:start w:val="1"/>
      <w:numFmt w:val="upperLetter"/>
      <w:lvlText w:val="%1"/>
      <w:lvlJc w:val="left"/>
      <w:pPr>
        <w:tabs>
          <w:tab w:val="num" w:pos="964"/>
        </w:tabs>
        <w:ind w:left="964" w:hanging="964"/>
      </w:pPr>
    </w:lvl>
    <w:lvl w:ilvl="1">
      <w:start w:val="1"/>
      <w:numFmt w:val="decimal"/>
      <w:lvlText w:val="%1.%2"/>
      <w:lvlJc w:val="left"/>
      <w:pPr>
        <w:tabs>
          <w:tab w:val="num" w:pos="0"/>
        </w:tabs>
        <w:ind w:left="0" w:hanging="964"/>
      </w:pPr>
    </w:lvl>
    <w:lvl w:ilvl="2">
      <w:start w:val="1"/>
      <w:numFmt w:val="decimal"/>
      <w:lvlText w:val="%1.%2.%3"/>
      <w:lvlJc w:val="left"/>
      <w:pPr>
        <w:tabs>
          <w:tab w:val="num" w:pos="0"/>
        </w:tabs>
        <w:ind w:left="0" w:hanging="964"/>
      </w:pPr>
    </w:lvl>
    <w:lvl w:ilvl="3">
      <w:start w:val="1"/>
      <w:numFmt w:val="decimal"/>
      <w:pStyle w:val="AppendixHeading4"/>
      <w:lvlText w:val="%1.%2.%3.%4"/>
      <w:lvlJc w:val="left"/>
      <w:pPr>
        <w:tabs>
          <w:tab w:val="num" w:pos="0"/>
        </w:tabs>
        <w:ind w:left="0" w:hanging="964"/>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65" w15:restartNumberingAfterBreak="0">
    <w:nsid w:val="7BD447F4"/>
    <w:multiLevelType w:val="hybridMultilevel"/>
    <w:tmpl w:val="397A8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BF71022"/>
    <w:multiLevelType w:val="hybridMultilevel"/>
    <w:tmpl w:val="551A2ADA"/>
    <w:lvl w:ilvl="0" w:tplc="540829CA">
      <w:start w:val="1"/>
      <w:numFmt w:val="bullet"/>
      <w:pStyle w:val="Bulle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D0449FC"/>
    <w:multiLevelType w:val="hybridMultilevel"/>
    <w:tmpl w:val="0158E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D044C09"/>
    <w:multiLevelType w:val="hybridMultilevel"/>
    <w:tmpl w:val="54A6F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E3C2693"/>
    <w:multiLevelType w:val="hybridMultilevel"/>
    <w:tmpl w:val="3A148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07264671">
    <w:abstractNumId w:val="0"/>
  </w:num>
  <w:num w:numId="2" w16cid:durableId="151913477">
    <w:abstractNumId w:val="10"/>
  </w:num>
  <w:num w:numId="3" w16cid:durableId="348606052">
    <w:abstractNumId w:val="22"/>
  </w:num>
  <w:num w:numId="4" w16cid:durableId="1235355125">
    <w:abstractNumId w:val="38"/>
  </w:num>
  <w:num w:numId="5" w16cid:durableId="1377965717">
    <w:abstractNumId w:val="35"/>
  </w:num>
  <w:num w:numId="6" w16cid:durableId="1360621487">
    <w:abstractNumId w:val="57"/>
  </w:num>
  <w:num w:numId="7" w16cid:durableId="582641509">
    <w:abstractNumId w:val="41"/>
  </w:num>
  <w:num w:numId="8" w16cid:durableId="867794169">
    <w:abstractNumId w:val="18"/>
  </w:num>
  <w:num w:numId="9" w16cid:durableId="547372874">
    <w:abstractNumId w:val="66"/>
  </w:num>
  <w:num w:numId="10" w16cid:durableId="58017680">
    <w:abstractNumId w:val="1"/>
  </w:num>
  <w:num w:numId="11" w16cid:durableId="1649049457">
    <w:abstractNumId w:val="50"/>
  </w:num>
  <w:num w:numId="12" w16cid:durableId="743993248">
    <w:abstractNumId w:val="19"/>
  </w:num>
  <w:num w:numId="13" w16cid:durableId="253170120">
    <w:abstractNumId w:val="8"/>
  </w:num>
  <w:num w:numId="14" w16cid:durableId="2069720677">
    <w:abstractNumId w:val="11"/>
  </w:num>
  <w:num w:numId="15" w16cid:durableId="338511252">
    <w:abstractNumId w:val="64"/>
  </w:num>
  <w:num w:numId="16" w16cid:durableId="983849939">
    <w:abstractNumId w:val="60"/>
  </w:num>
  <w:num w:numId="17" w16cid:durableId="514031577">
    <w:abstractNumId w:val="15"/>
  </w:num>
  <w:num w:numId="18" w16cid:durableId="1229534322">
    <w:abstractNumId w:val="46"/>
  </w:num>
  <w:num w:numId="19" w16cid:durableId="112329613">
    <w:abstractNumId w:val="4"/>
  </w:num>
  <w:num w:numId="20" w16cid:durableId="370880075">
    <w:abstractNumId w:val="34"/>
  </w:num>
  <w:num w:numId="21" w16cid:durableId="886262883">
    <w:abstractNumId w:val="5"/>
  </w:num>
  <w:num w:numId="22" w16cid:durableId="1840151801">
    <w:abstractNumId w:val="52"/>
  </w:num>
  <w:num w:numId="23" w16cid:durableId="1734618672">
    <w:abstractNumId w:val="24"/>
  </w:num>
  <w:num w:numId="24" w16cid:durableId="971058004">
    <w:abstractNumId w:val="47"/>
  </w:num>
  <w:num w:numId="25" w16cid:durableId="1703088213">
    <w:abstractNumId w:val="40"/>
  </w:num>
  <w:num w:numId="26" w16cid:durableId="102388491">
    <w:abstractNumId w:val="30"/>
  </w:num>
  <w:num w:numId="27" w16cid:durableId="411241711">
    <w:abstractNumId w:val="28"/>
  </w:num>
  <w:num w:numId="28" w16cid:durableId="1681853520">
    <w:abstractNumId w:val="31"/>
  </w:num>
  <w:num w:numId="29" w16cid:durableId="1575048426">
    <w:abstractNumId w:val="56"/>
  </w:num>
  <w:num w:numId="30" w16cid:durableId="300695513">
    <w:abstractNumId w:val="3"/>
  </w:num>
  <w:num w:numId="31" w16cid:durableId="447773054">
    <w:abstractNumId w:val="36"/>
  </w:num>
  <w:num w:numId="32" w16cid:durableId="258216923">
    <w:abstractNumId w:val="45"/>
  </w:num>
  <w:num w:numId="33" w16cid:durableId="1777097330">
    <w:abstractNumId w:val="26"/>
  </w:num>
  <w:num w:numId="34" w16cid:durableId="687096043">
    <w:abstractNumId w:val="6"/>
  </w:num>
  <w:num w:numId="35" w16cid:durableId="1026298271">
    <w:abstractNumId w:val="23"/>
  </w:num>
  <w:num w:numId="36" w16cid:durableId="145705392">
    <w:abstractNumId w:val="27"/>
  </w:num>
  <w:num w:numId="37" w16cid:durableId="677805847">
    <w:abstractNumId w:val="55"/>
  </w:num>
  <w:num w:numId="38" w16cid:durableId="397753160">
    <w:abstractNumId w:val="63"/>
  </w:num>
  <w:num w:numId="39" w16cid:durableId="127012630">
    <w:abstractNumId w:val="2"/>
  </w:num>
  <w:num w:numId="40" w16cid:durableId="213078525">
    <w:abstractNumId w:val="13"/>
  </w:num>
  <w:num w:numId="41" w16cid:durableId="1317995308">
    <w:abstractNumId w:val="54"/>
  </w:num>
  <w:num w:numId="42" w16cid:durableId="149057157">
    <w:abstractNumId w:val="29"/>
  </w:num>
  <w:num w:numId="43" w16cid:durableId="1505899751">
    <w:abstractNumId w:val="33"/>
  </w:num>
  <w:num w:numId="44" w16cid:durableId="1796100209">
    <w:abstractNumId w:val="43"/>
  </w:num>
  <w:num w:numId="45" w16cid:durableId="1119494659">
    <w:abstractNumId w:val="12"/>
  </w:num>
  <w:num w:numId="46" w16cid:durableId="1493643799">
    <w:abstractNumId w:val="53"/>
  </w:num>
  <w:num w:numId="47" w16cid:durableId="322709665">
    <w:abstractNumId w:val="48"/>
  </w:num>
  <w:num w:numId="48" w16cid:durableId="566184721">
    <w:abstractNumId w:val="20"/>
  </w:num>
  <w:num w:numId="49" w16cid:durableId="1022518107">
    <w:abstractNumId w:val="44"/>
  </w:num>
  <w:num w:numId="50" w16cid:durableId="674650704">
    <w:abstractNumId w:val="59"/>
  </w:num>
  <w:num w:numId="51" w16cid:durableId="1437675717">
    <w:abstractNumId w:val="32"/>
  </w:num>
  <w:num w:numId="52" w16cid:durableId="1976906426">
    <w:abstractNumId w:val="37"/>
  </w:num>
  <w:num w:numId="53" w16cid:durableId="1862625693">
    <w:abstractNumId w:val="68"/>
  </w:num>
  <w:num w:numId="54" w16cid:durableId="1300306248">
    <w:abstractNumId w:val="7"/>
  </w:num>
  <w:num w:numId="55" w16cid:durableId="1581140315">
    <w:abstractNumId w:val="61"/>
  </w:num>
  <w:num w:numId="56" w16cid:durableId="1916159704">
    <w:abstractNumId w:val="14"/>
  </w:num>
  <w:num w:numId="57" w16cid:durableId="1121535804">
    <w:abstractNumId w:val="69"/>
  </w:num>
  <w:num w:numId="58" w16cid:durableId="1099450898">
    <w:abstractNumId w:val="49"/>
  </w:num>
  <w:num w:numId="59" w16cid:durableId="556550598">
    <w:abstractNumId w:val="58"/>
  </w:num>
  <w:num w:numId="60" w16cid:durableId="1543983592">
    <w:abstractNumId w:val="62"/>
  </w:num>
  <w:num w:numId="61" w16cid:durableId="855312714">
    <w:abstractNumId w:val="16"/>
  </w:num>
  <w:num w:numId="62" w16cid:durableId="1059791170">
    <w:abstractNumId w:val="25"/>
  </w:num>
  <w:num w:numId="63" w16cid:durableId="1781072728">
    <w:abstractNumId w:val="67"/>
  </w:num>
  <w:num w:numId="64" w16cid:durableId="1567258160">
    <w:abstractNumId w:val="51"/>
  </w:num>
  <w:num w:numId="65" w16cid:durableId="1622953500">
    <w:abstractNumId w:val="39"/>
  </w:num>
  <w:num w:numId="66" w16cid:durableId="1819611403">
    <w:abstractNumId w:val="65"/>
  </w:num>
  <w:num w:numId="67" w16cid:durableId="510216985">
    <w:abstractNumId w:val="42"/>
  </w:num>
  <w:num w:numId="68" w16cid:durableId="1846044866">
    <w:abstractNumId w:val="17"/>
  </w:num>
  <w:num w:numId="69" w16cid:durableId="1849711846">
    <w:abstractNumId w:val="21"/>
  </w:num>
  <w:num w:numId="70" w16cid:durableId="2059165268">
    <w:abstractNumId w:val="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0"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72C"/>
    <w:rsid w:val="00002668"/>
    <w:rsid w:val="00002DAB"/>
    <w:rsid w:val="00003375"/>
    <w:rsid w:val="00003743"/>
    <w:rsid w:val="00003882"/>
    <w:rsid w:val="000077FA"/>
    <w:rsid w:val="0001053B"/>
    <w:rsid w:val="00012782"/>
    <w:rsid w:val="00012856"/>
    <w:rsid w:val="00020DBD"/>
    <w:rsid w:val="00025A92"/>
    <w:rsid w:val="00026CB6"/>
    <w:rsid w:val="00027537"/>
    <w:rsid w:val="00030183"/>
    <w:rsid w:val="00030A1F"/>
    <w:rsid w:val="0003162D"/>
    <w:rsid w:val="00033BBF"/>
    <w:rsid w:val="00036AB8"/>
    <w:rsid w:val="00036F5E"/>
    <w:rsid w:val="000406F8"/>
    <w:rsid w:val="00043671"/>
    <w:rsid w:val="00043C37"/>
    <w:rsid w:val="0004515E"/>
    <w:rsid w:val="00050775"/>
    <w:rsid w:val="00054B74"/>
    <w:rsid w:val="00054E14"/>
    <w:rsid w:val="00067456"/>
    <w:rsid w:val="00067CE9"/>
    <w:rsid w:val="00070812"/>
    <w:rsid w:val="00070F06"/>
    <w:rsid w:val="00071E57"/>
    <w:rsid w:val="000720AA"/>
    <w:rsid w:val="00074553"/>
    <w:rsid w:val="0008065C"/>
    <w:rsid w:val="00083CD1"/>
    <w:rsid w:val="0009085F"/>
    <w:rsid w:val="00090EFF"/>
    <w:rsid w:val="00091FC5"/>
    <w:rsid w:val="00092229"/>
    <w:rsid w:val="00092E65"/>
    <w:rsid w:val="00095DA6"/>
    <w:rsid w:val="00095DC5"/>
    <w:rsid w:val="000A3F0D"/>
    <w:rsid w:val="000A4C01"/>
    <w:rsid w:val="000B0274"/>
    <w:rsid w:val="000B0BFE"/>
    <w:rsid w:val="000B4610"/>
    <w:rsid w:val="000B79D3"/>
    <w:rsid w:val="000C02BC"/>
    <w:rsid w:val="000C1722"/>
    <w:rsid w:val="000C1DD4"/>
    <w:rsid w:val="000C5B0F"/>
    <w:rsid w:val="000C7A69"/>
    <w:rsid w:val="000D017D"/>
    <w:rsid w:val="000D6405"/>
    <w:rsid w:val="000E15DA"/>
    <w:rsid w:val="000E2F2E"/>
    <w:rsid w:val="000F0D77"/>
    <w:rsid w:val="000F29C7"/>
    <w:rsid w:val="000F6B39"/>
    <w:rsid w:val="00100CED"/>
    <w:rsid w:val="0010673D"/>
    <w:rsid w:val="00106CF5"/>
    <w:rsid w:val="00112A26"/>
    <w:rsid w:val="00115403"/>
    <w:rsid w:val="00115E61"/>
    <w:rsid w:val="00120FCB"/>
    <w:rsid w:val="00131E52"/>
    <w:rsid w:val="00137E72"/>
    <w:rsid w:val="00140002"/>
    <w:rsid w:val="001412F4"/>
    <w:rsid w:val="0014192F"/>
    <w:rsid w:val="00143A76"/>
    <w:rsid w:val="00145BE3"/>
    <w:rsid w:val="00145DF9"/>
    <w:rsid w:val="00146A66"/>
    <w:rsid w:val="001507C6"/>
    <w:rsid w:val="00157B31"/>
    <w:rsid w:val="00160453"/>
    <w:rsid w:val="001652A9"/>
    <w:rsid w:val="0016561F"/>
    <w:rsid w:val="001715E5"/>
    <w:rsid w:val="00174141"/>
    <w:rsid w:val="00174535"/>
    <w:rsid w:val="0017675C"/>
    <w:rsid w:val="00182C0F"/>
    <w:rsid w:val="00183675"/>
    <w:rsid w:val="00184C86"/>
    <w:rsid w:val="001852DE"/>
    <w:rsid w:val="001859B5"/>
    <w:rsid w:val="001860B2"/>
    <w:rsid w:val="001918F7"/>
    <w:rsid w:val="001921ED"/>
    <w:rsid w:val="00192720"/>
    <w:rsid w:val="00195458"/>
    <w:rsid w:val="00195A6B"/>
    <w:rsid w:val="001962DE"/>
    <w:rsid w:val="00196AC8"/>
    <w:rsid w:val="001A11A5"/>
    <w:rsid w:val="001A1EBD"/>
    <w:rsid w:val="001A4A68"/>
    <w:rsid w:val="001B0B93"/>
    <w:rsid w:val="001B15D1"/>
    <w:rsid w:val="001B16E5"/>
    <w:rsid w:val="001B1F00"/>
    <w:rsid w:val="001B3443"/>
    <w:rsid w:val="001B6285"/>
    <w:rsid w:val="001B7C8B"/>
    <w:rsid w:val="001C0F51"/>
    <w:rsid w:val="001C2D39"/>
    <w:rsid w:val="001C36B5"/>
    <w:rsid w:val="001D0D87"/>
    <w:rsid w:val="001E1042"/>
    <w:rsid w:val="001E38B8"/>
    <w:rsid w:val="001E77C4"/>
    <w:rsid w:val="001F5AD3"/>
    <w:rsid w:val="001F6D10"/>
    <w:rsid w:val="0021323F"/>
    <w:rsid w:val="002132AE"/>
    <w:rsid w:val="002166E4"/>
    <w:rsid w:val="002255F7"/>
    <w:rsid w:val="0022593F"/>
    <w:rsid w:val="0023112B"/>
    <w:rsid w:val="0023231A"/>
    <w:rsid w:val="00235A9D"/>
    <w:rsid w:val="0023760D"/>
    <w:rsid w:val="00237ADF"/>
    <w:rsid w:val="00237F1B"/>
    <w:rsid w:val="00240D96"/>
    <w:rsid w:val="00245D81"/>
    <w:rsid w:val="0024767D"/>
    <w:rsid w:val="002503C3"/>
    <w:rsid w:val="00251167"/>
    <w:rsid w:val="002550A7"/>
    <w:rsid w:val="00255596"/>
    <w:rsid w:val="0025572C"/>
    <w:rsid w:val="002557A7"/>
    <w:rsid w:val="00255DCB"/>
    <w:rsid w:val="00261F43"/>
    <w:rsid w:val="00262327"/>
    <w:rsid w:val="002625FB"/>
    <w:rsid w:val="00263A63"/>
    <w:rsid w:val="00264387"/>
    <w:rsid w:val="00264A5A"/>
    <w:rsid w:val="002662B4"/>
    <w:rsid w:val="0026675D"/>
    <w:rsid w:val="002674D8"/>
    <w:rsid w:val="00267635"/>
    <w:rsid w:val="002754BD"/>
    <w:rsid w:val="00277A59"/>
    <w:rsid w:val="0028150E"/>
    <w:rsid w:val="00281FD4"/>
    <w:rsid w:val="002851F2"/>
    <w:rsid w:val="002854C3"/>
    <w:rsid w:val="00291EBD"/>
    <w:rsid w:val="00293CDE"/>
    <w:rsid w:val="00295887"/>
    <w:rsid w:val="002A38F7"/>
    <w:rsid w:val="002A5442"/>
    <w:rsid w:val="002B479B"/>
    <w:rsid w:val="002B7583"/>
    <w:rsid w:val="002C1CA0"/>
    <w:rsid w:val="002C529B"/>
    <w:rsid w:val="002C6AF0"/>
    <w:rsid w:val="002C6E07"/>
    <w:rsid w:val="002D0EB0"/>
    <w:rsid w:val="002D1837"/>
    <w:rsid w:val="002D247E"/>
    <w:rsid w:val="002E0C93"/>
    <w:rsid w:val="002E195D"/>
    <w:rsid w:val="002E2DBA"/>
    <w:rsid w:val="002E3986"/>
    <w:rsid w:val="002E4B35"/>
    <w:rsid w:val="002E6A48"/>
    <w:rsid w:val="002E6E92"/>
    <w:rsid w:val="002E7082"/>
    <w:rsid w:val="002F2BE0"/>
    <w:rsid w:val="002F3AE3"/>
    <w:rsid w:val="002F7E6F"/>
    <w:rsid w:val="0030786C"/>
    <w:rsid w:val="00312A62"/>
    <w:rsid w:val="00313193"/>
    <w:rsid w:val="00316683"/>
    <w:rsid w:val="00330BAA"/>
    <w:rsid w:val="00334097"/>
    <w:rsid w:val="0033606D"/>
    <w:rsid w:val="00341A36"/>
    <w:rsid w:val="00341BEE"/>
    <w:rsid w:val="00343286"/>
    <w:rsid w:val="0034680F"/>
    <w:rsid w:val="00346AFB"/>
    <w:rsid w:val="0035066E"/>
    <w:rsid w:val="00350BE1"/>
    <w:rsid w:val="00353F49"/>
    <w:rsid w:val="00354BCF"/>
    <w:rsid w:val="003559EA"/>
    <w:rsid w:val="003657DB"/>
    <w:rsid w:val="0036588B"/>
    <w:rsid w:val="00365FF7"/>
    <w:rsid w:val="00370326"/>
    <w:rsid w:val="0037037A"/>
    <w:rsid w:val="00374592"/>
    <w:rsid w:val="00380792"/>
    <w:rsid w:val="003808E4"/>
    <w:rsid w:val="0038248B"/>
    <w:rsid w:val="00382B2D"/>
    <w:rsid w:val="00384A53"/>
    <w:rsid w:val="00386683"/>
    <w:rsid w:val="003873C6"/>
    <w:rsid w:val="00392002"/>
    <w:rsid w:val="00392A85"/>
    <w:rsid w:val="00396AFB"/>
    <w:rsid w:val="00397A00"/>
    <w:rsid w:val="003A4E56"/>
    <w:rsid w:val="003A5537"/>
    <w:rsid w:val="003A70CE"/>
    <w:rsid w:val="003B07D0"/>
    <w:rsid w:val="003B4D56"/>
    <w:rsid w:val="003C0E23"/>
    <w:rsid w:val="003C297A"/>
    <w:rsid w:val="003C540E"/>
    <w:rsid w:val="003C5F0C"/>
    <w:rsid w:val="003D17F9"/>
    <w:rsid w:val="003D3806"/>
    <w:rsid w:val="003D437B"/>
    <w:rsid w:val="003D4829"/>
    <w:rsid w:val="003D6D15"/>
    <w:rsid w:val="003E197F"/>
    <w:rsid w:val="003E442B"/>
    <w:rsid w:val="003E63BD"/>
    <w:rsid w:val="003E6E73"/>
    <w:rsid w:val="003E76C8"/>
    <w:rsid w:val="003F08CA"/>
    <w:rsid w:val="003F2D29"/>
    <w:rsid w:val="003F3F0B"/>
    <w:rsid w:val="0040152C"/>
    <w:rsid w:val="00402CBA"/>
    <w:rsid w:val="00412E9D"/>
    <w:rsid w:val="00414952"/>
    <w:rsid w:val="00423210"/>
    <w:rsid w:val="00425504"/>
    <w:rsid w:val="0042727E"/>
    <w:rsid w:val="004305D6"/>
    <w:rsid w:val="004377EE"/>
    <w:rsid w:val="00440CC0"/>
    <w:rsid w:val="00440D73"/>
    <w:rsid w:val="004437F3"/>
    <w:rsid w:val="00447D31"/>
    <w:rsid w:val="00452849"/>
    <w:rsid w:val="00455560"/>
    <w:rsid w:val="00456385"/>
    <w:rsid w:val="00465AB0"/>
    <w:rsid w:val="00467828"/>
    <w:rsid w:val="00470AB8"/>
    <w:rsid w:val="00476B2D"/>
    <w:rsid w:val="00477E9B"/>
    <w:rsid w:val="00482ECA"/>
    <w:rsid w:val="00485776"/>
    <w:rsid w:val="00485794"/>
    <w:rsid w:val="004867E2"/>
    <w:rsid w:val="00486826"/>
    <w:rsid w:val="0048784D"/>
    <w:rsid w:val="00492044"/>
    <w:rsid w:val="00493AA0"/>
    <w:rsid w:val="004A0670"/>
    <w:rsid w:val="004A1CF1"/>
    <w:rsid w:val="004A299A"/>
    <w:rsid w:val="004A4851"/>
    <w:rsid w:val="004A5C81"/>
    <w:rsid w:val="004B0417"/>
    <w:rsid w:val="004B0B10"/>
    <w:rsid w:val="004B2999"/>
    <w:rsid w:val="004C04EB"/>
    <w:rsid w:val="004C3664"/>
    <w:rsid w:val="004C4927"/>
    <w:rsid w:val="004C6833"/>
    <w:rsid w:val="004D448C"/>
    <w:rsid w:val="004E067A"/>
    <w:rsid w:val="004E179B"/>
    <w:rsid w:val="004E2389"/>
    <w:rsid w:val="004E50C2"/>
    <w:rsid w:val="004E58C1"/>
    <w:rsid w:val="004E5B6F"/>
    <w:rsid w:val="004F412D"/>
    <w:rsid w:val="00505824"/>
    <w:rsid w:val="0051563D"/>
    <w:rsid w:val="005179C7"/>
    <w:rsid w:val="0052107C"/>
    <w:rsid w:val="005217C0"/>
    <w:rsid w:val="005221B7"/>
    <w:rsid w:val="00530100"/>
    <w:rsid w:val="0053231E"/>
    <w:rsid w:val="00536E0C"/>
    <w:rsid w:val="005401A1"/>
    <w:rsid w:val="005408C7"/>
    <w:rsid w:val="005422E7"/>
    <w:rsid w:val="005437FD"/>
    <w:rsid w:val="00544A4E"/>
    <w:rsid w:val="005460ED"/>
    <w:rsid w:val="0055205D"/>
    <w:rsid w:val="00553E33"/>
    <w:rsid w:val="00555C4C"/>
    <w:rsid w:val="00555D2E"/>
    <w:rsid w:val="00555D6E"/>
    <w:rsid w:val="00562F72"/>
    <w:rsid w:val="0056304B"/>
    <w:rsid w:val="00565356"/>
    <w:rsid w:val="00566B97"/>
    <w:rsid w:val="00570C6C"/>
    <w:rsid w:val="00584334"/>
    <w:rsid w:val="00591A14"/>
    <w:rsid w:val="0059380A"/>
    <w:rsid w:val="005952F2"/>
    <w:rsid w:val="0059724C"/>
    <w:rsid w:val="005A1AA7"/>
    <w:rsid w:val="005A4D0B"/>
    <w:rsid w:val="005A61B4"/>
    <w:rsid w:val="005A65E0"/>
    <w:rsid w:val="005A735B"/>
    <w:rsid w:val="005B04D8"/>
    <w:rsid w:val="005C1496"/>
    <w:rsid w:val="005C5EF4"/>
    <w:rsid w:val="005C6AAE"/>
    <w:rsid w:val="005D1073"/>
    <w:rsid w:val="005D1804"/>
    <w:rsid w:val="005D2770"/>
    <w:rsid w:val="005D304C"/>
    <w:rsid w:val="005D5D06"/>
    <w:rsid w:val="005D62B5"/>
    <w:rsid w:val="005E2003"/>
    <w:rsid w:val="005E2614"/>
    <w:rsid w:val="005E2695"/>
    <w:rsid w:val="005E7144"/>
    <w:rsid w:val="005F1E4A"/>
    <w:rsid w:val="005F326B"/>
    <w:rsid w:val="00607B0B"/>
    <w:rsid w:val="00611870"/>
    <w:rsid w:val="00613B71"/>
    <w:rsid w:val="00614E29"/>
    <w:rsid w:val="0062216A"/>
    <w:rsid w:val="0062531C"/>
    <w:rsid w:val="00625634"/>
    <w:rsid w:val="00625EC1"/>
    <w:rsid w:val="00626F7D"/>
    <w:rsid w:val="00630199"/>
    <w:rsid w:val="006317C9"/>
    <w:rsid w:val="00632475"/>
    <w:rsid w:val="00632C35"/>
    <w:rsid w:val="006340B0"/>
    <w:rsid w:val="00636395"/>
    <w:rsid w:val="00640F14"/>
    <w:rsid w:val="00641773"/>
    <w:rsid w:val="00641CB0"/>
    <w:rsid w:val="0064239F"/>
    <w:rsid w:val="006456F1"/>
    <w:rsid w:val="006501AE"/>
    <w:rsid w:val="0065144D"/>
    <w:rsid w:val="00653E73"/>
    <w:rsid w:val="006553BA"/>
    <w:rsid w:val="00656A90"/>
    <w:rsid w:val="00657DD2"/>
    <w:rsid w:val="00662002"/>
    <w:rsid w:val="00662E5A"/>
    <w:rsid w:val="00664B6D"/>
    <w:rsid w:val="00664F67"/>
    <w:rsid w:val="006655E2"/>
    <w:rsid w:val="00670F54"/>
    <w:rsid w:val="006728F9"/>
    <w:rsid w:val="006746DA"/>
    <w:rsid w:val="00675990"/>
    <w:rsid w:val="006765C3"/>
    <w:rsid w:val="006767BC"/>
    <w:rsid w:val="006803BA"/>
    <w:rsid w:val="00683720"/>
    <w:rsid w:val="00684FB9"/>
    <w:rsid w:val="00690CC3"/>
    <w:rsid w:val="006922F5"/>
    <w:rsid w:val="00694113"/>
    <w:rsid w:val="006947D9"/>
    <w:rsid w:val="006A16DD"/>
    <w:rsid w:val="006A2587"/>
    <w:rsid w:val="006A641D"/>
    <w:rsid w:val="006B09C4"/>
    <w:rsid w:val="006B2EBD"/>
    <w:rsid w:val="006B3B45"/>
    <w:rsid w:val="006B3CFC"/>
    <w:rsid w:val="006C0CD8"/>
    <w:rsid w:val="006C45E7"/>
    <w:rsid w:val="006C5AEE"/>
    <w:rsid w:val="006C679A"/>
    <w:rsid w:val="006D09FE"/>
    <w:rsid w:val="006D0C40"/>
    <w:rsid w:val="006D15C1"/>
    <w:rsid w:val="006D2783"/>
    <w:rsid w:val="006D4CD4"/>
    <w:rsid w:val="006D732F"/>
    <w:rsid w:val="006E110B"/>
    <w:rsid w:val="006E27DA"/>
    <w:rsid w:val="006E4597"/>
    <w:rsid w:val="006E688D"/>
    <w:rsid w:val="006E7D4C"/>
    <w:rsid w:val="006F1432"/>
    <w:rsid w:val="006F618A"/>
    <w:rsid w:val="006F7964"/>
    <w:rsid w:val="006F7AEF"/>
    <w:rsid w:val="007028EC"/>
    <w:rsid w:val="007035D8"/>
    <w:rsid w:val="0070703E"/>
    <w:rsid w:val="00707D22"/>
    <w:rsid w:val="007103BE"/>
    <w:rsid w:val="00711E21"/>
    <w:rsid w:val="00712832"/>
    <w:rsid w:val="00713F05"/>
    <w:rsid w:val="00715168"/>
    <w:rsid w:val="0071637F"/>
    <w:rsid w:val="00716597"/>
    <w:rsid w:val="00716FED"/>
    <w:rsid w:val="00717F29"/>
    <w:rsid w:val="00722691"/>
    <w:rsid w:val="007238E8"/>
    <w:rsid w:val="0072413F"/>
    <w:rsid w:val="00725FB9"/>
    <w:rsid w:val="00730020"/>
    <w:rsid w:val="007333AD"/>
    <w:rsid w:val="007360BF"/>
    <w:rsid w:val="007363CE"/>
    <w:rsid w:val="00737D4D"/>
    <w:rsid w:val="007406E6"/>
    <w:rsid w:val="00746CCD"/>
    <w:rsid w:val="00747CE1"/>
    <w:rsid w:val="007502AD"/>
    <w:rsid w:val="007517A6"/>
    <w:rsid w:val="007545C7"/>
    <w:rsid w:val="0076005C"/>
    <w:rsid w:val="0076111D"/>
    <w:rsid w:val="007635C1"/>
    <w:rsid w:val="00766B42"/>
    <w:rsid w:val="0076731D"/>
    <w:rsid w:val="00767650"/>
    <w:rsid w:val="00767A90"/>
    <w:rsid w:val="00770588"/>
    <w:rsid w:val="00770EDE"/>
    <w:rsid w:val="0078070C"/>
    <w:rsid w:val="00784541"/>
    <w:rsid w:val="00787790"/>
    <w:rsid w:val="00793D55"/>
    <w:rsid w:val="00794DF2"/>
    <w:rsid w:val="0079604A"/>
    <w:rsid w:val="007968CC"/>
    <w:rsid w:val="00796FB7"/>
    <w:rsid w:val="0079708B"/>
    <w:rsid w:val="007A4FD1"/>
    <w:rsid w:val="007A6356"/>
    <w:rsid w:val="007B04A9"/>
    <w:rsid w:val="007B16AC"/>
    <w:rsid w:val="007B1D5C"/>
    <w:rsid w:val="007B54E0"/>
    <w:rsid w:val="007B5D05"/>
    <w:rsid w:val="007B5D1E"/>
    <w:rsid w:val="007B7CF7"/>
    <w:rsid w:val="007C21BD"/>
    <w:rsid w:val="007C2217"/>
    <w:rsid w:val="007C2E29"/>
    <w:rsid w:val="007C471C"/>
    <w:rsid w:val="007C52D3"/>
    <w:rsid w:val="007C6FF8"/>
    <w:rsid w:val="007D4258"/>
    <w:rsid w:val="007E000D"/>
    <w:rsid w:val="007E175B"/>
    <w:rsid w:val="007E3F8A"/>
    <w:rsid w:val="007E6134"/>
    <w:rsid w:val="007F3645"/>
    <w:rsid w:val="007F58DD"/>
    <w:rsid w:val="007F6791"/>
    <w:rsid w:val="00802131"/>
    <w:rsid w:val="00805E44"/>
    <w:rsid w:val="00811C26"/>
    <w:rsid w:val="00812A44"/>
    <w:rsid w:val="00820059"/>
    <w:rsid w:val="008264EB"/>
    <w:rsid w:val="00826B2A"/>
    <w:rsid w:val="00827924"/>
    <w:rsid w:val="00830756"/>
    <w:rsid w:val="00833852"/>
    <w:rsid w:val="00837A90"/>
    <w:rsid w:val="00842876"/>
    <w:rsid w:val="0084624A"/>
    <w:rsid w:val="00855A49"/>
    <w:rsid w:val="00856DF5"/>
    <w:rsid w:val="00857E76"/>
    <w:rsid w:val="0086059A"/>
    <w:rsid w:val="00861BDA"/>
    <w:rsid w:val="00865247"/>
    <w:rsid w:val="00865932"/>
    <w:rsid w:val="00872059"/>
    <w:rsid w:val="00873673"/>
    <w:rsid w:val="008803A1"/>
    <w:rsid w:val="0088122A"/>
    <w:rsid w:val="008824DC"/>
    <w:rsid w:val="008839CD"/>
    <w:rsid w:val="0088700F"/>
    <w:rsid w:val="00892AC8"/>
    <w:rsid w:val="00897E5A"/>
    <w:rsid w:val="008A07AF"/>
    <w:rsid w:val="008A4580"/>
    <w:rsid w:val="008A4AC8"/>
    <w:rsid w:val="008A4D9C"/>
    <w:rsid w:val="008A4E8B"/>
    <w:rsid w:val="008A58F9"/>
    <w:rsid w:val="008B014E"/>
    <w:rsid w:val="008B602E"/>
    <w:rsid w:val="008C1853"/>
    <w:rsid w:val="008C382A"/>
    <w:rsid w:val="008C7E55"/>
    <w:rsid w:val="008D09DE"/>
    <w:rsid w:val="008D5AFD"/>
    <w:rsid w:val="008D7939"/>
    <w:rsid w:val="008E141A"/>
    <w:rsid w:val="008E3658"/>
    <w:rsid w:val="008E59EB"/>
    <w:rsid w:val="008E5D6A"/>
    <w:rsid w:val="008E7D0D"/>
    <w:rsid w:val="008F040C"/>
    <w:rsid w:val="008F26C0"/>
    <w:rsid w:val="008F7A9A"/>
    <w:rsid w:val="00901462"/>
    <w:rsid w:val="009018CD"/>
    <w:rsid w:val="00901D6C"/>
    <w:rsid w:val="00902A76"/>
    <w:rsid w:val="00904474"/>
    <w:rsid w:val="00904D1C"/>
    <w:rsid w:val="00910141"/>
    <w:rsid w:val="00910847"/>
    <w:rsid w:val="0091137C"/>
    <w:rsid w:val="0091384C"/>
    <w:rsid w:val="0091791A"/>
    <w:rsid w:val="009213F3"/>
    <w:rsid w:val="0092204C"/>
    <w:rsid w:val="00922DEE"/>
    <w:rsid w:val="009238AA"/>
    <w:rsid w:val="009244B8"/>
    <w:rsid w:val="00925748"/>
    <w:rsid w:val="00932407"/>
    <w:rsid w:val="00933B21"/>
    <w:rsid w:val="00933EC2"/>
    <w:rsid w:val="009345A1"/>
    <w:rsid w:val="009374DD"/>
    <w:rsid w:val="00941048"/>
    <w:rsid w:val="009424A5"/>
    <w:rsid w:val="00944C1B"/>
    <w:rsid w:val="00950089"/>
    <w:rsid w:val="00954669"/>
    <w:rsid w:val="0095539D"/>
    <w:rsid w:val="00957E88"/>
    <w:rsid w:val="00961B39"/>
    <w:rsid w:val="00961FBE"/>
    <w:rsid w:val="00964277"/>
    <w:rsid w:val="00965F4D"/>
    <w:rsid w:val="00967252"/>
    <w:rsid w:val="00973548"/>
    <w:rsid w:val="0097582E"/>
    <w:rsid w:val="00977D26"/>
    <w:rsid w:val="00977E26"/>
    <w:rsid w:val="009805EC"/>
    <w:rsid w:val="00980A4A"/>
    <w:rsid w:val="00984227"/>
    <w:rsid w:val="009904EA"/>
    <w:rsid w:val="00991AF5"/>
    <w:rsid w:val="0099343F"/>
    <w:rsid w:val="00995094"/>
    <w:rsid w:val="009A007B"/>
    <w:rsid w:val="009A0425"/>
    <w:rsid w:val="009A263C"/>
    <w:rsid w:val="009B053D"/>
    <w:rsid w:val="009B3E5D"/>
    <w:rsid w:val="009B64E3"/>
    <w:rsid w:val="009C5964"/>
    <w:rsid w:val="009C672E"/>
    <w:rsid w:val="009C77A3"/>
    <w:rsid w:val="009D0B90"/>
    <w:rsid w:val="009D1A6C"/>
    <w:rsid w:val="009D3827"/>
    <w:rsid w:val="009D6852"/>
    <w:rsid w:val="009E0725"/>
    <w:rsid w:val="009E0D48"/>
    <w:rsid w:val="009E1F38"/>
    <w:rsid w:val="009E5D18"/>
    <w:rsid w:val="009E6B78"/>
    <w:rsid w:val="009E6D37"/>
    <w:rsid w:val="009F1EC9"/>
    <w:rsid w:val="009F33F8"/>
    <w:rsid w:val="009F430A"/>
    <w:rsid w:val="009F4ACF"/>
    <w:rsid w:val="009F5557"/>
    <w:rsid w:val="00A028AC"/>
    <w:rsid w:val="00A02BFF"/>
    <w:rsid w:val="00A0554C"/>
    <w:rsid w:val="00A1015B"/>
    <w:rsid w:val="00A11394"/>
    <w:rsid w:val="00A12B60"/>
    <w:rsid w:val="00A139AB"/>
    <w:rsid w:val="00A14828"/>
    <w:rsid w:val="00A15082"/>
    <w:rsid w:val="00A16AEE"/>
    <w:rsid w:val="00A17984"/>
    <w:rsid w:val="00A25AF1"/>
    <w:rsid w:val="00A27245"/>
    <w:rsid w:val="00A369E8"/>
    <w:rsid w:val="00A4199A"/>
    <w:rsid w:val="00A44515"/>
    <w:rsid w:val="00A4512D"/>
    <w:rsid w:val="00A540A7"/>
    <w:rsid w:val="00A541E1"/>
    <w:rsid w:val="00A54775"/>
    <w:rsid w:val="00A5502C"/>
    <w:rsid w:val="00A55A33"/>
    <w:rsid w:val="00A5694A"/>
    <w:rsid w:val="00A62B2E"/>
    <w:rsid w:val="00A65795"/>
    <w:rsid w:val="00A6672E"/>
    <w:rsid w:val="00A705AF"/>
    <w:rsid w:val="00A7126D"/>
    <w:rsid w:val="00A73C2F"/>
    <w:rsid w:val="00A75B58"/>
    <w:rsid w:val="00A77349"/>
    <w:rsid w:val="00A80960"/>
    <w:rsid w:val="00A81D72"/>
    <w:rsid w:val="00A931E2"/>
    <w:rsid w:val="00A93A18"/>
    <w:rsid w:val="00A964DB"/>
    <w:rsid w:val="00A96DED"/>
    <w:rsid w:val="00AA0055"/>
    <w:rsid w:val="00AA0A90"/>
    <w:rsid w:val="00AA3A3E"/>
    <w:rsid w:val="00AA603A"/>
    <w:rsid w:val="00AA66C3"/>
    <w:rsid w:val="00AA6DC2"/>
    <w:rsid w:val="00AA7B58"/>
    <w:rsid w:val="00AB05F5"/>
    <w:rsid w:val="00AB0A6E"/>
    <w:rsid w:val="00AB40AB"/>
    <w:rsid w:val="00AB64E5"/>
    <w:rsid w:val="00AB67C9"/>
    <w:rsid w:val="00AB6E76"/>
    <w:rsid w:val="00AB6ED9"/>
    <w:rsid w:val="00AB6F9B"/>
    <w:rsid w:val="00AC1F54"/>
    <w:rsid w:val="00AC5E20"/>
    <w:rsid w:val="00AC6331"/>
    <w:rsid w:val="00AC637F"/>
    <w:rsid w:val="00AD01B4"/>
    <w:rsid w:val="00AD055C"/>
    <w:rsid w:val="00AD52A0"/>
    <w:rsid w:val="00AD5717"/>
    <w:rsid w:val="00AE05BB"/>
    <w:rsid w:val="00AE0BA6"/>
    <w:rsid w:val="00AE3267"/>
    <w:rsid w:val="00AF6154"/>
    <w:rsid w:val="00B00182"/>
    <w:rsid w:val="00B004EB"/>
    <w:rsid w:val="00B00A7F"/>
    <w:rsid w:val="00B07615"/>
    <w:rsid w:val="00B07D93"/>
    <w:rsid w:val="00B120EA"/>
    <w:rsid w:val="00B163F6"/>
    <w:rsid w:val="00B17FDF"/>
    <w:rsid w:val="00B20701"/>
    <w:rsid w:val="00B213FD"/>
    <w:rsid w:val="00B2338E"/>
    <w:rsid w:val="00B24D50"/>
    <w:rsid w:val="00B24DF4"/>
    <w:rsid w:val="00B2665E"/>
    <w:rsid w:val="00B30753"/>
    <w:rsid w:val="00B328AF"/>
    <w:rsid w:val="00B32DD1"/>
    <w:rsid w:val="00B34E2C"/>
    <w:rsid w:val="00B37148"/>
    <w:rsid w:val="00B3720C"/>
    <w:rsid w:val="00B37974"/>
    <w:rsid w:val="00B41409"/>
    <w:rsid w:val="00B4251C"/>
    <w:rsid w:val="00B42851"/>
    <w:rsid w:val="00B42EA6"/>
    <w:rsid w:val="00B456E0"/>
    <w:rsid w:val="00B459E9"/>
    <w:rsid w:val="00B46E4E"/>
    <w:rsid w:val="00B46FB1"/>
    <w:rsid w:val="00B47076"/>
    <w:rsid w:val="00B5113E"/>
    <w:rsid w:val="00B55FCC"/>
    <w:rsid w:val="00B56B37"/>
    <w:rsid w:val="00B57759"/>
    <w:rsid w:val="00B60D44"/>
    <w:rsid w:val="00B60D86"/>
    <w:rsid w:val="00B754FA"/>
    <w:rsid w:val="00B76C1B"/>
    <w:rsid w:val="00B77D0C"/>
    <w:rsid w:val="00B82E53"/>
    <w:rsid w:val="00B904EC"/>
    <w:rsid w:val="00B91269"/>
    <w:rsid w:val="00B91454"/>
    <w:rsid w:val="00B929D9"/>
    <w:rsid w:val="00B93CD5"/>
    <w:rsid w:val="00B9432A"/>
    <w:rsid w:val="00B95A67"/>
    <w:rsid w:val="00B96A84"/>
    <w:rsid w:val="00BA0015"/>
    <w:rsid w:val="00BA2A5D"/>
    <w:rsid w:val="00BA2DE8"/>
    <w:rsid w:val="00BA4AEE"/>
    <w:rsid w:val="00BB2865"/>
    <w:rsid w:val="00BB2D0A"/>
    <w:rsid w:val="00BC03C4"/>
    <w:rsid w:val="00BC07E4"/>
    <w:rsid w:val="00BC4293"/>
    <w:rsid w:val="00BC4D09"/>
    <w:rsid w:val="00BD0B57"/>
    <w:rsid w:val="00BD5F76"/>
    <w:rsid w:val="00BD649D"/>
    <w:rsid w:val="00BD741B"/>
    <w:rsid w:val="00BE0DE7"/>
    <w:rsid w:val="00BE3098"/>
    <w:rsid w:val="00BE3465"/>
    <w:rsid w:val="00BE4EEB"/>
    <w:rsid w:val="00BE6832"/>
    <w:rsid w:val="00BF2561"/>
    <w:rsid w:val="00BF5905"/>
    <w:rsid w:val="00BF6152"/>
    <w:rsid w:val="00BF7DA5"/>
    <w:rsid w:val="00C025A9"/>
    <w:rsid w:val="00C05CCE"/>
    <w:rsid w:val="00C06314"/>
    <w:rsid w:val="00C10135"/>
    <w:rsid w:val="00C122BA"/>
    <w:rsid w:val="00C123DF"/>
    <w:rsid w:val="00C1347F"/>
    <w:rsid w:val="00C206EE"/>
    <w:rsid w:val="00C23604"/>
    <w:rsid w:val="00C251DB"/>
    <w:rsid w:val="00C261EA"/>
    <w:rsid w:val="00C308FA"/>
    <w:rsid w:val="00C31839"/>
    <w:rsid w:val="00C31A7F"/>
    <w:rsid w:val="00C31EF1"/>
    <w:rsid w:val="00C32280"/>
    <w:rsid w:val="00C33D29"/>
    <w:rsid w:val="00C35287"/>
    <w:rsid w:val="00C35DEC"/>
    <w:rsid w:val="00C35F32"/>
    <w:rsid w:val="00C37662"/>
    <w:rsid w:val="00C436EE"/>
    <w:rsid w:val="00C442F7"/>
    <w:rsid w:val="00C45832"/>
    <w:rsid w:val="00C4757B"/>
    <w:rsid w:val="00C477AC"/>
    <w:rsid w:val="00C516B5"/>
    <w:rsid w:val="00C51BE7"/>
    <w:rsid w:val="00C53C65"/>
    <w:rsid w:val="00C544BB"/>
    <w:rsid w:val="00C548AB"/>
    <w:rsid w:val="00C565EF"/>
    <w:rsid w:val="00C57614"/>
    <w:rsid w:val="00C618D7"/>
    <w:rsid w:val="00C624CC"/>
    <w:rsid w:val="00C63431"/>
    <w:rsid w:val="00C63905"/>
    <w:rsid w:val="00C63C14"/>
    <w:rsid w:val="00C646CF"/>
    <w:rsid w:val="00C64BBB"/>
    <w:rsid w:val="00C64D00"/>
    <w:rsid w:val="00C71CB3"/>
    <w:rsid w:val="00C74935"/>
    <w:rsid w:val="00C7543A"/>
    <w:rsid w:val="00C82F98"/>
    <w:rsid w:val="00C8456F"/>
    <w:rsid w:val="00C84B06"/>
    <w:rsid w:val="00C85E91"/>
    <w:rsid w:val="00C90D94"/>
    <w:rsid w:val="00C911AD"/>
    <w:rsid w:val="00C929AD"/>
    <w:rsid w:val="00CA04C6"/>
    <w:rsid w:val="00CA729C"/>
    <w:rsid w:val="00CB0684"/>
    <w:rsid w:val="00CB2190"/>
    <w:rsid w:val="00CB5999"/>
    <w:rsid w:val="00CB5B1A"/>
    <w:rsid w:val="00CB733F"/>
    <w:rsid w:val="00CC05A3"/>
    <w:rsid w:val="00CC36EF"/>
    <w:rsid w:val="00CC4B4F"/>
    <w:rsid w:val="00CC4B8E"/>
    <w:rsid w:val="00CC5CD8"/>
    <w:rsid w:val="00CC60F7"/>
    <w:rsid w:val="00CC697B"/>
    <w:rsid w:val="00CC7207"/>
    <w:rsid w:val="00CD0DCB"/>
    <w:rsid w:val="00CD4C03"/>
    <w:rsid w:val="00CD78A7"/>
    <w:rsid w:val="00CE0F5B"/>
    <w:rsid w:val="00CE16CC"/>
    <w:rsid w:val="00CE1712"/>
    <w:rsid w:val="00CE3387"/>
    <w:rsid w:val="00CE3A39"/>
    <w:rsid w:val="00CE52B2"/>
    <w:rsid w:val="00CE62F5"/>
    <w:rsid w:val="00CE7355"/>
    <w:rsid w:val="00CF105A"/>
    <w:rsid w:val="00CF1C26"/>
    <w:rsid w:val="00CF319F"/>
    <w:rsid w:val="00CF34D6"/>
    <w:rsid w:val="00CF4118"/>
    <w:rsid w:val="00CF419C"/>
    <w:rsid w:val="00CF5698"/>
    <w:rsid w:val="00CF702F"/>
    <w:rsid w:val="00D05CB2"/>
    <w:rsid w:val="00D07C0D"/>
    <w:rsid w:val="00D10D90"/>
    <w:rsid w:val="00D116AD"/>
    <w:rsid w:val="00D11C9F"/>
    <w:rsid w:val="00D13C42"/>
    <w:rsid w:val="00D1577E"/>
    <w:rsid w:val="00D16B25"/>
    <w:rsid w:val="00D20AD1"/>
    <w:rsid w:val="00D24922"/>
    <w:rsid w:val="00D301EA"/>
    <w:rsid w:val="00D31DC2"/>
    <w:rsid w:val="00D3501C"/>
    <w:rsid w:val="00D41AE5"/>
    <w:rsid w:val="00D429E0"/>
    <w:rsid w:val="00D42B9A"/>
    <w:rsid w:val="00D443A1"/>
    <w:rsid w:val="00D446AF"/>
    <w:rsid w:val="00D469E4"/>
    <w:rsid w:val="00D4728F"/>
    <w:rsid w:val="00D50BCB"/>
    <w:rsid w:val="00D50F47"/>
    <w:rsid w:val="00D5354B"/>
    <w:rsid w:val="00D563D0"/>
    <w:rsid w:val="00D6402E"/>
    <w:rsid w:val="00D655E9"/>
    <w:rsid w:val="00D73507"/>
    <w:rsid w:val="00D738DB"/>
    <w:rsid w:val="00D73FE2"/>
    <w:rsid w:val="00D7465B"/>
    <w:rsid w:val="00D77741"/>
    <w:rsid w:val="00D81026"/>
    <w:rsid w:val="00D812BD"/>
    <w:rsid w:val="00D84622"/>
    <w:rsid w:val="00D87CBD"/>
    <w:rsid w:val="00D9306A"/>
    <w:rsid w:val="00D944BF"/>
    <w:rsid w:val="00D96327"/>
    <w:rsid w:val="00D975CE"/>
    <w:rsid w:val="00DB07A4"/>
    <w:rsid w:val="00DB42E9"/>
    <w:rsid w:val="00DB5454"/>
    <w:rsid w:val="00DB5911"/>
    <w:rsid w:val="00DB65CE"/>
    <w:rsid w:val="00DB790A"/>
    <w:rsid w:val="00DC0477"/>
    <w:rsid w:val="00DC0D24"/>
    <w:rsid w:val="00DC3159"/>
    <w:rsid w:val="00DD047B"/>
    <w:rsid w:val="00DD242F"/>
    <w:rsid w:val="00DD3B07"/>
    <w:rsid w:val="00DD3F05"/>
    <w:rsid w:val="00DD5D99"/>
    <w:rsid w:val="00DD6F15"/>
    <w:rsid w:val="00DD7D9A"/>
    <w:rsid w:val="00DE3C4E"/>
    <w:rsid w:val="00DE5429"/>
    <w:rsid w:val="00DE5D9E"/>
    <w:rsid w:val="00DE75D8"/>
    <w:rsid w:val="00DF0B12"/>
    <w:rsid w:val="00DF3751"/>
    <w:rsid w:val="00DF515C"/>
    <w:rsid w:val="00DF5695"/>
    <w:rsid w:val="00E015E6"/>
    <w:rsid w:val="00E02BEB"/>
    <w:rsid w:val="00E05B44"/>
    <w:rsid w:val="00E066B4"/>
    <w:rsid w:val="00E13C5C"/>
    <w:rsid w:val="00E14731"/>
    <w:rsid w:val="00E209BF"/>
    <w:rsid w:val="00E2144C"/>
    <w:rsid w:val="00E236C6"/>
    <w:rsid w:val="00E3115C"/>
    <w:rsid w:val="00E31524"/>
    <w:rsid w:val="00E3232B"/>
    <w:rsid w:val="00E34F33"/>
    <w:rsid w:val="00E35CBB"/>
    <w:rsid w:val="00E35DC5"/>
    <w:rsid w:val="00E40F95"/>
    <w:rsid w:val="00E41CF8"/>
    <w:rsid w:val="00E4269D"/>
    <w:rsid w:val="00E4312B"/>
    <w:rsid w:val="00E5222C"/>
    <w:rsid w:val="00E55A12"/>
    <w:rsid w:val="00E57576"/>
    <w:rsid w:val="00E604B3"/>
    <w:rsid w:val="00E60650"/>
    <w:rsid w:val="00E60EE1"/>
    <w:rsid w:val="00E60FA0"/>
    <w:rsid w:val="00E6109E"/>
    <w:rsid w:val="00E61B32"/>
    <w:rsid w:val="00E708F6"/>
    <w:rsid w:val="00E716B4"/>
    <w:rsid w:val="00E7210E"/>
    <w:rsid w:val="00E863E5"/>
    <w:rsid w:val="00E86B67"/>
    <w:rsid w:val="00E9314D"/>
    <w:rsid w:val="00E95DFC"/>
    <w:rsid w:val="00EA33D5"/>
    <w:rsid w:val="00EA5C37"/>
    <w:rsid w:val="00EA5E02"/>
    <w:rsid w:val="00EA5FD0"/>
    <w:rsid w:val="00EA63B1"/>
    <w:rsid w:val="00EA7BC9"/>
    <w:rsid w:val="00EB0020"/>
    <w:rsid w:val="00EB0291"/>
    <w:rsid w:val="00EB3985"/>
    <w:rsid w:val="00EB635A"/>
    <w:rsid w:val="00EC3F85"/>
    <w:rsid w:val="00EC7D3F"/>
    <w:rsid w:val="00ED0468"/>
    <w:rsid w:val="00ED0DD3"/>
    <w:rsid w:val="00ED400F"/>
    <w:rsid w:val="00ED648B"/>
    <w:rsid w:val="00EE16DD"/>
    <w:rsid w:val="00EE1ACD"/>
    <w:rsid w:val="00EE2AE5"/>
    <w:rsid w:val="00EE31B0"/>
    <w:rsid w:val="00EE356F"/>
    <w:rsid w:val="00EE397E"/>
    <w:rsid w:val="00EE552C"/>
    <w:rsid w:val="00EE65B1"/>
    <w:rsid w:val="00EF1C55"/>
    <w:rsid w:val="00EF1C95"/>
    <w:rsid w:val="00EF23C0"/>
    <w:rsid w:val="00EF2774"/>
    <w:rsid w:val="00EF4059"/>
    <w:rsid w:val="00EF5586"/>
    <w:rsid w:val="00F00403"/>
    <w:rsid w:val="00F01AB0"/>
    <w:rsid w:val="00F0565A"/>
    <w:rsid w:val="00F067A6"/>
    <w:rsid w:val="00F078B7"/>
    <w:rsid w:val="00F07B77"/>
    <w:rsid w:val="00F100D6"/>
    <w:rsid w:val="00F11CFE"/>
    <w:rsid w:val="00F1278D"/>
    <w:rsid w:val="00F12C31"/>
    <w:rsid w:val="00F14BFD"/>
    <w:rsid w:val="00F17566"/>
    <w:rsid w:val="00F20F84"/>
    <w:rsid w:val="00F22277"/>
    <w:rsid w:val="00F238F2"/>
    <w:rsid w:val="00F332B3"/>
    <w:rsid w:val="00F34D63"/>
    <w:rsid w:val="00F35F7A"/>
    <w:rsid w:val="00F41C35"/>
    <w:rsid w:val="00F43E62"/>
    <w:rsid w:val="00F4438C"/>
    <w:rsid w:val="00F46ED7"/>
    <w:rsid w:val="00F549D7"/>
    <w:rsid w:val="00F556DB"/>
    <w:rsid w:val="00F560D5"/>
    <w:rsid w:val="00F56325"/>
    <w:rsid w:val="00F57294"/>
    <w:rsid w:val="00F64789"/>
    <w:rsid w:val="00F7386F"/>
    <w:rsid w:val="00F73D95"/>
    <w:rsid w:val="00F7441E"/>
    <w:rsid w:val="00F77044"/>
    <w:rsid w:val="00F776F9"/>
    <w:rsid w:val="00F8015E"/>
    <w:rsid w:val="00F83598"/>
    <w:rsid w:val="00F85766"/>
    <w:rsid w:val="00F866FA"/>
    <w:rsid w:val="00F87AD4"/>
    <w:rsid w:val="00F91869"/>
    <w:rsid w:val="00F91CCA"/>
    <w:rsid w:val="00F931D3"/>
    <w:rsid w:val="00F9524F"/>
    <w:rsid w:val="00F95769"/>
    <w:rsid w:val="00FA289A"/>
    <w:rsid w:val="00FA3C5E"/>
    <w:rsid w:val="00FA4197"/>
    <w:rsid w:val="00FB0619"/>
    <w:rsid w:val="00FB375B"/>
    <w:rsid w:val="00FB5FAD"/>
    <w:rsid w:val="00FB6425"/>
    <w:rsid w:val="00FB722E"/>
    <w:rsid w:val="00FC3BB9"/>
    <w:rsid w:val="00FC7F5D"/>
    <w:rsid w:val="00FD1BC7"/>
    <w:rsid w:val="00FD1D84"/>
    <w:rsid w:val="00FD4E9C"/>
    <w:rsid w:val="00FD50A4"/>
    <w:rsid w:val="00FD744A"/>
    <w:rsid w:val="00FE58D5"/>
    <w:rsid w:val="00FE5CA3"/>
    <w:rsid w:val="00FF08C3"/>
    <w:rsid w:val="00FF2340"/>
    <w:rsid w:val="00FF7C86"/>
    <w:rsid w:val="195DC23D"/>
    <w:rsid w:val="235B7916"/>
    <w:rsid w:val="25F1E2E4"/>
    <w:rsid w:val="26B096D1"/>
    <w:rsid w:val="2E4EEEA3"/>
    <w:rsid w:val="41486300"/>
    <w:rsid w:val="45CA8839"/>
    <w:rsid w:val="6144CC3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E58266B"/>
  <w15:docId w15:val="{4A75610F-50AC-B647-8C56-C71A739AA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AU" w:eastAsia="en-AU" w:bidi="ar-SA"/>
      </w:rPr>
    </w:rPrDefault>
    <w:pPrDefault>
      <w:pPr>
        <w:spacing w:after="80"/>
      </w:pPr>
    </w:pPrDefault>
  </w:docDefaults>
  <w:latentStyles w:defLockedState="1" w:defUIPriority="0" w:defSemiHidden="0" w:defUnhideWhenUsed="0" w:defQFormat="0" w:count="376">
    <w:lsdException w:name="Normal" w:locked="0" w:qFormat="1"/>
    <w:lsdException w:name="heading 1" w:locked="0" w:uiPriority="99" w:qFormat="1"/>
    <w:lsdException w:name="heading 2" w:locked="0" w:uiPriority="99" w:qFormat="1"/>
    <w:lsdException w:name="heading 3" w:locked="0" w:semiHidden="1" w:uiPriority="99" w:unhideWhenUsed="1" w:qFormat="1"/>
    <w:lsdException w:name="heading 4" w:locked="0" w:semiHidden="1" w:uiPriority="99" w:unhideWhenUsed="1" w:qFormat="1"/>
    <w:lsdException w:name="heading 5" w:locked="0"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99" w:unhideWhenUsed="1"/>
    <w:lsdException w:name="annotation text" w:semiHidden="1" w:uiPriority="99" w:unhideWhenUsed="1"/>
    <w:lsdException w:name="header" w:semiHidden="1" w:uiPriority="99" w:unhideWhenUsed="1"/>
    <w:lsdException w:name="footer" w:locked="0"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locked="0"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Bullet" w:uiPriority="99"/>
    <w:lsdException w:name="List Number"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locked="0" w:uiPriority="99" w:qFormat="1"/>
    <w:lsdException w:name="Closing" w:semiHidden="1" w:unhideWhenUsed="1"/>
    <w:lsdException w:name="Signature" w:semiHidden="1" w:unhideWhenUsed="1"/>
    <w:lsdException w:name="Default Paragraph Font" w:locked="0"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Subtitle" w:qFormat="1"/>
    <w:lsdException w:name="Salutation" w:semiHidden="1"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qFormat="1"/>
    <w:lsdException w:name="FollowedHyperlink" w:locked="0" w:semiHidden="1" w:uiPriority="99" w:unhideWhenUsed="1"/>
    <w:lsdException w:name="Strong" w:locked="0" w:uiPriority="99" w:qFormat="1"/>
    <w:lsdException w:name="Emphasis" w:locked="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8" w:unhideWhenUsed="1"/>
    <w:lsdException w:name="HTML Code" w:semiHidden="1" w:uiPriority="98" w:unhideWhenUsed="1"/>
    <w:lsdException w:name="HTML Definition" w:semiHidden="1" w:uiPriority="98" w:unhideWhenUsed="1"/>
    <w:lsdException w:name="HTML Keyboard" w:semiHidden="1" w:uiPriority="98" w:unhideWhenUsed="1"/>
    <w:lsdException w:name="HTML Preformatted" w:semiHidden="1" w:unhideWhenUsed="1"/>
    <w:lsdException w:name="HTML Sample" w:semiHidden="1" w:uiPriority="98" w:unhideWhenUsed="1"/>
    <w:lsdException w:name="HTML Typewriter" w:semiHidden="1" w:uiPriority="98" w:unhideWhenUsed="1"/>
    <w:lsdException w:name="HTML Variable" w:semiHidden="1" w:uiPriority="98" w:unhideWhenUsed="1"/>
    <w:lsdException w:name="Normal Table" w:locked="0" w:semiHidden="1" w:unhideWhenUsed="1"/>
    <w:lsdException w:name="annotation subject" w:semiHidden="1" w:uiPriority="99"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0"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98"/>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locked="0" w:uiPriority="29" w:qFormat="1"/>
    <w:lsdException w:name="Intense Quote" w:uiPriority="98"/>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99"/>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99"/>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61"/>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8"/>
    <w:lsdException w:name="Intense Emphasis" w:uiPriority="98"/>
    <w:lsdException w:name="Subtle Reference" w:uiPriority="98"/>
    <w:lsdException w:name="Intense Reference" w:uiPriority="32" w:qFormat="1"/>
    <w:lsdException w:name="Book Title" w:uiPriority="98"/>
    <w:lsdException w:name="Bibliography" w:semiHidden="1" w:uiPriority="98" w:unhideWhenUsed="1"/>
    <w:lsdException w:name="TOC Heading" w:locked="0" w:semiHidden="1" w:unhideWhenUsed="1" w:qFormat="1"/>
    <w:lsdException w:name="Plain Table 1" w:uiPriority="98"/>
    <w:lsdException w:name="Plain Table 2" w:uiPriority="98"/>
    <w:lsdException w:name="Plain Table 3" w:uiPriority="98"/>
    <w:lsdException w:name="Plain Table 4" w:uiPriority="98"/>
    <w:lsdException w:name="Plain Table 5" w:uiPriority="98"/>
    <w:lsdException w:name="Grid Table Light" w:uiPriority="40"/>
    <w:lsdException w:name="Grid Table 1 Light" w:uiPriority="98"/>
    <w:lsdException w:name="Grid Table 2" w:uiPriority="98"/>
    <w:lsdException w:name="Grid Table 3" w:uiPriority="9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690CC3"/>
    <w:pPr>
      <w:spacing w:before="120" w:after="120"/>
    </w:pPr>
  </w:style>
  <w:style w:type="paragraph" w:styleId="Heading1">
    <w:name w:val="heading 1"/>
    <w:basedOn w:val="Normal"/>
    <w:next w:val="Normal"/>
    <w:link w:val="Heading1Char"/>
    <w:uiPriority w:val="99"/>
    <w:qFormat/>
    <w:rsid w:val="008C1853"/>
    <w:pPr>
      <w:spacing w:before="480" w:after="240"/>
      <w:outlineLvl w:val="0"/>
    </w:pPr>
    <w:rPr>
      <w:rFonts w:cs="Arial"/>
      <w:b/>
      <w:bCs/>
      <w:color w:val="005370" w:themeColor="text2"/>
      <w:kern w:val="28"/>
      <w:sz w:val="40"/>
      <w:szCs w:val="32"/>
    </w:rPr>
  </w:style>
  <w:style w:type="paragraph" w:styleId="Heading2">
    <w:name w:val="heading 2"/>
    <w:basedOn w:val="Heading1"/>
    <w:next w:val="Normal"/>
    <w:link w:val="Heading2Char"/>
    <w:uiPriority w:val="99"/>
    <w:qFormat/>
    <w:rsid w:val="002A5442"/>
    <w:pPr>
      <w:spacing w:before="360"/>
      <w:outlineLvl w:val="1"/>
    </w:pPr>
    <w:rPr>
      <w:bCs w:val="0"/>
      <w:iCs/>
      <w:sz w:val="32"/>
      <w:szCs w:val="28"/>
    </w:rPr>
  </w:style>
  <w:style w:type="paragraph" w:styleId="Heading3">
    <w:name w:val="heading 3"/>
    <w:basedOn w:val="Heading2"/>
    <w:next w:val="Normal"/>
    <w:link w:val="Heading3Char"/>
    <w:uiPriority w:val="99"/>
    <w:qFormat/>
    <w:rsid w:val="00A81D72"/>
    <w:pPr>
      <w:spacing w:before="300" w:after="180"/>
      <w:outlineLvl w:val="2"/>
    </w:pPr>
    <w:rPr>
      <w:bCs/>
      <w:sz w:val="28"/>
      <w:szCs w:val="26"/>
    </w:rPr>
  </w:style>
  <w:style w:type="paragraph" w:styleId="Heading4">
    <w:name w:val="heading 4"/>
    <w:basedOn w:val="Normal"/>
    <w:next w:val="Normal"/>
    <w:link w:val="Heading4Char"/>
    <w:uiPriority w:val="99"/>
    <w:qFormat/>
    <w:rsid w:val="001A1EBD"/>
    <w:pPr>
      <w:keepNext/>
      <w:spacing w:before="240"/>
      <w:outlineLvl w:val="3"/>
    </w:pPr>
    <w:rPr>
      <w:b/>
      <w:bCs/>
      <w:color w:val="000000" w:themeColor="text1"/>
      <w:sz w:val="24"/>
      <w:szCs w:val="26"/>
    </w:rPr>
  </w:style>
  <w:style w:type="paragraph" w:styleId="Heading5">
    <w:name w:val="heading 5"/>
    <w:basedOn w:val="Normal"/>
    <w:next w:val="Normal"/>
    <w:link w:val="Heading5Char"/>
    <w:uiPriority w:val="99"/>
    <w:qFormat/>
    <w:rsid w:val="002A5442"/>
    <w:pPr>
      <w:keepNext/>
      <w:spacing w:before="240"/>
      <w:outlineLvl w:val="4"/>
    </w:pPr>
    <w:rPr>
      <w:b/>
      <w:bCs/>
      <w:iCs/>
      <w:color w:val="000000" w:themeColor="text1"/>
    </w:rPr>
  </w:style>
  <w:style w:type="paragraph" w:styleId="Heading6">
    <w:name w:val="heading 6"/>
    <w:basedOn w:val="Normal"/>
    <w:next w:val="Normal"/>
    <w:link w:val="Heading6Char"/>
    <w:uiPriority w:val="99"/>
    <w:qFormat/>
    <w:locked/>
    <w:rsid w:val="007E3F8A"/>
    <w:pPr>
      <w:keepNext/>
      <w:outlineLvl w:val="5"/>
    </w:pPr>
    <w:rPr>
      <w:bCs/>
      <w:i/>
      <w:u w:val="single"/>
    </w:rPr>
  </w:style>
  <w:style w:type="paragraph" w:styleId="Heading7">
    <w:name w:val="heading 7"/>
    <w:basedOn w:val="Normal"/>
    <w:next w:val="Normal"/>
    <w:link w:val="Heading7Char"/>
    <w:uiPriority w:val="99"/>
    <w:qFormat/>
    <w:locked/>
    <w:rsid w:val="00192720"/>
    <w:pPr>
      <w:spacing w:before="0" w:after="60"/>
      <w:ind w:left="1296" w:hanging="1296"/>
      <w:outlineLvl w:val="6"/>
    </w:pPr>
    <w:rPr>
      <w:rFonts w:ascii="Arial" w:hAnsi="Arial"/>
      <w:szCs w:val="24"/>
    </w:rPr>
  </w:style>
  <w:style w:type="paragraph" w:styleId="Heading8">
    <w:name w:val="heading 8"/>
    <w:basedOn w:val="Normal"/>
    <w:next w:val="Normal"/>
    <w:link w:val="Heading8Char"/>
    <w:uiPriority w:val="99"/>
    <w:unhideWhenUsed/>
    <w:qFormat/>
    <w:locked/>
    <w:rsid w:val="00192720"/>
    <w:pPr>
      <w:keepNext/>
      <w:keepLines/>
      <w:spacing w:before="40" w:after="0" w:line="276"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unhideWhenUsed/>
    <w:qFormat/>
    <w:locked/>
    <w:rsid w:val="00192720"/>
    <w:pPr>
      <w:keepNext/>
      <w:keepLines/>
      <w:spacing w:before="40" w:after="0" w:line="276" w:lineRule="auto"/>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A705AF"/>
    <w:rPr>
      <w:i/>
      <w:iCs/>
    </w:rPr>
  </w:style>
  <w:style w:type="character" w:styleId="Strong">
    <w:name w:val="Strong"/>
    <w:basedOn w:val="DefaultParagraphFont"/>
    <w:uiPriority w:val="99"/>
    <w:qFormat/>
    <w:rsid w:val="00A705AF"/>
    <w:rPr>
      <w:b/>
      <w:bCs/>
    </w:rPr>
  </w:style>
  <w:style w:type="paragraph" w:styleId="Subtitle">
    <w:name w:val="Subtitle"/>
    <w:basedOn w:val="Normal"/>
    <w:next w:val="Normal"/>
    <w:link w:val="SubtitleChar"/>
    <w:qFormat/>
    <w:locked/>
    <w:rsid w:val="00F866FA"/>
    <w:pPr>
      <w:numPr>
        <w:ilvl w:val="1"/>
      </w:numPr>
      <w:spacing w:after="240"/>
      <w:ind w:right="397"/>
    </w:pPr>
    <w:rPr>
      <w:rFonts w:asciiTheme="majorHAnsi" w:eastAsiaTheme="majorEastAsia" w:hAnsiTheme="majorHAnsi" w:cs="Times New Roman (Headings CS)"/>
      <w:b/>
      <w:iCs/>
      <w:color w:val="1178A0" w:themeColor="background2"/>
      <w:sz w:val="40"/>
    </w:rPr>
  </w:style>
  <w:style w:type="character" w:customStyle="1" w:styleId="SubtitleChar">
    <w:name w:val="Subtitle Char"/>
    <w:basedOn w:val="DefaultParagraphFont"/>
    <w:link w:val="Subtitle"/>
    <w:rsid w:val="00F866FA"/>
    <w:rPr>
      <w:rFonts w:asciiTheme="majorHAnsi" w:eastAsiaTheme="majorEastAsia" w:hAnsiTheme="majorHAnsi" w:cs="Times New Roman (Headings CS)"/>
      <w:b/>
      <w:iCs/>
      <w:color w:val="1178A0" w:themeColor="background2"/>
      <w:sz w:val="40"/>
    </w:rPr>
  </w:style>
  <w:style w:type="paragraph" w:styleId="Title">
    <w:name w:val="Title"/>
    <w:basedOn w:val="Normal"/>
    <w:next w:val="Normal"/>
    <w:link w:val="TitleChar"/>
    <w:uiPriority w:val="99"/>
    <w:qFormat/>
    <w:rsid w:val="00D975CE"/>
    <w:pPr>
      <w:spacing w:before="480" w:after="240"/>
      <w:contextualSpacing/>
    </w:pPr>
    <w:rPr>
      <w:rFonts w:asciiTheme="majorHAnsi" w:eastAsiaTheme="majorEastAsia" w:hAnsiTheme="majorHAnsi" w:cs="Times New Roman (Headings CS)"/>
      <w:b/>
      <w:color w:val="005370" w:themeColor="text2"/>
      <w:spacing w:val="-6"/>
      <w:kern w:val="28"/>
      <w:sz w:val="60"/>
      <w:szCs w:val="56"/>
    </w:rPr>
  </w:style>
  <w:style w:type="character" w:customStyle="1" w:styleId="TitleChar">
    <w:name w:val="Title Char"/>
    <w:basedOn w:val="DefaultParagraphFont"/>
    <w:link w:val="Title"/>
    <w:uiPriority w:val="99"/>
    <w:rsid w:val="00D975CE"/>
    <w:rPr>
      <w:rFonts w:asciiTheme="majorHAnsi" w:eastAsiaTheme="majorEastAsia" w:hAnsiTheme="majorHAnsi" w:cs="Times New Roman (Headings CS)"/>
      <w:b/>
      <w:color w:val="005370" w:themeColor="text2"/>
      <w:spacing w:val="-6"/>
      <w:kern w:val="28"/>
      <w:sz w:val="60"/>
      <w:szCs w:val="56"/>
    </w:rPr>
  </w:style>
  <w:style w:type="paragraph" w:customStyle="1" w:styleId="PulloutTextHead">
    <w:name w:val="Pullout Text Head"/>
    <w:basedOn w:val="Heading3"/>
    <w:qFormat/>
    <w:rsid w:val="00036AB8"/>
    <w:pPr>
      <w:pBdr>
        <w:left w:val="single" w:sz="48" w:space="8" w:color="1178A0" w:themeColor="background2"/>
      </w:pBdr>
      <w:spacing w:before="180" w:after="120"/>
      <w:ind w:left="284"/>
    </w:pPr>
    <w:rPr>
      <w:caps/>
      <w:sz w:val="22"/>
      <w:lang w:val="en-GB"/>
    </w:rPr>
  </w:style>
  <w:style w:type="paragraph" w:styleId="TOC1">
    <w:name w:val="toc 1"/>
    <w:basedOn w:val="Normal"/>
    <w:next w:val="Normal"/>
    <w:autoRedefine/>
    <w:uiPriority w:val="39"/>
    <w:qFormat/>
    <w:rsid w:val="00C82F98"/>
    <w:pPr>
      <w:tabs>
        <w:tab w:val="right" w:leader="dot" w:pos="9015"/>
      </w:tabs>
    </w:pPr>
    <w:rPr>
      <w:rFonts w:cstheme="minorHAnsi"/>
      <w:b/>
      <w:bCs/>
      <w:color w:val="005370" w:themeColor="text2"/>
      <w:sz w:val="24"/>
      <w:szCs w:val="20"/>
    </w:rPr>
  </w:style>
  <w:style w:type="paragraph" w:styleId="TOC2">
    <w:name w:val="toc 2"/>
    <w:basedOn w:val="Normal"/>
    <w:next w:val="Normal"/>
    <w:autoRedefine/>
    <w:uiPriority w:val="39"/>
    <w:qFormat/>
    <w:rsid w:val="004A299A"/>
    <w:pPr>
      <w:tabs>
        <w:tab w:val="right" w:leader="dot" w:pos="9015"/>
      </w:tabs>
      <w:ind w:left="221"/>
    </w:pPr>
    <w:rPr>
      <w:rFonts w:cstheme="minorHAnsi"/>
      <w:noProof/>
      <w:szCs w:val="20"/>
    </w:rPr>
  </w:style>
  <w:style w:type="paragraph" w:styleId="TOC3">
    <w:name w:val="toc 3"/>
    <w:basedOn w:val="Normal"/>
    <w:next w:val="Normal"/>
    <w:autoRedefine/>
    <w:uiPriority w:val="39"/>
    <w:qFormat/>
    <w:rsid w:val="007A4FD1"/>
    <w:pPr>
      <w:tabs>
        <w:tab w:val="right" w:leader="dot" w:pos="9015"/>
      </w:tabs>
      <w:spacing w:after="0"/>
      <w:ind w:left="442"/>
    </w:pPr>
    <w:rPr>
      <w:rFonts w:cs="Arial (Body)"/>
      <w:iCs/>
      <w:noProof/>
      <w:szCs w:val="20"/>
    </w:rPr>
  </w:style>
  <w:style w:type="paragraph" w:customStyle="1" w:styleId="FigureTableTitle">
    <w:name w:val="Figure/Table Title"/>
    <w:basedOn w:val="Normal"/>
    <w:qFormat/>
    <w:rsid w:val="00FD1BC7"/>
    <w:pPr>
      <w:spacing w:before="240" w:after="240"/>
      <w:contextualSpacing/>
    </w:pPr>
    <w:rPr>
      <w:b/>
    </w:rPr>
  </w:style>
  <w:style w:type="paragraph" w:styleId="FootnoteText">
    <w:name w:val="footnote text"/>
    <w:basedOn w:val="Normal"/>
    <w:link w:val="FootnoteTextChar"/>
    <w:uiPriority w:val="99"/>
    <w:rsid w:val="006765C3"/>
    <w:pPr>
      <w:spacing w:before="180" w:after="180"/>
      <w:contextualSpacing/>
    </w:pPr>
    <w:rPr>
      <w:sz w:val="18"/>
      <w:szCs w:val="20"/>
    </w:rPr>
  </w:style>
  <w:style w:type="character" w:customStyle="1" w:styleId="FootnoteTextChar">
    <w:name w:val="Footnote Text Char"/>
    <w:basedOn w:val="DefaultParagraphFont"/>
    <w:link w:val="FootnoteText"/>
    <w:uiPriority w:val="99"/>
    <w:rsid w:val="006765C3"/>
    <w:rPr>
      <w:sz w:val="18"/>
      <w:szCs w:val="20"/>
    </w:rPr>
  </w:style>
  <w:style w:type="character" w:styleId="FootnoteReference">
    <w:name w:val="footnote reference"/>
    <w:basedOn w:val="DefaultParagraphFont"/>
    <w:uiPriority w:val="99"/>
    <w:rsid w:val="00E13C5C"/>
    <w:rPr>
      <w:rFonts w:ascii="Arial" w:hAnsi="Arial"/>
      <w:vertAlign w:val="superscript"/>
    </w:rPr>
  </w:style>
  <w:style w:type="table" w:styleId="TableGrid">
    <w:name w:val="Table Grid"/>
    <w:aliases w:val="Light Heading"/>
    <w:basedOn w:val="TableNormal"/>
    <w:uiPriority w:val="39"/>
    <w:locked/>
    <w:rsid w:val="00FB722E"/>
    <w:pPr>
      <w:spacing w:before="60" w:after="60"/>
    </w:pPr>
    <w:rPr>
      <w:color w:val="000000" w:themeColor="text1"/>
      <w:sz w:val="20"/>
    </w:rPr>
    <w:tblPr>
      <w:tblBorders>
        <w:top w:val="single" w:sz="4" w:space="0" w:color="005370" w:themeColor="text2"/>
        <w:left w:val="single" w:sz="4" w:space="0" w:color="005370" w:themeColor="text2"/>
        <w:bottom w:val="single" w:sz="4" w:space="0" w:color="005370" w:themeColor="text2"/>
        <w:right w:val="single" w:sz="4" w:space="0" w:color="005370" w:themeColor="text2"/>
        <w:insideH w:val="single" w:sz="4" w:space="0" w:color="005370" w:themeColor="text2"/>
        <w:insideV w:val="single" w:sz="4" w:space="0" w:color="005370" w:themeColor="text2"/>
      </w:tblBorders>
      <w:tblCellMar>
        <w:top w:w="57" w:type="dxa"/>
        <w:left w:w="57" w:type="dxa"/>
        <w:bottom w:w="57" w:type="dxa"/>
        <w:right w:w="57" w:type="dxa"/>
      </w:tblCellMar>
    </w:tblPr>
    <w:tcPr>
      <w:shd w:val="clear" w:color="auto" w:fill="auto"/>
    </w:tcPr>
    <w:tblStylePr w:type="firstRow">
      <w:pPr>
        <w:wordWrap/>
        <w:spacing w:beforeLines="0" w:before="60" w:beforeAutospacing="0" w:afterLines="0" w:after="60" w:afterAutospacing="0" w:line="240" w:lineRule="auto"/>
        <w:jc w:val="left"/>
        <w:outlineLvl w:val="9"/>
      </w:pPr>
      <w:rPr>
        <w:rFonts w:asciiTheme="minorHAnsi" w:hAnsiTheme="minorHAnsi"/>
        <w:b/>
        <w:color w:val="000000" w:themeColor="text1"/>
        <w:sz w:val="20"/>
      </w:rPr>
      <w:tblPr/>
      <w:tcPr>
        <w:shd w:val="clear" w:color="auto" w:fill="E6F1F8" w:themeFill="accent2"/>
      </w:tcPr>
    </w:tblStylePr>
  </w:style>
  <w:style w:type="character" w:customStyle="1" w:styleId="Underline">
    <w:name w:val="Underline"/>
    <w:basedOn w:val="DefaultParagraphFont"/>
    <w:qFormat/>
    <w:rsid w:val="00E13C5C"/>
    <w:rPr>
      <w:u w:val="single"/>
    </w:rPr>
  </w:style>
  <w:style w:type="paragraph" w:styleId="Header">
    <w:name w:val="header"/>
    <w:basedOn w:val="Normal"/>
    <w:link w:val="HeaderChar"/>
    <w:uiPriority w:val="99"/>
    <w:unhideWhenUsed/>
    <w:locked/>
    <w:rsid w:val="00555D6E"/>
    <w:pPr>
      <w:tabs>
        <w:tab w:val="center" w:pos="4513"/>
        <w:tab w:val="right" w:pos="9026"/>
      </w:tabs>
      <w:spacing w:before="0" w:after="0"/>
    </w:pPr>
  </w:style>
  <w:style w:type="character" w:styleId="PlaceholderText">
    <w:name w:val="Placeholder Text"/>
    <w:basedOn w:val="DefaultParagraphFont"/>
    <w:uiPriority w:val="99"/>
    <w:semiHidden/>
    <w:locked/>
    <w:rsid w:val="00C51BE7"/>
    <w:rPr>
      <w:color w:val="808080"/>
    </w:rPr>
  </w:style>
  <w:style w:type="character" w:customStyle="1" w:styleId="HeaderChar">
    <w:name w:val="Header Char"/>
    <w:basedOn w:val="DefaultParagraphFont"/>
    <w:link w:val="Header"/>
    <w:uiPriority w:val="99"/>
    <w:rsid w:val="00555D6E"/>
  </w:style>
  <w:style w:type="character" w:styleId="Hyperlink">
    <w:name w:val="Hyperlink"/>
    <w:basedOn w:val="DefaultParagraphFont"/>
    <w:uiPriority w:val="99"/>
    <w:qFormat/>
    <w:rsid w:val="009374DD"/>
    <w:rPr>
      <w:color w:val="005370" w:themeColor="text2"/>
      <w:u w:val="single"/>
    </w:rPr>
  </w:style>
  <w:style w:type="paragraph" w:styleId="Footer">
    <w:name w:val="footer"/>
    <w:basedOn w:val="Normal"/>
    <w:link w:val="FooterChar"/>
    <w:uiPriority w:val="99"/>
    <w:rsid w:val="00D84622"/>
    <w:pPr>
      <w:tabs>
        <w:tab w:val="right" w:pos="9638"/>
      </w:tabs>
      <w:spacing w:after="0"/>
    </w:pPr>
    <w:rPr>
      <w:sz w:val="20"/>
    </w:rPr>
  </w:style>
  <w:style w:type="character" w:customStyle="1" w:styleId="FooterChar">
    <w:name w:val="Footer Char"/>
    <w:basedOn w:val="DefaultParagraphFont"/>
    <w:link w:val="Footer"/>
    <w:uiPriority w:val="99"/>
    <w:rsid w:val="00D84622"/>
    <w:rPr>
      <w:sz w:val="20"/>
    </w:rPr>
  </w:style>
  <w:style w:type="character" w:styleId="FollowedHyperlink">
    <w:name w:val="FollowedHyperlink"/>
    <w:basedOn w:val="DefaultParagraphFont"/>
    <w:uiPriority w:val="99"/>
    <w:rsid w:val="006E4597"/>
    <w:rPr>
      <w:color w:val="1178A0" w:themeColor="background2"/>
      <w:u w:val="single"/>
    </w:rPr>
  </w:style>
  <w:style w:type="paragraph" w:styleId="TOCHeading">
    <w:name w:val="TOC Heading"/>
    <w:basedOn w:val="Heading1"/>
    <w:next w:val="Normal"/>
    <w:unhideWhenUsed/>
    <w:qFormat/>
    <w:rsid w:val="00255596"/>
    <w:pPr>
      <w:spacing w:after="0" w:line="276" w:lineRule="auto"/>
      <w:outlineLvl w:val="9"/>
    </w:pPr>
    <w:rPr>
      <w:rFonts w:asciiTheme="majorHAnsi" w:eastAsiaTheme="majorEastAsia" w:hAnsiTheme="majorHAnsi" w:cstheme="majorBidi"/>
      <w:color w:val="007CAB" w:themeColor="accent1" w:themeShade="BF"/>
      <w:kern w:val="0"/>
      <w:szCs w:val="28"/>
      <w:lang w:val="en-US" w:eastAsia="ja-JP"/>
    </w:rPr>
  </w:style>
  <w:style w:type="paragraph" w:customStyle="1" w:styleId="Captions">
    <w:name w:val="Captions"/>
    <w:basedOn w:val="Normal"/>
    <w:link w:val="CaptionsChar"/>
    <w:qFormat/>
    <w:rsid w:val="00A15082"/>
    <w:rPr>
      <w:sz w:val="20"/>
      <w:szCs w:val="20"/>
    </w:rPr>
  </w:style>
  <w:style w:type="character" w:customStyle="1" w:styleId="CaptionsChar">
    <w:name w:val="Captions Char"/>
    <w:basedOn w:val="DefaultParagraphFont"/>
    <w:link w:val="Captions"/>
    <w:rsid w:val="00A15082"/>
    <w:rPr>
      <w:rFonts w:ascii="Arial" w:hAnsi="Arial"/>
      <w:color w:val="000000" w:themeColor="text1"/>
      <w:lang w:eastAsia="en-US"/>
    </w:rPr>
  </w:style>
  <w:style w:type="numbering" w:customStyle="1" w:styleId="Listbullets">
    <w:name w:val="List bullets"/>
    <w:uiPriority w:val="99"/>
    <w:rsid w:val="000D017D"/>
    <w:pPr>
      <w:numPr>
        <w:numId w:val="1"/>
      </w:numPr>
    </w:pPr>
  </w:style>
  <w:style w:type="numbering" w:customStyle="1" w:styleId="Bullet">
    <w:name w:val="Bullet"/>
    <w:uiPriority w:val="99"/>
    <w:locked/>
    <w:rsid w:val="000D017D"/>
    <w:pPr>
      <w:numPr>
        <w:numId w:val="2"/>
      </w:numPr>
    </w:pPr>
  </w:style>
  <w:style w:type="numbering" w:customStyle="1" w:styleId="Bullets">
    <w:name w:val="Bullets"/>
    <w:uiPriority w:val="99"/>
    <w:locked/>
    <w:rsid w:val="000D017D"/>
    <w:pPr>
      <w:numPr>
        <w:numId w:val="3"/>
      </w:numPr>
    </w:pPr>
  </w:style>
  <w:style w:type="numbering" w:customStyle="1" w:styleId="BulletsLevel1">
    <w:name w:val="Bullets Level 1"/>
    <w:uiPriority w:val="99"/>
    <w:locked/>
    <w:rsid w:val="000D017D"/>
    <w:pPr>
      <w:numPr>
        <w:numId w:val="4"/>
      </w:numPr>
    </w:pPr>
  </w:style>
  <w:style w:type="paragraph" w:customStyle="1" w:styleId="PublicationDate">
    <w:name w:val="Publication Date"/>
    <w:basedOn w:val="Normal"/>
    <w:link w:val="PublicationDateChar"/>
    <w:uiPriority w:val="99"/>
    <w:qFormat/>
    <w:rsid w:val="006E110B"/>
    <w:pPr>
      <w:spacing w:before="480" w:after="0"/>
    </w:pPr>
    <w:rPr>
      <w:color w:val="005370" w:themeColor="text2"/>
      <w:sz w:val="32"/>
      <w:szCs w:val="40"/>
    </w:rPr>
  </w:style>
  <w:style w:type="character" w:customStyle="1" w:styleId="PublicationDateChar">
    <w:name w:val="Publication Date Char"/>
    <w:basedOn w:val="DefaultParagraphFont"/>
    <w:link w:val="PublicationDate"/>
    <w:uiPriority w:val="99"/>
    <w:rsid w:val="006E110B"/>
    <w:rPr>
      <w:color w:val="005370" w:themeColor="text2"/>
      <w:sz w:val="32"/>
      <w:szCs w:val="40"/>
    </w:rPr>
  </w:style>
  <w:style w:type="paragraph" w:customStyle="1" w:styleId="Redtext">
    <w:name w:val="Red text"/>
    <w:basedOn w:val="Normal"/>
    <w:qFormat/>
    <w:rsid w:val="00F866FA"/>
    <w:pPr>
      <w:spacing w:after="80"/>
    </w:pPr>
    <w:rPr>
      <w:color w:val="E1241A" w:themeColor="accent6"/>
    </w:rPr>
  </w:style>
  <w:style w:type="paragraph" w:styleId="TOC4">
    <w:name w:val="toc 4"/>
    <w:basedOn w:val="Normal"/>
    <w:next w:val="Normal"/>
    <w:autoRedefine/>
    <w:uiPriority w:val="39"/>
    <w:locked/>
    <w:rsid w:val="002E6A48"/>
    <w:pPr>
      <w:tabs>
        <w:tab w:val="right" w:pos="9016"/>
      </w:tabs>
      <w:spacing w:after="0"/>
      <w:ind w:left="658"/>
    </w:pPr>
  </w:style>
  <w:style w:type="table" w:customStyle="1" w:styleId="DarkHeadingBanded">
    <w:name w:val="Dark Heading Banded"/>
    <w:basedOn w:val="TableNormal"/>
    <w:uiPriority w:val="99"/>
    <w:rsid w:val="00737D4D"/>
    <w:pPr>
      <w:spacing w:after="0"/>
    </w:pPr>
    <w:rPr>
      <w:sz w:val="20"/>
    </w:rPr>
    <w:tblPr>
      <w:tblStyleRowBandSize w:val="1"/>
      <w:tblStyleColBandSize w:val="1"/>
      <w:tblBorders>
        <w:top w:val="single" w:sz="4" w:space="0" w:color="1178A0" w:themeColor="background2"/>
        <w:left w:val="single" w:sz="4" w:space="0" w:color="1178A0" w:themeColor="background2"/>
        <w:bottom w:val="single" w:sz="4" w:space="0" w:color="1178A0" w:themeColor="background2"/>
        <w:right w:val="single" w:sz="4" w:space="0" w:color="1178A0" w:themeColor="background2"/>
        <w:insideH w:val="single" w:sz="4" w:space="0" w:color="1178A0" w:themeColor="background2"/>
        <w:insideV w:val="single" w:sz="4" w:space="0" w:color="1178A0" w:themeColor="background2"/>
      </w:tblBorders>
    </w:tblPr>
    <w:tblStylePr w:type="firstRow">
      <w:pPr>
        <w:jc w:val="left"/>
      </w:pPr>
      <w:rPr>
        <w:b/>
        <w:color w:val="FFFFFF" w:themeColor="background1"/>
      </w:rPr>
      <w:tblPr/>
      <w:tcPr>
        <w:shd w:val="clear" w:color="auto" w:fill="1178A0" w:themeFill="background2"/>
      </w:tcPr>
    </w:tblStylePr>
    <w:tblStylePr w:type="band2Horz">
      <w:tblPr/>
      <w:tcPr>
        <w:shd w:val="clear" w:color="auto" w:fill="F2F2F2" w:themeFill="background1" w:themeFillShade="F2"/>
      </w:tcPr>
    </w:tblStylePr>
  </w:style>
  <w:style w:type="table" w:customStyle="1" w:styleId="DarkHeading">
    <w:name w:val="Dark Heading"/>
    <w:basedOn w:val="TableNormal"/>
    <w:uiPriority w:val="99"/>
    <w:rsid w:val="00737D4D"/>
    <w:pPr>
      <w:spacing w:after="0"/>
    </w:pPr>
    <w:rPr>
      <w:sz w:val="20"/>
      <w:szCs w:val="20"/>
    </w:rPr>
    <w:tblPr>
      <w:tblBorders>
        <w:top w:val="single" w:sz="4" w:space="0" w:color="1178A0" w:themeColor="background2"/>
        <w:left w:val="single" w:sz="4" w:space="0" w:color="1178A0" w:themeColor="background2"/>
        <w:bottom w:val="single" w:sz="4" w:space="0" w:color="1178A0" w:themeColor="background2"/>
        <w:right w:val="single" w:sz="4" w:space="0" w:color="1178A0" w:themeColor="background2"/>
        <w:insideH w:val="single" w:sz="4" w:space="0" w:color="1178A0" w:themeColor="background2"/>
        <w:insideV w:val="single" w:sz="4" w:space="0" w:color="1178A0" w:themeColor="background2"/>
      </w:tblBorders>
    </w:tblPr>
    <w:tblStylePr w:type="firstRow">
      <w:rPr>
        <w:rFonts w:asciiTheme="minorHAnsi" w:hAnsiTheme="minorHAnsi"/>
        <w:b/>
        <w:color w:val="FFFFFF"/>
        <w:sz w:val="20"/>
      </w:rPr>
      <w:tblPr/>
      <w:tcPr>
        <w:shd w:val="clear" w:color="auto" w:fill="1178A0" w:themeFill="background2"/>
      </w:tcPr>
    </w:tblStylePr>
  </w:style>
  <w:style w:type="table" w:customStyle="1" w:styleId="LightHeadingBanded">
    <w:name w:val="Light Heading Banded"/>
    <w:basedOn w:val="TableNormal"/>
    <w:uiPriority w:val="99"/>
    <w:rsid w:val="00737D4D"/>
    <w:pPr>
      <w:spacing w:after="0"/>
    </w:pPr>
    <w:rPr>
      <w:sz w:val="20"/>
    </w:rPr>
    <w:tblPr>
      <w:tblStyleRowBandSize w:val="1"/>
      <w:tblBorders>
        <w:top w:val="single" w:sz="4" w:space="0" w:color="005370" w:themeColor="text2"/>
        <w:left w:val="single" w:sz="4" w:space="0" w:color="005370" w:themeColor="text2"/>
        <w:bottom w:val="single" w:sz="4" w:space="0" w:color="005370" w:themeColor="text2"/>
        <w:right w:val="single" w:sz="4" w:space="0" w:color="005370" w:themeColor="text2"/>
        <w:insideH w:val="single" w:sz="4" w:space="0" w:color="005370" w:themeColor="text2"/>
        <w:insideV w:val="single" w:sz="4" w:space="0" w:color="005370" w:themeColor="text2"/>
      </w:tblBorders>
    </w:tblPr>
    <w:tblStylePr w:type="firstRow">
      <w:rPr>
        <w:rFonts w:asciiTheme="minorHAnsi" w:hAnsiTheme="minorHAnsi"/>
        <w:b/>
        <w:color w:val="000000" w:themeColor="text1"/>
      </w:rPr>
      <w:tblPr/>
      <w:tcPr>
        <w:shd w:val="clear" w:color="auto" w:fill="E6F1F8" w:themeFill="accent2"/>
      </w:tcPr>
    </w:tblStylePr>
    <w:tblStylePr w:type="band2Horz">
      <w:tblPr/>
      <w:tcPr>
        <w:shd w:val="clear" w:color="auto" w:fill="F2F2F2" w:themeFill="background1" w:themeFillShade="F2"/>
      </w:tcPr>
    </w:tblStylePr>
  </w:style>
  <w:style w:type="paragraph" w:customStyle="1" w:styleId="PulloutBoxHeading">
    <w:name w:val="Pullout Box Heading"/>
    <w:basedOn w:val="Heading3"/>
    <w:qFormat/>
    <w:rsid w:val="00036AB8"/>
    <w:pPr>
      <w:spacing w:before="120" w:after="60"/>
    </w:pPr>
  </w:style>
  <w:style w:type="table" w:customStyle="1" w:styleId="PulloutBox">
    <w:name w:val="Pullout Box"/>
    <w:basedOn w:val="TableNormal"/>
    <w:uiPriority w:val="99"/>
    <w:rsid w:val="00F866FA"/>
    <w:pPr>
      <w:spacing w:after="0"/>
    </w:pPr>
    <w:tblPr>
      <w:tblCellMar>
        <w:top w:w="284" w:type="dxa"/>
        <w:left w:w="284" w:type="dxa"/>
        <w:bottom w:w="284" w:type="dxa"/>
        <w:right w:w="284" w:type="dxa"/>
      </w:tblCellMar>
    </w:tblPr>
    <w:tcPr>
      <w:shd w:val="clear" w:color="auto" w:fill="E6F1F8" w:themeFill="accent2"/>
    </w:tcPr>
  </w:style>
  <w:style w:type="paragraph" w:styleId="ListParagraph">
    <w:name w:val="List Paragraph"/>
    <w:aliases w:val="NFP GP Bulleted List,List Paragraph1,Recommendation,Bullet table,Bullet point,CV text,Dot pt,F5 List Paragraph,FooterText,L,List Paragraph11,List Paragraph111,List Paragraph2,Medium Grid 1 - Accent 21,NAST Quote,Numbered Paragraph"/>
    <w:basedOn w:val="Normal"/>
    <w:link w:val="ListParagraphChar"/>
    <w:uiPriority w:val="34"/>
    <w:qFormat/>
    <w:locked/>
    <w:rsid w:val="00A6672E"/>
    <w:pPr>
      <w:ind w:left="720"/>
      <w:contextualSpacing/>
    </w:pPr>
  </w:style>
  <w:style w:type="character" w:customStyle="1" w:styleId="ListParagraphChar">
    <w:name w:val="List Paragraph Char"/>
    <w:aliases w:val="NFP GP Bulleted List Char,List Paragraph1 Char,Recommendation Char,Bullet table Char,Bullet point Char,CV text Char,Dot pt Char,F5 List Paragraph Char,FooterText Char,L Char,List Paragraph11 Char,List Paragraph111 Char"/>
    <w:basedOn w:val="DefaultParagraphFont"/>
    <w:link w:val="ListParagraph"/>
    <w:uiPriority w:val="34"/>
    <w:qFormat/>
    <w:rsid w:val="00A6672E"/>
  </w:style>
  <w:style w:type="paragraph" w:styleId="EndnoteText">
    <w:name w:val="endnote text"/>
    <w:basedOn w:val="Normal"/>
    <w:link w:val="EndnoteTextChar"/>
    <w:uiPriority w:val="99"/>
    <w:unhideWhenUsed/>
    <w:locked/>
    <w:rsid w:val="00EA63B1"/>
    <w:pPr>
      <w:spacing w:after="0"/>
    </w:pPr>
    <w:rPr>
      <w:rFonts w:ascii="Arial" w:hAnsi="Arial"/>
      <w:sz w:val="20"/>
      <w:szCs w:val="20"/>
      <w:lang w:val="en-GB" w:eastAsia="en-US"/>
    </w:rPr>
  </w:style>
  <w:style w:type="character" w:customStyle="1" w:styleId="EndnoteTextChar">
    <w:name w:val="Endnote Text Char"/>
    <w:basedOn w:val="DefaultParagraphFont"/>
    <w:link w:val="EndnoteText"/>
    <w:uiPriority w:val="99"/>
    <w:rsid w:val="00EA63B1"/>
    <w:rPr>
      <w:rFonts w:ascii="Arial" w:hAnsi="Arial"/>
      <w:sz w:val="20"/>
      <w:szCs w:val="20"/>
      <w:lang w:val="en-GB" w:eastAsia="en-US"/>
    </w:rPr>
  </w:style>
  <w:style w:type="character" w:styleId="EndnoteReference">
    <w:name w:val="endnote reference"/>
    <w:basedOn w:val="DefaultParagraphFont"/>
    <w:uiPriority w:val="99"/>
    <w:unhideWhenUsed/>
    <w:locked/>
    <w:rsid w:val="00EA63B1"/>
    <w:rPr>
      <w:vertAlign w:val="superscript"/>
    </w:rPr>
  </w:style>
  <w:style w:type="paragraph" w:customStyle="1" w:styleId="Default">
    <w:name w:val="Default"/>
    <w:rsid w:val="00632475"/>
    <w:pPr>
      <w:autoSpaceDE w:val="0"/>
      <w:autoSpaceDN w:val="0"/>
      <w:adjustRightInd w:val="0"/>
      <w:spacing w:after="0"/>
    </w:pPr>
    <w:rPr>
      <w:rFonts w:ascii="Gotham Medium" w:hAnsi="Gotham Medium" w:cs="Gotham Medium"/>
      <w:color w:val="000000"/>
      <w:sz w:val="24"/>
      <w:szCs w:val="24"/>
    </w:rPr>
  </w:style>
  <w:style w:type="table" w:customStyle="1" w:styleId="Plain">
    <w:name w:val="Plain"/>
    <w:basedOn w:val="TableNormal"/>
    <w:next w:val="TableGrid"/>
    <w:rsid w:val="00423210"/>
    <w:pPr>
      <w:spacing w:before="60" w:after="60"/>
    </w:pPr>
    <w:rPr>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b/>
      </w:rPr>
      <w:tblPr/>
      <w:trPr>
        <w:cantSplit/>
        <w:tblHeader/>
      </w:trPr>
    </w:tblStylePr>
  </w:style>
  <w:style w:type="paragraph" w:customStyle="1" w:styleId="TRIMnumber">
    <w:name w:val="TRIM number"/>
    <w:basedOn w:val="Normal"/>
    <w:qFormat/>
    <w:rsid w:val="00932407"/>
    <w:pPr>
      <w:spacing w:before="0" w:after="360"/>
      <w:jc w:val="right"/>
    </w:pPr>
  </w:style>
  <w:style w:type="paragraph" w:styleId="Revision">
    <w:name w:val="Revision"/>
    <w:hidden/>
    <w:uiPriority w:val="99"/>
    <w:semiHidden/>
    <w:rsid w:val="00174535"/>
    <w:pPr>
      <w:spacing w:after="0"/>
    </w:pPr>
  </w:style>
  <w:style w:type="character" w:customStyle="1" w:styleId="Superscript">
    <w:name w:val="Superscript"/>
    <w:uiPriority w:val="99"/>
    <w:rsid w:val="00183675"/>
    <w:rPr>
      <w:u w:val="none"/>
      <w:vertAlign w:val="superscript"/>
    </w:rPr>
  </w:style>
  <w:style w:type="paragraph" w:styleId="DocumentMap">
    <w:name w:val="Document Map"/>
    <w:basedOn w:val="Normal"/>
    <w:link w:val="DocumentMapChar"/>
    <w:semiHidden/>
    <w:unhideWhenUsed/>
    <w:locked/>
    <w:rsid w:val="006F7964"/>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semiHidden/>
    <w:rsid w:val="006F7964"/>
    <w:rPr>
      <w:rFonts w:ascii="Lucida Grande" w:hAnsi="Lucida Grande" w:cs="Lucida Grande"/>
      <w:sz w:val="24"/>
      <w:szCs w:val="24"/>
    </w:rPr>
  </w:style>
  <w:style w:type="character" w:customStyle="1" w:styleId="Roman">
    <w:name w:val="Roman"/>
    <w:uiPriority w:val="99"/>
    <w:rsid w:val="00195458"/>
  </w:style>
  <w:style w:type="character" w:customStyle="1" w:styleId="Italic">
    <w:name w:val="Italic"/>
    <w:uiPriority w:val="99"/>
    <w:rsid w:val="0099343F"/>
    <w:rPr>
      <w:i/>
      <w:iCs/>
    </w:rPr>
  </w:style>
  <w:style w:type="character" w:styleId="UnresolvedMention">
    <w:name w:val="Unresolved Mention"/>
    <w:basedOn w:val="DefaultParagraphFont"/>
    <w:uiPriority w:val="99"/>
    <w:semiHidden/>
    <w:unhideWhenUsed/>
    <w:rsid w:val="00AB0A6E"/>
    <w:rPr>
      <w:color w:val="605E5C"/>
      <w:shd w:val="clear" w:color="auto" w:fill="E1DFDD"/>
    </w:rPr>
  </w:style>
  <w:style w:type="paragraph" w:customStyle="1" w:styleId="FactSheetType">
    <w:name w:val="Fact Sheet Type"/>
    <w:basedOn w:val="Normal"/>
    <w:qFormat/>
    <w:rsid w:val="0056304B"/>
    <w:pPr>
      <w:spacing w:before="0" w:after="480"/>
      <w:jc w:val="right"/>
    </w:pPr>
    <w:rPr>
      <w:bCs/>
      <w:sz w:val="28"/>
    </w:rPr>
  </w:style>
  <w:style w:type="paragraph" w:customStyle="1" w:styleId="PulloutTextBody">
    <w:name w:val="Pullout Text Body"/>
    <w:basedOn w:val="Normal"/>
    <w:qFormat/>
    <w:rsid w:val="00036AB8"/>
    <w:pPr>
      <w:pBdr>
        <w:left w:val="single" w:sz="48" w:space="8" w:color="1178A0" w:themeColor="background2"/>
      </w:pBdr>
      <w:spacing w:before="180"/>
      <w:ind w:left="284"/>
    </w:pPr>
    <w:rPr>
      <w:b/>
    </w:rPr>
  </w:style>
  <w:style w:type="table" w:customStyle="1" w:styleId="SurveyQuestions">
    <w:name w:val="Survey Questions"/>
    <w:basedOn w:val="DarkHeading"/>
    <w:uiPriority w:val="99"/>
    <w:rsid w:val="006456F1"/>
    <w:rPr>
      <w:sz w:val="22"/>
    </w:rPr>
    <w:tblPr/>
    <w:tblStylePr w:type="firstRow">
      <w:rPr>
        <w:rFonts w:asciiTheme="minorHAnsi" w:hAnsiTheme="minorHAnsi"/>
        <w:b/>
        <w:color w:val="FFFFFF"/>
        <w:sz w:val="22"/>
      </w:rPr>
      <w:tblPr/>
      <w:tcPr>
        <w:shd w:val="clear" w:color="auto" w:fill="1178A0" w:themeFill="background2"/>
      </w:tcPr>
    </w:tblStylePr>
    <w:tblStylePr w:type="firstCol">
      <w:rPr>
        <w:b/>
      </w:rPr>
      <w:tblPr/>
      <w:tcPr>
        <w:shd w:val="clear" w:color="auto" w:fill="E6F1F8" w:themeFill="accent2"/>
      </w:tcPr>
    </w:tblStylePr>
  </w:style>
  <w:style w:type="paragraph" w:customStyle="1" w:styleId="Heading1a">
    <w:name w:val="Heading 1a"/>
    <w:basedOn w:val="Heading1"/>
    <w:next w:val="Normal"/>
    <w:rsid w:val="008C1853"/>
    <w:pPr>
      <w:spacing w:before="0" w:after="480"/>
      <w:outlineLvl w:val="9"/>
    </w:pPr>
    <w:rPr>
      <w:rFonts w:ascii="Arial" w:hAnsi="Arial"/>
      <w:color w:val="0B6080"/>
      <w:kern w:val="32"/>
      <w:sz w:val="44"/>
    </w:rPr>
  </w:style>
  <w:style w:type="paragraph" w:customStyle="1" w:styleId="ImprintText">
    <w:name w:val="ImprintText"/>
    <w:basedOn w:val="Normal"/>
    <w:rsid w:val="000F6B39"/>
    <w:pPr>
      <w:spacing w:before="0"/>
    </w:pPr>
    <w:rPr>
      <w:rFonts w:ascii="Arial" w:hAnsi="Arial"/>
      <w:color w:val="000000"/>
      <w:szCs w:val="20"/>
    </w:rPr>
  </w:style>
  <w:style w:type="character" w:customStyle="1" w:styleId="DraftingNotesChar">
    <w:name w:val="DraftingNotesChar"/>
    <w:basedOn w:val="DefaultParagraphFont"/>
    <w:uiPriority w:val="1"/>
    <w:rsid w:val="000F6B39"/>
    <w:rPr>
      <w:rFonts w:ascii="Arial" w:hAnsi="Arial"/>
      <w:noProof/>
      <w:color w:val="FF40FF"/>
      <w:sz w:val="22"/>
    </w:rPr>
  </w:style>
  <w:style w:type="paragraph" w:customStyle="1" w:styleId="DraftingNotes">
    <w:name w:val="DraftingNotes"/>
    <w:basedOn w:val="Normal"/>
    <w:rsid w:val="008C1853"/>
    <w:pPr>
      <w:spacing w:before="0" w:after="240"/>
    </w:pPr>
    <w:rPr>
      <w:rFonts w:ascii="Arial" w:hAnsi="Arial"/>
      <w:b/>
      <w:color w:val="FF40FF"/>
      <w:szCs w:val="20"/>
    </w:rPr>
  </w:style>
  <w:style w:type="paragraph" w:customStyle="1" w:styleId="Backpagelogoholder">
    <w:name w:val="Back page logo holder"/>
    <w:basedOn w:val="Normal"/>
    <w:qFormat/>
    <w:rsid w:val="000E15DA"/>
    <w:pPr>
      <w:keepLines/>
      <w:spacing w:before="10920" w:after="240"/>
      <w:ind w:hanging="142"/>
    </w:pPr>
    <w:rPr>
      <w:rFonts w:eastAsiaTheme="majorEastAsia"/>
      <w:noProof/>
    </w:rPr>
  </w:style>
  <w:style w:type="character" w:styleId="LineNumber">
    <w:name w:val="line number"/>
    <w:basedOn w:val="DefaultParagraphFont"/>
    <w:unhideWhenUsed/>
    <w:locked/>
    <w:rsid w:val="006C45E7"/>
  </w:style>
  <w:style w:type="paragraph" w:customStyle="1" w:styleId="SandQwebaddress">
    <w:name w:val="S and Q web address"/>
    <w:basedOn w:val="Normal"/>
    <w:qFormat/>
    <w:rsid w:val="00262327"/>
    <w:pPr>
      <w:spacing w:before="480" w:after="60"/>
    </w:pPr>
  </w:style>
  <w:style w:type="paragraph" w:styleId="BodyText">
    <w:name w:val="Body Text"/>
    <w:aliases w:val="Heading 1 text"/>
    <w:basedOn w:val="Normal"/>
    <w:link w:val="BodyTextChar"/>
    <w:uiPriority w:val="99"/>
    <w:locked/>
    <w:rsid w:val="00192720"/>
    <w:rPr>
      <w:rFonts w:ascii="Arial" w:hAnsi="Arial"/>
      <w:szCs w:val="24"/>
    </w:rPr>
  </w:style>
  <w:style w:type="character" w:customStyle="1" w:styleId="BodyTextChar">
    <w:name w:val="Body Text Char"/>
    <w:aliases w:val="Heading 1 text Char"/>
    <w:basedOn w:val="DefaultParagraphFont"/>
    <w:link w:val="BodyText"/>
    <w:uiPriority w:val="99"/>
    <w:rsid w:val="00192720"/>
    <w:rPr>
      <w:rFonts w:ascii="Arial" w:hAnsi="Arial"/>
      <w:szCs w:val="24"/>
    </w:rPr>
  </w:style>
  <w:style w:type="paragraph" w:customStyle="1" w:styleId="Bullet1stlevel">
    <w:name w:val="Bullet 1stlevel"/>
    <w:basedOn w:val="ListParagraph"/>
    <w:qFormat/>
    <w:rsid w:val="00192720"/>
    <w:pPr>
      <w:numPr>
        <w:numId w:val="5"/>
      </w:numPr>
      <w:tabs>
        <w:tab w:val="num" w:pos="360"/>
      </w:tabs>
      <w:spacing w:before="0"/>
      <w:ind w:left="357" w:hanging="357"/>
    </w:pPr>
    <w:rPr>
      <w:rFonts w:ascii="Verdana" w:hAnsi="Verdana"/>
      <w:sz w:val="20"/>
      <w:szCs w:val="24"/>
    </w:rPr>
  </w:style>
  <w:style w:type="paragraph" w:styleId="ListBullet2">
    <w:name w:val="List Bullet 2"/>
    <w:basedOn w:val="Normal"/>
    <w:uiPriority w:val="99"/>
    <w:locked/>
    <w:rsid w:val="00192720"/>
    <w:pPr>
      <w:tabs>
        <w:tab w:val="num" w:pos="643"/>
      </w:tabs>
      <w:spacing w:before="0" w:after="240" w:line="276" w:lineRule="auto"/>
      <w:ind w:left="643" w:hanging="360"/>
      <w:contextualSpacing/>
    </w:pPr>
    <w:rPr>
      <w:rFonts w:ascii="Arial" w:hAnsi="Arial"/>
      <w:szCs w:val="24"/>
    </w:rPr>
  </w:style>
  <w:style w:type="character" w:customStyle="1" w:styleId="Heading7Char">
    <w:name w:val="Heading 7 Char"/>
    <w:basedOn w:val="DefaultParagraphFont"/>
    <w:link w:val="Heading7"/>
    <w:uiPriority w:val="99"/>
    <w:rsid w:val="00192720"/>
    <w:rPr>
      <w:rFonts w:ascii="Arial" w:hAnsi="Arial"/>
      <w:szCs w:val="24"/>
    </w:rPr>
  </w:style>
  <w:style w:type="character" w:customStyle="1" w:styleId="Heading8Char">
    <w:name w:val="Heading 8 Char"/>
    <w:basedOn w:val="DefaultParagraphFont"/>
    <w:link w:val="Heading8"/>
    <w:uiPriority w:val="99"/>
    <w:rsid w:val="0019272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rsid w:val="00192720"/>
    <w:rPr>
      <w:rFonts w:asciiTheme="majorHAnsi" w:eastAsiaTheme="majorEastAsia" w:hAnsiTheme="majorHAnsi" w:cstheme="majorBidi"/>
      <w:i/>
      <w:iCs/>
      <w:color w:val="272727" w:themeColor="text1" w:themeTint="D8"/>
      <w:sz w:val="21"/>
      <w:szCs w:val="21"/>
    </w:rPr>
  </w:style>
  <w:style w:type="paragraph" w:customStyle="1" w:styleId="Char">
    <w:name w:val="Char"/>
    <w:basedOn w:val="Normal"/>
    <w:next w:val="Normal"/>
    <w:autoRedefine/>
    <w:rsid w:val="00192720"/>
    <w:pPr>
      <w:spacing w:before="0" w:line="276" w:lineRule="auto"/>
    </w:pPr>
    <w:rPr>
      <w:rFonts w:ascii="Arial" w:hAnsi="Arial" w:cs="Arial"/>
      <w:bCs/>
      <w:color w:val="000000"/>
      <w:lang w:val="en-US" w:eastAsia="en-US"/>
    </w:rPr>
  </w:style>
  <w:style w:type="paragraph" w:customStyle="1" w:styleId="ISC">
    <w:name w:val="ISC"/>
    <w:basedOn w:val="MessageHeader"/>
    <w:link w:val="ISCCharChar"/>
    <w:autoRedefine/>
    <w:rsid w:val="00192720"/>
    <w:pPr>
      <w:pBdr>
        <w:top w:val="none" w:sz="0" w:space="0" w:color="auto"/>
        <w:left w:val="none" w:sz="0" w:space="0" w:color="auto"/>
        <w:bottom w:val="none" w:sz="0" w:space="0" w:color="auto"/>
        <w:right w:val="none" w:sz="0" w:space="0" w:color="auto"/>
      </w:pBdr>
      <w:shd w:val="clear" w:color="auto" w:fill="auto"/>
      <w:tabs>
        <w:tab w:val="left" w:pos="14580"/>
      </w:tabs>
      <w:spacing w:after="120"/>
      <w:ind w:right="456"/>
      <w:outlineLvl w:val="0"/>
    </w:pPr>
    <w:rPr>
      <w:b/>
      <w:bCs/>
      <w:szCs w:val="22"/>
    </w:rPr>
  </w:style>
  <w:style w:type="character" w:customStyle="1" w:styleId="ISCCharChar">
    <w:name w:val="ISC Char Char"/>
    <w:link w:val="ISC"/>
    <w:rsid w:val="00192720"/>
    <w:rPr>
      <w:rFonts w:ascii="Arial" w:hAnsi="Arial" w:cs="Arial"/>
      <w:b/>
      <w:bCs/>
    </w:rPr>
  </w:style>
  <w:style w:type="paragraph" w:styleId="MessageHeader">
    <w:name w:val="Message Header"/>
    <w:basedOn w:val="Normal"/>
    <w:link w:val="MessageHeaderChar1"/>
    <w:locked/>
    <w:rsid w:val="00192720"/>
    <w:pPr>
      <w:pBdr>
        <w:top w:val="single" w:sz="6" w:space="1" w:color="auto"/>
        <w:left w:val="single" w:sz="6" w:space="1" w:color="auto"/>
        <w:bottom w:val="single" w:sz="6" w:space="1" w:color="auto"/>
        <w:right w:val="single" w:sz="6" w:space="1" w:color="auto"/>
      </w:pBdr>
      <w:shd w:val="pct20" w:color="auto" w:fill="auto"/>
      <w:spacing w:before="0" w:after="240" w:line="276" w:lineRule="auto"/>
      <w:ind w:left="1134" w:hanging="1134"/>
    </w:pPr>
    <w:rPr>
      <w:rFonts w:ascii="Arial" w:hAnsi="Arial" w:cs="Arial"/>
      <w:szCs w:val="24"/>
    </w:rPr>
  </w:style>
  <w:style w:type="character" w:customStyle="1" w:styleId="MessageHeaderChar">
    <w:name w:val="Message Header Char"/>
    <w:basedOn w:val="DefaultParagraphFont"/>
    <w:rsid w:val="00192720"/>
    <w:rPr>
      <w:rFonts w:asciiTheme="majorHAnsi" w:eastAsiaTheme="majorEastAsia" w:hAnsiTheme="majorHAnsi" w:cstheme="majorBidi"/>
      <w:sz w:val="24"/>
      <w:szCs w:val="24"/>
      <w:shd w:val="pct20" w:color="auto" w:fill="auto"/>
    </w:rPr>
  </w:style>
  <w:style w:type="character" w:customStyle="1" w:styleId="MessageHeaderChar1">
    <w:name w:val="Message Header Char1"/>
    <w:link w:val="MessageHeader"/>
    <w:rsid w:val="00192720"/>
    <w:rPr>
      <w:rFonts w:ascii="Arial" w:hAnsi="Arial" w:cs="Arial"/>
      <w:szCs w:val="24"/>
      <w:shd w:val="pct20" w:color="auto" w:fill="auto"/>
    </w:rPr>
  </w:style>
  <w:style w:type="paragraph" w:styleId="BodyTextIndent">
    <w:name w:val="Body Text Indent"/>
    <w:basedOn w:val="Normal"/>
    <w:link w:val="BodyTextIndentChar"/>
    <w:uiPriority w:val="99"/>
    <w:locked/>
    <w:rsid w:val="00192720"/>
    <w:pPr>
      <w:tabs>
        <w:tab w:val="left" w:pos="9027"/>
      </w:tabs>
      <w:ind w:left="357"/>
      <w:jc w:val="both"/>
    </w:pPr>
    <w:rPr>
      <w:rFonts w:ascii="Arial" w:hAnsi="Arial"/>
      <w:szCs w:val="20"/>
      <w:lang w:eastAsia="en-US"/>
    </w:rPr>
  </w:style>
  <w:style w:type="character" w:customStyle="1" w:styleId="BodyTextIndentChar">
    <w:name w:val="Body Text Indent Char"/>
    <w:basedOn w:val="DefaultParagraphFont"/>
    <w:link w:val="BodyTextIndent"/>
    <w:uiPriority w:val="99"/>
    <w:rsid w:val="00192720"/>
    <w:rPr>
      <w:rFonts w:ascii="Arial" w:hAnsi="Arial"/>
      <w:szCs w:val="20"/>
      <w:lang w:eastAsia="en-US"/>
    </w:rPr>
  </w:style>
  <w:style w:type="paragraph" w:customStyle="1" w:styleId="Tabletxt">
    <w:name w:val="Table.txt"/>
    <w:basedOn w:val="Normal"/>
    <w:link w:val="TabletxtChar"/>
    <w:rsid w:val="00192720"/>
    <w:pPr>
      <w:spacing w:before="40" w:after="40" w:line="260" w:lineRule="exact"/>
    </w:pPr>
    <w:rPr>
      <w:rFonts w:ascii="Arial" w:eastAsia="Calibri" w:hAnsi="Arial"/>
      <w:spacing w:val="1"/>
      <w:sz w:val="18"/>
      <w:szCs w:val="20"/>
      <w:lang w:eastAsia="en-US"/>
    </w:rPr>
  </w:style>
  <w:style w:type="paragraph" w:customStyle="1" w:styleId="Tablehd">
    <w:name w:val="Table.hd"/>
    <w:basedOn w:val="Tabletxt"/>
    <w:link w:val="TablehdChar"/>
    <w:rsid w:val="00192720"/>
    <w:pPr>
      <w:keepNext/>
      <w:keepLines/>
      <w:tabs>
        <w:tab w:val="left" w:pos="851"/>
        <w:tab w:val="left" w:pos="1701"/>
        <w:tab w:val="left" w:pos="2552"/>
        <w:tab w:val="left" w:pos="3402"/>
      </w:tabs>
    </w:pPr>
    <w:rPr>
      <w:rFonts w:ascii="Arial Bold" w:hAnsi="Arial Bold"/>
      <w:b/>
      <w:sz w:val="22"/>
      <w:lang w:val="x-none" w:eastAsia="x-none"/>
    </w:rPr>
  </w:style>
  <w:style w:type="character" w:customStyle="1" w:styleId="TabletxtChar">
    <w:name w:val="Table.txt Char"/>
    <w:link w:val="Tabletxt"/>
    <w:rsid w:val="00192720"/>
    <w:rPr>
      <w:rFonts w:ascii="Arial" w:eastAsia="Calibri" w:hAnsi="Arial"/>
      <w:spacing w:val="1"/>
      <w:sz w:val="18"/>
      <w:szCs w:val="20"/>
      <w:lang w:eastAsia="en-US"/>
    </w:rPr>
  </w:style>
  <w:style w:type="character" w:customStyle="1" w:styleId="TablehdChar">
    <w:name w:val="Table.hd Char"/>
    <w:link w:val="Tablehd"/>
    <w:rsid w:val="00192720"/>
    <w:rPr>
      <w:rFonts w:ascii="Arial Bold" w:eastAsia="Calibri" w:hAnsi="Arial Bold"/>
      <w:b/>
      <w:spacing w:val="1"/>
      <w:szCs w:val="20"/>
      <w:lang w:val="x-none" w:eastAsia="x-none"/>
    </w:rPr>
  </w:style>
  <w:style w:type="paragraph" w:customStyle="1" w:styleId="NormalPrebullet">
    <w:name w:val="Normal Prebullet"/>
    <w:basedOn w:val="Normal"/>
    <w:rsid w:val="00192720"/>
    <w:pPr>
      <w:keepNext/>
      <w:keepLines/>
      <w:spacing w:before="0" w:line="276" w:lineRule="auto"/>
      <w:ind w:left="1701"/>
    </w:pPr>
    <w:rPr>
      <w:rFonts w:ascii="Arial" w:hAnsi="Arial"/>
      <w:szCs w:val="20"/>
      <w:lang w:eastAsia="en-US"/>
    </w:rPr>
  </w:style>
  <w:style w:type="paragraph" w:customStyle="1" w:styleId="Bulletlast">
    <w:name w:val="Bullet last"/>
    <w:next w:val="Normal"/>
    <w:link w:val="BulletlastChar"/>
    <w:rsid w:val="00192720"/>
    <w:pPr>
      <w:keepLines/>
      <w:numPr>
        <w:numId w:val="1"/>
      </w:numPr>
      <w:spacing w:after="240" w:line="276" w:lineRule="auto"/>
    </w:pPr>
    <w:rPr>
      <w:rFonts w:ascii="Arial" w:hAnsi="Arial"/>
      <w:lang w:val="en-GB" w:eastAsia="en-US"/>
    </w:rPr>
  </w:style>
  <w:style w:type="character" w:customStyle="1" w:styleId="BulletChar">
    <w:name w:val="Bullet Char"/>
    <w:rsid w:val="00192720"/>
    <w:rPr>
      <w:rFonts w:ascii="Arial" w:hAnsi="Arial"/>
      <w:sz w:val="22"/>
      <w:lang w:eastAsia="en-US"/>
    </w:rPr>
  </w:style>
  <w:style w:type="character" w:customStyle="1" w:styleId="BulletlastChar">
    <w:name w:val="Bullet last Char"/>
    <w:link w:val="Bulletlast"/>
    <w:rsid w:val="00192720"/>
    <w:rPr>
      <w:rFonts w:ascii="Arial" w:hAnsi="Arial"/>
      <w:lang w:val="en-GB" w:eastAsia="en-US"/>
    </w:rPr>
  </w:style>
  <w:style w:type="character" w:customStyle="1" w:styleId="apple-style-span">
    <w:name w:val="apple-style-span"/>
    <w:basedOn w:val="DefaultParagraphFont"/>
    <w:rsid w:val="00192720"/>
  </w:style>
  <w:style w:type="character" w:customStyle="1" w:styleId="apple-converted-space">
    <w:name w:val="apple-converted-space"/>
    <w:basedOn w:val="DefaultParagraphFont"/>
    <w:uiPriority w:val="99"/>
    <w:rsid w:val="00192720"/>
  </w:style>
  <w:style w:type="character" w:customStyle="1" w:styleId="italic0">
    <w:name w:val="italic"/>
    <w:basedOn w:val="DefaultParagraphFont"/>
    <w:rsid w:val="00192720"/>
  </w:style>
  <w:style w:type="character" w:styleId="PageNumber">
    <w:name w:val="page number"/>
    <w:basedOn w:val="DefaultParagraphFont"/>
    <w:uiPriority w:val="99"/>
    <w:locked/>
    <w:rsid w:val="00192720"/>
  </w:style>
  <w:style w:type="character" w:customStyle="1" w:styleId="contenttopic">
    <w:name w:val="contenttopic"/>
    <w:basedOn w:val="DefaultParagraphFont"/>
    <w:rsid w:val="00192720"/>
  </w:style>
  <w:style w:type="paragraph" w:styleId="NormalWeb">
    <w:name w:val="Normal (Web)"/>
    <w:basedOn w:val="Normal"/>
    <w:uiPriority w:val="99"/>
    <w:locked/>
    <w:rsid w:val="00192720"/>
    <w:pPr>
      <w:spacing w:before="0" w:after="240" w:line="276" w:lineRule="auto"/>
    </w:pPr>
    <w:rPr>
      <w:rFonts w:ascii="Arial" w:hAnsi="Arial"/>
      <w:szCs w:val="24"/>
    </w:rPr>
  </w:style>
  <w:style w:type="paragraph" w:styleId="BalloonText">
    <w:name w:val="Balloon Text"/>
    <w:basedOn w:val="Normal"/>
    <w:link w:val="BalloonTextChar"/>
    <w:uiPriority w:val="99"/>
    <w:locked/>
    <w:rsid w:val="00192720"/>
    <w:pPr>
      <w:spacing w:before="0" w:after="240" w:line="276"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92720"/>
    <w:rPr>
      <w:rFonts w:ascii="Tahoma" w:hAnsi="Tahoma" w:cs="Tahoma"/>
      <w:sz w:val="16"/>
      <w:szCs w:val="16"/>
    </w:rPr>
  </w:style>
  <w:style w:type="character" w:styleId="CommentReference">
    <w:name w:val="annotation reference"/>
    <w:uiPriority w:val="99"/>
    <w:locked/>
    <w:rsid w:val="00192720"/>
    <w:rPr>
      <w:sz w:val="16"/>
      <w:szCs w:val="16"/>
    </w:rPr>
  </w:style>
  <w:style w:type="paragraph" w:styleId="CommentText">
    <w:name w:val="annotation text"/>
    <w:basedOn w:val="Normal"/>
    <w:link w:val="CommentTextChar"/>
    <w:uiPriority w:val="99"/>
    <w:semiHidden/>
    <w:locked/>
    <w:rsid w:val="00192720"/>
    <w:pPr>
      <w:spacing w:before="0" w:after="240" w:line="276" w:lineRule="auto"/>
    </w:pPr>
    <w:rPr>
      <w:rFonts w:ascii="Arial" w:hAnsi="Arial"/>
      <w:sz w:val="20"/>
      <w:szCs w:val="20"/>
    </w:rPr>
  </w:style>
  <w:style w:type="character" w:customStyle="1" w:styleId="CommentTextChar">
    <w:name w:val="Comment Text Char"/>
    <w:basedOn w:val="DefaultParagraphFont"/>
    <w:link w:val="CommentText"/>
    <w:uiPriority w:val="99"/>
    <w:semiHidden/>
    <w:rsid w:val="00192720"/>
    <w:rPr>
      <w:rFonts w:ascii="Arial" w:hAnsi="Arial"/>
      <w:sz w:val="20"/>
      <w:szCs w:val="20"/>
    </w:rPr>
  </w:style>
  <w:style w:type="paragraph" w:styleId="CommentSubject">
    <w:name w:val="annotation subject"/>
    <w:basedOn w:val="CommentText"/>
    <w:next w:val="CommentText"/>
    <w:link w:val="CommentSubjectChar"/>
    <w:uiPriority w:val="99"/>
    <w:locked/>
    <w:rsid w:val="00192720"/>
    <w:rPr>
      <w:b/>
      <w:bCs/>
    </w:rPr>
  </w:style>
  <w:style w:type="character" w:customStyle="1" w:styleId="CommentSubjectChar">
    <w:name w:val="Comment Subject Char"/>
    <w:basedOn w:val="CommentTextChar"/>
    <w:link w:val="CommentSubject"/>
    <w:uiPriority w:val="99"/>
    <w:rsid w:val="00192720"/>
    <w:rPr>
      <w:rFonts w:ascii="Arial" w:hAnsi="Arial"/>
      <w:b/>
      <w:bCs/>
      <w:sz w:val="20"/>
      <w:szCs w:val="20"/>
    </w:rPr>
  </w:style>
  <w:style w:type="paragraph" w:styleId="ListBullet">
    <w:name w:val="List Bullet"/>
    <w:basedOn w:val="BodyText"/>
    <w:uiPriority w:val="99"/>
    <w:locked/>
    <w:rsid w:val="00192720"/>
    <w:pPr>
      <w:keepLines/>
    </w:pPr>
    <w:rPr>
      <w:rFonts w:ascii="Verdana" w:hAnsi="Verdana"/>
      <w:sz w:val="20"/>
    </w:rPr>
  </w:style>
  <w:style w:type="character" w:customStyle="1" w:styleId="Italchar">
    <w:name w:val="Ital_char"/>
    <w:uiPriority w:val="99"/>
    <w:rsid w:val="00192720"/>
    <w:rPr>
      <w:i/>
    </w:rPr>
  </w:style>
  <w:style w:type="character" w:customStyle="1" w:styleId="PFBulletMarginChar">
    <w:name w:val="PF Bullet Margin Char"/>
    <w:rsid w:val="00192720"/>
    <w:rPr>
      <w:rFonts w:ascii="Arial" w:eastAsia="Times New Roman" w:hAnsi="Arial"/>
      <w:color w:val="000000"/>
      <w:sz w:val="21"/>
    </w:rPr>
  </w:style>
  <w:style w:type="paragraph" w:customStyle="1" w:styleId="PFBulletLevel1">
    <w:name w:val="PF Bullet Level 1"/>
    <w:basedOn w:val="Normal"/>
    <w:rsid w:val="00192720"/>
    <w:pPr>
      <w:numPr>
        <w:ilvl w:val="2"/>
        <w:numId w:val="8"/>
      </w:numPr>
      <w:tabs>
        <w:tab w:val="left" w:pos="924"/>
        <w:tab w:val="num" w:pos="1848"/>
        <w:tab w:val="left" w:pos="2773"/>
        <w:tab w:val="left" w:pos="3697"/>
        <w:tab w:val="left" w:pos="4621"/>
        <w:tab w:val="left" w:pos="5545"/>
        <w:tab w:val="left" w:pos="6469"/>
        <w:tab w:val="left" w:pos="7394"/>
        <w:tab w:val="left" w:pos="8318"/>
        <w:tab w:val="right" w:pos="8789"/>
      </w:tabs>
      <w:spacing w:line="276" w:lineRule="auto"/>
      <w:ind w:left="530" w:hanging="360"/>
    </w:pPr>
    <w:rPr>
      <w:rFonts w:ascii="Arial" w:hAnsi="Arial"/>
      <w:color w:val="000000"/>
      <w:sz w:val="21"/>
      <w:szCs w:val="20"/>
      <w:lang w:eastAsia="en-US"/>
    </w:rPr>
  </w:style>
  <w:style w:type="paragraph" w:customStyle="1" w:styleId="PFBulletLevel2">
    <w:name w:val="PF Bullet Level 2"/>
    <w:basedOn w:val="Normal"/>
    <w:rsid w:val="00192720"/>
    <w:pPr>
      <w:numPr>
        <w:ilvl w:val="3"/>
        <w:numId w:val="8"/>
      </w:numPr>
      <w:tabs>
        <w:tab w:val="left" w:pos="924"/>
        <w:tab w:val="left" w:pos="1848"/>
        <w:tab w:val="num" w:pos="2773"/>
        <w:tab w:val="left" w:pos="3697"/>
        <w:tab w:val="left" w:pos="4621"/>
        <w:tab w:val="left" w:pos="5545"/>
        <w:tab w:val="left" w:pos="6469"/>
        <w:tab w:val="left" w:pos="7394"/>
        <w:tab w:val="left" w:pos="8318"/>
        <w:tab w:val="right" w:pos="8789"/>
      </w:tabs>
      <w:spacing w:line="276" w:lineRule="auto"/>
      <w:ind w:left="530" w:hanging="360"/>
    </w:pPr>
    <w:rPr>
      <w:rFonts w:ascii="Arial" w:hAnsi="Arial"/>
      <w:color w:val="000000"/>
      <w:sz w:val="21"/>
      <w:szCs w:val="20"/>
      <w:lang w:eastAsia="en-US"/>
    </w:rPr>
  </w:style>
  <w:style w:type="paragraph" w:customStyle="1" w:styleId="IntroCopy">
    <w:name w:val="Intro Copy"/>
    <w:basedOn w:val="Normal"/>
    <w:rsid w:val="00192720"/>
    <w:pPr>
      <w:spacing w:before="0" w:after="240" w:line="1450" w:lineRule="exact"/>
    </w:pPr>
    <w:rPr>
      <w:rFonts w:ascii="Univers LightUltraCondensed" w:hAnsi="Univers LightUltraCondensed"/>
      <w:sz w:val="92"/>
      <w:szCs w:val="20"/>
      <w:lang w:eastAsia="en-US"/>
    </w:rPr>
  </w:style>
  <w:style w:type="paragraph" w:customStyle="1" w:styleId="Style1">
    <w:name w:val="Style1"/>
    <w:basedOn w:val="Normal"/>
    <w:next w:val="Normal"/>
    <w:link w:val="Style1Char"/>
    <w:rsid w:val="00192720"/>
    <w:pPr>
      <w:pageBreakBefore/>
      <w:pBdr>
        <w:bottom w:val="single" w:sz="12" w:space="1" w:color="336699"/>
      </w:pBdr>
      <w:tabs>
        <w:tab w:val="left" w:pos="720"/>
      </w:tabs>
      <w:adjustRightInd w:val="0"/>
      <w:spacing w:before="0" w:after="480" w:line="276" w:lineRule="auto"/>
      <w:ind w:left="720" w:hanging="720"/>
      <w:outlineLvl w:val="0"/>
    </w:pPr>
    <w:rPr>
      <w:rFonts w:ascii="Arial Bold" w:hAnsi="Arial Bold" w:cs="Arial"/>
      <w:b/>
      <w:color w:val="336699"/>
      <w:sz w:val="36"/>
    </w:rPr>
  </w:style>
  <w:style w:type="paragraph" w:customStyle="1" w:styleId="Style2">
    <w:name w:val="Style2"/>
    <w:basedOn w:val="Normal"/>
    <w:rsid w:val="00192720"/>
    <w:pPr>
      <w:tabs>
        <w:tab w:val="left" w:pos="720"/>
      </w:tabs>
      <w:spacing w:before="0" w:after="360" w:line="276" w:lineRule="auto"/>
    </w:pPr>
    <w:rPr>
      <w:rFonts w:ascii="Arial Bold" w:hAnsi="Arial Bold" w:cs="Arial"/>
      <w:b/>
      <w:color w:val="336699"/>
      <w:sz w:val="28"/>
      <w:lang w:val="en-US"/>
    </w:rPr>
  </w:style>
  <w:style w:type="character" w:customStyle="1" w:styleId="Style1Char">
    <w:name w:val="Style1 Char"/>
    <w:link w:val="Style1"/>
    <w:rsid w:val="00192720"/>
    <w:rPr>
      <w:rFonts w:ascii="Arial Bold" w:hAnsi="Arial Bold" w:cs="Arial"/>
      <w:b/>
      <w:color w:val="336699"/>
      <w:sz w:val="36"/>
    </w:rPr>
  </w:style>
  <w:style w:type="paragraph" w:customStyle="1" w:styleId="Style3">
    <w:name w:val="Style3"/>
    <w:basedOn w:val="BodyText"/>
    <w:rsid w:val="00192720"/>
    <w:rPr>
      <w:rFonts w:cs="Arial"/>
      <w:b/>
      <w:i/>
      <w:szCs w:val="22"/>
    </w:rPr>
  </w:style>
  <w:style w:type="paragraph" w:styleId="Date">
    <w:name w:val="Date"/>
    <w:basedOn w:val="Normal"/>
    <w:next w:val="Normal"/>
    <w:link w:val="DateChar"/>
    <w:uiPriority w:val="99"/>
    <w:locked/>
    <w:rsid w:val="00192720"/>
    <w:pPr>
      <w:spacing w:before="0" w:after="240" w:line="276" w:lineRule="auto"/>
    </w:pPr>
    <w:rPr>
      <w:rFonts w:ascii="Arial" w:hAnsi="Arial"/>
      <w:szCs w:val="24"/>
    </w:rPr>
  </w:style>
  <w:style w:type="character" w:customStyle="1" w:styleId="DateChar">
    <w:name w:val="Date Char"/>
    <w:basedOn w:val="DefaultParagraphFont"/>
    <w:link w:val="Date"/>
    <w:uiPriority w:val="99"/>
    <w:rsid w:val="00192720"/>
    <w:rPr>
      <w:rFonts w:ascii="Arial" w:hAnsi="Arial"/>
      <w:szCs w:val="24"/>
    </w:rPr>
  </w:style>
  <w:style w:type="paragraph" w:styleId="ListNumber">
    <w:name w:val="List Number"/>
    <w:basedOn w:val="BodyText"/>
    <w:uiPriority w:val="99"/>
    <w:locked/>
    <w:rsid w:val="00192720"/>
    <w:pPr>
      <w:keepLines/>
      <w:tabs>
        <w:tab w:val="num" w:pos="1134"/>
      </w:tabs>
      <w:ind w:left="1134" w:hanging="397"/>
    </w:pPr>
    <w:rPr>
      <w:rFonts w:ascii="Verdana" w:hAnsi="Verdana"/>
      <w:sz w:val="20"/>
    </w:rPr>
  </w:style>
  <w:style w:type="paragraph" w:styleId="ListNumber2">
    <w:name w:val="List Number 2"/>
    <w:basedOn w:val="ListNumber"/>
    <w:uiPriority w:val="99"/>
    <w:locked/>
    <w:rsid w:val="00192720"/>
    <w:pPr>
      <w:tabs>
        <w:tab w:val="clear" w:pos="1134"/>
        <w:tab w:val="num" w:pos="783"/>
      </w:tabs>
      <w:ind w:left="783" w:hanging="360"/>
    </w:pPr>
  </w:style>
  <w:style w:type="paragraph" w:customStyle="1" w:styleId="StyleHeading3Left0mmHanging317mm">
    <w:name w:val="Style Heading 3 + Left:  0 mm Hanging:  31.7 mm"/>
    <w:basedOn w:val="Heading3"/>
    <w:rsid w:val="00192720"/>
    <w:pPr>
      <w:keepNext/>
      <w:numPr>
        <w:ilvl w:val="2"/>
      </w:numPr>
      <w:spacing w:before="240" w:after="120"/>
      <w:ind w:left="1800" w:hanging="1800"/>
    </w:pPr>
    <w:rPr>
      <w:rFonts w:ascii="Arial" w:hAnsi="Arial" w:cs="Times New Roman"/>
      <w:i/>
      <w:color w:val="auto"/>
      <w:kern w:val="0"/>
      <w:sz w:val="22"/>
      <w:szCs w:val="20"/>
    </w:rPr>
  </w:style>
  <w:style w:type="paragraph" w:customStyle="1" w:styleId="Numstepbullet">
    <w:name w:val="Numstep bullet"/>
    <w:basedOn w:val="Normal"/>
    <w:rsid w:val="00192720"/>
    <w:pPr>
      <w:keepLines/>
      <w:numPr>
        <w:numId w:val="10"/>
      </w:numPr>
      <w:tabs>
        <w:tab w:val="clear" w:pos="2843"/>
        <w:tab w:val="num" w:pos="1440"/>
      </w:tabs>
      <w:spacing w:before="0"/>
      <w:ind w:left="1440" w:hanging="360"/>
    </w:pPr>
    <w:rPr>
      <w:rFonts w:ascii="Arial" w:hAnsi="Arial"/>
      <w:szCs w:val="20"/>
      <w:lang w:eastAsia="en-US"/>
    </w:rPr>
  </w:style>
  <w:style w:type="paragraph" w:customStyle="1" w:styleId="HeadingElements">
    <w:name w:val="Heading Elements"/>
    <w:basedOn w:val="Normal"/>
    <w:next w:val="Normal"/>
    <w:autoRedefine/>
    <w:rsid w:val="00192720"/>
    <w:pPr>
      <w:spacing w:before="240"/>
    </w:pPr>
    <w:rPr>
      <w:rFonts w:ascii="Arial Bold" w:eastAsia="MS Mincho" w:hAnsi="Arial Bold"/>
      <w:b/>
      <w:caps/>
      <w:color w:val="003366"/>
      <w:lang w:val="en-US" w:eastAsia="ja-JP"/>
    </w:rPr>
  </w:style>
  <w:style w:type="paragraph" w:customStyle="1" w:styleId="Generaltext">
    <w:name w:val="General text"/>
    <w:basedOn w:val="Normal"/>
    <w:rsid w:val="00192720"/>
    <w:pPr>
      <w:spacing w:before="0"/>
    </w:pPr>
    <w:rPr>
      <w:rFonts w:ascii="Arial" w:hAnsi="Arial"/>
      <w:color w:val="000000"/>
      <w:szCs w:val="20"/>
    </w:rPr>
  </w:style>
  <w:style w:type="character" w:customStyle="1" w:styleId="UnresolvedMention1">
    <w:name w:val="Unresolved Mention1"/>
    <w:uiPriority w:val="99"/>
    <w:unhideWhenUsed/>
    <w:rsid w:val="00192720"/>
    <w:rPr>
      <w:color w:val="605E5C"/>
      <w:shd w:val="clear" w:color="auto" w:fill="E1DFDD"/>
    </w:rPr>
  </w:style>
  <w:style w:type="character" w:customStyle="1" w:styleId="Mention1">
    <w:name w:val="Mention1"/>
    <w:uiPriority w:val="99"/>
    <w:unhideWhenUsed/>
    <w:rsid w:val="00192720"/>
    <w:rPr>
      <w:color w:val="2B579A"/>
      <w:shd w:val="clear" w:color="auto" w:fill="E1DFDD"/>
    </w:rPr>
  </w:style>
  <w:style w:type="paragraph" w:customStyle="1" w:styleId="Pa36">
    <w:name w:val="Pa36"/>
    <w:basedOn w:val="Default"/>
    <w:next w:val="Default"/>
    <w:uiPriority w:val="99"/>
    <w:rsid w:val="00192720"/>
    <w:pPr>
      <w:spacing w:line="201" w:lineRule="atLeast"/>
    </w:pPr>
    <w:rPr>
      <w:rFonts w:ascii="Museo Sans 300" w:hAnsi="Museo Sans 300" w:cs="Times New Roman"/>
      <w:color w:val="auto"/>
    </w:rPr>
  </w:style>
  <w:style w:type="table" w:customStyle="1" w:styleId="TableGrid1">
    <w:name w:val="Table Grid1"/>
    <w:basedOn w:val="TableNormal"/>
    <w:next w:val="TableGrid"/>
    <w:locked/>
    <w:rsid w:val="00192720"/>
    <w:pPr>
      <w:spacing w:before="20" w:after="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0"/>
      </w:rPr>
    </w:tblStylePr>
    <w:tblStylePr w:type="firstCol">
      <w:rPr>
        <w:rFonts w:asciiTheme="minorHAnsi" w:hAnsiTheme="minorHAnsi"/>
        <w:sz w:val="20"/>
      </w:rPr>
    </w:tblStylePr>
  </w:style>
  <w:style w:type="table" w:styleId="TableGridLight">
    <w:name w:val="Grid Table Light"/>
    <w:basedOn w:val="TableNormal"/>
    <w:uiPriority w:val="40"/>
    <w:locked/>
    <w:rsid w:val="00192720"/>
    <w:pPr>
      <w:spacing w:after="0"/>
    </w:pPr>
    <w:tblPr>
      <w:tblBorders>
        <w:top w:val="single" w:sz="4" w:space="0" w:color="00A7E5" w:themeColor="accent1"/>
        <w:left w:val="single" w:sz="4" w:space="0" w:color="00A7E5" w:themeColor="accent1"/>
        <w:bottom w:val="single" w:sz="4" w:space="0" w:color="00A7E5" w:themeColor="accent1"/>
        <w:right w:val="single" w:sz="4" w:space="0" w:color="00A7E5" w:themeColor="accent1"/>
        <w:insideH w:val="single" w:sz="4" w:space="0" w:color="00A7E5" w:themeColor="accent1"/>
        <w:insideV w:val="single" w:sz="4" w:space="0" w:color="00A7E5" w:themeColor="accent1"/>
      </w:tblBorders>
    </w:tblPr>
  </w:style>
  <w:style w:type="table" w:customStyle="1" w:styleId="TableGrid11">
    <w:name w:val="Table Grid11"/>
    <w:basedOn w:val="TableNormal"/>
    <w:next w:val="TableGrid"/>
    <w:uiPriority w:val="59"/>
    <w:locked/>
    <w:rsid w:val="00192720"/>
    <w:pPr>
      <w:spacing w:before="20" w:after="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0"/>
      </w:rPr>
    </w:tblStylePr>
    <w:tblStylePr w:type="firstCol">
      <w:rPr>
        <w:rFonts w:asciiTheme="minorHAnsi" w:hAnsiTheme="minorHAnsi"/>
        <w:sz w:val="20"/>
      </w:rPr>
    </w:tblStylePr>
  </w:style>
  <w:style w:type="character" w:customStyle="1" w:styleId="Heading6Char">
    <w:name w:val="Heading 6 Char"/>
    <w:basedOn w:val="DefaultParagraphFont"/>
    <w:link w:val="Heading6"/>
    <w:uiPriority w:val="99"/>
    <w:rsid w:val="00192720"/>
    <w:rPr>
      <w:bCs/>
      <w:i/>
      <w:u w:val="single"/>
    </w:rPr>
  </w:style>
  <w:style w:type="paragraph" w:customStyle="1" w:styleId="HeadingLevel1NoNumber">
    <w:name w:val="HeadingLevel1NoNumber"/>
    <w:basedOn w:val="Heading1"/>
    <w:next w:val="BodyText"/>
    <w:qFormat/>
    <w:rsid w:val="00192720"/>
    <w:pPr>
      <w:pBdr>
        <w:bottom w:val="single" w:sz="12" w:space="1" w:color="336699"/>
      </w:pBdr>
      <w:adjustRightInd w:val="0"/>
      <w:spacing w:before="0" w:after="480" w:line="276" w:lineRule="auto"/>
    </w:pPr>
    <w:rPr>
      <w:rFonts w:ascii="Arial Bold" w:hAnsi="Arial Bold"/>
      <w:bCs w:val="0"/>
      <w:color w:val="336699"/>
      <w:kern w:val="0"/>
      <w:sz w:val="36"/>
      <w:szCs w:val="22"/>
    </w:rPr>
  </w:style>
  <w:style w:type="paragraph" w:customStyle="1" w:styleId="Bullet1">
    <w:name w:val="Bullet 1"/>
    <w:basedOn w:val="BodyTextIndent"/>
    <w:rsid w:val="00192720"/>
    <w:pPr>
      <w:numPr>
        <w:numId w:val="9"/>
      </w:numPr>
      <w:tabs>
        <w:tab w:val="clear" w:pos="9027"/>
        <w:tab w:val="left" w:pos="357"/>
      </w:tabs>
      <w:jc w:val="left"/>
    </w:pPr>
    <w:rPr>
      <w:szCs w:val="24"/>
    </w:rPr>
  </w:style>
  <w:style w:type="paragraph" w:customStyle="1" w:styleId="Bodytextkeepwithnext">
    <w:name w:val="Bodytextkeepwithnext"/>
    <w:basedOn w:val="BodyText"/>
    <w:qFormat/>
    <w:rsid w:val="00192720"/>
    <w:pPr>
      <w:keepNext/>
    </w:pPr>
  </w:style>
  <w:style w:type="paragraph" w:styleId="Caption">
    <w:name w:val="caption"/>
    <w:basedOn w:val="Normal"/>
    <w:next w:val="Normal"/>
    <w:uiPriority w:val="99"/>
    <w:unhideWhenUsed/>
    <w:qFormat/>
    <w:locked/>
    <w:rsid w:val="00192720"/>
    <w:pPr>
      <w:spacing w:before="0" w:after="200"/>
    </w:pPr>
    <w:rPr>
      <w:rFonts w:ascii="Arial" w:hAnsi="Arial"/>
      <w:i/>
      <w:iCs/>
      <w:color w:val="005370" w:themeColor="text2"/>
      <w:sz w:val="18"/>
      <w:szCs w:val="18"/>
    </w:rPr>
  </w:style>
  <w:style w:type="paragraph" w:customStyle="1" w:styleId="Intropara">
    <w:name w:val="Intropara"/>
    <w:basedOn w:val="Normal"/>
    <w:qFormat/>
    <w:rsid w:val="00192720"/>
    <w:pPr>
      <w:spacing w:before="0" w:after="240" w:line="276" w:lineRule="auto"/>
    </w:pPr>
    <w:rPr>
      <w:rFonts w:ascii="Arial" w:hAnsi="Arial"/>
      <w:szCs w:val="24"/>
    </w:rPr>
  </w:style>
  <w:style w:type="paragraph" w:customStyle="1" w:styleId="Bullet1keepwithnext">
    <w:name w:val="Bullet 1keepwithnext"/>
    <w:basedOn w:val="Bullet1"/>
    <w:qFormat/>
    <w:rsid w:val="00192720"/>
    <w:pPr>
      <w:keepNext/>
      <w:ind w:left="714"/>
    </w:pPr>
  </w:style>
  <w:style w:type="paragraph" w:customStyle="1" w:styleId="Bullet2">
    <w:name w:val="Bullet2"/>
    <w:basedOn w:val="Normal"/>
    <w:qFormat/>
    <w:rsid w:val="00192720"/>
    <w:pPr>
      <w:numPr>
        <w:numId w:val="11"/>
      </w:numPr>
      <w:autoSpaceDE w:val="0"/>
      <w:autoSpaceDN w:val="0"/>
      <w:adjustRightInd w:val="0"/>
      <w:contextualSpacing/>
    </w:pPr>
    <w:rPr>
      <w:rFonts w:ascii="Arial" w:hAnsi="Arial" w:cstheme="minorHAnsi"/>
      <w:color w:val="000000"/>
      <w:szCs w:val="24"/>
    </w:rPr>
  </w:style>
  <w:style w:type="paragraph" w:styleId="Quote">
    <w:name w:val="Quote"/>
    <w:basedOn w:val="Normal"/>
    <w:next w:val="Normal"/>
    <w:link w:val="QuoteChar"/>
    <w:uiPriority w:val="29"/>
    <w:qFormat/>
    <w:rsid w:val="00192720"/>
    <w:pPr>
      <w:tabs>
        <w:tab w:val="left" w:pos="8640"/>
      </w:tabs>
      <w:spacing w:before="0" w:after="240" w:line="276" w:lineRule="auto"/>
      <w:ind w:left="720" w:right="999"/>
    </w:pPr>
    <w:rPr>
      <w:rFonts w:ascii="Arial" w:hAnsi="Arial"/>
      <w:i/>
      <w:szCs w:val="24"/>
    </w:rPr>
  </w:style>
  <w:style w:type="character" w:customStyle="1" w:styleId="QuoteChar">
    <w:name w:val="Quote Char"/>
    <w:basedOn w:val="DefaultParagraphFont"/>
    <w:link w:val="Quote"/>
    <w:uiPriority w:val="29"/>
    <w:rsid w:val="00192720"/>
    <w:rPr>
      <w:rFonts w:ascii="Arial" w:hAnsi="Arial"/>
      <w:i/>
      <w:szCs w:val="24"/>
    </w:rPr>
  </w:style>
  <w:style w:type="paragraph" w:customStyle="1" w:styleId="HeadingLevel3NoNumber">
    <w:name w:val="HeadingLevel3NoNumber"/>
    <w:basedOn w:val="Heading3"/>
    <w:qFormat/>
    <w:rsid w:val="00192720"/>
    <w:pPr>
      <w:keepNext/>
      <w:spacing w:before="240" w:after="120"/>
    </w:pPr>
    <w:rPr>
      <w:rFonts w:ascii="Arial Bold" w:hAnsi="Arial Bold"/>
      <w:bCs w:val="0"/>
      <w:i/>
      <w:iCs w:val="0"/>
      <w:color w:val="00A7E5" w:themeColor="accent1"/>
      <w:kern w:val="0"/>
      <w:sz w:val="22"/>
      <w:szCs w:val="22"/>
    </w:rPr>
  </w:style>
  <w:style w:type="paragraph" w:customStyle="1" w:styleId="Attachmentheading">
    <w:name w:val="Attachment heading"/>
    <w:next w:val="Normal"/>
    <w:uiPriority w:val="2"/>
    <w:qFormat/>
    <w:rsid w:val="00192720"/>
    <w:pPr>
      <w:keepNext/>
      <w:keepLines/>
      <w:pageBreakBefore/>
      <w:numPr>
        <w:numId w:val="12"/>
      </w:numPr>
      <w:spacing w:before="240" w:after="120" w:line="640" w:lineRule="exact"/>
    </w:pPr>
    <w:rPr>
      <w:rFonts w:ascii="Arial Bold" w:hAnsi="Arial Bold"/>
      <w:b/>
      <w:color w:val="0063A6"/>
      <w:sz w:val="32"/>
      <w:szCs w:val="18"/>
      <w:lang w:eastAsia="en-US"/>
    </w:rPr>
  </w:style>
  <w:style w:type="paragraph" w:customStyle="1" w:styleId="AttachmentHeading2">
    <w:name w:val="Attachment Heading 2"/>
    <w:basedOn w:val="Heading2"/>
    <w:next w:val="BodyText"/>
    <w:rsid w:val="00192720"/>
    <w:pPr>
      <w:keepNext/>
      <w:numPr>
        <w:ilvl w:val="1"/>
        <w:numId w:val="12"/>
      </w:numPr>
      <w:tabs>
        <w:tab w:val="left" w:pos="964"/>
      </w:tabs>
      <w:spacing w:before="240" w:after="120"/>
      <w:jc w:val="both"/>
      <w:outlineLvl w:val="9"/>
    </w:pPr>
    <w:rPr>
      <w:rFonts w:ascii="Arial Bold" w:hAnsi="Arial Bold" w:cs="Times New Roman"/>
      <w:iCs w:val="0"/>
      <w:color w:val="0063A6"/>
      <w:kern w:val="0"/>
      <w:sz w:val="28"/>
      <w:szCs w:val="20"/>
      <w:lang w:eastAsia="en-US"/>
    </w:rPr>
  </w:style>
  <w:style w:type="paragraph" w:customStyle="1" w:styleId="AttachmentHeading3">
    <w:name w:val="Attachment Heading 3"/>
    <w:basedOn w:val="Heading3"/>
    <w:next w:val="BodyText"/>
    <w:rsid w:val="00192720"/>
    <w:pPr>
      <w:keepNext/>
      <w:numPr>
        <w:ilvl w:val="2"/>
        <w:numId w:val="12"/>
      </w:numPr>
      <w:tabs>
        <w:tab w:val="left" w:pos="357"/>
      </w:tabs>
      <w:spacing w:before="240" w:after="120"/>
      <w:jc w:val="both"/>
      <w:outlineLvl w:val="9"/>
    </w:pPr>
    <w:rPr>
      <w:rFonts w:ascii="Arial" w:hAnsi="Arial" w:cs="Times New Roman"/>
      <w:bCs w:val="0"/>
      <w:i/>
      <w:iCs w:val="0"/>
      <w:color w:val="0063A6"/>
      <w:kern w:val="0"/>
      <w:sz w:val="24"/>
      <w:szCs w:val="20"/>
      <w:lang w:eastAsia="en-US"/>
    </w:rPr>
  </w:style>
  <w:style w:type="paragraph" w:customStyle="1" w:styleId="AttachmentHeading4">
    <w:name w:val="Attachment Heading 4"/>
    <w:basedOn w:val="Heading4"/>
    <w:next w:val="BodyText"/>
    <w:rsid w:val="00192720"/>
    <w:pPr>
      <w:numPr>
        <w:ilvl w:val="3"/>
        <w:numId w:val="12"/>
      </w:numPr>
      <w:tabs>
        <w:tab w:val="left" w:pos="964"/>
      </w:tabs>
      <w:jc w:val="both"/>
      <w:outlineLvl w:val="9"/>
    </w:pPr>
    <w:rPr>
      <w:rFonts w:ascii="Arial" w:hAnsi="Arial"/>
      <w:bCs w:val="0"/>
      <w:color w:val="0063A6"/>
      <w:sz w:val="20"/>
      <w:szCs w:val="20"/>
      <w:lang w:eastAsia="en-US"/>
    </w:rPr>
  </w:style>
  <w:style w:type="paragraph" w:customStyle="1" w:styleId="TableHeading">
    <w:name w:val="TableHeading"/>
    <w:basedOn w:val="Normal"/>
    <w:qFormat/>
    <w:rsid w:val="00192720"/>
    <w:pPr>
      <w:spacing w:before="40" w:after="40"/>
    </w:pPr>
    <w:rPr>
      <w:rFonts w:ascii="Verdana" w:hAnsi="Verdana"/>
      <w:b/>
      <w:iCs/>
      <w:sz w:val="18"/>
      <w:szCs w:val="24"/>
    </w:rPr>
  </w:style>
  <w:style w:type="paragraph" w:customStyle="1" w:styleId="TableText">
    <w:name w:val="TableText"/>
    <w:basedOn w:val="Normal"/>
    <w:qFormat/>
    <w:rsid w:val="00192720"/>
    <w:pPr>
      <w:spacing w:before="40" w:after="40"/>
    </w:pPr>
    <w:rPr>
      <w:rFonts w:ascii="Verdana" w:hAnsi="Verdana"/>
      <w:bCs/>
      <w:sz w:val="18"/>
      <w:szCs w:val="24"/>
    </w:rPr>
  </w:style>
  <w:style w:type="paragraph" w:customStyle="1" w:styleId="Source">
    <w:name w:val="Source"/>
    <w:basedOn w:val="BodyText"/>
    <w:qFormat/>
    <w:rsid w:val="00192720"/>
    <w:pPr>
      <w:spacing w:before="0"/>
    </w:pPr>
    <w:rPr>
      <w:rFonts w:ascii="Verdana" w:hAnsi="Verdana"/>
      <w:sz w:val="18"/>
      <w:szCs w:val="22"/>
    </w:rPr>
  </w:style>
  <w:style w:type="paragraph" w:customStyle="1" w:styleId="Editorialnote">
    <w:name w:val="Editorial note"/>
    <w:basedOn w:val="BodyText"/>
    <w:rsid w:val="00192720"/>
    <w:pPr>
      <w:numPr>
        <w:numId w:val="13"/>
      </w:numPr>
      <w:tabs>
        <w:tab w:val="clear" w:pos="4536"/>
        <w:tab w:val="left" w:pos="1701"/>
      </w:tabs>
      <w:spacing w:before="0"/>
      <w:ind w:left="1701"/>
    </w:pPr>
    <w:rPr>
      <w:rFonts w:ascii="Verdana" w:hAnsi="Verdana"/>
      <w:color w:val="800000"/>
      <w:sz w:val="16"/>
      <w:szCs w:val="16"/>
    </w:rPr>
  </w:style>
  <w:style w:type="character" w:customStyle="1" w:styleId="Heading1Char">
    <w:name w:val="Heading 1 Char"/>
    <w:basedOn w:val="DefaultParagraphFont"/>
    <w:link w:val="Heading1"/>
    <w:uiPriority w:val="99"/>
    <w:rsid w:val="00192720"/>
    <w:rPr>
      <w:rFonts w:cs="Arial"/>
      <w:b/>
      <w:bCs/>
      <w:color w:val="005370" w:themeColor="text2"/>
      <w:kern w:val="28"/>
      <w:sz w:val="40"/>
      <w:szCs w:val="32"/>
    </w:rPr>
  </w:style>
  <w:style w:type="character" w:customStyle="1" w:styleId="Heading2Char">
    <w:name w:val="Heading 2 Char"/>
    <w:basedOn w:val="DefaultParagraphFont"/>
    <w:link w:val="Heading2"/>
    <w:uiPriority w:val="99"/>
    <w:rsid w:val="00192720"/>
    <w:rPr>
      <w:rFonts w:cs="Arial"/>
      <w:b/>
      <w:iCs/>
      <w:color w:val="005370" w:themeColor="text2"/>
      <w:kern w:val="28"/>
      <w:sz w:val="32"/>
      <w:szCs w:val="28"/>
    </w:rPr>
  </w:style>
  <w:style w:type="character" w:customStyle="1" w:styleId="Heading3Char">
    <w:name w:val="Heading 3 Char"/>
    <w:basedOn w:val="DefaultParagraphFont"/>
    <w:link w:val="Heading3"/>
    <w:uiPriority w:val="99"/>
    <w:rsid w:val="00192720"/>
    <w:rPr>
      <w:rFonts w:cs="Arial"/>
      <w:b/>
      <w:bCs/>
      <w:iCs/>
      <w:color w:val="005370" w:themeColor="text2"/>
      <w:kern w:val="28"/>
      <w:sz w:val="28"/>
      <w:szCs w:val="26"/>
    </w:rPr>
  </w:style>
  <w:style w:type="character" w:customStyle="1" w:styleId="Heading4Char">
    <w:name w:val="Heading 4 Char"/>
    <w:basedOn w:val="DefaultParagraphFont"/>
    <w:link w:val="Heading4"/>
    <w:uiPriority w:val="99"/>
    <w:rsid w:val="00192720"/>
    <w:rPr>
      <w:b/>
      <w:bCs/>
      <w:color w:val="000000" w:themeColor="text1"/>
      <w:sz w:val="24"/>
      <w:szCs w:val="26"/>
    </w:rPr>
  </w:style>
  <w:style w:type="character" w:customStyle="1" w:styleId="Heading5Char">
    <w:name w:val="Heading 5 Char"/>
    <w:basedOn w:val="DefaultParagraphFont"/>
    <w:link w:val="Heading5"/>
    <w:uiPriority w:val="99"/>
    <w:rsid w:val="00192720"/>
    <w:rPr>
      <w:b/>
      <w:bCs/>
      <w:iCs/>
      <w:color w:val="000000" w:themeColor="text1"/>
    </w:rPr>
  </w:style>
  <w:style w:type="numbering" w:customStyle="1" w:styleId="NoList1">
    <w:name w:val="No List1"/>
    <w:next w:val="NoList"/>
    <w:uiPriority w:val="99"/>
    <w:semiHidden/>
    <w:unhideWhenUsed/>
    <w:rsid w:val="00192720"/>
  </w:style>
  <w:style w:type="paragraph" w:styleId="MacroText">
    <w:name w:val="macro"/>
    <w:link w:val="MacroTextChar"/>
    <w:locked/>
    <w:rsid w:val="00192720"/>
    <w:pPr>
      <w:tabs>
        <w:tab w:val="left" w:pos="480"/>
        <w:tab w:val="left" w:pos="960"/>
        <w:tab w:val="left" w:pos="1440"/>
        <w:tab w:val="left" w:pos="1920"/>
        <w:tab w:val="left" w:pos="2400"/>
        <w:tab w:val="left" w:pos="2880"/>
        <w:tab w:val="left" w:pos="3360"/>
        <w:tab w:val="left" w:pos="3840"/>
        <w:tab w:val="left" w:pos="4320"/>
      </w:tabs>
      <w:spacing w:after="180"/>
    </w:pPr>
    <w:rPr>
      <w:rFonts w:ascii="Courier New" w:hAnsi="Courier New" w:cs="Courier New"/>
      <w:color w:val="FF0000"/>
      <w:sz w:val="20"/>
      <w:szCs w:val="20"/>
    </w:rPr>
  </w:style>
  <w:style w:type="character" w:customStyle="1" w:styleId="MacroTextChar">
    <w:name w:val="Macro Text Char"/>
    <w:basedOn w:val="DefaultParagraphFont"/>
    <w:link w:val="MacroText"/>
    <w:rsid w:val="00192720"/>
    <w:rPr>
      <w:rFonts w:ascii="Courier New" w:hAnsi="Courier New" w:cs="Courier New"/>
      <w:color w:val="FF0000"/>
      <w:sz w:val="20"/>
      <w:szCs w:val="20"/>
    </w:rPr>
  </w:style>
  <w:style w:type="character" w:customStyle="1" w:styleId="FrontmaintitleCharChar">
    <w:name w:val="Ω Front:maintitle Char Char"/>
    <w:link w:val="Frontmaintitle"/>
    <w:rsid w:val="00192720"/>
    <w:rPr>
      <w:rFonts w:ascii="Verdana" w:hAnsi="Verdana"/>
      <w:b/>
      <w:sz w:val="36"/>
      <w:szCs w:val="24"/>
    </w:rPr>
  </w:style>
  <w:style w:type="paragraph" w:customStyle="1" w:styleId="Frontsubtitle">
    <w:name w:val="Ω Front:subtitle"/>
    <w:basedOn w:val="Frontdata"/>
    <w:rsid w:val="00192720"/>
    <w:pPr>
      <w:spacing w:after="400"/>
    </w:pPr>
    <w:rPr>
      <w:b/>
      <w:sz w:val="28"/>
    </w:rPr>
  </w:style>
  <w:style w:type="paragraph" w:customStyle="1" w:styleId="Frontmaintitle">
    <w:name w:val="Ω Front:maintitle"/>
    <w:basedOn w:val="Frontdata"/>
    <w:link w:val="FrontmaintitleCharChar"/>
    <w:rsid w:val="00192720"/>
    <w:pPr>
      <w:pBdr>
        <w:top w:val="single" w:sz="8" w:space="15" w:color="auto"/>
      </w:pBdr>
      <w:spacing w:before="1600" w:after="400"/>
    </w:pPr>
    <w:rPr>
      <w:b/>
      <w:sz w:val="36"/>
    </w:rPr>
  </w:style>
  <w:style w:type="paragraph" w:customStyle="1" w:styleId="Frontdata">
    <w:name w:val="Ω Front:data"/>
    <w:semiHidden/>
    <w:rsid w:val="00192720"/>
    <w:pPr>
      <w:keepLines/>
      <w:spacing w:before="200" w:after="0"/>
      <w:ind w:left="-567" w:right="1134"/>
      <w:jc w:val="center"/>
    </w:pPr>
    <w:rPr>
      <w:rFonts w:ascii="Verdana" w:hAnsi="Verdana"/>
      <w:sz w:val="24"/>
      <w:szCs w:val="24"/>
    </w:rPr>
  </w:style>
  <w:style w:type="paragraph" w:customStyle="1" w:styleId="Frontstatus">
    <w:name w:val="Ω Front:status"/>
    <w:basedOn w:val="Frontdata"/>
    <w:next w:val="BodyText"/>
    <w:rsid w:val="00192720"/>
    <w:pPr>
      <w:pBdr>
        <w:bottom w:val="single" w:sz="8" w:space="20" w:color="auto"/>
      </w:pBdr>
    </w:pPr>
  </w:style>
  <w:style w:type="paragraph" w:customStyle="1" w:styleId="Insidefineprint">
    <w:name w:val="Ω Inside:fineprint"/>
    <w:rsid w:val="00192720"/>
    <w:pPr>
      <w:spacing w:before="60" w:after="0"/>
      <w:ind w:left="-1134"/>
    </w:pPr>
    <w:rPr>
      <w:rFonts w:ascii="Verdana" w:hAnsi="Verdana"/>
      <w:sz w:val="16"/>
      <w:szCs w:val="24"/>
    </w:rPr>
  </w:style>
  <w:style w:type="paragraph" w:customStyle="1" w:styleId="Insideheading">
    <w:name w:val="Ω Inside:heading"/>
    <w:basedOn w:val="Insidefineprint"/>
    <w:rsid w:val="00192720"/>
    <w:pPr>
      <w:keepNext/>
      <w:keepLines/>
      <w:spacing w:before="120"/>
    </w:pPr>
    <w:rPr>
      <w:b/>
    </w:rPr>
  </w:style>
  <w:style w:type="paragraph" w:customStyle="1" w:styleId="Blankintentionally">
    <w:name w:val="Blank intentionally"/>
    <w:basedOn w:val="BodyText"/>
    <w:next w:val="BodyText"/>
    <w:rsid w:val="00192720"/>
    <w:pPr>
      <w:pageBreakBefore/>
      <w:spacing w:before="14000"/>
      <w:ind w:left="-1134"/>
      <w:jc w:val="center"/>
    </w:pPr>
    <w:rPr>
      <w:rFonts w:ascii="Verdana" w:hAnsi="Verdana"/>
      <w:sz w:val="16"/>
    </w:rPr>
  </w:style>
  <w:style w:type="paragraph" w:customStyle="1" w:styleId="Frontlogo">
    <w:name w:val="Ω Front:logo"/>
    <w:rsid w:val="00192720"/>
    <w:pPr>
      <w:spacing w:before="900" w:after="720"/>
      <w:ind w:right="1701"/>
      <w:jc w:val="center"/>
    </w:pPr>
    <w:rPr>
      <w:rFonts w:ascii="Verdana" w:hAnsi="Verdana"/>
      <w:noProof/>
      <w:sz w:val="144"/>
      <w:szCs w:val="24"/>
    </w:rPr>
  </w:style>
  <w:style w:type="character" w:customStyle="1" w:styleId="NEHTAred">
    <w:name w:val="Ω NEHTA:red"/>
    <w:rsid w:val="00192720"/>
    <w:rPr>
      <w:color w:val="CC0000"/>
    </w:rPr>
  </w:style>
  <w:style w:type="character" w:customStyle="1" w:styleId="NEHTAgray">
    <w:name w:val="Ω NEHTA:gray"/>
    <w:rsid w:val="00192720"/>
    <w:rPr>
      <w:color w:val="999999"/>
    </w:rPr>
  </w:style>
  <w:style w:type="paragraph" w:customStyle="1" w:styleId="Headingunnumbered2">
    <w:name w:val="Heading unnumbered 2"/>
    <w:basedOn w:val="Heading2"/>
    <w:next w:val="BodyText"/>
    <w:rsid w:val="00192720"/>
    <w:pPr>
      <w:keepNext/>
      <w:keepLines/>
      <w:spacing w:before="280" w:after="200"/>
      <w:ind w:left="-1134"/>
    </w:pPr>
    <w:rPr>
      <w:rFonts w:ascii="Verdana" w:hAnsi="Verdana"/>
      <w:color w:val="auto"/>
      <w:kern w:val="32"/>
      <w:sz w:val="28"/>
    </w:rPr>
  </w:style>
  <w:style w:type="paragraph" w:styleId="BodyText2">
    <w:name w:val="Body Text 2"/>
    <w:basedOn w:val="BodyText"/>
    <w:link w:val="BodyText2Char"/>
    <w:uiPriority w:val="99"/>
    <w:locked/>
    <w:rsid w:val="00192720"/>
    <w:pPr>
      <w:spacing w:before="0"/>
      <w:ind w:left="567"/>
    </w:pPr>
    <w:rPr>
      <w:rFonts w:ascii="Verdana" w:hAnsi="Verdana"/>
      <w:sz w:val="20"/>
    </w:rPr>
  </w:style>
  <w:style w:type="character" w:customStyle="1" w:styleId="BodyText2Char">
    <w:name w:val="Body Text 2 Char"/>
    <w:basedOn w:val="DefaultParagraphFont"/>
    <w:link w:val="BodyText2"/>
    <w:uiPriority w:val="99"/>
    <w:rsid w:val="00192720"/>
    <w:rPr>
      <w:rFonts w:ascii="Verdana" w:hAnsi="Verdana"/>
      <w:sz w:val="20"/>
      <w:szCs w:val="24"/>
    </w:rPr>
  </w:style>
  <w:style w:type="paragraph" w:styleId="BodyText3">
    <w:name w:val="Body Text 3"/>
    <w:basedOn w:val="BodyText2"/>
    <w:link w:val="BodyText3Char"/>
    <w:uiPriority w:val="99"/>
    <w:locked/>
    <w:rsid w:val="00192720"/>
    <w:pPr>
      <w:ind w:left="1134"/>
    </w:pPr>
    <w:rPr>
      <w:szCs w:val="16"/>
    </w:rPr>
  </w:style>
  <w:style w:type="character" w:customStyle="1" w:styleId="BodyText3Char">
    <w:name w:val="Body Text 3 Char"/>
    <w:basedOn w:val="DefaultParagraphFont"/>
    <w:link w:val="BodyText3"/>
    <w:uiPriority w:val="99"/>
    <w:rsid w:val="00192720"/>
    <w:rPr>
      <w:rFonts w:ascii="Verdana" w:hAnsi="Verdana"/>
      <w:sz w:val="20"/>
      <w:szCs w:val="16"/>
    </w:rPr>
  </w:style>
  <w:style w:type="character" w:customStyle="1" w:styleId="Subscript">
    <w:name w:val="Subscript"/>
    <w:rsid w:val="00192720"/>
    <w:rPr>
      <w:vertAlign w:val="subscript"/>
    </w:rPr>
  </w:style>
  <w:style w:type="paragraph" w:styleId="PlainText">
    <w:name w:val="Plain Text"/>
    <w:basedOn w:val="BodyText"/>
    <w:link w:val="PlainTextChar"/>
    <w:locked/>
    <w:rsid w:val="00192720"/>
    <w:pPr>
      <w:spacing w:before="0" w:after="80"/>
      <w:contextualSpacing/>
    </w:pPr>
    <w:rPr>
      <w:rFonts w:ascii="Courier New" w:hAnsi="Courier New" w:cs="Courier New"/>
      <w:sz w:val="20"/>
    </w:rPr>
  </w:style>
  <w:style w:type="character" w:customStyle="1" w:styleId="PlainTextChar">
    <w:name w:val="Plain Text Char"/>
    <w:basedOn w:val="DefaultParagraphFont"/>
    <w:link w:val="PlainText"/>
    <w:rsid w:val="00192720"/>
    <w:rPr>
      <w:rFonts w:ascii="Courier New" w:hAnsi="Courier New" w:cs="Courier New"/>
      <w:sz w:val="20"/>
      <w:szCs w:val="24"/>
    </w:rPr>
  </w:style>
  <w:style w:type="paragraph" w:styleId="List3">
    <w:name w:val="List 3"/>
    <w:basedOn w:val="List2"/>
    <w:locked/>
    <w:rsid w:val="00192720"/>
    <w:pPr>
      <w:ind w:left="849"/>
    </w:pPr>
  </w:style>
  <w:style w:type="paragraph" w:styleId="ListBullet3">
    <w:name w:val="List Bullet 3"/>
    <w:basedOn w:val="ListBullet2"/>
    <w:uiPriority w:val="99"/>
    <w:locked/>
    <w:rsid w:val="00192720"/>
    <w:pPr>
      <w:tabs>
        <w:tab w:val="clear" w:pos="643"/>
        <w:tab w:val="left" w:pos="714"/>
        <w:tab w:val="num" w:pos="1701"/>
      </w:tabs>
      <w:spacing w:before="120" w:after="120" w:line="240" w:lineRule="auto"/>
      <w:ind w:left="1701" w:hanging="397"/>
      <w:contextualSpacing w:val="0"/>
    </w:pPr>
    <w:rPr>
      <w:rFonts w:ascii="Verdana" w:hAnsi="Verdana"/>
      <w:sz w:val="20"/>
    </w:rPr>
  </w:style>
  <w:style w:type="paragraph" w:styleId="ListBullet4">
    <w:name w:val="List Bullet 4"/>
    <w:basedOn w:val="ListBullet3"/>
    <w:uiPriority w:val="99"/>
    <w:locked/>
    <w:rsid w:val="00192720"/>
    <w:pPr>
      <w:tabs>
        <w:tab w:val="clear" w:pos="1701"/>
        <w:tab w:val="num" w:pos="2268"/>
      </w:tabs>
      <w:ind w:left="2268"/>
    </w:pPr>
  </w:style>
  <w:style w:type="paragraph" w:styleId="ListBullet5">
    <w:name w:val="List Bullet 5"/>
    <w:basedOn w:val="ListBullet4"/>
    <w:locked/>
    <w:rsid w:val="00192720"/>
    <w:pPr>
      <w:tabs>
        <w:tab w:val="clear" w:pos="2268"/>
        <w:tab w:val="num" w:pos="2835"/>
      </w:tabs>
      <w:ind w:left="2835"/>
    </w:pPr>
  </w:style>
  <w:style w:type="paragraph" w:styleId="ListNumber3">
    <w:name w:val="List Number 3"/>
    <w:basedOn w:val="ListNumber2"/>
    <w:locked/>
    <w:rsid w:val="00192720"/>
    <w:pPr>
      <w:keepLines w:val="0"/>
      <w:tabs>
        <w:tab w:val="clear" w:pos="783"/>
        <w:tab w:val="num" w:pos="1701"/>
      </w:tabs>
      <w:spacing w:before="0"/>
      <w:ind w:left="1701" w:hanging="397"/>
    </w:pPr>
  </w:style>
  <w:style w:type="paragraph" w:styleId="ListContinue">
    <w:name w:val="List Continue"/>
    <w:basedOn w:val="BodyText"/>
    <w:uiPriority w:val="99"/>
    <w:locked/>
    <w:rsid w:val="00192720"/>
    <w:pPr>
      <w:spacing w:before="0"/>
      <w:ind w:left="567"/>
    </w:pPr>
    <w:rPr>
      <w:rFonts w:ascii="Verdana" w:hAnsi="Verdana"/>
      <w:sz w:val="20"/>
    </w:rPr>
  </w:style>
  <w:style w:type="paragraph" w:styleId="ListContinue2">
    <w:name w:val="List Continue 2"/>
    <w:basedOn w:val="ListContinue"/>
    <w:uiPriority w:val="99"/>
    <w:locked/>
    <w:rsid w:val="00192720"/>
    <w:pPr>
      <w:ind w:left="1134"/>
    </w:pPr>
  </w:style>
  <w:style w:type="paragraph" w:styleId="ListContinue3">
    <w:name w:val="List Continue 3"/>
    <w:basedOn w:val="ListContinue2"/>
    <w:locked/>
    <w:rsid w:val="00192720"/>
    <w:pPr>
      <w:ind w:left="1701"/>
    </w:pPr>
  </w:style>
  <w:style w:type="paragraph" w:styleId="ListContinue4">
    <w:name w:val="List Continue 4"/>
    <w:basedOn w:val="ListContinue3"/>
    <w:locked/>
    <w:rsid w:val="00192720"/>
    <w:pPr>
      <w:ind w:left="2268"/>
    </w:pPr>
  </w:style>
  <w:style w:type="paragraph" w:customStyle="1" w:styleId="Note">
    <w:name w:val="Note"/>
    <w:basedOn w:val="BodyText"/>
    <w:next w:val="BodyText"/>
    <w:uiPriority w:val="99"/>
    <w:rsid w:val="00192720"/>
    <w:pPr>
      <w:spacing w:before="0"/>
      <w:ind w:left="1134" w:hanging="1134"/>
    </w:pPr>
    <w:rPr>
      <w:rFonts w:ascii="Verdana" w:hAnsi="Verdana"/>
      <w:sz w:val="20"/>
    </w:rPr>
  </w:style>
  <w:style w:type="paragraph" w:customStyle="1" w:styleId="Reference">
    <w:name w:val="Reference"/>
    <w:basedOn w:val="BodyText"/>
    <w:rsid w:val="00192720"/>
    <w:pPr>
      <w:spacing w:before="0"/>
      <w:ind w:left="1701" w:hanging="1701"/>
    </w:pPr>
    <w:rPr>
      <w:rFonts w:ascii="Verdana" w:hAnsi="Verdana"/>
      <w:sz w:val="20"/>
    </w:rPr>
  </w:style>
  <w:style w:type="paragraph" w:customStyle="1" w:styleId="Figure">
    <w:name w:val="Figure"/>
    <w:basedOn w:val="BodyText"/>
    <w:next w:val="BodyText"/>
    <w:uiPriority w:val="99"/>
    <w:rsid w:val="00192720"/>
    <w:pPr>
      <w:keepNext/>
      <w:spacing w:before="240"/>
      <w:ind w:left="-567" w:right="-567"/>
      <w:jc w:val="center"/>
    </w:pPr>
    <w:rPr>
      <w:rFonts w:ascii="Verdana" w:hAnsi="Verdana"/>
      <w:sz w:val="20"/>
    </w:rPr>
  </w:style>
  <w:style w:type="paragraph" w:customStyle="1" w:styleId="Figurewide">
    <w:name w:val="Figure wide"/>
    <w:basedOn w:val="Figure"/>
    <w:next w:val="BodyText"/>
    <w:rsid w:val="00192720"/>
    <w:pPr>
      <w:ind w:left="-1701"/>
    </w:pPr>
  </w:style>
  <w:style w:type="paragraph" w:styleId="TOC5">
    <w:name w:val="toc 5"/>
    <w:basedOn w:val="TOC4"/>
    <w:next w:val="BodyText"/>
    <w:autoRedefine/>
    <w:uiPriority w:val="39"/>
    <w:locked/>
    <w:rsid w:val="00192720"/>
    <w:pPr>
      <w:tabs>
        <w:tab w:val="clear" w:pos="9016"/>
        <w:tab w:val="left" w:pos="1843"/>
        <w:tab w:val="right" w:leader="dot" w:pos="9072"/>
      </w:tabs>
      <w:spacing w:before="0" w:after="80"/>
      <w:ind w:left="960" w:right="-1" w:hanging="850"/>
    </w:pPr>
    <w:rPr>
      <w:rFonts w:ascii="Verdana" w:hAnsi="Verdana"/>
      <w:noProof/>
      <w:sz w:val="20"/>
      <w:szCs w:val="24"/>
    </w:rPr>
  </w:style>
  <w:style w:type="paragraph" w:styleId="TOC6">
    <w:name w:val="toc 6"/>
    <w:basedOn w:val="TOC5"/>
    <w:next w:val="BodyText"/>
    <w:autoRedefine/>
    <w:uiPriority w:val="39"/>
    <w:locked/>
    <w:rsid w:val="00192720"/>
    <w:pPr>
      <w:ind w:left="1200"/>
    </w:pPr>
  </w:style>
  <w:style w:type="paragraph" w:styleId="TOC7">
    <w:name w:val="toc 7"/>
    <w:basedOn w:val="TOC6"/>
    <w:next w:val="BodyText"/>
    <w:autoRedefine/>
    <w:uiPriority w:val="39"/>
    <w:locked/>
    <w:rsid w:val="00192720"/>
    <w:pPr>
      <w:ind w:left="1440"/>
    </w:pPr>
  </w:style>
  <w:style w:type="paragraph" w:styleId="TOC8">
    <w:name w:val="toc 8"/>
    <w:basedOn w:val="TOC7"/>
    <w:next w:val="BodyText"/>
    <w:autoRedefine/>
    <w:uiPriority w:val="39"/>
    <w:locked/>
    <w:rsid w:val="00192720"/>
    <w:pPr>
      <w:ind w:left="1680"/>
    </w:pPr>
  </w:style>
  <w:style w:type="paragraph" w:styleId="TOC9">
    <w:name w:val="toc 9"/>
    <w:basedOn w:val="TOC8"/>
    <w:next w:val="BodyText"/>
    <w:autoRedefine/>
    <w:uiPriority w:val="39"/>
    <w:locked/>
    <w:rsid w:val="00192720"/>
    <w:pPr>
      <w:ind w:left="1920"/>
    </w:pPr>
  </w:style>
  <w:style w:type="table" w:customStyle="1" w:styleId="TableBlank">
    <w:name w:val="Table Blank"/>
    <w:basedOn w:val="TableGrid"/>
    <w:rsid w:val="00192720"/>
    <w:pPr>
      <w:keepNext/>
      <w:spacing w:before="0" w:after="0"/>
    </w:pPr>
    <w:rPr>
      <w:rFonts w:ascii="Verdana" w:hAnsi="Verdana"/>
      <w:color w:val="auto"/>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9" w:type="dxa"/>
        <w:left w:w="108" w:type="dxa"/>
        <w:bottom w:w="0" w:type="dxa"/>
        <w:right w:w="108" w:type="dxa"/>
      </w:tblCellMar>
    </w:tblPr>
    <w:trPr>
      <w:cantSplit/>
    </w:trPr>
    <w:tcPr>
      <w:shd w:val="clear" w:color="auto" w:fill="auto"/>
    </w:tcPr>
    <w:tblStylePr w:type="firstRow">
      <w:pPr>
        <w:wordWrap/>
        <w:spacing w:beforeLines="0" w:before="60" w:beforeAutospacing="0" w:afterLines="0" w:after="60" w:afterAutospacing="0" w:line="240" w:lineRule="auto"/>
        <w:jc w:val="left"/>
        <w:outlineLvl w:val="9"/>
      </w:pPr>
      <w:rPr>
        <w:rFonts w:asciiTheme="minorHAnsi" w:hAnsiTheme="minorHAnsi"/>
        <w:b/>
        <w:color w:val="000000" w:themeColor="text1"/>
        <w:sz w:val="20"/>
      </w:rPr>
      <w:tblPr/>
      <w:trPr>
        <w:cantSplit w:val="0"/>
      </w:trPr>
      <w:tcPr>
        <w:shd w:val="clear" w:color="auto" w:fill="E6F1F8" w:themeFill="accent2"/>
      </w:tcPr>
    </w:tblStylePr>
    <w:tblStylePr w:type="firstCol">
      <w:rPr>
        <w:b/>
      </w:rPr>
    </w:tblStylePr>
  </w:style>
  <w:style w:type="table" w:customStyle="1" w:styleId="TableGrey1">
    <w:name w:val="Table Grey 1"/>
    <w:basedOn w:val="TableGrid"/>
    <w:uiPriority w:val="99"/>
    <w:rsid w:val="00192720"/>
    <w:pPr>
      <w:keepNext/>
      <w:spacing w:before="0" w:after="0"/>
    </w:pPr>
    <w:rPr>
      <w:rFonts w:ascii="Verdana" w:hAnsi="Verdana"/>
      <w:color w:val="auto"/>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9" w:type="dxa"/>
        <w:left w:w="108" w:type="dxa"/>
        <w:bottom w:w="0" w:type="dxa"/>
        <w:right w:w="108" w:type="dxa"/>
      </w:tblCellMar>
    </w:tblPr>
    <w:trPr>
      <w:cantSplit/>
    </w:trPr>
    <w:tcPr>
      <w:shd w:val="clear" w:color="auto" w:fill="auto"/>
    </w:tcPr>
    <w:tblStylePr w:type="firstRow">
      <w:pPr>
        <w:wordWrap/>
        <w:spacing w:beforeLines="0" w:before="60" w:beforeAutospacing="0" w:afterLines="0" w:after="60" w:afterAutospacing="0" w:line="240" w:lineRule="auto"/>
        <w:jc w:val="left"/>
        <w:outlineLvl w:val="9"/>
      </w:pPr>
      <w:rPr>
        <w:rFonts w:asciiTheme="minorHAnsi" w:hAnsiTheme="minorHAnsi"/>
        <w:b/>
        <w:color w:val="000000" w:themeColor="text1"/>
        <w:sz w:val="20"/>
      </w:rPr>
      <w:tblPr/>
      <w:trPr>
        <w:cantSplit w:val="0"/>
        <w:tblHeader/>
      </w:trPr>
      <w:tcPr>
        <w:shd w:val="clear" w:color="auto" w:fill="E6E6E6"/>
      </w:tcPr>
    </w:tblStylePr>
  </w:style>
  <w:style w:type="table" w:styleId="TableColorful2">
    <w:name w:val="Table Colorful 2"/>
    <w:basedOn w:val="TableNormal"/>
    <w:locked/>
    <w:rsid w:val="00192720"/>
    <w:pPr>
      <w:keepNext/>
      <w:spacing w:after="0"/>
    </w:pPr>
    <w:rPr>
      <w:rFonts w:ascii="Verdana" w:hAnsi="Verdana"/>
      <w:sz w:val="20"/>
      <w:szCs w:val="20"/>
    </w:rPr>
    <w:tblPr>
      <w:tblStyleRow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19" w:type="dxa"/>
      </w:tblCellMar>
    </w:tblPr>
    <w:trPr>
      <w:cantSplit/>
    </w:trPr>
    <w:tcPr>
      <w:shd w:val="clear" w:color="FFFF00" w:fill="auto"/>
    </w:tcPr>
    <w:tblStylePr w:type="firstRow">
      <w:rPr>
        <w:b w:val="0"/>
        <w:bCs/>
        <w:i w:val="0"/>
        <w:iCs/>
        <w:color w:val="auto"/>
      </w:rPr>
      <w:tblPr/>
      <w:tcPr>
        <w:tcBorders>
          <w:top w:val="nil"/>
          <w:left w:val="nil"/>
          <w:bottom w:val="nil"/>
          <w:right w:val="nil"/>
          <w:insideH w:val="nil"/>
          <w:insideV w:val="nil"/>
          <w:tl2br w:val="nil"/>
          <w:tr2bl w:val="nil"/>
        </w:tcBorders>
        <w:shd w:val="clear" w:color="800000" w:fill="D9D9D9"/>
      </w:tcPr>
    </w:tblStylePr>
    <w:tblStylePr w:type="lastRow">
      <w:tblPr/>
      <w:tcPr>
        <w:tcBorders>
          <w:top w:val="nil"/>
          <w:left w:val="nil"/>
          <w:bottom w:val="nil"/>
          <w:right w:val="nil"/>
          <w:insideH w:val="nil"/>
          <w:insideV w:val="nil"/>
          <w:tl2br w:val="nil"/>
          <w:tr2bl w:val="nil"/>
        </w:tcBorders>
        <w:shd w:val="clear" w:color="FFFF00" w:fill="D9D9D9"/>
      </w:tcPr>
    </w:tblStylePr>
    <w:tblStylePr w:type="firstCol">
      <w:rPr>
        <w:b/>
        <w:bCs/>
        <w:i w:val="0"/>
        <w:iCs/>
      </w:rPr>
      <w:tblPr/>
      <w:tcPr>
        <w:tcBorders>
          <w:top w:val="nil"/>
          <w:left w:val="nil"/>
          <w:bottom w:val="nil"/>
          <w:right w:val="nil"/>
          <w:insideH w:val="single" w:sz="4" w:space="0" w:color="FFFFFF"/>
          <w:insideV w:val="nil"/>
          <w:tl2br w:val="nil"/>
          <w:tr2bl w:val="nil"/>
        </w:tcBorders>
        <w:shd w:val="clear" w:color="FFFF00" w:fill="800000"/>
      </w:tcPr>
    </w:tblStylePr>
    <w:tblStylePr w:type="lastCol">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clear" w:color="FFFF00" w:fill="auto"/>
      </w:tcPr>
    </w:tblStylePr>
    <w:tblStylePr w:type="band2Horz">
      <w:tblPr/>
      <w:tcPr>
        <w:tcBorders>
          <w:top w:val="nil"/>
          <w:left w:val="nil"/>
          <w:bottom w:val="nil"/>
          <w:right w:val="nil"/>
          <w:insideH w:val="nil"/>
          <w:insideV w:val="nil"/>
          <w:tl2br w:val="nil"/>
          <w:tr2bl w:val="nil"/>
        </w:tcBorders>
        <w:shd w:val="clear" w:color="FFFF00" w:fill="D9D9D9"/>
      </w:tcPr>
    </w:tblStylePr>
    <w:tblStylePr w:type="nwCell">
      <w:rPr>
        <w:b/>
      </w:rPr>
      <w:tblPr/>
      <w:tcPr>
        <w:tcBorders>
          <w:top w:val="nil"/>
          <w:left w:val="nil"/>
          <w:bottom w:val="nil"/>
          <w:right w:val="nil"/>
          <w:insideH w:val="single" w:sz="4" w:space="0" w:color="FFFFFF"/>
          <w:insideV w:val="nil"/>
          <w:tl2br w:val="nil"/>
          <w:tr2bl w:val="nil"/>
        </w:tcBorders>
        <w:shd w:val="clear" w:color="FFFF00" w:fill="800000"/>
      </w:tcPr>
    </w:tblStylePr>
    <w:tblStylePr w:type="swCell">
      <w:rPr>
        <w:b/>
        <w:bCs/>
        <w:i w:val="0"/>
        <w:iCs w:val="0"/>
      </w:rPr>
      <w:tblPr/>
      <w:tcPr>
        <w:tcBorders>
          <w:top w:val="nil"/>
          <w:left w:val="nil"/>
          <w:bottom w:val="nil"/>
          <w:right w:val="nil"/>
          <w:insideH w:val="nil"/>
          <w:insideV w:val="nil"/>
          <w:tl2br w:val="nil"/>
          <w:tr2bl w:val="nil"/>
        </w:tcBorders>
        <w:shd w:val="clear" w:color="FFFF00" w:fill="800000"/>
      </w:tcPr>
    </w:tblStylePr>
  </w:style>
  <w:style w:type="table" w:styleId="TableColorful3">
    <w:name w:val="Table Colorful 3"/>
    <w:basedOn w:val="TableNormal"/>
    <w:locked/>
    <w:rsid w:val="00192720"/>
    <w:pPr>
      <w:keepNext/>
      <w:spacing w:after="0"/>
    </w:pPr>
    <w:rPr>
      <w:rFonts w:ascii="Verdana" w:hAnsi="Verdana"/>
      <w:sz w:val="20"/>
      <w:szCs w:val="20"/>
    </w:rPr>
    <w:tblPr>
      <w:tblStyleRow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19" w:type="dxa"/>
      </w:tblCellMar>
    </w:tblPr>
    <w:trPr>
      <w:cantSplit/>
    </w:trPr>
    <w:tcPr>
      <w:shd w:val="clear" w:color="008080" w:fill="auto"/>
    </w:tcPr>
    <w:tblStylePr w:type="firstRow">
      <w:rPr>
        <w:b/>
      </w:rPr>
      <w:tblPr/>
      <w:trPr>
        <w:cantSplit w:val="0"/>
        <w:tblHeader/>
      </w:trPr>
      <w:tcPr>
        <w:tcBorders>
          <w:top w:val="single" w:sz="6" w:space="0" w:color="auto"/>
          <w:left w:val="single" w:sz="6" w:space="0" w:color="auto"/>
          <w:bottom w:val="single" w:sz="6" w:space="0" w:color="auto"/>
          <w:right w:val="single" w:sz="6" w:space="0" w:color="auto"/>
          <w:insideH w:val="nil"/>
          <w:insideV w:val="nil"/>
          <w:tl2br w:val="nil"/>
          <w:tr2bl w:val="nil"/>
        </w:tcBorders>
        <w:shd w:val="clear" w:color="008080" w:fill="800000"/>
      </w:tcPr>
    </w:tblStylePr>
    <w:tblStylePr w:type="firstCol">
      <w:rPr>
        <w:b/>
      </w:rPr>
      <w:tblPr/>
      <w:tcPr>
        <w:tcBorders>
          <w:top w:val="single" w:sz="6" w:space="0" w:color="auto"/>
          <w:left w:val="single" w:sz="6" w:space="0" w:color="auto"/>
          <w:bottom w:val="single" w:sz="6" w:space="0" w:color="auto"/>
          <w:right w:val="single" w:sz="6" w:space="0" w:color="auto"/>
          <w:insideH w:val="single" w:sz="4" w:space="0" w:color="FFFFFF"/>
          <w:insideV w:val="nil"/>
          <w:tl2br w:val="nil"/>
          <w:tr2bl w:val="nil"/>
        </w:tcBorders>
        <w:shd w:val="clear" w:color="008080" w:fill="800000"/>
      </w:tcPr>
    </w:tblStylePr>
    <w:tblStylePr w:type="band1Horz">
      <w:tblPr/>
      <w:tcPr>
        <w:tcBorders>
          <w:top w:val="nil"/>
          <w:left w:val="nil"/>
          <w:bottom w:val="nil"/>
          <w:right w:val="nil"/>
          <w:insideH w:val="nil"/>
          <w:insideV w:val="nil"/>
          <w:tl2br w:val="nil"/>
          <w:tr2bl w:val="nil"/>
        </w:tcBorders>
        <w:shd w:val="clear" w:color="008080" w:fill="auto"/>
      </w:tcPr>
    </w:tblStylePr>
    <w:tblStylePr w:type="band2Horz">
      <w:tblPr/>
      <w:tcPr>
        <w:tcBorders>
          <w:top w:val="nil"/>
          <w:left w:val="nil"/>
          <w:bottom w:val="nil"/>
          <w:right w:val="nil"/>
          <w:insideH w:val="nil"/>
          <w:insideV w:val="nil"/>
          <w:tl2br w:val="nil"/>
          <w:tr2bl w:val="nil"/>
        </w:tcBorders>
        <w:shd w:val="clear" w:color="008080" w:fill="D9D9D9"/>
      </w:tcPr>
    </w:tblStylePr>
    <w:tblStylePr w:type="nwCell">
      <w:rPr>
        <w:b/>
        <w:bCs/>
        <w:color w:val="FFFFFF"/>
      </w:rPr>
      <w:tblPr/>
      <w:tcPr>
        <w:tcBorders>
          <w:top w:val="nil"/>
          <w:left w:val="nil"/>
          <w:bottom w:val="nil"/>
          <w:right w:val="nil"/>
          <w:insideH w:val="nil"/>
          <w:insideV w:val="nil"/>
          <w:tl2br w:val="nil"/>
          <w:tr2bl w:val="nil"/>
        </w:tcBorders>
        <w:shd w:val="clear" w:color="000000" w:fill="auto"/>
      </w:tcPr>
    </w:tblStylePr>
  </w:style>
  <w:style w:type="table" w:styleId="TableColorful1">
    <w:name w:val="Table Colorful 1"/>
    <w:basedOn w:val="TableNormal"/>
    <w:locked/>
    <w:rsid w:val="00192720"/>
    <w:pPr>
      <w:keepNext/>
      <w:spacing w:after="0"/>
    </w:pPr>
    <w:rPr>
      <w:rFonts w:ascii="Verdana" w:hAnsi="Verdana"/>
      <w:sz w:val="20"/>
      <w:szCs w:val="20"/>
    </w:rPr>
    <w:tblPr>
      <w:tblStyleRow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20" w:type="dxa"/>
      </w:tblCellMar>
    </w:tblPr>
    <w:trPr>
      <w:cantSplit/>
    </w:trPr>
    <w:tcPr>
      <w:shd w:val="clear" w:color="auto" w:fill="auto"/>
    </w:tcPr>
    <w:tblStylePr w:type="firstRow">
      <w:rPr>
        <w:b/>
        <w:bCs/>
        <w:i w:val="0"/>
        <w:iCs/>
      </w:rPr>
      <w:tblPr/>
      <w:trPr>
        <w:cantSplit w:val="0"/>
        <w:tblHeader/>
      </w:trPr>
      <w:tcPr>
        <w:tcBorders>
          <w:top w:val="nil"/>
          <w:left w:val="nil"/>
          <w:bottom w:val="nil"/>
          <w:right w:val="nil"/>
          <w:insideH w:val="nil"/>
          <w:insideV w:val="nil"/>
          <w:tl2br w:val="nil"/>
          <w:tr2bl w:val="nil"/>
        </w:tcBorders>
        <w:shd w:val="solid" w:color="800000" w:fill="FFFFFF"/>
      </w:tcPr>
    </w:tblStylePr>
    <w:tblStylePr w:type="lastRow">
      <w:tblPr/>
      <w:tcPr>
        <w:tcBorders>
          <w:top w:val="nil"/>
          <w:left w:val="nil"/>
          <w:bottom w:val="nil"/>
          <w:right w:val="nil"/>
          <w:insideH w:val="nil"/>
          <w:insideV w:val="nil"/>
          <w:tl2br w:val="nil"/>
          <w:tr2bl w:val="nil"/>
        </w:tcBorders>
        <w:shd w:val="clear" w:color="auto" w:fill="D9D9D9"/>
      </w:tcPr>
    </w:tblStylePr>
    <w:tblStylePr w:type="firstCol">
      <w:rPr>
        <w:b w:val="0"/>
        <w:bCs/>
        <w:i w:val="0"/>
        <w:iCs/>
      </w:r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D9D9D9"/>
      </w:tcPr>
    </w:tblStylePr>
    <w:tblStylePr w:type="nwCell">
      <w:tblPr/>
      <w:tcPr>
        <w:tcBorders>
          <w:top w:val="nil"/>
          <w:left w:val="nil"/>
          <w:bottom w:val="nil"/>
          <w:right w:val="nil"/>
          <w:insideH w:val="nil"/>
          <w:insideV w:val="nil"/>
          <w:tl2br w:val="nil"/>
          <w:tr2bl w:val="nil"/>
        </w:tcBorders>
        <w:shd w:val="clear" w:color="000000" w:fill="800000"/>
      </w:tcPr>
    </w:tblStylePr>
    <w:tblStylePr w:type="swCell">
      <w:rPr>
        <w:b w:val="0"/>
        <w:bCs/>
        <w:i w:val="0"/>
        <w:iCs w:val="0"/>
      </w:rPr>
      <w:tblPr/>
      <w:tcPr>
        <w:tcBorders>
          <w:tl2br w:val="none" w:sz="0" w:space="0" w:color="auto"/>
          <w:tr2bl w:val="none" w:sz="0" w:space="0" w:color="auto"/>
        </w:tcBorders>
      </w:tcPr>
    </w:tblStylePr>
  </w:style>
  <w:style w:type="paragraph" w:customStyle="1" w:styleId="Headerlandscape">
    <w:name w:val="Header landscape"/>
    <w:basedOn w:val="Header"/>
    <w:rsid w:val="00192720"/>
    <w:pPr>
      <w:pBdr>
        <w:bottom w:val="single" w:sz="2" w:space="2" w:color="auto"/>
      </w:pBdr>
      <w:tabs>
        <w:tab w:val="clear" w:pos="4513"/>
        <w:tab w:val="clear" w:pos="9026"/>
        <w:tab w:val="right" w:pos="14572"/>
      </w:tabs>
    </w:pPr>
    <w:rPr>
      <w:rFonts w:ascii="Verdana" w:hAnsi="Verdana"/>
      <w:noProof/>
      <w:sz w:val="18"/>
      <w:szCs w:val="24"/>
    </w:rPr>
  </w:style>
  <w:style w:type="paragraph" w:customStyle="1" w:styleId="Footerlandscape">
    <w:name w:val="Footer landscape"/>
    <w:basedOn w:val="Footer"/>
    <w:rsid w:val="00192720"/>
    <w:pPr>
      <w:pBdr>
        <w:top w:val="single" w:sz="2" w:space="2" w:color="auto"/>
      </w:pBdr>
      <w:tabs>
        <w:tab w:val="clear" w:pos="9638"/>
        <w:tab w:val="center" w:pos="6719"/>
        <w:tab w:val="right" w:pos="14572"/>
      </w:tabs>
      <w:spacing w:before="0"/>
    </w:pPr>
    <w:rPr>
      <w:rFonts w:ascii="Verdana" w:hAnsi="Verdana"/>
      <w:noProof/>
      <w:sz w:val="18"/>
      <w:szCs w:val="24"/>
    </w:rPr>
  </w:style>
  <w:style w:type="paragraph" w:styleId="BlockText">
    <w:name w:val="Block Text"/>
    <w:basedOn w:val="BodyText"/>
    <w:locked/>
    <w:rsid w:val="00192720"/>
    <w:pPr>
      <w:spacing w:before="0"/>
      <w:ind w:left="1134" w:right="1134"/>
    </w:pPr>
    <w:rPr>
      <w:rFonts w:ascii="Verdana" w:hAnsi="Verdana"/>
      <w:sz w:val="20"/>
    </w:rPr>
  </w:style>
  <w:style w:type="paragraph" w:styleId="BodyTextFirstIndent">
    <w:name w:val="Body Text First Indent"/>
    <w:basedOn w:val="BodyText"/>
    <w:link w:val="BodyTextFirstIndentChar"/>
    <w:locked/>
    <w:rsid w:val="00192720"/>
    <w:pPr>
      <w:spacing w:before="0"/>
      <w:ind w:firstLine="210"/>
    </w:pPr>
    <w:rPr>
      <w:rFonts w:ascii="Verdana" w:hAnsi="Verdana"/>
      <w:sz w:val="20"/>
    </w:rPr>
  </w:style>
  <w:style w:type="character" w:customStyle="1" w:styleId="BodyTextFirstIndentChar">
    <w:name w:val="Body Text First Indent Char"/>
    <w:basedOn w:val="BodyTextChar"/>
    <w:link w:val="BodyTextFirstIndent"/>
    <w:rsid w:val="00192720"/>
    <w:rPr>
      <w:rFonts w:ascii="Verdana" w:hAnsi="Verdana"/>
      <w:sz w:val="20"/>
      <w:szCs w:val="24"/>
    </w:rPr>
  </w:style>
  <w:style w:type="paragraph" w:styleId="BodyTextIndent2">
    <w:name w:val="Body Text Indent 2"/>
    <w:basedOn w:val="BodyTextIndent"/>
    <w:link w:val="BodyTextIndent2Char"/>
    <w:locked/>
    <w:rsid w:val="00192720"/>
    <w:pPr>
      <w:tabs>
        <w:tab w:val="clear" w:pos="9027"/>
      </w:tabs>
      <w:spacing w:before="0"/>
      <w:ind w:left="567"/>
      <w:jc w:val="left"/>
    </w:pPr>
    <w:rPr>
      <w:rFonts w:ascii="Verdana" w:hAnsi="Verdana"/>
      <w:sz w:val="16"/>
      <w:szCs w:val="24"/>
      <w:lang w:eastAsia="en-AU"/>
    </w:rPr>
  </w:style>
  <w:style w:type="character" w:customStyle="1" w:styleId="BodyTextIndent2Char">
    <w:name w:val="Body Text Indent 2 Char"/>
    <w:basedOn w:val="DefaultParagraphFont"/>
    <w:link w:val="BodyTextIndent2"/>
    <w:rsid w:val="00192720"/>
    <w:rPr>
      <w:rFonts w:ascii="Verdana" w:hAnsi="Verdana"/>
      <w:sz w:val="16"/>
      <w:szCs w:val="24"/>
    </w:rPr>
  </w:style>
  <w:style w:type="paragraph" w:styleId="BodyTextIndent3">
    <w:name w:val="Body Text Indent 3"/>
    <w:basedOn w:val="BodyTextIndent2"/>
    <w:link w:val="BodyTextIndent3Char"/>
    <w:locked/>
    <w:rsid w:val="00192720"/>
    <w:pPr>
      <w:ind w:left="851"/>
    </w:pPr>
    <w:rPr>
      <w:szCs w:val="16"/>
    </w:rPr>
  </w:style>
  <w:style w:type="character" w:customStyle="1" w:styleId="BodyTextIndent3Char">
    <w:name w:val="Body Text Indent 3 Char"/>
    <w:basedOn w:val="DefaultParagraphFont"/>
    <w:link w:val="BodyTextIndent3"/>
    <w:rsid w:val="00192720"/>
    <w:rPr>
      <w:rFonts w:ascii="Verdana" w:hAnsi="Verdana"/>
      <w:sz w:val="16"/>
      <w:szCs w:val="16"/>
    </w:rPr>
  </w:style>
  <w:style w:type="paragraph" w:styleId="BodyTextFirstIndent2">
    <w:name w:val="Body Text First Indent 2"/>
    <w:basedOn w:val="BodyTextIndent"/>
    <w:link w:val="BodyTextFirstIndent2Char"/>
    <w:locked/>
    <w:rsid w:val="00192720"/>
    <w:pPr>
      <w:tabs>
        <w:tab w:val="clear" w:pos="9027"/>
      </w:tabs>
      <w:spacing w:before="0"/>
      <w:ind w:left="284" w:firstLine="210"/>
      <w:jc w:val="left"/>
    </w:pPr>
    <w:rPr>
      <w:rFonts w:ascii="Verdana" w:hAnsi="Verdana"/>
      <w:sz w:val="20"/>
      <w:szCs w:val="24"/>
      <w:lang w:eastAsia="en-AU"/>
    </w:rPr>
  </w:style>
  <w:style w:type="character" w:customStyle="1" w:styleId="BodyTextFirstIndent2Char">
    <w:name w:val="Body Text First Indent 2 Char"/>
    <w:basedOn w:val="BodyTextIndentChar"/>
    <w:link w:val="BodyTextFirstIndent2"/>
    <w:rsid w:val="00192720"/>
    <w:rPr>
      <w:rFonts w:ascii="Verdana" w:hAnsi="Verdana"/>
      <w:sz w:val="20"/>
      <w:szCs w:val="24"/>
      <w:lang w:eastAsia="en-US"/>
    </w:rPr>
  </w:style>
  <w:style w:type="paragraph" w:styleId="List">
    <w:name w:val="List"/>
    <w:basedOn w:val="BodyText"/>
    <w:locked/>
    <w:rsid w:val="00192720"/>
    <w:pPr>
      <w:spacing w:before="0"/>
      <w:ind w:left="283" w:hanging="283"/>
    </w:pPr>
    <w:rPr>
      <w:rFonts w:ascii="Verdana" w:hAnsi="Verdana"/>
      <w:sz w:val="20"/>
    </w:rPr>
  </w:style>
  <w:style w:type="paragraph" w:styleId="List2">
    <w:name w:val="List 2"/>
    <w:basedOn w:val="List"/>
    <w:locked/>
    <w:rsid w:val="00192720"/>
    <w:pPr>
      <w:ind w:left="566"/>
    </w:pPr>
  </w:style>
  <w:style w:type="paragraph" w:styleId="List4">
    <w:name w:val="List 4"/>
    <w:basedOn w:val="List3"/>
    <w:locked/>
    <w:rsid w:val="00192720"/>
    <w:pPr>
      <w:ind w:left="1132"/>
    </w:pPr>
  </w:style>
  <w:style w:type="paragraph" w:styleId="List5">
    <w:name w:val="List 5"/>
    <w:basedOn w:val="List4"/>
    <w:locked/>
    <w:rsid w:val="00192720"/>
    <w:pPr>
      <w:ind w:left="1415"/>
    </w:pPr>
  </w:style>
  <w:style w:type="paragraph" w:styleId="ListNumber4">
    <w:name w:val="List Number 4"/>
    <w:basedOn w:val="BodyText"/>
    <w:locked/>
    <w:rsid w:val="00192720"/>
    <w:pPr>
      <w:tabs>
        <w:tab w:val="num" w:pos="2268"/>
      </w:tabs>
      <w:spacing w:before="0"/>
      <w:ind w:left="2268" w:hanging="397"/>
    </w:pPr>
    <w:rPr>
      <w:rFonts w:ascii="Verdana" w:hAnsi="Verdana"/>
      <w:sz w:val="20"/>
    </w:rPr>
  </w:style>
  <w:style w:type="table" w:styleId="Table3Deffects2">
    <w:name w:val="Table 3D effects 2"/>
    <w:basedOn w:val="TableNormal"/>
    <w:semiHidden/>
    <w:locked/>
    <w:rsid w:val="00192720"/>
    <w:pPr>
      <w:spacing w:after="0"/>
    </w:pPr>
    <w:rPr>
      <w:rFonts w:ascii="Times New Roman" w:hAnsi="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192720"/>
    <w:pPr>
      <w:spacing w:after="0"/>
    </w:pPr>
    <w:rPr>
      <w:rFonts w:ascii="Times New Roman" w:hAnsi="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locked/>
    <w:rsid w:val="00192720"/>
    <w:pPr>
      <w:keepNext/>
      <w:spacing w:after="0"/>
    </w:pPr>
    <w:rPr>
      <w:rFonts w:ascii="Verdana" w:hAnsi="Verdana"/>
      <w:sz w:val="20"/>
      <w:szCs w:val="20"/>
    </w:rPr>
    <w:tblPr>
      <w:tblStyleRow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9" w:type="dxa"/>
      </w:tblCellMar>
    </w:tblPr>
    <w:trPr>
      <w:cantSplit/>
    </w:trPr>
    <w:tcPr>
      <w:shd w:val="clear" w:color="auto" w:fill="auto"/>
    </w:tcPr>
    <w:tblStylePr w:type="firstRow">
      <w:rPr>
        <w:b/>
        <w:i w:val="0"/>
        <w:iCs/>
      </w:rPr>
      <w:tblPr/>
      <w:trPr>
        <w:cantSplit w:val="0"/>
        <w:tblHeader/>
      </w:trPr>
      <w:tcPr>
        <w:tcBorders>
          <w:bottom w:val="single" w:sz="6" w:space="0" w:color="000000"/>
        </w:tcBorders>
        <w:shd w:val="clear" w:color="auto" w:fill="000000"/>
      </w:tcPr>
    </w:tblStylePr>
    <w:tblStylePr w:type="lastRow">
      <w:rPr>
        <w:color w:val="auto"/>
      </w:rPr>
      <w:tblPr/>
      <w:tcPr>
        <w:tcBorders>
          <w:top w:val="nil"/>
          <w:left w:val="nil"/>
          <w:bottom w:val="single" w:sz="12" w:space="0" w:color="000000"/>
          <w:right w:val="nil"/>
          <w:insideH w:val="nil"/>
          <w:insideV w:val="nil"/>
          <w:tl2br w:val="nil"/>
          <w:tr2bl w:val="nil"/>
        </w:tcBorders>
        <w:shd w:val="clear" w:color="auto" w:fill="auto"/>
      </w:tcPr>
    </w:tblStylePr>
    <w:tblStylePr w:type="firstCol">
      <w:rPr>
        <w:b/>
      </w:rPr>
      <w:tblPr/>
      <w:tcPr>
        <w:tcBorders>
          <w:top w:val="nil"/>
          <w:left w:val="nil"/>
          <w:bottom w:val="nil"/>
          <w:right w:val="nil"/>
          <w:insideH w:val="single" w:sz="4" w:space="0" w:color="000000"/>
          <w:insideV w:val="single" w:sz="4" w:space="0" w:color="000000"/>
          <w:tl2br w:val="nil"/>
          <w:tr2bl w:val="nil"/>
        </w:tcBorders>
        <w:shd w:val="clear" w:color="auto" w:fill="auto"/>
      </w:tcPr>
    </w:tblStylePr>
    <w:tblStylePr w:type="band1Horz">
      <w:tblPr/>
      <w:tcPr>
        <w:tcBorders>
          <w:top w:val="nil"/>
          <w:left w:val="nil"/>
          <w:bottom w:val="single" w:sz="4" w:space="0" w:color="000000"/>
          <w:right w:val="nil"/>
          <w:insideH w:val="nil"/>
          <w:insideV w:val="nil"/>
          <w:tl2br w:val="nil"/>
          <w:tr2bl w:val="nil"/>
        </w:tcBorders>
        <w:shd w:val="clear" w:color="auto" w:fill="auto"/>
      </w:tcPr>
    </w:tblStylePr>
    <w:tblStylePr w:type="band2Horz">
      <w:tblPr/>
      <w:tcPr>
        <w:tcBorders>
          <w:top w:val="nil"/>
          <w:left w:val="nil"/>
          <w:bottom w:val="single" w:sz="4" w:space="0" w:color="000000"/>
          <w:right w:val="nil"/>
          <w:insideH w:val="nil"/>
          <w:insideV w:val="nil"/>
          <w:tl2br w:val="nil"/>
          <w:tr2bl w:val="nil"/>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val="0"/>
        <w:bCs/>
      </w:rPr>
      <w:tblPr/>
      <w:tcPr>
        <w:tcBorders>
          <w:tl2br w:val="none" w:sz="0" w:space="0" w:color="auto"/>
          <w:tr2bl w:val="none" w:sz="0" w:space="0" w:color="auto"/>
        </w:tcBorders>
      </w:tcPr>
    </w:tblStylePr>
  </w:style>
  <w:style w:type="table" w:styleId="TableClassic2">
    <w:name w:val="Table Classic 2"/>
    <w:basedOn w:val="TableNormal"/>
    <w:locked/>
    <w:rsid w:val="00192720"/>
    <w:pPr>
      <w:keepNext/>
      <w:spacing w:after="0"/>
    </w:pPr>
    <w:rPr>
      <w:rFonts w:ascii="Verdana" w:hAnsi="Verdana"/>
      <w:sz w:val="20"/>
      <w:szCs w:val="20"/>
    </w:rPr>
    <w:tblPr>
      <w:tblStyleRowBandSize w:val="1"/>
      <w:tblBorders>
        <w:top w:val="single" w:sz="12" w:space="0" w:color="000000"/>
        <w:bottom w:val="single" w:sz="12" w:space="0" w:color="000000"/>
      </w:tblBorders>
      <w:tblCellMar>
        <w:top w:w="119" w:type="dxa"/>
      </w:tblCellMar>
    </w:tblPr>
    <w:trPr>
      <w:cantSplit/>
    </w:trPr>
    <w:tcPr>
      <w:shd w:val="clear" w:color="auto" w:fill="auto"/>
    </w:tcPr>
    <w:tblStylePr w:type="firstRow">
      <w:rPr>
        <w:color w:val="auto"/>
      </w:rPr>
      <w:tblPr/>
      <w:tcPr>
        <w:tcBorders>
          <w:top w:val="single" w:sz="4" w:space="0" w:color="000000"/>
          <w:left w:val="single" w:sz="4" w:space="0" w:color="000000"/>
          <w:bottom w:val="single" w:sz="4" w:space="0" w:color="000000"/>
          <w:right w:val="single" w:sz="4" w:space="0" w:color="000000"/>
          <w:insideH w:val="nil"/>
          <w:insideV w:val="nil"/>
        </w:tcBorders>
        <w:shd w:val="clear" w:color="800080" w:fill="auto"/>
      </w:tcPr>
    </w:tblStylePr>
    <w:tblStylePr w:type="lastRow">
      <w:tblPr/>
      <w:tcPr>
        <w:tcBorders>
          <w:top w:val="nil"/>
          <w:left w:val="nil"/>
          <w:bottom w:val="single" w:sz="4" w:space="0" w:color="000000"/>
          <w:right w:val="single" w:sz="4" w:space="0" w:color="000000"/>
          <w:insideH w:val="nil"/>
          <w:insideV w:val="nil"/>
          <w:tl2br w:val="nil"/>
          <w:tr2bl w:val="nil"/>
        </w:tcBorders>
      </w:tcPr>
    </w:tblStylePr>
    <w:tblStylePr w:type="firstCol">
      <w:rPr>
        <w:b/>
        <w:bCs/>
      </w:rPr>
      <w:tblPr/>
      <w:tcPr>
        <w:tcBorders>
          <w:top w:val="nil"/>
          <w:left w:val="nil"/>
          <w:bottom w:val="nil"/>
          <w:right w:val="nil"/>
          <w:insideH w:val="single" w:sz="4" w:space="0" w:color="FFFFFF"/>
          <w:insideV w:val="nil"/>
          <w:tl2br w:val="nil"/>
          <w:tr2bl w:val="nil"/>
        </w:tcBorders>
        <w:shd w:val="clear" w:color="C0C0C0" w:fill="000000"/>
      </w:tcPr>
    </w:tblStylePr>
    <w:tblStylePr w:type="band1Horz">
      <w:tblPr/>
      <w:tcPr>
        <w:tcBorders>
          <w:top w:val="nil"/>
          <w:left w:val="nil"/>
          <w:bottom w:val="single" w:sz="4" w:space="0" w:color="000000"/>
          <w:right w:val="single" w:sz="4" w:space="0" w:color="000000"/>
          <w:insideH w:val="nil"/>
          <w:insideV w:val="nil"/>
          <w:tl2br w:val="nil"/>
          <w:tr2bl w:val="nil"/>
        </w:tcBorders>
        <w:shd w:val="clear" w:color="auto" w:fill="auto"/>
      </w:tcPr>
    </w:tblStylePr>
    <w:tblStylePr w:type="band2Horz">
      <w:tblPr/>
      <w:tcPr>
        <w:tcBorders>
          <w:top w:val="nil"/>
          <w:left w:val="nil"/>
          <w:bottom w:val="single" w:sz="4" w:space="0" w:color="000000"/>
          <w:right w:val="single" w:sz="4" w:space="0" w:color="000000"/>
          <w:insideH w:val="nil"/>
          <w:insideV w:val="nil"/>
          <w:tl2br w:val="nil"/>
          <w:tr2bl w:val="nil"/>
        </w:tcBorders>
        <w:shd w:val="clear" w:color="auto" w:fill="auto"/>
      </w:tcPr>
    </w:tblStylePr>
    <w:tblStylePr w:type="neCell">
      <w:rPr>
        <w:b w:val="0"/>
        <w:bCs/>
      </w:rPr>
      <w:tblPr/>
      <w:tcPr>
        <w:tcBorders>
          <w:tl2br w:val="none" w:sz="0" w:space="0" w:color="auto"/>
          <w:tr2bl w:val="none" w:sz="0" w:space="0" w:color="auto"/>
        </w:tcBorders>
      </w:tcPr>
    </w:tblStylePr>
    <w:tblStylePr w:type="nwCell">
      <w:rPr>
        <w:color w:val="auto"/>
      </w:rPr>
      <w:tblPr/>
      <w:tcPr>
        <w:tcBorders>
          <w:top w:val="nil"/>
          <w:left w:val="nil"/>
          <w:bottom w:val="single" w:sz="4" w:space="0" w:color="FFFFFF"/>
          <w:right w:val="nil"/>
          <w:insideH w:val="single" w:sz="4" w:space="0" w:color="FFFFFF"/>
          <w:insideV w:val="nil"/>
          <w:tl2br w:val="nil"/>
          <w:tr2bl w:val="nil"/>
        </w:tcBorders>
        <w:shd w:val="clear" w:color="800080" w:fill="000000"/>
      </w:tcPr>
    </w:tblStylePr>
    <w:tblStylePr w:type="swCell">
      <w:rPr>
        <w:color w:val="auto"/>
      </w:rPr>
      <w:tblPr/>
      <w:tcPr>
        <w:tcBorders>
          <w:top w:val="nil"/>
          <w:left w:val="nil"/>
          <w:bottom w:val="nil"/>
          <w:right w:val="nil"/>
          <w:insideH w:val="nil"/>
          <w:insideV w:val="nil"/>
          <w:tl2br w:val="nil"/>
          <w:tr2bl w:val="nil"/>
        </w:tcBorders>
      </w:tcPr>
    </w:tblStylePr>
  </w:style>
  <w:style w:type="table" w:styleId="TableClassic3">
    <w:name w:val="Table Classic 3"/>
    <w:basedOn w:val="TableNormal"/>
    <w:locked/>
    <w:rsid w:val="00192720"/>
    <w:pPr>
      <w:keepNext/>
      <w:spacing w:after="0"/>
    </w:pPr>
    <w:rPr>
      <w:rFonts w:ascii="Verdana" w:hAnsi="Verdana"/>
      <w:sz w:val="20"/>
      <w:szCs w:val="20"/>
    </w:rPr>
    <w:tblPr>
      <w:tblStyleRowBandSize w:val="1"/>
      <w:tblBorders>
        <w:top w:val="single" w:sz="12" w:space="0" w:color="000000"/>
        <w:left w:val="single" w:sz="12" w:space="0" w:color="000000"/>
        <w:bottom w:val="single" w:sz="12" w:space="0" w:color="000000"/>
        <w:right w:val="single" w:sz="12" w:space="0" w:color="000000"/>
      </w:tblBorders>
      <w:tblCellMar>
        <w:top w:w="119" w:type="dxa"/>
      </w:tblCellMar>
    </w:tblPr>
    <w:trPr>
      <w:cantSplit/>
    </w:trPr>
    <w:tcPr>
      <w:shd w:val="clear" w:color="C0C0C0" w:fill="auto"/>
    </w:tcPr>
    <w:tblStylePr w:type="firstRow">
      <w:rPr>
        <w:b/>
        <w:bCs/>
        <w:i w:val="0"/>
        <w:iCs/>
        <w:color w:val="FFFFFF"/>
      </w:rPr>
      <w:tblPr/>
      <w:trPr>
        <w:cantSplit w:val="0"/>
        <w:tblHeader/>
      </w:trPr>
      <w:tcPr>
        <w:tcBorders>
          <w:bottom w:val="single" w:sz="6" w:space="0" w:color="000000"/>
        </w:tcBorders>
        <w:shd w:val="clear" w:color="000080" w:fill="000000"/>
      </w:tcPr>
    </w:tblStylePr>
    <w:tblStylePr w:type="lastRow">
      <w:rPr>
        <w:color w:val="auto"/>
      </w:rPr>
      <w:tblPr/>
      <w:tcPr>
        <w:tcBorders>
          <w:top w:val="nil"/>
          <w:left w:val="nil"/>
          <w:bottom w:val="single" w:sz="4" w:space="0" w:color="000000"/>
          <w:right w:val="nil"/>
          <w:insideH w:val="nil"/>
          <w:insideV w:val="nil"/>
          <w:tl2br w:val="nil"/>
          <w:tr2bl w:val="nil"/>
        </w:tcBorders>
        <w:shd w:val="clear" w:color="FFFFFF" w:fill="auto"/>
      </w:tcPr>
    </w:tblStylePr>
    <w:tblStylePr w:type="firstCol">
      <w:rPr>
        <w:b/>
        <w:bCs/>
        <w:color w:val="auto"/>
      </w:rPr>
      <w:tblPr/>
      <w:tcPr>
        <w:tcBorders>
          <w:top w:val="nil"/>
          <w:left w:val="nil"/>
          <w:bottom w:val="single" w:sz="12" w:space="0" w:color="000000"/>
          <w:right w:val="nil"/>
          <w:insideH w:val="single" w:sz="4" w:space="0" w:color="FFFFFF"/>
          <w:insideV w:val="nil"/>
          <w:tl2br w:val="nil"/>
          <w:tr2bl w:val="nil"/>
        </w:tcBorders>
        <w:shd w:val="clear" w:color="C0C0C0" w:fill="000000"/>
      </w:tcPr>
    </w:tblStylePr>
    <w:tblStylePr w:type="band1Horz">
      <w:tblPr/>
      <w:tcPr>
        <w:tcBorders>
          <w:top w:val="nil"/>
          <w:left w:val="nil"/>
          <w:bottom w:val="single" w:sz="4" w:space="0" w:color="000000"/>
          <w:right w:val="nil"/>
          <w:insideH w:val="nil"/>
          <w:insideV w:val="nil"/>
          <w:tl2br w:val="nil"/>
          <w:tr2bl w:val="nil"/>
        </w:tcBorders>
        <w:shd w:val="clear" w:color="C0C0C0" w:fill="auto"/>
      </w:tcPr>
    </w:tblStylePr>
    <w:tblStylePr w:type="band2Horz">
      <w:tblPr/>
      <w:tcPr>
        <w:tcBorders>
          <w:top w:val="nil"/>
          <w:left w:val="nil"/>
          <w:bottom w:val="single" w:sz="4" w:space="0" w:color="000000"/>
          <w:right w:val="nil"/>
          <w:insideH w:val="nil"/>
          <w:insideV w:val="nil"/>
          <w:tl2br w:val="nil"/>
          <w:tr2bl w:val="nil"/>
        </w:tcBorders>
        <w:shd w:val="clear" w:color="C0C0C0" w:fill="auto"/>
      </w:tcPr>
    </w:tblStylePr>
    <w:tblStylePr w:type="nwCell">
      <w:tblPr/>
      <w:tcPr>
        <w:tcBorders>
          <w:top w:val="nil"/>
          <w:left w:val="nil"/>
          <w:bottom w:val="nil"/>
          <w:right w:val="nil"/>
          <w:insideH w:val="nil"/>
          <w:insideV w:val="nil"/>
          <w:tl2br w:val="nil"/>
          <w:tr2bl w:val="nil"/>
        </w:tcBorders>
        <w:shd w:val="clear" w:color="C0C0C0" w:fill="auto"/>
      </w:tcPr>
    </w:tblStylePr>
    <w:tblStylePr w:type="swCell">
      <w:tblPr/>
      <w:tcPr>
        <w:tcBorders>
          <w:top w:val="nil"/>
          <w:left w:val="nil"/>
          <w:bottom w:val="nil"/>
          <w:right w:val="nil"/>
          <w:insideH w:val="nil"/>
          <w:insideV w:val="nil"/>
          <w:tl2br w:val="nil"/>
          <w:tr2bl w:val="nil"/>
        </w:tcBorders>
        <w:shd w:val="clear" w:color="C0C0C0" w:fill="000000"/>
      </w:tcPr>
    </w:tblStylePr>
  </w:style>
  <w:style w:type="table" w:styleId="TableClassic4">
    <w:name w:val="Table Classic 4"/>
    <w:basedOn w:val="TableNormal"/>
    <w:semiHidden/>
    <w:locked/>
    <w:rsid w:val="00192720"/>
    <w:pPr>
      <w:spacing w:after="0"/>
    </w:pPr>
    <w:rPr>
      <w:rFonts w:ascii="Times New Roman" w:hAnsi="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semiHidden/>
    <w:locked/>
    <w:rsid w:val="00192720"/>
    <w:pPr>
      <w:spacing w:after="0"/>
    </w:pPr>
    <w:rPr>
      <w:rFonts w:ascii="Times New Roman" w:hAnsi="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192720"/>
    <w:pPr>
      <w:spacing w:after="0"/>
    </w:pPr>
    <w:rPr>
      <w:rFonts w:ascii="Times New Roman" w:hAnsi="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192720"/>
    <w:pPr>
      <w:spacing w:after="0"/>
    </w:pPr>
    <w:rPr>
      <w:rFonts w:ascii="Times New Roman" w:hAnsi="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ntemporary">
    <w:name w:val="Table Contemporary"/>
    <w:basedOn w:val="TableNormal"/>
    <w:semiHidden/>
    <w:locked/>
    <w:rsid w:val="00192720"/>
    <w:pPr>
      <w:spacing w:after="0"/>
    </w:pPr>
    <w:rPr>
      <w:rFonts w:ascii="Times New Roman" w:hAnsi="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3">
    <w:name w:val="Table Grid 3"/>
    <w:basedOn w:val="TableNormal"/>
    <w:locked/>
    <w:rsid w:val="00192720"/>
    <w:pPr>
      <w:keepNext/>
      <w:spacing w:after="0"/>
    </w:pPr>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4" w:space="0" w:color="000000"/>
        <w:insideV w:val="single" w:sz="6" w:space="0" w:color="000000"/>
      </w:tblBorders>
      <w:tblCellMar>
        <w:top w:w="119" w:type="dxa"/>
      </w:tblCellMar>
    </w:tblPr>
    <w:trPr>
      <w:cantSplit/>
    </w:trPr>
    <w:tcPr>
      <w:shd w:val="clear" w:color="auto" w:fill="auto"/>
    </w:tcPr>
    <w:tblStylePr w:type="firstRow">
      <w:tblPr/>
      <w:trPr>
        <w:cantSplit w:val="0"/>
        <w:tblHeader/>
      </w:trPr>
      <w:tcPr>
        <w:tcBorders>
          <w:bottom w:val="single" w:sz="6" w:space="0" w:color="000000"/>
        </w:tcBorders>
        <w:shd w:val="clear" w:color="FFFF00" w:fill="auto"/>
      </w:tcPr>
    </w:tblStylePr>
    <w:tblStylePr w:type="lastRow">
      <w:rPr>
        <w:b w:val="0"/>
        <w:bCs/>
      </w:rPr>
      <w:tblPr/>
      <w:tcPr>
        <w:tcBorders>
          <w:tl2br w:val="none" w:sz="0" w:space="0" w:color="auto"/>
          <w:tr2bl w:val="none" w:sz="0" w:space="0" w:color="auto"/>
        </w:tcBorders>
      </w:tcPr>
    </w:tblStylePr>
    <w:tblStylePr w:type="lastCol">
      <w:rPr>
        <w:b w:val="0"/>
        <w:bCs/>
      </w:rPr>
      <w:tblPr/>
      <w:tcPr>
        <w:tcBorders>
          <w:tl2br w:val="none" w:sz="0" w:space="0" w:color="auto"/>
          <w:tr2bl w:val="none" w:sz="0" w:space="0" w:color="auto"/>
        </w:tcBorders>
      </w:tcPr>
    </w:tblStylePr>
    <w:tblStylePr w:type="nwCell">
      <w:tblPr/>
      <w:tcPr>
        <w:tcBorders>
          <w:top w:val="nil"/>
          <w:left w:val="nil"/>
        </w:tcBorders>
        <w:shd w:val="clear" w:color="auto" w:fill="auto"/>
      </w:tcPr>
    </w:tblStylePr>
  </w:style>
  <w:style w:type="table" w:styleId="TableList5">
    <w:name w:val="Table List 5"/>
    <w:basedOn w:val="TableNormal"/>
    <w:semiHidden/>
    <w:locked/>
    <w:rsid w:val="00192720"/>
    <w:pPr>
      <w:spacing w:after="0"/>
    </w:pPr>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192720"/>
    <w:pPr>
      <w:spacing w:after="0"/>
    </w:pPr>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4">
    <w:name w:val="Table List 4"/>
    <w:basedOn w:val="TableNormal"/>
    <w:semiHidden/>
    <w:locked/>
    <w:rsid w:val="00192720"/>
    <w:pPr>
      <w:spacing w:after="0"/>
    </w:pPr>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3">
    <w:name w:val="Table List 3"/>
    <w:basedOn w:val="TableNormal"/>
    <w:semiHidden/>
    <w:locked/>
    <w:rsid w:val="00192720"/>
    <w:pPr>
      <w:spacing w:after="0"/>
    </w:pPr>
    <w:rPr>
      <w:rFonts w:ascii="Times New Roman" w:hAnsi="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7">
    <w:name w:val="Table List 7"/>
    <w:basedOn w:val="TableNormal"/>
    <w:semiHidden/>
    <w:locked/>
    <w:rsid w:val="00192720"/>
    <w:pPr>
      <w:spacing w:after="0"/>
    </w:pPr>
    <w:rPr>
      <w:rFonts w:ascii="Times New Roman" w:hAnsi="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192720"/>
    <w:pPr>
      <w:spacing w:after="0"/>
    </w:pPr>
    <w:rPr>
      <w:rFonts w:ascii="Times New Roman" w:hAnsi="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Web1">
    <w:name w:val="Table Web 1"/>
    <w:basedOn w:val="TableNormal"/>
    <w:semiHidden/>
    <w:locked/>
    <w:rsid w:val="00192720"/>
    <w:pPr>
      <w:spacing w:after="0"/>
    </w:pPr>
    <w:rPr>
      <w:rFonts w:ascii="Times New Roman" w:hAnsi="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192720"/>
    <w:pPr>
      <w:spacing w:after="0"/>
    </w:pPr>
    <w:rPr>
      <w:rFonts w:ascii="Times New Roman" w:hAnsi="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192720"/>
    <w:pPr>
      <w:spacing w:after="0"/>
    </w:pPr>
    <w:rPr>
      <w:rFonts w:ascii="Times New Roman" w:hAnsi="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ListNumber5">
    <w:name w:val="List Number 5"/>
    <w:basedOn w:val="BodyText"/>
    <w:locked/>
    <w:rsid w:val="00192720"/>
    <w:pPr>
      <w:tabs>
        <w:tab w:val="num" w:pos="2835"/>
      </w:tabs>
      <w:spacing w:before="0"/>
      <w:ind w:left="2835" w:hanging="397"/>
    </w:pPr>
    <w:rPr>
      <w:rFonts w:ascii="Verdana" w:hAnsi="Verdana"/>
      <w:sz w:val="20"/>
    </w:rPr>
  </w:style>
  <w:style w:type="paragraph" w:styleId="Index1">
    <w:name w:val="index 1"/>
    <w:basedOn w:val="Normal"/>
    <w:next w:val="Normal"/>
    <w:autoRedefine/>
    <w:locked/>
    <w:rsid w:val="00192720"/>
    <w:pPr>
      <w:spacing w:before="0"/>
      <w:ind w:left="240" w:hanging="240"/>
    </w:pPr>
    <w:rPr>
      <w:rFonts w:ascii="Verdana" w:hAnsi="Verdana"/>
      <w:sz w:val="20"/>
      <w:szCs w:val="24"/>
      <w:lang w:eastAsia="en-US"/>
    </w:rPr>
  </w:style>
  <w:style w:type="paragraph" w:styleId="Index2">
    <w:name w:val="index 2"/>
    <w:basedOn w:val="Normal"/>
    <w:next w:val="Normal"/>
    <w:autoRedefine/>
    <w:locked/>
    <w:rsid w:val="00192720"/>
    <w:pPr>
      <w:spacing w:before="0"/>
      <w:ind w:left="480" w:hanging="240"/>
    </w:pPr>
    <w:rPr>
      <w:rFonts w:ascii="Verdana" w:hAnsi="Verdana"/>
      <w:sz w:val="20"/>
      <w:szCs w:val="24"/>
      <w:lang w:eastAsia="en-US"/>
    </w:rPr>
  </w:style>
  <w:style w:type="paragraph" w:styleId="Index3">
    <w:name w:val="index 3"/>
    <w:basedOn w:val="Normal"/>
    <w:next w:val="Normal"/>
    <w:autoRedefine/>
    <w:locked/>
    <w:rsid w:val="00192720"/>
    <w:pPr>
      <w:spacing w:before="0"/>
      <w:ind w:left="720" w:hanging="240"/>
    </w:pPr>
    <w:rPr>
      <w:rFonts w:ascii="Verdana" w:hAnsi="Verdana"/>
      <w:sz w:val="20"/>
      <w:szCs w:val="24"/>
      <w:lang w:eastAsia="en-US"/>
    </w:rPr>
  </w:style>
  <w:style w:type="paragraph" w:styleId="Index4">
    <w:name w:val="index 4"/>
    <w:basedOn w:val="Normal"/>
    <w:next w:val="Normal"/>
    <w:autoRedefine/>
    <w:locked/>
    <w:rsid w:val="00192720"/>
    <w:pPr>
      <w:spacing w:before="0"/>
      <w:ind w:left="960" w:hanging="240"/>
    </w:pPr>
    <w:rPr>
      <w:rFonts w:ascii="Verdana" w:hAnsi="Verdana"/>
      <w:sz w:val="20"/>
      <w:szCs w:val="24"/>
      <w:lang w:eastAsia="en-US"/>
    </w:rPr>
  </w:style>
  <w:style w:type="paragraph" w:styleId="Index5">
    <w:name w:val="index 5"/>
    <w:basedOn w:val="Normal"/>
    <w:next w:val="Normal"/>
    <w:autoRedefine/>
    <w:locked/>
    <w:rsid w:val="00192720"/>
    <w:pPr>
      <w:spacing w:before="0"/>
      <w:ind w:left="1200" w:hanging="240"/>
    </w:pPr>
    <w:rPr>
      <w:rFonts w:ascii="Verdana" w:hAnsi="Verdana"/>
      <w:sz w:val="20"/>
      <w:szCs w:val="24"/>
      <w:lang w:eastAsia="en-US"/>
    </w:rPr>
  </w:style>
  <w:style w:type="paragraph" w:styleId="Index6">
    <w:name w:val="index 6"/>
    <w:basedOn w:val="Normal"/>
    <w:next w:val="Normal"/>
    <w:autoRedefine/>
    <w:locked/>
    <w:rsid w:val="00192720"/>
    <w:pPr>
      <w:spacing w:before="0"/>
      <w:ind w:left="1440" w:hanging="240"/>
    </w:pPr>
    <w:rPr>
      <w:rFonts w:ascii="Verdana" w:hAnsi="Verdana"/>
      <w:sz w:val="20"/>
      <w:szCs w:val="24"/>
      <w:lang w:eastAsia="en-US"/>
    </w:rPr>
  </w:style>
  <w:style w:type="paragraph" w:styleId="Index7">
    <w:name w:val="index 7"/>
    <w:basedOn w:val="Normal"/>
    <w:next w:val="Normal"/>
    <w:autoRedefine/>
    <w:locked/>
    <w:rsid w:val="00192720"/>
    <w:pPr>
      <w:spacing w:before="0"/>
      <w:ind w:left="1680" w:hanging="240"/>
    </w:pPr>
    <w:rPr>
      <w:rFonts w:ascii="Verdana" w:hAnsi="Verdana"/>
      <w:sz w:val="20"/>
      <w:szCs w:val="24"/>
      <w:lang w:eastAsia="en-US"/>
    </w:rPr>
  </w:style>
  <w:style w:type="paragraph" w:styleId="Index8">
    <w:name w:val="index 8"/>
    <w:basedOn w:val="Normal"/>
    <w:next w:val="Normal"/>
    <w:autoRedefine/>
    <w:locked/>
    <w:rsid w:val="00192720"/>
    <w:pPr>
      <w:spacing w:before="0"/>
      <w:ind w:left="1920" w:hanging="240"/>
    </w:pPr>
    <w:rPr>
      <w:rFonts w:ascii="Verdana" w:hAnsi="Verdana"/>
      <w:sz w:val="20"/>
      <w:szCs w:val="24"/>
      <w:lang w:eastAsia="en-US"/>
    </w:rPr>
  </w:style>
  <w:style w:type="paragraph" w:styleId="Index9">
    <w:name w:val="index 9"/>
    <w:basedOn w:val="Normal"/>
    <w:next w:val="Normal"/>
    <w:autoRedefine/>
    <w:locked/>
    <w:rsid w:val="00192720"/>
    <w:pPr>
      <w:spacing w:before="0"/>
      <w:ind w:left="2160" w:hanging="240"/>
    </w:pPr>
    <w:rPr>
      <w:rFonts w:ascii="Verdana" w:hAnsi="Verdana"/>
      <w:sz w:val="20"/>
      <w:szCs w:val="24"/>
      <w:lang w:eastAsia="en-US"/>
    </w:rPr>
  </w:style>
  <w:style w:type="paragraph" w:styleId="IndexHeading">
    <w:name w:val="index heading"/>
    <w:basedOn w:val="Normal"/>
    <w:next w:val="Index1"/>
    <w:locked/>
    <w:rsid w:val="00192720"/>
    <w:pPr>
      <w:spacing w:before="0"/>
    </w:pPr>
    <w:rPr>
      <w:rFonts w:ascii="Arial" w:hAnsi="Arial" w:cs="Arial"/>
      <w:b/>
      <w:bCs/>
      <w:sz w:val="20"/>
      <w:szCs w:val="24"/>
      <w:lang w:eastAsia="en-US"/>
    </w:rPr>
  </w:style>
  <w:style w:type="paragraph" w:styleId="TableofAuthorities">
    <w:name w:val="table of authorities"/>
    <w:basedOn w:val="Normal"/>
    <w:next w:val="Normal"/>
    <w:locked/>
    <w:rsid w:val="00192720"/>
    <w:pPr>
      <w:spacing w:before="0"/>
      <w:ind w:left="240" w:hanging="240"/>
    </w:pPr>
    <w:rPr>
      <w:rFonts w:ascii="Verdana" w:hAnsi="Verdana"/>
      <w:sz w:val="20"/>
      <w:szCs w:val="24"/>
      <w:lang w:eastAsia="en-US"/>
    </w:rPr>
  </w:style>
  <w:style w:type="paragraph" w:styleId="TableofFigures">
    <w:name w:val="table of figures"/>
    <w:basedOn w:val="Normal"/>
    <w:next w:val="Normal"/>
    <w:uiPriority w:val="99"/>
    <w:locked/>
    <w:rsid w:val="00192720"/>
    <w:pPr>
      <w:spacing w:before="0"/>
    </w:pPr>
    <w:rPr>
      <w:rFonts w:ascii="Verdana" w:hAnsi="Verdana"/>
      <w:sz w:val="20"/>
      <w:szCs w:val="24"/>
      <w:lang w:eastAsia="en-US"/>
    </w:rPr>
  </w:style>
  <w:style w:type="paragraph" w:styleId="TOAHeading">
    <w:name w:val="toa heading"/>
    <w:basedOn w:val="Normal"/>
    <w:next w:val="Normal"/>
    <w:locked/>
    <w:rsid w:val="00192720"/>
    <w:rPr>
      <w:rFonts w:ascii="Arial" w:hAnsi="Arial" w:cs="Arial"/>
      <w:b/>
      <w:bCs/>
      <w:sz w:val="20"/>
      <w:szCs w:val="24"/>
      <w:lang w:eastAsia="en-US"/>
    </w:rPr>
  </w:style>
  <w:style w:type="paragraph" w:styleId="ListContinue5">
    <w:name w:val="List Continue 5"/>
    <w:basedOn w:val="BodyText"/>
    <w:locked/>
    <w:rsid w:val="00192720"/>
    <w:pPr>
      <w:spacing w:before="0" w:after="80"/>
      <w:ind w:left="2835"/>
    </w:pPr>
    <w:rPr>
      <w:rFonts w:ascii="Verdana" w:hAnsi="Verdana"/>
      <w:sz w:val="20"/>
    </w:rPr>
  </w:style>
  <w:style w:type="paragraph" w:styleId="Closing">
    <w:name w:val="Closing"/>
    <w:basedOn w:val="Normal"/>
    <w:link w:val="ClosingChar"/>
    <w:locked/>
    <w:rsid w:val="00192720"/>
    <w:pPr>
      <w:spacing w:before="0"/>
      <w:ind w:left="4252"/>
    </w:pPr>
    <w:rPr>
      <w:rFonts w:ascii="Verdana" w:hAnsi="Verdana"/>
      <w:sz w:val="20"/>
      <w:szCs w:val="24"/>
      <w:lang w:eastAsia="en-US"/>
    </w:rPr>
  </w:style>
  <w:style w:type="character" w:customStyle="1" w:styleId="ClosingChar">
    <w:name w:val="Closing Char"/>
    <w:basedOn w:val="DefaultParagraphFont"/>
    <w:link w:val="Closing"/>
    <w:rsid w:val="00192720"/>
    <w:rPr>
      <w:rFonts w:ascii="Verdana" w:hAnsi="Verdana"/>
      <w:sz w:val="20"/>
      <w:szCs w:val="24"/>
      <w:lang w:eastAsia="en-US"/>
    </w:rPr>
  </w:style>
  <w:style w:type="paragraph" w:styleId="E-mailSignature">
    <w:name w:val="E-mail Signature"/>
    <w:basedOn w:val="Normal"/>
    <w:link w:val="E-mailSignatureChar"/>
    <w:locked/>
    <w:rsid w:val="00192720"/>
    <w:pPr>
      <w:spacing w:before="0"/>
    </w:pPr>
    <w:rPr>
      <w:rFonts w:ascii="Verdana" w:hAnsi="Verdana"/>
      <w:sz w:val="20"/>
      <w:szCs w:val="24"/>
      <w:lang w:eastAsia="en-US"/>
    </w:rPr>
  </w:style>
  <w:style w:type="character" w:customStyle="1" w:styleId="E-mailSignatureChar">
    <w:name w:val="E-mail Signature Char"/>
    <w:basedOn w:val="DefaultParagraphFont"/>
    <w:link w:val="E-mailSignature"/>
    <w:rsid w:val="00192720"/>
    <w:rPr>
      <w:rFonts w:ascii="Verdana" w:hAnsi="Verdana"/>
      <w:sz w:val="20"/>
      <w:szCs w:val="24"/>
      <w:lang w:eastAsia="en-US"/>
    </w:rPr>
  </w:style>
  <w:style w:type="paragraph" w:styleId="EnvelopeAddress">
    <w:name w:val="envelope address"/>
    <w:basedOn w:val="Normal"/>
    <w:locked/>
    <w:rsid w:val="00192720"/>
    <w:pPr>
      <w:framePr w:w="7920" w:h="1980" w:hRule="exact" w:hSpace="180" w:wrap="auto" w:hAnchor="page" w:xAlign="center" w:yAlign="bottom"/>
      <w:spacing w:before="0"/>
      <w:ind w:left="2880"/>
    </w:pPr>
    <w:rPr>
      <w:rFonts w:ascii="Arial" w:hAnsi="Arial" w:cs="Arial"/>
      <w:sz w:val="20"/>
      <w:szCs w:val="24"/>
      <w:lang w:eastAsia="en-US"/>
    </w:rPr>
  </w:style>
  <w:style w:type="paragraph" w:styleId="EnvelopeReturn">
    <w:name w:val="envelope return"/>
    <w:basedOn w:val="Normal"/>
    <w:locked/>
    <w:rsid w:val="00192720"/>
    <w:pPr>
      <w:spacing w:before="0"/>
    </w:pPr>
    <w:rPr>
      <w:rFonts w:ascii="Arial" w:hAnsi="Arial" w:cs="Arial"/>
      <w:sz w:val="20"/>
      <w:szCs w:val="20"/>
      <w:lang w:eastAsia="en-US"/>
    </w:rPr>
  </w:style>
  <w:style w:type="table" w:styleId="TableColumns4">
    <w:name w:val="Table Columns 4"/>
    <w:basedOn w:val="TableNormal"/>
    <w:semiHidden/>
    <w:locked/>
    <w:rsid w:val="00192720"/>
    <w:pPr>
      <w:spacing w:after="0"/>
    </w:pPr>
    <w:rPr>
      <w:rFonts w:ascii="Times New Roman" w:hAnsi="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192720"/>
    <w:pPr>
      <w:spacing w:after="0"/>
    </w:pPr>
    <w:rPr>
      <w:rFonts w:ascii="Times New Roman" w:hAnsi="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4">
    <w:name w:val="Table Grid 4"/>
    <w:basedOn w:val="TableNormal"/>
    <w:semiHidden/>
    <w:locked/>
    <w:rsid w:val="00192720"/>
    <w:pPr>
      <w:spacing w:after="0"/>
    </w:pPr>
    <w:rPr>
      <w:rFonts w:ascii="Times New Roman" w:hAnsi="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192720"/>
    <w:pPr>
      <w:spacing w:after="0"/>
    </w:pPr>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192720"/>
    <w:pPr>
      <w:spacing w:after="0"/>
    </w:pPr>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192720"/>
    <w:pPr>
      <w:spacing w:after="0"/>
    </w:pPr>
    <w:rPr>
      <w:rFonts w:ascii="Times New Roman" w:hAnsi="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192720"/>
    <w:pPr>
      <w:spacing w:after="0"/>
    </w:pPr>
    <w:rPr>
      <w:rFonts w:ascii="Times New Roman" w:hAnsi="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192720"/>
    <w:pPr>
      <w:spacing w:after="0"/>
    </w:pPr>
    <w:rPr>
      <w:rFonts w:ascii="Times New Roman" w:hAnsi="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192720"/>
    <w:pPr>
      <w:spacing w:after="0"/>
    </w:pPr>
    <w:rPr>
      <w:rFonts w:ascii="Times New Roman" w:hAnsi="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unnumbered1">
    <w:name w:val="Heading unnumbered 1"/>
    <w:basedOn w:val="Heading1"/>
    <w:next w:val="BodyText"/>
    <w:rsid w:val="00192720"/>
    <w:pPr>
      <w:keepNext/>
      <w:spacing w:before="0" w:after="400"/>
      <w:ind w:left="-1134"/>
    </w:pPr>
    <w:rPr>
      <w:rFonts w:ascii="Verdana" w:hAnsi="Verdana"/>
      <w:color w:val="auto"/>
      <w:kern w:val="32"/>
      <w:sz w:val="44"/>
    </w:rPr>
  </w:style>
  <w:style w:type="paragraph" w:customStyle="1" w:styleId="Headingunnumbered3">
    <w:name w:val="Heading unnumbered 3"/>
    <w:basedOn w:val="Heading3"/>
    <w:next w:val="BodyText"/>
    <w:rsid w:val="00192720"/>
    <w:pPr>
      <w:keepNext/>
      <w:keepLines/>
      <w:spacing w:before="280" w:after="200"/>
    </w:pPr>
    <w:rPr>
      <w:rFonts w:ascii="Verdana" w:hAnsi="Verdana"/>
      <w:i/>
      <w:color w:val="auto"/>
      <w:kern w:val="32"/>
      <w:sz w:val="24"/>
    </w:rPr>
  </w:style>
  <w:style w:type="paragraph" w:customStyle="1" w:styleId="HeadingAppendix1">
    <w:name w:val="Heading Appendix 1"/>
    <w:next w:val="BodyText"/>
    <w:uiPriority w:val="99"/>
    <w:rsid w:val="00192720"/>
    <w:pPr>
      <w:keepNext/>
      <w:keepLines/>
      <w:pageBreakBefore/>
      <w:numPr>
        <w:numId w:val="14"/>
      </w:numPr>
      <w:spacing w:after="400"/>
    </w:pPr>
    <w:rPr>
      <w:rFonts w:ascii="Verdana" w:hAnsi="Verdana" w:cs="Arial"/>
      <w:b/>
      <w:bCs/>
      <w:kern w:val="32"/>
      <w:sz w:val="44"/>
      <w:szCs w:val="32"/>
    </w:rPr>
  </w:style>
  <w:style w:type="paragraph" w:customStyle="1" w:styleId="HeadingAppendix2">
    <w:name w:val="Heading Appendix 2"/>
    <w:basedOn w:val="HeadingAppendix1"/>
    <w:next w:val="BodyText"/>
    <w:uiPriority w:val="99"/>
    <w:rsid w:val="00192720"/>
    <w:pPr>
      <w:pageBreakBefore w:val="0"/>
      <w:numPr>
        <w:ilvl w:val="1"/>
      </w:numPr>
      <w:spacing w:before="280" w:after="200"/>
    </w:pPr>
    <w:rPr>
      <w:sz w:val="28"/>
    </w:rPr>
  </w:style>
  <w:style w:type="paragraph" w:customStyle="1" w:styleId="Frontfooter">
    <w:name w:val="Ω Front:footer"/>
    <w:semiHidden/>
    <w:rsid w:val="00192720"/>
    <w:pPr>
      <w:spacing w:after="0"/>
      <w:ind w:right="1701"/>
      <w:jc w:val="center"/>
    </w:pPr>
    <w:rPr>
      <w:rFonts w:ascii="Verdana" w:hAnsi="Verdana"/>
      <w:sz w:val="20"/>
      <w:szCs w:val="24"/>
    </w:rPr>
  </w:style>
  <w:style w:type="character" w:customStyle="1" w:styleId="RFC2119">
    <w:name w:val="RFC2119"/>
    <w:rsid w:val="00192720"/>
    <w:rPr>
      <w:b/>
      <w:smallCaps/>
    </w:rPr>
  </w:style>
  <w:style w:type="paragraph" w:customStyle="1" w:styleId="HeadingAppendix3">
    <w:name w:val="Heading Appendix 3"/>
    <w:basedOn w:val="HeadingAppendix2"/>
    <w:next w:val="BodyText"/>
    <w:uiPriority w:val="99"/>
    <w:rsid w:val="00192720"/>
    <w:pPr>
      <w:numPr>
        <w:ilvl w:val="2"/>
      </w:numPr>
    </w:pPr>
    <w:rPr>
      <w:sz w:val="24"/>
    </w:rPr>
  </w:style>
  <w:style w:type="paragraph" w:customStyle="1" w:styleId="HeadingAppendix4">
    <w:name w:val="Heading Appendix 4"/>
    <w:basedOn w:val="HeadingAppendix3"/>
    <w:next w:val="BodyText"/>
    <w:uiPriority w:val="99"/>
    <w:rsid w:val="00192720"/>
    <w:pPr>
      <w:numPr>
        <w:ilvl w:val="3"/>
      </w:numPr>
      <w:spacing w:before="240" w:after="120"/>
    </w:pPr>
    <w:rPr>
      <w:b w:val="0"/>
      <w:sz w:val="22"/>
    </w:rPr>
  </w:style>
  <w:style w:type="paragraph" w:customStyle="1" w:styleId="HeadingAppendix5">
    <w:name w:val="Heading Appendix 5"/>
    <w:basedOn w:val="HeadingAppendix4"/>
    <w:next w:val="BodyText"/>
    <w:uiPriority w:val="99"/>
    <w:rsid w:val="00192720"/>
    <w:pPr>
      <w:numPr>
        <w:ilvl w:val="4"/>
      </w:numPr>
    </w:pPr>
    <w:rPr>
      <w:i/>
    </w:rPr>
  </w:style>
  <w:style w:type="character" w:customStyle="1" w:styleId="Code">
    <w:name w:val="Code"/>
    <w:rsid w:val="00192720"/>
    <w:rPr>
      <w:rFonts w:ascii="Courier New" w:hAnsi="Courier New"/>
      <w:sz w:val="22"/>
    </w:rPr>
  </w:style>
  <w:style w:type="table" w:customStyle="1" w:styleId="TableGrey2">
    <w:name w:val="Table Grey 2"/>
    <w:basedOn w:val="TableGrid"/>
    <w:rsid w:val="00192720"/>
    <w:pPr>
      <w:keepNext/>
      <w:spacing w:before="0" w:after="0"/>
    </w:pPr>
    <w:rPr>
      <w:rFonts w:ascii="Times New Roman" w:hAnsi="Times New Roman"/>
      <w:color w:val="auto"/>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9" w:type="dxa"/>
        <w:left w:w="108" w:type="dxa"/>
        <w:bottom w:w="0" w:type="dxa"/>
        <w:right w:w="108" w:type="dxa"/>
      </w:tblCellMar>
    </w:tblPr>
    <w:trPr>
      <w:cantSplit/>
    </w:trPr>
    <w:tcPr>
      <w:shd w:val="clear" w:color="auto" w:fill="auto"/>
    </w:tcPr>
    <w:tblStylePr w:type="firstRow">
      <w:pPr>
        <w:wordWrap/>
        <w:spacing w:beforeLines="0" w:before="60" w:beforeAutospacing="0" w:afterLines="0" w:after="60" w:afterAutospacing="0" w:line="240" w:lineRule="auto"/>
        <w:jc w:val="left"/>
        <w:outlineLvl w:val="9"/>
      </w:pPr>
      <w:rPr>
        <w:rFonts w:asciiTheme="minorHAnsi" w:hAnsiTheme="minorHAnsi"/>
        <w:b/>
        <w:color w:val="000000" w:themeColor="text1"/>
        <w:sz w:val="20"/>
      </w:rPr>
      <w:tblPr/>
      <w:trPr>
        <w:cantSplit w:val="0"/>
      </w:trPr>
      <w:tcPr>
        <w:shd w:val="clear" w:color="auto" w:fill="E6F1F8" w:themeFill="accent2"/>
      </w:tcPr>
    </w:tblStylePr>
    <w:tblStylePr w:type="firstCol">
      <w:rPr>
        <w:b/>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E6E6E6"/>
      </w:tcPr>
    </w:tblStylePr>
  </w:style>
  <w:style w:type="table" w:customStyle="1" w:styleId="TableGrey3">
    <w:name w:val="Table Grey 3"/>
    <w:basedOn w:val="TableColorful3"/>
    <w:rsid w:val="00192720"/>
    <w:tblPr/>
    <w:tcPr>
      <w:shd w:val="clear" w:color="008080" w:fill="auto"/>
    </w:tcPr>
    <w:tblStylePr w:type="firstRow">
      <w:rPr>
        <w:b/>
      </w:rPr>
      <w:tblPr/>
      <w:trPr>
        <w:cantSplit w:val="0"/>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008080" w:fill="E6E6E6"/>
      </w:tcPr>
    </w:tblStylePr>
    <w:tblStylePr w:type="firstCol">
      <w:rPr>
        <w:b/>
      </w:rPr>
      <w:tblPr/>
      <w:tcPr>
        <w:tcBorders>
          <w:top w:val="single" w:sz="6" w:space="0" w:color="auto"/>
          <w:left w:val="single" w:sz="6" w:space="0" w:color="auto"/>
          <w:bottom w:val="single" w:sz="6" w:space="0" w:color="auto"/>
          <w:right w:val="single" w:sz="6" w:space="0" w:color="auto"/>
          <w:insideH w:val="single" w:sz="4" w:space="0" w:color="FFFFFF"/>
          <w:insideV w:val="nil"/>
          <w:tl2br w:val="nil"/>
          <w:tr2bl w:val="nil"/>
        </w:tcBorders>
        <w:shd w:val="clear" w:color="008080" w:fill="E6E6E6"/>
      </w:tcPr>
    </w:tblStylePr>
    <w:tblStylePr w:type="band1Horz">
      <w:tblPr/>
      <w:tcPr>
        <w:tcBorders>
          <w:top w:val="nil"/>
          <w:left w:val="nil"/>
          <w:bottom w:val="nil"/>
          <w:right w:val="nil"/>
          <w:insideH w:val="nil"/>
          <w:insideV w:val="nil"/>
          <w:tl2br w:val="nil"/>
          <w:tr2bl w:val="nil"/>
        </w:tcBorders>
        <w:shd w:val="clear" w:color="008080" w:fill="auto"/>
      </w:tcPr>
    </w:tblStylePr>
    <w:tblStylePr w:type="band2Horz">
      <w:tblPr/>
      <w:tcPr>
        <w:tcBorders>
          <w:top w:val="nil"/>
          <w:left w:val="nil"/>
          <w:bottom w:val="nil"/>
          <w:right w:val="nil"/>
          <w:insideH w:val="nil"/>
          <w:insideV w:val="nil"/>
          <w:tl2br w:val="nil"/>
          <w:tr2bl w:val="nil"/>
        </w:tcBorders>
        <w:shd w:val="clear" w:color="008080" w:fill="D9D9D9"/>
      </w:tcPr>
    </w:tblStylePr>
    <w:tblStylePr w:type="nwCell">
      <w:rPr>
        <w:b/>
        <w:bCs/>
        <w:color w:val="FFFFFF"/>
      </w:rPr>
      <w:tblPr/>
      <w:tcPr>
        <w:tcBorders>
          <w:top w:val="nil"/>
          <w:left w:val="nil"/>
          <w:bottom w:val="nil"/>
          <w:right w:val="single" w:sz="4" w:space="0" w:color="auto"/>
          <w:insideH w:val="nil"/>
          <w:insideV w:val="nil"/>
          <w:tl2br w:val="nil"/>
          <w:tr2bl w:val="nil"/>
        </w:tcBorders>
        <w:shd w:val="clear" w:color="000000" w:fill="auto"/>
      </w:tcPr>
    </w:tblStylePr>
  </w:style>
  <w:style w:type="character" w:customStyle="1" w:styleId="Boldchar">
    <w:name w:val="Bold_char"/>
    <w:uiPriority w:val="99"/>
    <w:rsid w:val="00192720"/>
    <w:rPr>
      <w:b/>
      <w:bCs/>
    </w:rPr>
  </w:style>
  <w:style w:type="character" w:customStyle="1" w:styleId="SSchar">
    <w:name w:val="SS_char"/>
    <w:rsid w:val="00192720"/>
    <w:rPr>
      <w:vertAlign w:val="superscript"/>
    </w:rPr>
  </w:style>
  <w:style w:type="table" w:styleId="TableGrid2">
    <w:name w:val="Table Grid 2"/>
    <w:basedOn w:val="TableNormal"/>
    <w:locked/>
    <w:rsid w:val="00192720"/>
    <w:pPr>
      <w:spacing w:after="120"/>
    </w:pPr>
    <w:rPr>
      <w:rFonts w:ascii="Times New Roman" w:hAnsi="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0">
    <w:name w:val="Table Grid 1"/>
    <w:basedOn w:val="TableNormal"/>
    <w:rsid w:val="00192720"/>
    <w:pPr>
      <w:spacing w:after="120"/>
    </w:pPr>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Professional">
    <w:name w:val="Table Professional"/>
    <w:basedOn w:val="TableNormal"/>
    <w:uiPriority w:val="99"/>
    <w:locked/>
    <w:rsid w:val="00192720"/>
    <w:pPr>
      <w:spacing w:after="120"/>
    </w:pPr>
    <w:rPr>
      <w:rFonts w:ascii="Times New Roman" w:hAnsi="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192720"/>
    <w:pPr>
      <w:spacing w:after="120"/>
    </w:pPr>
    <w:rPr>
      <w:rFonts w:ascii="Times New Roman" w:hAnsi="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ubtle1">
    <w:name w:val="Table Subtle 1"/>
    <w:basedOn w:val="TableNormal"/>
    <w:locked/>
    <w:rsid w:val="00192720"/>
    <w:pPr>
      <w:spacing w:after="120"/>
    </w:pPr>
    <w:rPr>
      <w:rFonts w:ascii="Times New Roman" w:hAnsi="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locked/>
    <w:rsid w:val="00192720"/>
    <w:pPr>
      <w:spacing w:after="120"/>
    </w:pPr>
    <w:rPr>
      <w:rFonts w:ascii="Times New Roman" w:hAnsi="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locked/>
    <w:rsid w:val="00192720"/>
    <w:pPr>
      <w:spacing w:after="12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Elegant">
    <w:name w:val="Table Elegant"/>
    <w:basedOn w:val="TableNormal"/>
    <w:locked/>
    <w:rsid w:val="00192720"/>
    <w:pPr>
      <w:spacing w:after="120"/>
    </w:pPr>
    <w:rPr>
      <w:rFonts w:ascii="Times New Roman" w:hAnsi="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imple2">
    <w:name w:val="Table Simple 2"/>
    <w:basedOn w:val="TableNormal"/>
    <w:locked/>
    <w:rsid w:val="00192720"/>
    <w:pPr>
      <w:spacing w:after="120"/>
    </w:pPr>
    <w:rPr>
      <w:rFonts w:ascii="Times New Roman" w:hAnsi="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192720"/>
    <w:pPr>
      <w:spacing w:after="120"/>
    </w:pPr>
    <w:rPr>
      <w:rFonts w:ascii="Times New Roman" w:hAnsi="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Appendixheading">
    <w:name w:val="Appendix heading"/>
    <w:next w:val="Normal"/>
    <w:uiPriority w:val="2"/>
    <w:qFormat/>
    <w:rsid w:val="00192720"/>
    <w:pPr>
      <w:keepNext/>
      <w:keepLines/>
      <w:pageBreakBefore/>
      <w:spacing w:before="240" w:after="120"/>
    </w:pPr>
    <w:rPr>
      <w:rFonts w:ascii="Verdana" w:hAnsi="Verdana"/>
      <w:b/>
      <w:sz w:val="32"/>
      <w:szCs w:val="18"/>
      <w:lang w:eastAsia="en-US"/>
    </w:rPr>
  </w:style>
  <w:style w:type="paragraph" w:customStyle="1" w:styleId="AppendixHeading2">
    <w:name w:val="Appendix Heading 2"/>
    <w:basedOn w:val="Heading2"/>
    <w:next w:val="BodyText"/>
    <w:rsid w:val="00192720"/>
    <w:pPr>
      <w:keepNext/>
      <w:tabs>
        <w:tab w:val="num" w:pos="833"/>
        <w:tab w:val="left" w:pos="964"/>
      </w:tabs>
      <w:spacing w:before="240" w:after="120"/>
      <w:ind w:left="833" w:hanging="833"/>
      <w:outlineLvl w:val="9"/>
    </w:pPr>
    <w:rPr>
      <w:rFonts w:ascii="Verdana" w:hAnsi="Verdana" w:cs="Times New Roman"/>
      <w:iCs w:val="0"/>
      <w:color w:val="auto"/>
      <w:kern w:val="0"/>
      <w:sz w:val="28"/>
      <w:szCs w:val="20"/>
      <w:lang w:eastAsia="en-US"/>
    </w:rPr>
  </w:style>
  <w:style w:type="paragraph" w:customStyle="1" w:styleId="AppendixHeading3">
    <w:name w:val="Appendix Heading 3"/>
    <w:basedOn w:val="Heading3"/>
    <w:next w:val="BodyText"/>
    <w:rsid w:val="00192720"/>
    <w:pPr>
      <w:keepNext/>
      <w:tabs>
        <w:tab w:val="left" w:pos="357"/>
        <w:tab w:val="num" w:pos="833"/>
      </w:tabs>
      <w:spacing w:before="240" w:after="120"/>
      <w:ind w:left="833" w:hanging="833"/>
      <w:outlineLvl w:val="9"/>
    </w:pPr>
    <w:rPr>
      <w:rFonts w:ascii="Verdana" w:hAnsi="Verdana" w:cs="Times New Roman"/>
      <w:bCs w:val="0"/>
      <w:i/>
      <w:iCs w:val="0"/>
      <w:color w:val="auto"/>
      <w:kern w:val="0"/>
      <w:sz w:val="24"/>
      <w:szCs w:val="20"/>
      <w:lang w:eastAsia="en-US"/>
    </w:rPr>
  </w:style>
  <w:style w:type="paragraph" w:customStyle="1" w:styleId="AppendixHeading4">
    <w:name w:val="Appendix Heading 4"/>
    <w:basedOn w:val="Heading4"/>
    <w:next w:val="BodyText"/>
    <w:rsid w:val="00192720"/>
    <w:pPr>
      <w:numPr>
        <w:ilvl w:val="3"/>
        <w:numId w:val="15"/>
      </w:numPr>
      <w:tabs>
        <w:tab w:val="clear" w:pos="0"/>
        <w:tab w:val="left" w:pos="964"/>
      </w:tabs>
      <w:jc w:val="both"/>
      <w:outlineLvl w:val="9"/>
    </w:pPr>
    <w:rPr>
      <w:rFonts w:ascii="Verdana" w:hAnsi="Verdana"/>
      <w:bCs w:val="0"/>
      <w:color w:val="auto"/>
      <w:sz w:val="20"/>
      <w:szCs w:val="20"/>
      <w:lang w:eastAsia="en-US"/>
    </w:rPr>
  </w:style>
  <w:style w:type="paragraph" w:customStyle="1" w:styleId="Tablebullet1">
    <w:name w:val="Tablebullet1"/>
    <w:basedOn w:val="ListBullet"/>
    <w:qFormat/>
    <w:rsid w:val="00192720"/>
    <w:pPr>
      <w:keepLines w:val="0"/>
      <w:tabs>
        <w:tab w:val="num" w:pos="567"/>
      </w:tabs>
      <w:spacing w:before="40" w:after="40"/>
      <w:ind w:left="340" w:hanging="340"/>
    </w:pPr>
    <w:rPr>
      <w:sz w:val="18"/>
      <w:lang w:val="en-US"/>
    </w:rPr>
  </w:style>
  <w:style w:type="paragraph" w:customStyle="1" w:styleId="BodyTextkeepwithnext0">
    <w:name w:val="BodyTextkeepwithnext"/>
    <w:basedOn w:val="BodyText"/>
    <w:qFormat/>
    <w:rsid w:val="00192720"/>
    <w:pPr>
      <w:keepNext/>
      <w:spacing w:before="0"/>
    </w:pPr>
    <w:rPr>
      <w:noProof/>
    </w:rPr>
  </w:style>
  <w:style w:type="paragraph" w:customStyle="1" w:styleId="TableHeading2">
    <w:name w:val="TableHeading2"/>
    <w:basedOn w:val="Normal"/>
    <w:qFormat/>
    <w:rsid w:val="00192720"/>
    <w:pPr>
      <w:keepLines/>
      <w:spacing w:before="40" w:after="40"/>
    </w:pPr>
    <w:rPr>
      <w:rFonts w:ascii="Verdana" w:hAnsi="Verdana"/>
      <w:i/>
      <w:iCs/>
      <w:sz w:val="18"/>
      <w:szCs w:val="24"/>
    </w:rPr>
  </w:style>
  <w:style w:type="numbering" w:customStyle="1" w:styleId="NoList2">
    <w:name w:val="No List2"/>
    <w:next w:val="NoList"/>
    <w:semiHidden/>
    <w:rsid w:val="00192720"/>
  </w:style>
  <w:style w:type="paragraph" w:customStyle="1" w:styleId="Notice">
    <w:name w:val="Notice"/>
    <w:basedOn w:val="Normal"/>
    <w:next w:val="Normal"/>
    <w:rsid w:val="00192720"/>
    <w:pPr>
      <w:keepLines/>
      <w:numPr>
        <w:numId w:val="19"/>
      </w:numPr>
      <w:spacing w:before="0" w:after="240"/>
    </w:pPr>
    <w:rPr>
      <w:rFonts w:ascii="Arial" w:hAnsi="Arial"/>
      <w:szCs w:val="20"/>
      <w:lang w:eastAsia="en-US"/>
    </w:rPr>
  </w:style>
  <w:style w:type="paragraph" w:customStyle="1" w:styleId="Graphic">
    <w:name w:val="Graphic"/>
    <w:basedOn w:val="BodyText"/>
    <w:rsid w:val="00192720"/>
    <w:pPr>
      <w:keepNext/>
      <w:spacing w:before="60"/>
      <w:ind w:left="1701"/>
    </w:pPr>
    <w:rPr>
      <w:szCs w:val="20"/>
      <w:lang w:eastAsia="en-US"/>
    </w:rPr>
  </w:style>
  <w:style w:type="paragraph" w:customStyle="1" w:styleId="Warning">
    <w:name w:val="Warning"/>
    <w:basedOn w:val="Normal"/>
    <w:rsid w:val="00192720"/>
    <w:pPr>
      <w:keepLines/>
      <w:numPr>
        <w:numId w:val="17"/>
      </w:numPr>
      <w:spacing w:before="0" w:after="240"/>
    </w:pPr>
    <w:rPr>
      <w:rFonts w:ascii="Arial" w:hAnsi="Arial"/>
      <w:szCs w:val="20"/>
      <w:lang w:eastAsia="en-US"/>
    </w:rPr>
  </w:style>
  <w:style w:type="paragraph" w:customStyle="1" w:styleId="Numstep">
    <w:name w:val="Numstep"/>
    <w:basedOn w:val="Normal"/>
    <w:rsid w:val="00192720"/>
    <w:pPr>
      <w:keepLines/>
      <w:numPr>
        <w:numId w:val="22"/>
      </w:numPr>
      <w:spacing w:before="0"/>
    </w:pPr>
    <w:rPr>
      <w:rFonts w:ascii="Arial" w:hAnsi="Arial"/>
      <w:szCs w:val="20"/>
      <w:lang w:eastAsia="en-US"/>
    </w:rPr>
  </w:style>
  <w:style w:type="paragraph" w:customStyle="1" w:styleId="Tabletitle">
    <w:name w:val="Table title"/>
    <w:basedOn w:val="Normal"/>
    <w:rsid w:val="00192720"/>
    <w:pPr>
      <w:keepLines/>
      <w:spacing w:before="60" w:after="60"/>
    </w:pPr>
    <w:rPr>
      <w:rFonts w:ascii="Arial" w:hAnsi="Arial"/>
      <w:b/>
      <w:color w:val="FFFFFF"/>
      <w:sz w:val="20"/>
      <w:szCs w:val="20"/>
      <w:lang w:eastAsia="en-US"/>
    </w:rPr>
  </w:style>
  <w:style w:type="paragraph" w:customStyle="1" w:styleId="Numstepprebull">
    <w:name w:val="Numstep prebull"/>
    <w:basedOn w:val="Numstep"/>
    <w:next w:val="Numstepbullet"/>
    <w:rsid w:val="00192720"/>
  </w:style>
  <w:style w:type="paragraph" w:customStyle="1" w:styleId="Numsteplastbull">
    <w:name w:val="Numstep lastbull"/>
    <w:basedOn w:val="Normal"/>
    <w:next w:val="Numstep"/>
    <w:rsid w:val="00192720"/>
    <w:pPr>
      <w:keepLines/>
      <w:numPr>
        <w:numId w:val="18"/>
      </w:numPr>
      <w:spacing w:before="0" w:after="240"/>
    </w:pPr>
    <w:rPr>
      <w:rFonts w:ascii="Arial" w:hAnsi="Arial"/>
      <w:szCs w:val="20"/>
      <w:lang w:eastAsia="en-US"/>
    </w:rPr>
  </w:style>
  <w:style w:type="paragraph" w:customStyle="1" w:styleId="Tabletext0">
    <w:name w:val="Table text"/>
    <w:basedOn w:val="Tabletitle"/>
    <w:rsid w:val="00192720"/>
  </w:style>
  <w:style w:type="paragraph" w:customStyle="1" w:styleId="Tips">
    <w:name w:val="Tips"/>
    <w:basedOn w:val="Normal"/>
    <w:rsid w:val="00192720"/>
    <w:pPr>
      <w:keepLines/>
      <w:numPr>
        <w:numId w:val="16"/>
      </w:numPr>
      <w:spacing w:before="0" w:after="240"/>
    </w:pPr>
    <w:rPr>
      <w:rFonts w:ascii="Arial" w:hAnsi="Arial"/>
      <w:szCs w:val="20"/>
      <w:lang w:eastAsia="en-US"/>
    </w:rPr>
  </w:style>
  <w:style w:type="paragraph" w:customStyle="1" w:styleId="BookTitle1">
    <w:name w:val="Book Title1"/>
    <w:basedOn w:val="Heading1"/>
    <w:rsid w:val="00192720"/>
    <w:pPr>
      <w:keepLines/>
      <w:spacing w:after="720"/>
      <w:jc w:val="right"/>
      <w:outlineLvl w:val="9"/>
    </w:pPr>
    <w:rPr>
      <w:rFonts w:ascii="Arial" w:hAnsi="Arial" w:cs="Times New Roman"/>
      <w:bCs w:val="0"/>
      <w:color w:val="336699"/>
      <w:kern w:val="0"/>
      <w:sz w:val="96"/>
      <w:szCs w:val="96"/>
      <w:lang w:eastAsia="en-US"/>
    </w:rPr>
  </w:style>
  <w:style w:type="paragraph" w:customStyle="1" w:styleId="Computer">
    <w:name w:val="Computer"/>
    <w:basedOn w:val="Normal"/>
    <w:rsid w:val="00192720"/>
    <w:pPr>
      <w:spacing w:before="0" w:after="0"/>
      <w:ind w:left="1985" w:right="284"/>
    </w:pPr>
    <w:rPr>
      <w:rFonts w:ascii="Courier New" w:hAnsi="Courier New"/>
      <w:sz w:val="20"/>
      <w:szCs w:val="20"/>
      <w:lang w:eastAsia="en-US"/>
    </w:rPr>
  </w:style>
  <w:style w:type="paragraph" w:customStyle="1" w:styleId="Computergreyed">
    <w:name w:val="Computer greyed"/>
    <w:basedOn w:val="Computer"/>
    <w:rsid w:val="00192720"/>
    <w:rPr>
      <w:color w:val="C0C0C0"/>
    </w:rPr>
  </w:style>
  <w:style w:type="paragraph" w:customStyle="1" w:styleId="Tooltip">
    <w:name w:val="Tool tip"/>
    <w:basedOn w:val="Normal"/>
    <w:next w:val="Normal"/>
    <w:rsid w:val="00192720"/>
    <w:pPr>
      <w:keepLines/>
      <w:numPr>
        <w:numId w:val="20"/>
      </w:numPr>
      <w:spacing w:before="0" w:after="240"/>
    </w:pPr>
    <w:rPr>
      <w:rFonts w:ascii="Arial" w:hAnsi="Arial"/>
      <w:szCs w:val="20"/>
      <w:lang w:eastAsia="en-US"/>
    </w:rPr>
  </w:style>
  <w:style w:type="paragraph" w:customStyle="1" w:styleId="Rule">
    <w:name w:val="Rule"/>
    <w:basedOn w:val="BodyText"/>
    <w:rsid w:val="00192720"/>
    <w:pPr>
      <w:pBdr>
        <w:top w:val="single" w:sz="4" w:space="2" w:color="336699"/>
        <w:bottom w:val="single" w:sz="4" w:space="2" w:color="336699"/>
      </w:pBdr>
      <w:spacing w:before="60" w:after="240"/>
      <w:ind w:left="1701"/>
    </w:pPr>
    <w:rPr>
      <w:i/>
      <w:szCs w:val="20"/>
      <w:lang w:eastAsia="en-US"/>
    </w:rPr>
  </w:style>
  <w:style w:type="paragraph" w:customStyle="1" w:styleId="Writeitdown">
    <w:name w:val="Write it down"/>
    <w:basedOn w:val="Normal"/>
    <w:next w:val="Normal"/>
    <w:rsid w:val="00192720"/>
    <w:pPr>
      <w:keepLines/>
      <w:numPr>
        <w:numId w:val="21"/>
      </w:numPr>
      <w:spacing w:before="0" w:after="240"/>
    </w:pPr>
    <w:rPr>
      <w:rFonts w:ascii="Arial" w:hAnsi="Arial"/>
      <w:szCs w:val="28"/>
      <w:lang w:eastAsia="en-US"/>
    </w:rPr>
  </w:style>
  <w:style w:type="paragraph" w:customStyle="1" w:styleId="Numstepgraphic">
    <w:name w:val="Numstep graphic"/>
    <w:basedOn w:val="Numstep"/>
    <w:rsid w:val="00192720"/>
    <w:pPr>
      <w:ind w:left="0" w:firstLine="0"/>
    </w:pPr>
  </w:style>
  <w:style w:type="paragraph" w:customStyle="1" w:styleId="TableHeading0">
    <w:name w:val="Table Heading"/>
    <w:basedOn w:val="Normal"/>
    <w:autoRedefine/>
    <w:uiPriority w:val="99"/>
    <w:rsid w:val="00192720"/>
    <w:pPr>
      <w:keepLines/>
      <w:ind w:left="1701" w:hanging="1701"/>
      <w:jc w:val="center"/>
    </w:pPr>
    <w:rPr>
      <w:rFonts w:ascii="Arial" w:hAnsi="Arial"/>
      <w:b/>
      <w:sz w:val="20"/>
      <w:szCs w:val="24"/>
      <w:lang w:val="en-US"/>
    </w:rPr>
  </w:style>
  <w:style w:type="paragraph" w:customStyle="1" w:styleId="heading5se">
    <w:name w:val="heading5se"/>
    <w:basedOn w:val="Normal"/>
    <w:rsid w:val="00192720"/>
    <w:pPr>
      <w:spacing w:before="100" w:beforeAutospacing="1" w:after="100" w:afterAutospacing="1"/>
    </w:pPr>
    <w:rPr>
      <w:rFonts w:ascii="Times New Roman" w:hAnsi="Times New Roman"/>
      <w:sz w:val="24"/>
      <w:szCs w:val="24"/>
      <w:lang w:val="en-US" w:eastAsia="en-US"/>
    </w:rPr>
  </w:style>
  <w:style w:type="table" w:styleId="MediumGrid3-Accent5">
    <w:name w:val="Medium Grid 3 Accent 5"/>
    <w:basedOn w:val="TableNormal"/>
    <w:uiPriority w:val="60"/>
    <w:locked/>
    <w:rsid w:val="00192720"/>
    <w:pPr>
      <w:spacing w:after="0"/>
    </w:pPr>
    <w:rPr>
      <w:rFonts w:ascii="Times New Roman" w:hAnsi="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ColorfulShading-Accent11">
    <w:name w:val="Colorful Shading - Accent 11"/>
    <w:hidden/>
    <w:uiPriority w:val="99"/>
    <w:semiHidden/>
    <w:rsid w:val="00192720"/>
    <w:pPr>
      <w:spacing w:after="0"/>
    </w:pPr>
    <w:rPr>
      <w:rFonts w:ascii="Arial" w:hAnsi="Arial"/>
      <w:szCs w:val="20"/>
      <w:lang w:eastAsia="en-US"/>
    </w:rPr>
  </w:style>
  <w:style w:type="table" w:styleId="DarkList-Accent5">
    <w:name w:val="Dark List Accent 5"/>
    <w:basedOn w:val="TableNormal"/>
    <w:uiPriority w:val="61"/>
    <w:locked/>
    <w:rsid w:val="00192720"/>
    <w:pPr>
      <w:spacing w:after="0"/>
    </w:pPr>
    <w:rPr>
      <w:rFonts w:ascii="Times New Roman" w:hAnsi="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mixed-citation">
    <w:name w:val="mixed-citation"/>
    <w:rsid w:val="00192720"/>
  </w:style>
  <w:style w:type="character" w:customStyle="1" w:styleId="ref-journal">
    <w:name w:val="ref-journal"/>
    <w:rsid w:val="00192720"/>
  </w:style>
  <w:style w:type="character" w:customStyle="1" w:styleId="ref-vol">
    <w:name w:val="ref-vol"/>
    <w:rsid w:val="00192720"/>
  </w:style>
  <w:style w:type="character" w:customStyle="1" w:styleId="citation-abbreviation">
    <w:name w:val="citation-abbreviation"/>
    <w:rsid w:val="00192720"/>
  </w:style>
  <w:style w:type="character" w:customStyle="1" w:styleId="citation-publication-date">
    <w:name w:val="citation-publication-date"/>
    <w:rsid w:val="00192720"/>
  </w:style>
  <w:style w:type="character" w:customStyle="1" w:styleId="citation-volume">
    <w:name w:val="citation-volume"/>
    <w:rsid w:val="00192720"/>
  </w:style>
  <w:style w:type="character" w:customStyle="1" w:styleId="citation-issue">
    <w:name w:val="citation-issue"/>
    <w:rsid w:val="00192720"/>
  </w:style>
  <w:style w:type="character" w:customStyle="1" w:styleId="citation-flpages">
    <w:name w:val="citation-flpages"/>
    <w:rsid w:val="00192720"/>
  </w:style>
  <w:style w:type="paragraph" w:customStyle="1" w:styleId="Bullet1stlevelkeepwithnext">
    <w:name w:val="Bullet 1stlevelkeepwithnext"/>
    <w:basedOn w:val="Bullet1stlevel"/>
    <w:qFormat/>
    <w:rsid w:val="00192720"/>
    <w:pPr>
      <w:keepNext/>
      <w:numPr>
        <w:numId w:val="0"/>
      </w:numPr>
      <w:tabs>
        <w:tab w:val="num" w:pos="2835"/>
      </w:tabs>
      <w:ind w:left="357" w:hanging="357"/>
    </w:pPr>
  </w:style>
  <w:style w:type="paragraph" w:customStyle="1" w:styleId="Appendixbulletheading">
    <w:name w:val="Appendixbulletheading"/>
    <w:basedOn w:val="Normal"/>
    <w:qFormat/>
    <w:rsid w:val="00192720"/>
    <w:pPr>
      <w:keepNext/>
      <w:keepLines/>
      <w:numPr>
        <w:ilvl w:val="2"/>
        <w:numId w:val="16"/>
      </w:numPr>
      <w:tabs>
        <w:tab w:val="clear" w:pos="2160"/>
      </w:tabs>
      <w:spacing w:before="180"/>
      <w:outlineLvl w:val="2"/>
    </w:pPr>
    <w:rPr>
      <w:rFonts w:ascii="Arial" w:hAnsi="Arial"/>
      <w:b/>
      <w:color w:val="336699"/>
      <w:spacing w:val="20"/>
      <w:sz w:val="24"/>
      <w:szCs w:val="28"/>
      <w:lang w:eastAsia="en-US"/>
    </w:rPr>
  </w:style>
  <w:style w:type="paragraph" w:customStyle="1" w:styleId="AppendixBulletHeading2">
    <w:name w:val="AppendixBulletHeading2"/>
    <w:basedOn w:val="Normal"/>
    <w:qFormat/>
    <w:rsid w:val="00192720"/>
    <w:pPr>
      <w:keepNext/>
      <w:keepLines/>
      <w:numPr>
        <w:ilvl w:val="3"/>
        <w:numId w:val="16"/>
      </w:numPr>
      <w:outlineLvl w:val="3"/>
    </w:pPr>
    <w:rPr>
      <w:rFonts w:ascii="Arial" w:hAnsi="Arial"/>
      <w:b/>
      <w:color w:val="336699"/>
      <w:spacing w:val="20"/>
      <w:szCs w:val="28"/>
      <w:lang w:eastAsia="en-US"/>
    </w:rPr>
  </w:style>
  <w:style w:type="paragraph" w:customStyle="1" w:styleId="Appendix1">
    <w:name w:val="Appendix 1"/>
    <w:next w:val="BodyText"/>
    <w:link w:val="Appendix1Char"/>
    <w:uiPriority w:val="99"/>
    <w:rsid w:val="00192720"/>
    <w:pPr>
      <w:keepNext/>
      <w:pageBreakBefore/>
      <w:numPr>
        <w:numId w:val="23"/>
      </w:numPr>
      <w:tabs>
        <w:tab w:val="left" w:pos="1843"/>
      </w:tabs>
      <w:spacing w:before="240" w:after="60"/>
    </w:pPr>
    <w:rPr>
      <w:rFonts w:ascii="Arial Bold" w:hAnsi="Arial Bold"/>
      <w:b/>
      <w:sz w:val="28"/>
      <w:szCs w:val="40"/>
    </w:rPr>
  </w:style>
  <w:style w:type="paragraph" w:customStyle="1" w:styleId="Appendix4">
    <w:name w:val="Appendix 4"/>
    <w:next w:val="BodyText"/>
    <w:uiPriority w:val="99"/>
    <w:rsid w:val="00192720"/>
    <w:pPr>
      <w:keepNext/>
      <w:numPr>
        <w:ilvl w:val="3"/>
        <w:numId w:val="23"/>
      </w:numPr>
      <w:spacing w:before="240" w:after="60"/>
    </w:pPr>
    <w:rPr>
      <w:rFonts w:ascii="Arial Bold" w:hAnsi="Arial Bold"/>
      <w:b/>
      <w:sz w:val="24"/>
      <w:szCs w:val="40"/>
    </w:rPr>
  </w:style>
  <w:style w:type="paragraph" w:customStyle="1" w:styleId="Appendix3">
    <w:name w:val="Appendix 3"/>
    <w:next w:val="BodyText"/>
    <w:uiPriority w:val="99"/>
    <w:rsid w:val="00192720"/>
    <w:pPr>
      <w:keepNext/>
      <w:numPr>
        <w:ilvl w:val="2"/>
        <w:numId w:val="23"/>
      </w:numPr>
      <w:spacing w:before="240" w:after="60"/>
    </w:pPr>
    <w:rPr>
      <w:rFonts w:ascii="Arial Bold" w:hAnsi="Arial Bold"/>
      <w:b/>
      <w:sz w:val="24"/>
      <w:szCs w:val="40"/>
    </w:rPr>
  </w:style>
  <w:style w:type="paragraph" w:customStyle="1" w:styleId="Appendix2">
    <w:name w:val="Appendix 2"/>
    <w:next w:val="BodyText"/>
    <w:uiPriority w:val="99"/>
    <w:rsid w:val="00192720"/>
    <w:pPr>
      <w:keepNext/>
      <w:numPr>
        <w:ilvl w:val="1"/>
        <w:numId w:val="23"/>
      </w:numPr>
      <w:spacing w:before="240" w:after="60"/>
    </w:pPr>
    <w:rPr>
      <w:rFonts w:ascii="Arial Bold" w:hAnsi="Arial Bold"/>
      <w:b/>
      <w:sz w:val="24"/>
      <w:szCs w:val="40"/>
    </w:rPr>
  </w:style>
  <w:style w:type="table" w:customStyle="1" w:styleId="Table11pt">
    <w:name w:val="Table 11pt"/>
    <w:uiPriority w:val="99"/>
    <w:semiHidden/>
    <w:rsid w:val="00192720"/>
    <w:pPr>
      <w:spacing w:after="0"/>
      <w:jc w:val="both"/>
    </w:pPr>
    <w:rPr>
      <w:rFonts w:ascii="Arial" w:hAnsi="Arial"/>
      <w:sz w:val="20"/>
      <w:szCs w:val="20"/>
      <w:lang w:val="en-US"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10pt">
    <w:name w:val="Table 10pt"/>
    <w:uiPriority w:val="99"/>
    <w:semiHidden/>
    <w:rsid w:val="00192720"/>
    <w:pPr>
      <w:spacing w:after="0"/>
      <w:jc w:val="both"/>
    </w:pPr>
    <w:rPr>
      <w:rFonts w:ascii="Arial" w:hAnsi="Arial"/>
      <w:sz w:val="20"/>
      <w:szCs w:val="20"/>
      <w:lang w:val="en-US"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paragraph" w:customStyle="1" w:styleId="FirstPageTitle1">
    <w:name w:val="FirstPage Title1"/>
    <w:uiPriority w:val="99"/>
    <w:rsid w:val="00192720"/>
    <w:pPr>
      <w:spacing w:before="3000" w:after="0"/>
      <w:jc w:val="right"/>
    </w:pPr>
    <w:rPr>
      <w:rFonts w:ascii="Arial" w:hAnsi="Arial"/>
      <w:b/>
      <w:sz w:val="36"/>
      <w:szCs w:val="40"/>
    </w:rPr>
  </w:style>
  <w:style w:type="paragraph" w:customStyle="1" w:styleId="FirstPageTitle2">
    <w:name w:val="FirstPage Title2"/>
    <w:uiPriority w:val="99"/>
    <w:rsid w:val="00192720"/>
    <w:pPr>
      <w:spacing w:before="240" w:after="240"/>
      <w:jc w:val="right"/>
    </w:pPr>
    <w:rPr>
      <w:rFonts w:ascii="Arial" w:hAnsi="Arial" w:cs="Arial"/>
      <w:b/>
      <w:bCs/>
      <w:kern w:val="28"/>
      <w:sz w:val="32"/>
      <w:szCs w:val="32"/>
    </w:rPr>
  </w:style>
  <w:style w:type="paragraph" w:customStyle="1" w:styleId="FirstPageFooter">
    <w:name w:val="FirstPage Footer"/>
    <w:uiPriority w:val="99"/>
    <w:rsid w:val="00192720"/>
    <w:pPr>
      <w:spacing w:before="40" w:after="40"/>
    </w:pPr>
    <w:rPr>
      <w:rFonts w:ascii="Arial" w:hAnsi="Arial"/>
      <w:sz w:val="16"/>
      <w:szCs w:val="40"/>
    </w:rPr>
  </w:style>
  <w:style w:type="paragraph" w:customStyle="1" w:styleId="CellBody">
    <w:name w:val="CellBody"/>
    <w:uiPriority w:val="99"/>
    <w:rsid w:val="00192720"/>
    <w:pPr>
      <w:tabs>
        <w:tab w:val="left" w:pos="284"/>
      </w:tabs>
      <w:spacing w:before="80"/>
    </w:pPr>
    <w:rPr>
      <w:rFonts w:ascii="Arial" w:hAnsi="Arial"/>
      <w:sz w:val="20"/>
      <w:szCs w:val="40"/>
    </w:rPr>
  </w:style>
  <w:style w:type="character" w:customStyle="1" w:styleId="XRef">
    <w:name w:val="XRef"/>
    <w:uiPriority w:val="99"/>
    <w:rsid w:val="00192720"/>
    <w:rPr>
      <w:rFonts w:ascii="Arial" w:hAnsi="Arial" w:cs="Times New Roman"/>
      <w:color w:val="0000CC"/>
      <w:spacing w:val="-4"/>
      <w:sz w:val="22"/>
      <w:u w:val="single"/>
    </w:rPr>
  </w:style>
  <w:style w:type="paragraph" w:customStyle="1" w:styleId="CellBullet">
    <w:name w:val="CellBullet"/>
    <w:uiPriority w:val="99"/>
    <w:rsid w:val="00192720"/>
    <w:pPr>
      <w:numPr>
        <w:numId w:val="24"/>
      </w:numPr>
      <w:spacing w:before="60" w:after="60"/>
    </w:pPr>
    <w:rPr>
      <w:rFonts w:ascii="Arial" w:hAnsi="Arial"/>
      <w:sz w:val="20"/>
      <w:lang w:eastAsia="en-US"/>
    </w:rPr>
  </w:style>
  <w:style w:type="paragraph" w:customStyle="1" w:styleId="ListAlpha">
    <w:name w:val="List Alpha"/>
    <w:uiPriority w:val="99"/>
    <w:rsid w:val="00192720"/>
    <w:pPr>
      <w:numPr>
        <w:numId w:val="25"/>
      </w:numPr>
      <w:spacing w:before="120" w:after="120"/>
    </w:pPr>
    <w:rPr>
      <w:rFonts w:ascii="Arial" w:hAnsi="Arial"/>
      <w:szCs w:val="40"/>
    </w:rPr>
  </w:style>
  <w:style w:type="paragraph" w:customStyle="1" w:styleId="ListAlpha2">
    <w:name w:val="List Alpha 2"/>
    <w:uiPriority w:val="99"/>
    <w:rsid w:val="00192720"/>
    <w:pPr>
      <w:tabs>
        <w:tab w:val="num" w:pos="2410"/>
      </w:tabs>
      <w:spacing w:before="120" w:after="120"/>
      <w:ind w:left="2410" w:hanging="567"/>
    </w:pPr>
    <w:rPr>
      <w:rFonts w:ascii="Arial" w:hAnsi="Arial"/>
      <w:szCs w:val="40"/>
    </w:rPr>
  </w:style>
  <w:style w:type="paragraph" w:customStyle="1" w:styleId="FooterLandscape0">
    <w:name w:val="Footer Landscape"/>
    <w:uiPriority w:val="99"/>
    <w:rsid w:val="00192720"/>
    <w:pPr>
      <w:pBdr>
        <w:top w:val="single" w:sz="6" w:space="1" w:color="777777"/>
      </w:pBdr>
      <w:tabs>
        <w:tab w:val="center" w:pos="7655"/>
        <w:tab w:val="right" w:pos="15167"/>
      </w:tabs>
      <w:spacing w:after="0"/>
    </w:pPr>
    <w:rPr>
      <w:rFonts w:ascii="Arial" w:hAnsi="Arial"/>
      <w:sz w:val="16"/>
      <w:szCs w:val="40"/>
    </w:rPr>
  </w:style>
  <w:style w:type="paragraph" w:customStyle="1" w:styleId="FirstPageTitle3">
    <w:name w:val="FirstPage Title3"/>
    <w:uiPriority w:val="99"/>
    <w:rsid w:val="00192720"/>
    <w:pPr>
      <w:spacing w:before="240" w:after="240"/>
      <w:jc w:val="right"/>
    </w:pPr>
    <w:rPr>
      <w:rFonts w:ascii="Arial Bold" w:hAnsi="Arial Bold" w:cs="Arial"/>
      <w:b/>
      <w:bCs/>
      <w:kern w:val="28"/>
      <w:sz w:val="24"/>
      <w:szCs w:val="32"/>
    </w:rPr>
  </w:style>
  <w:style w:type="paragraph" w:customStyle="1" w:styleId="Header2">
    <w:name w:val="Header 2"/>
    <w:basedOn w:val="Header"/>
    <w:uiPriority w:val="99"/>
    <w:rsid w:val="00192720"/>
    <w:pPr>
      <w:pBdr>
        <w:bottom w:val="single" w:sz="6" w:space="1" w:color="808080"/>
      </w:pBdr>
      <w:tabs>
        <w:tab w:val="clear" w:pos="4513"/>
        <w:tab w:val="clear" w:pos="9026"/>
        <w:tab w:val="center" w:pos="4153"/>
        <w:tab w:val="right" w:pos="8306"/>
      </w:tabs>
      <w:spacing w:before="20" w:after="240"/>
      <w:jc w:val="right"/>
    </w:pPr>
    <w:rPr>
      <w:rFonts w:ascii="Arial" w:hAnsi="Arial"/>
      <w:sz w:val="4"/>
      <w:szCs w:val="40"/>
    </w:rPr>
  </w:style>
  <w:style w:type="paragraph" w:customStyle="1" w:styleId="CaptionLandscape">
    <w:name w:val="Caption Landscape"/>
    <w:basedOn w:val="Caption"/>
    <w:uiPriority w:val="99"/>
    <w:rsid w:val="00192720"/>
    <w:pPr>
      <w:spacing w:before="60" w:after="120"/>
    </w:pPr>
    <w:rPr>
      <w:bCs/>
      <w:iCs w:val="0"/>
      <w:color w:val="auto"/>
      <w:sz w:val="22"/>
      <w:szCs w:val="22"/>
    </w:rPr>
  </w:style>
  <w:style w:type="table" w:customStyle="1" w:styleId="BATable">
    <w:name w:val="BA Table"/>
    <w:uiPriority w:val="99"/>
    <w:rsid w:val="00192720"/>
    <w:pPr>
      <w:spacing w:before="40"/>
    </w:pPr>
    <w:rPr>
      <w:rFonts w:ascii="Arial" w:hAnsi="Arial"/>
      <w:sz w:val="20"/>
      <w:szCs w:val="20"/>
      <w:lang w:val="en-US" w:eastAsia="en-US"/>
    </w:rPr>
    <w:tblPr>
      <w:tblStyleRowBandSize w:val="1"/>
      <w:tblStyleColBandSize w:val="1"/>
      <w:tblInd w:w="13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cantSplit/>
    </w:trPr>
  </w:style>
  <w:style w:type="paragraph" w:customStyle="1" w:styleId="StyleHeading1Before6ptAfter12pt">
    <w:name w:val="Style Heading 1 + Before:  6 pt After:  12 pt"/>
    <w:basedOn w:val="Heading1"/>
    <w:autoRedefine/>
    <w:uiPriority w:val="99"/>
    <w:rsid w:val="00192720"/>
    <w:pPr>
      <w:keepNext/>
      <w:numPr>
        <w:numId w:val="26"/>
      </w:numPr>
      <w:tabs>
        <w:tab w:val="left" w:pos="851"/>
        <w:tab w:val="num" w:pos="1843"/>
      </w:tabs>
      <w:overflowPunct w:val="0"/>
      <w:autoSpaceDE w:val="0"/>
      <w:autoSpaceDN w:val="0"/>
      <w:adjustRightInd w:val="0"/>
      <w:spacing w:before="120"/>
      <w:textAlignment w:val="baseline"/>
    </w:pPr>
    <w:rPr>
      <w:rFonts w:ascii="Arial" w:hAnsi="Arial"/>
      <w:color w:val="auto"/>
      <w:sz w:val="24"/>
      <w:szCs w:val="24"/>
    </w:rPr>
  </w:style>
  <w:style w:type="paragraph" w:customStyle="1" w:styleId="IndentedNormalHeading2">
    <w:name w:val="Indented Normal (Heading 2"/>
    <w:aliases w:val="3,4)"/>
    <w:basedOn w:val="Normal"/>
    <w:link w:val="IndentedNormalHeading2Char"/>
    <w:uiPriority w:val="99"/>
    <w:rsid w:val="00192720"/>
    <w:pPr>
      <w:spacing w:line="276" w:lineRule="auto"/>
      <w:ind w:left="576"/>
    </w:pPr>
    <w:rPr>
      <w:rFonts w:ascii="Calibri" w:hAnsi="Calibri"/>
      <w:lang w:eastAsia="en-US"/>
    </w:rPr>
  </w:style>
  <w:style w:type="character" w:customStyle="1" w:styleId="IndentedNormalHeading2Char">
    <w:name w:val="Indented Normal (Heading 2 Char"/>
    <w:aliases w:val="3 Char,4) Char"/>
    <w:link w:val="IndentedNormalHeading2"/>
    <w:uiPriority w:val="99"/>
    <w:locked/>
    <w:rsid w:val="00192720"/>
    <w:rPr>
      <w:rFonts w:ascii="Calibri" w:hAnsi="Calibri"/>
      <w:lang w:eastAsia="en-US"/>
    </w:rPr>
  </w:style>
  <w:style w:type="paragraph" w:customStyle="1" w:styleId="DDBodyText">
    <w:name w:val="DD Body Text"/>
    <w:basedOn w:val="Normal"/>
    <w:link w:val="DDBodyTextChar"/>
    <w:uiPriority w:val="99"/>
    <w:rsid w:val="00192720"/>
    <w:pPr>
      <w:ind w:left="1134"/>
    </w:pPr>
    <w:rPr>
      <w:rFonts w:ascii="Arial" w:hAnsi="Arial" w:cs="Arial"/>
      <w:color w:val="292929"/>
      <w:szCs w:val="20"/>
      <w:lang w:eastAsia="en-US"/>
    </w:rPr>
  </w:style>
  <w:style w:type="character" w:customStyle="1" w:styleId="DDBodyTextChar">
    <w:name w:val="DD Body Text Char"/>
    <w:link w:val="DDBodyText"/>
    <w:uiPriority w:val="99"/>
    <w:locked/>
    <w:rsid w:val="00192720"/>
    <w:rPr>
      <w:rFonts w:ascii="Arial" w:hAnsi="Arial" w:cs="Arial"/>
      <w:color w:val="292929"/>
      <w:szCs w:val="20"/>
      <w:lang w:eastAsia="en-US"/>
    </w:rPr>
  </w:style>
  <w:style w:type="paragraph" w:customStyle="1" w:styleId="TableText1">
    <w:name w:val="Table Text"/>
    <w:basedOn w:val="Normal"/>
    <w:uiPriority w:val="99"/>
    <w:rsid w:val="00192720"/>
    <w:pPr>
      <w:spacing w:before="60" w:after="60"/>
    </w:pPr>
    <w:rPr>
      <w:rFonts w:ascii="Arial" w:hAnsi="Arial" w:cs="Arial"/>
      <w:lang w:eastAsia="en-US"/>
    </w:rPr>
  </w:style>
  <w:style w:type="paragraph" w:customStyle="1" w:styleId="Bodytext-Template">
    <w:name w:val="Body text - Template"/>
    <w:link w:val="Bodytext-TemplateChar"/>
    <w:uiPriority w:val="99"/>
    <w:rsid w:val="00192720"/>
    <w:pPr>
      <w:spacing w:before="120" w:after="120"/>
      <w:ind w:left="709"/>
      <w:jc w:val="both"/>
    </w:pPr>
    <w:rPr>
      <w:rFonts w:ascii="Times" w:hAnsi="Times"/>
      <w:szCs w:val="20"/>
      <w:lang w:eastAsia="en-US"/>
    </w:rPr>
  </w:style>
  <w:style w:type="character" w:customStyle="1" w:styleId="Bodytext-TemplateChar">
    <w:name w:val="Body text - Template Char"/>
    <w:link w:val="Bodytext-Template"/>
    <w:uiPriority w:val="99"/>
    <w:locked/>
    <w:rsid w:val="00192720"/>
    <w:rPr>
      <w:rFonts w:ascii="Times" w:hAnsi="Times"/>
      <w:szCs w:val="20"/>
      <w:lang w:eastAsia="en-US"/>
    </w:rPr>
  </w:style>
  <w:style w:type="paragraph" w:customStyle="1" w:styleId="Invisible2">
    <w:name w:val="Invisible 2"/>
    <w:basedOn w:val="Normal"/>
    <w:next w:val="BodyText"/>
    <w:uiPriority w:val="99"/>
    <w:rsid w:val="00192720"/>
    <w:pPr>
      <w:keepNext/>
      <w:keepLines/>
      <w:tabs>
        <w:tab w:val="num" w:pos="1843"/>
      </w:tabs>
      <w:spacing w:before="60" w:after="60"/>
      <w:ind w:left="1843" w:hanging="567"/>
      <w:outlineLvl w:val="1"/>
    </w:pPr>
    <w:rPr>
      <w:rFonts w:ascii="Arial" w:hAnsi="Arial"/>
      <w:b/>
      <w:bCs/>
      <w:kern w:val="28"/>
      <w:sz w:val="24"/>
      <w:szCs w:val="20"/>
      <w:lang w:eastAsia="en-US"/>
    </w:rPr>
  </w:style>
  <w:style w:type="paragraph" w:customStyle="1" w:styleId="DefaultParagraphFontParaCharChar1Char">
    <w:name w:val="Default Paragraph Font Para Char Char1 Char"/>
    <w:aliases w:val="Default Paragraph Font Char Char Char"/>
    <w:basedOn w:val="Normal"/>
    <w:uiPriority w:val="99"/>
    <w:rsid w:val="00192720"/>
    <w:pPr>
      <w:spacing w:after="160" w:line="240" w:lineRule="exact"/>
    </w:pPr>
    <w:rPr>
      <w:rFonts w:ascii="Arial" w:hAnsi="Arial"/>
      <w:sz w:val="20"/>
      <w:szCs w:val="20"/>
      <w:lang w:val="en-US" w:eastAsia="en-US"/>
    </w:rPr>
  </w:style>
  <w:style w:type="paragraph" w:customStyle="1" w:styleId="TableText10">
    <w:name w:val="Table Text 10"/>
    <w:basedOn w:val="BodyText"/>
    <w:uiPriority w:val="99"/>
    <w:rsid w:val="00192720"/>
    <w:pPr>
      <w:spacing w:before="60" w:after="60"/>
    </w:pPr>
    <w:rPr>
      <w:rFonts w:ascii="Arial (W1)" w:hAnsi="Arial (W1)" w:cs="Arial"/>
      <w:bCs/>
      <w:color w:val="292929"/>
      <w:sz w:val="21"/>
      <w:szCs w:val="20"/>
      <w:lang w:eastAsia="en-US"/>
    </w:rPr>
  </w:style>
  <w:style w:type="paragraph" w:customStyle="1" w:styleId="StyleJustified">
    <w:name w:val="Style Justified"/>
    <w:basedOn w:val="Normal"/>
    <w:uiPriority w:val="99"/>
    <w:rsid w:val="00192720"/>
    <w:pPr>
      <w:tabs>
        <w:tab w:val="left" w:pos="9072"/>
      </w:tabs>
      <w:overflowPunct w:val="0"/>
      <w:autoSpaceDE w:val="0"/>
      <w:autoSpaceDN w:val="0"/>
      <w:adjustRightInd w:val="0"/>
      <w:jc w:val="both"/>
    </w:pPr>
    <w:rPr>
      <w:rFonts w:ascii="Arial" w:hAnsi="Arial"/>
      <w:sz w:val="20"/>
      <w:szCs w:val="20"/>
    </w:rPr>
  </w:style>
  <w:style w:type="paragraph" w:customStyle="1" w:styleId="Char5">
    <w:name w:val="Char5"/>
    <w:basedOn w:val="Normal"/>
    <w:autoRedefine/>
    <w:uiPriority w:val="99"/>
    <w:rsid w:val="00192720"/>
    <w:pPr>
      <w:spacing w:before="100" w:beforeAutospacing="1" w:after="100" w:afterAutospacing="1"/>
    </w:pPr>
    <w:rPr>
      <w:rFonts w:ascii="Arial" w:hAnsi="Arial"/>
      <w:sz w:val="20"/>
      <w:szCs w:val="20"/>
      <w:lang w:val="en-US" w:eastAsia="en-US"/>
    </w:rPr>
  </w:style>
  <w:style w:type="paragraph" w:customStyle="1" w:styleId="baresumeblackbullets">
    <w:name w:val="ba resume black bullets"/>
    <w:basedOn w:val="NormalWeb"/>
    <w:uiPriority w:val="99"/>
    <w:rsid w:val="00192720"/>
    <w:pPr>
      <w:numPr>
        <w:numId w:val="27"/>
      </w:numPr>
      <w:spacing w:before="60" w:after="60"/>
      <w:ind w:right="142"/>
      <w:jc w:val="both"/>
    </w:pPr>
    <w:rPr>
      <w:rFonts w:cs="Arial"/>
      <w:sz w:val="20"/>
      <w:szCs w:val="20"/>
      <w:lang w:eastAsia="en-US"/>
    </w:rPr>
  </w:style>
  <w:style w:type="paragraph" w:customStyle="1" w:styleId="BARESUME">
    <w:name w:val="BA RESUME"/>
    <w:basedOn w:val="Normal"/>
    <w:link w:val="BARESUMEChar"/>
    <w:uiPriority w:val="99"/>
    <w:rsid w:val="00192720"/>
    <w:pPr>
      <w:spacing w:before="60" w:after="60" w:line="276" w:lineRule="auto"/>
      <w:jc w:val="both"/>
    </w:pPr>
    <w:rPr>
      <w:rFonts w:ascii="Arial" w:hAnsi="Arial" w:cs="Arial"/>
      <w:sz w:val="20"/>
      <w:szCs w:val="20"/>
      <w:lang w:eastAsia="en-US"/>
    </w:rPr>
  </w:style>
  <w:style w:type="paragraph" w:customStyle="1" w:styleId="BARESUMECLEARBULLETS">
    <w:name w:val="BA RESUME CLEAR BULLETS"/>
    <w:basedOn w:val="BARESUME"/>
    <w:link w:val="BARESUMECLEARBULLETSChar"/>
    <w:uiPriority w:val="99"/>
    <w:rsid w:val="00192720"/>
    <w:pPr>
      <w:numPr>
        <w:ilvl w:val="1"/>
        <w:numId w:val="28"/>
      </w:numPr>
      <w:tabs>
        <w:tab w:val="clear" w:pos="1440"/>
      </w:tabs>
      <w:ind w:left="0" w:firstLine="0"/>
    </w:pPr>
  </w:style>
  <w:style w:type="paragraph" w:customStyle="1" w:styleId="BABullets">
    <w:name w:val="BA Bullets"/>
    <w:basedOn w:val="Normal"/>
    <w:uiPriority w:val="99"/>
    <w:rsid w:val="00192720"/>
    <w:pPr>
      <w:widowControl w:val="0"/>
      <w:numPr>
        <w:numId w:val="29"/>
      </w:numPr>
      <w:suppressAutoHyphens/>
      <w:spacing w:before="240" w:after="60" w:line="276" w:lineRule="auto"/>
      <w:jc w:val="both"/>
    </w:pPr>
    <w:rPr>
      <w:rFonts w:ascii="Arial" w:hAnsi="Arial" w:cs="Arial"/>
      <w:b/>
      <w:color w:val="000000"/>
      <w:lang w:eastAsia="en-US"/>
    </w:rPr>
  </w:style>
  <w:style w:type="paragraph" w:customStyle="1" w:styleId="StyleBABullets10ptNotBold">
    <w:name w:val="Style BA Bullets + 10 pt Not Bold"/>
    <w:basedOn w:val="BABullets"/>
    <w:uiPriority w:val="99"/>
    <w:rsid w:val="00192720"/>
    <w:pPr>
      <w:spacing w:before="60"/>
      <w:ind w:left="357" w:hanging="357"/>
    </w:pPr>
    <w:rPr>
      <w:b w:val="0"/>
      <w:sz w:val="20"/>
    </w:rPr>
  </w:style>
  <w:style w:type="character" w:customStyle="1" w:styleId="BARESUMEChar">
    <w:name w:val="BA RESUME Char"/>
    <w:link w:val="BARESUME"/>
    <w:uiPriority w:val="99"/>
    <w:locked/>
    <w:rsid w:val="00192720"/>
    <w:rPr>
      <w:rFonts w:ascii="Arial" w:hAnsi="Arial" w:cs="Arial"/>
      <w:sz w:val="20"/>
      <w:szCs w:val="20"/>
      <w:lang w:eastAsia="en-US"/>
    </w:rPr>
  </w:style>
  <w:style w:type="character" w:customStyle="1" w:styleId="BARESUMECLEARBULLETSChar">
    <w:name w:val="BA RESUME CLEAR BULLETS Char"/>
    <w:link w:val="BARESUMECLEARBULLETS"/>
    <w:uiPriority w:val="99"/>
    <w:locked/>
    <w:rsid w:val="00192720"/>
    <w:rPr>
      <w:rFonts w:ascii="Arial" w:hAnsi="Arial" w:cs="Arial"/>
      <w:sz w:val="20"/>
      <w:szCs w:val="20"/>
      <w:lang w:eastAsia="en-US"/>
    </w:rPr>
  </w:style>
  <w:style w:type="paragraph" w:customStyle="1" w:styleId="Invisible3">
    <w:name w:val="Invisible 3"/>
    <w:basedOn w:val="Normal"/>
    <w:autoRedefine/>
    <w:uiPriority w:val="99"/>
    <w:rsid w:val="00192720"/>
    <w:pPr>
      <w:keepNext/>
      <w:keepLines/>
      <w:spacing w:before="200" w:line="276" w:lineRule="auto"/>
      <w:ind w:left="709"/>
      <w:outlineLvl w:val="2"/>
    </w:pPr>
    <w:rPr>
      <w:rFonts w:ascii="Calibri" w:hAnsi="Calibri"/>
      <w:b/>
      <w:bCs/>
      <w:smallCaps/>
      <w:color w:val="365F91"/>
      <w:lang w:val="en-US"/>
    </w:rPr>
  </w:style>
  <w:style w:type="table" w:styleId="LightShading-Accent5">
    <w:name w:val="Light Shading Accent 5"/>
    <w:basedOn w:val="TableNormal"/>
    <w:uiPriority w:val="99"/>
    <w:locked/>
    <w:rsid w:val="00192720"/>
    <w:pPr>
      <w:spacing w:after="0"/>
    </w:pPr>
    <w:rPr>
      <w:rFonts w:ascii="Calibri" w:hAnsi="Calibri"/>
      <w:color w:val="31849B"/>
      <w:sz w:val="20"/>
      <w:szCs w:val="20"/>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LightList-Accent2">
    <w:name w:val="Light List Accent 2"/>
    <w:basedOn w:val="TableNormal"/>
    <w:uiPriority w:val="99"/>
    <w:locked/>
    <w:rsid w:val="00192720"/>
    <w:pPr>
      <w:spacing w:after="0"/>
    </w:pPr>
    <w:rPr>
      <w:rFonts w:ascii="Arial" w:hAnsi="Arial"/>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99"/>
    <w:locked/>
    <w:rsid w:val="00192720"/>
    <w:pPr>
      <w:spacing w:after="0"/>
    </w:pPr>
    <w:rPr>
      <w:rFonts w:ascii="Arial" w:hAnsi="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11">
    <w:name w:val="Light List - Accent 11"/>
    <w:uiPriority w:val="99"/>
    <w:rsid w:val="00192720"/>
    <w:pPr>
      <w:spacing w:after="0"/>
    </w:pPr>
    <w:rPr>
      <w:rFonts w:ascii="Arial" w:hAnsi="Arial"/>
      <w:sz w:val="20"/>
      <w:szCs w:val="20"/>
      <w:lang w:val="en-U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APPA">
    <w:name w:val="APPA"/>
    <w:basedOn w:val="Appendix1"/>
    <w:link w:val="APPAChar"/>
    <w:uiPriority w:val="99"/>
    <w:rsid w:val="00192720"/>
    <w:rPr>
      <w:rFonts w:ascii="Arial" w:hAnsi="Arial" w:cs="Arial"/>
    </w:rPr>
  </w:style>
  <w:style w:type="character" w:customStyle="1" w:styleId="Appendix1Char">
    <w:name w:val="Appendix 1 Char"/>
    <w:link w:val="Appendix1"/>
    <w:uiPriority w:val="99"/>
    <w:locked/>
    <w:rsid w:val="00192720"/>
    <w:rPr>
      <w:rFonts w:ascii="Arial Bold" w:hAnsi="Arial Bold"/>
      <w:b/>
      <w:sz w:val="28"/>
      <w:szCs w:val="40"/>
    </w:rPr>
  </w:style>
  <w:style w:type="character" w:customStyle="1" w:styleId="APPAChar">
    <w:name w:val="APPA Char"/>
    <w:link w:val="APPA"/>
    <w:uiPriority w:val="99"/>
    <w:locked/>
    <w:rsid w:val="00192720"/>
    <w:rPr>
      <w:rFonts w:ascii="Arial" w:hAnsi="Arial" w:cs="Arial"/>
      <w:b/>
      <w:sz w:val="28"/>
      <w:szCs w:val="40"/>
    </w:rPr>
  </w:style>
  <w:style w:type="paragraph" w:customStyle="1" w:styleId="StyleBodyTextHeading1textJustifiedLeft0pt">
    <w:name w:val="Style Body TextHeading 1 text + Justified Left:  0 pt"/>
    <w:basedOn w:val="BodyText"/>
    <w:autoRedefine/>
    <w:rsid w:val="00192720"/>
    <w:rPr>
      <w:szCs w:val="20"/>
    </w:rPr>
  </w:style>
  <w:style w:type="paragraph" w:customStyle="1" w:styleId="StyleBodyTextHeading1textLeft0pt">
    <w:name w:val="Style Body TextHeading 1 text + Left:  0 pt"/>
    <w:basedOn w:val="BodyText"/>
    <w:rsid w:val="00192720"/>
    <w:rPr>
      <w:szCs w:val="20"/>
    </w:rPr>
  </w:style>
  <w:style w:type="paragraph" w:styleId="HTMLAddress">
    <w:name w:val="HTML Address"/>
    <w:basedOn w:val="Normal"/>
    <w:link w:val="HTMLAddressChar"/>
    <w:locked/>
    <w:rsid w:val="00192720"/>
    <w:pPr>
      <w:overflowPunct w:val="0"/>
      <w:autoSpaceDE w:val="0"/>
      <w:autoSpaceDN w:val="0"/>
      <w:adjustRightInd w:val="0"/>
      <w:textAlignment w:val="baseline"/>
    </w:pPr>
    <w:rPr>
      <w:rFonts w:ascii="Arial" w:hAnsi="Arial" w:cs="Arial"/>
      <w:i/>
      <w:iCs/>
    </w:rPr>
  </w:style>
  <w:style w:type="character" w:customStyle="1" w:styleId="HTMLAddressChar">
    <w:name w:val="HTML Address Char"/>
    <w:basedOn w:val="DefaultParagraphFont"/>
    <w:link w:val="HTMLAddress"/>
    <w:rsid w:val="00192720"/>
    <w:rPr>
      <w:rFonts w:ascii="Arial" w:hAnsi="Arial" w:cs="Arial"/>
      <w:i/>
      <w:iCs/>
    </w:rPr>
  </w:style>
  <w:style w:type="paragraph" w:styleId="HTMLPreformatted">
    <w:name w:val="HTML Preformatted"/>
    <w:basedOn w:val="Normal"/>
    <w:link w:val="HTMLPreformattedChar"/>
    <w:locked/>
    <w:rsid w:val="00192720"/>
    <w:pPr>
      <w:overflowPunct w:val="0"/>
      <w:autoSpaceDE w:val="0"/>
      <w:autoSpaceDN w:val="0"/>
      <w:adjustRightInd w:val="0"/>
      <w:textAlignment w:val="baseline"/>
    </w:pPr>
    <w:rPr>
      <w:rFonts w:ascii="Courier New" w:hAnsi="Courier New" w:cs="Courier New"/>
      <w:sz w:val="20"/>
      <w:szCs w:val="20"/>
    </w:rPr>
  </w:style>
  <w:style w:type="character" w:customStyle="1" w:styleId="HTMLPreformattedChar">
    <w:name w:val="HTML Preformatted Char"/>
    <w:basedOn w:val="DefaultParagraphFont"/>
    <w:link w:val="HTMLPreformatted"/>
    <w:rsid w:val="00192720"/>
    <w:rPr>
      <w:rFonts w:ascii="Courier New" w:hAnsi="Courier New" w:cs="Courier New"/>
      <w:sz w:val="20"/>
      <w:szCs w:val="20"/>
    </w:rPr>
  </w:style>
  <w:style w:type="paragraph" w:styleId="NormalIndent">
    <w:name w:val="Normal Indent"/>
    <w:basedOn w:val="Normal"/>
    <w:locked/>
    <w:rsid w:val="00192720"/>
    <w:pPr>
      <w:overflowPunct w:val="0"/>
      <w:autoSpaceDE w:val="0"/>
      <w:autoSpaceDN w:val="0"/>
      <w:adjustRightInd w:val="0"/>
      <w:ind w:left="720"/>
      <w:textAlignment w:val="baseline"/>
    </w:pPr>
    <w:rPr>
      <w:rFonts w:ascii="Arial" w:hAnsi="Arial" w:cs="Arial"/>
    </w:rPr>
  </w:style>
  <w:style w:type="paragraph" w:styleId="NoteHeading">
    <w:name w:val="Note Heading"/>
    <w:basedOn w:val="Normal"/>
    <w:next w:val="Normal"/>
    <w:link w:val="NoteHeadingChar"/>
    <w:locked/>
    <w:rsid w:val="00192720"/>
    <w:pPr>
      <w:overflowPunct w:val="0"/>
      <w:autoSpaceDE w:val="0"/>
      <w:autoSpaceDN w:val="0"/>
      <w:adjustRightInd w:val="0"/>
      <w:textAlignment w:val="baseline"/>
    </w:pPr>
    <w:rPr>
      <w:rFonts w:ascii="Arial" w:hAnsi="Arial" w:cs="Arial"/>
    </w:rPr>
  </w:style>
  <w:style w:type="character" w:customStyle="1" w:styleId="NoteHeadingChar">
    <w:name w:val="Note Heading Char"/>
    <w:basedOn w:val="DefaultParagraphFont"/>
    <w:link w:val="NoteHeading"/>
    <w:rsid w:val="00192720"/>
    <w:rPr>
      <w:rFonts w:ascii="Arial" w:hAnsi="Arial" w:cs="Arial"/>
    </w:rPr>
  </w:style>
  <w:style w:type="paragraph" w:styleId="Salutation">
    <w:name w:val="Salutation"/>
    <w:basedOn w:val="Normal"/>
    <w:next w:val="Normal"/>
    <w:link w:val="SalutationChar"/>
    <w:locked/>
    <w:rsid w:val="00192720"/>
    <w:pPr>
      <w:overflowPunct w:val="0"/>
      <w:autoSpaceDE w:val="0"/>
      <w:autoSpaceDN w:val="0"/>
      <w:adjustRightInd w:val="0"/>
      <w:textAlignment w:val="baseline"/>
    </w:pPr>
    <w:rPr>
      <w:rFonts w:ascii="Arial" w:hAnsi="Arial" w:cs="Arial"/>
    </w:rPr>
  </w:style>
  <w:style w:type="character" w:customStyle="1" w:styleId="SalutationChar">
    <w:name w:val="Salutation Char"/>
    <w:basedOn w:val="DefaultParagraphFont"/>
    <w:link w:val="Salutation"/>
    <w:rsid w:val="00192720"/>
    <w:rPr>
      <w:rFonts w:ascii="Arial" w:hAnsi="Arial" w:cs="Arial"/>
    </w:rPr>
  </w:style>
  <w:style w:type="paragraph" w:styleId="Signature">
    <w:name w:val="Signature"/>
    <w:basedOn w:val="Normal"/>
    <w:link w:val="SignatureChar"/>
    <w:locked/>
    <w:rsid w:val="00192720"/>
    <w:pPr>
      <w:overflowPunct w:val="0"/>
      <w:autoSpaceDE w:val="0"/>
      <w:autoSpaceDN w:val="0"/>
      <w:adjustRightInd w:val="0"/>
      <w:ind w:left="4252"/>
      <w:textAlignment w:val="baseline"/>
    </w:pPr>
    <w:rPr>
      <w:rFonts w:ascii="Arial" w:hAnsi="Arial" w:cs="Arial"/>
    </w:rPr>
  </w:style>
  <w:style w:type="character" w:customStyle="1" w:styleId="SignatureChar">
    <w:name w:val="Signature Char"/>
    <w:basedOn w:val="DefaultParagraphFont"/>
    <w:link w:val="Signature"/>
    <w:rsid w:val="00192720"/>
    <w:rPr>
      <w:rFonts w:ascii="Arial" w:hAnsi="Arial" w:cs="Arial"/>
    </w:rPr>
  </w:style>
  <w:style w:type="character" w:styleId="HTMLAcronym">
    <w:name w:val="HTML Acronym"/>
    <w:basedOn w:val="DefaultParagraphFont"/>
    <w:locked/>
    <w:rsid w:val="00192720"/>
  </w:style>
  <w:style w:type="character" w:customStyle="1" w:styleId="UnresolvedMention2">
    <w:name w:val="Unresolved Mention2"/>
    <w:basedOn w:val="DefaultParagraphFont"/>
    <w:uiPriority w:val="99"/>
    <w:semiHidden/>
    <w:unhideWhenUsed/>
    <w:rsid w:val="00192720"/>
    <w:rPr>
      <w:color w:val="605E5C"/>
      <w:shd w:val="clear" w:color="auto" w:fill="E1DFDD"/>
    </w:rPr>
  </w:style>
  <w:style w:type="character" w:customStyle="1" w:styleId="CommissionbodytextChar">
    <w:name w:val="Commission body text Char"/>
    <w:basedOn w:val="DefaultParagraphFont"/>
    <w:link w:val="Commissionbodytext"/>
    <w:locked/>
    <w:rsid w:val="00192720"/>
    <w:rPr>
      <w:rFonts w:ascii="Arial" w:hAnsi="Arial" w:cs="Arial"/>
    </w:rPr>
  </w:style>
  <w:style w:type="paragraph" w:customStyle="1" w:styleId="Commissionbodytext">
    <w:name w:val="Commission body text"/>
    <w:basedOn w:val="Normal"/>
    <w:link w:val="CommissionbodytextChar"/>
    <w:qFormat/>
    <w:rsid w:val="00192720"/>
    <w:pPr>
      <w:spacing w:before="0" w:after="0" w:line="276" w:lineRule="auto"/>
    </w:pPr>
    <w:rPr>
      <w:rFonts w:ascii="Arial" w:hAnsi="Arial" w:cs="Arial"/>
    </w:rPr>
  </w:style>
  <w:style w:type="numbering" w:customStyle="1" w:styleId="CurrentList1">
    <w:name w:val="Current List1"/>
    <w:uiPriority w:val="99"/>
    <w:rsid w:val="00192720"/>
    <w:pPr>
      <w:numPr>
        <w:numId w:val="30"/>
      </w:numPr>
    </w:pPr>
  </w:style>
  <w:style w:type="numbering" w:customStyle="1" w:styleId="CurrentList2">
    <w:name w:val="Current List2"/>
    <w:uiPriority w:val="99"/>
    <w:rsid w:val="00192720"/>
    <w:pPr>
      <w:numPr>
        <w:numId w:val="31"/>
      </w:numPr>
    </w:pPr>
  </w:style>
  <w:style w:type="numbering" w:customStyle="1" w:styleId="NoList11">
    <w:name w:val="No List11"/>
    <w:next w:val="NoList"/>
    <w:uiPriority w:val="99"/>
    <w:semiHidden/>
    <w:unhideWhenUsed/>
    <w:rsid w:val="00192720"/>
  </w:style>
  <w:style w:type="numbering" w:customStyle="1" w:styleId="CurrentList3">
    <w:name w:val="Current List3"/>
    <w:uiPriority w:val="99"/>
    <w:rsid w:val="00192720"/>
    <w:pPr>
      <w:numPr>
        <w:numId w:val="32"/>
      </w:numPr>
    </w:pPr>
  </w:style>
  <w:style w:type="numbering" w:customStyle="1" w:styleId="CurrentList4">
    <w:name w:val="Current List4"/>
    <w:uiPriority w:val="99"/>
    <w:rsid w:val="00192720"/>
    <w:pPr>
      <w:numPr>
        <w:numId w:val="33"/>
      </w:numPr>
    </w:pPr>
  </w:style>
  <w:style w:type="numbering" w:customStyle="1" w:styleId="CurrentList5">
    <w:name w:val="Current List5"/>
    <w:uiPriority w:val="99"/>
    <w:rsid w:val="00192720"/>
    <w:pPr>
      <w:numPr>
        <w:numId w:val="34"/>
      </w:numPr>
    </w:pPr>
  </w:style>
  <w:style w:type="numbering" w:customStyle="1" w:styleId="CurrentList6">
    <w:name w:val="Current List6"/>
    <w:uiPriority w:val="99"/>
    <w:rsid w:val="00192720"/>
    <w:pPr>
      <w:numPr>
        <w:numId w:val="35"/>
      </w:numPr>
    </w:pPr>
  </w:style>
  <w:style w:type="numbering" w:customStyle="1" w:styleId="CurrentList7">
    <w:name w:val="Current List7"/>
    <w:uiPriority w:val="99"/>
    <w:rsid w:val="00192720"/>
    <w:pPr>
      <w:numPr>
        <w:numId w:val="36"/>
      </w:numPr>
    </w:pPr>
  </w:style>
  <w:style w:type="numbering" w:customStyle="1" w:styleId="CurrentList8">
    <w:name w:val="Current List8"/>
    <w:uiPriority w:val="99"/>
    <w:rsid w:val="00192720"/>
    <w:pPr>
      <w:numPr>
        <w:numId w:val="37"/>
      </w:numPr>
    </w:pPr>
  </w:style>
  <w:style w:type="numbering" w:customStyle="1" w:styleId="CurrentList9">
    <w:name w:val="Current List9"/>
    <w:uiPriority w:val="99"/>
    <w:rsid w:val="00192720"/>
    <w:pPr>
      <w:numPr>
        <w:numId w:val="38"/>
      </w:numPr>
    </w:pPr>
  </w:style>
  <w:style w:type="paragraph" w:customStyle="1" w:styleId="AppendixHeading2nohang">
    <w:name w:val="Appendix Heading 2 (no hang)"/>
    <w:basedOn w:val="AppendixHeading2"/>
    <w:next w:val="AppendixHeading2"/>
    <w:qFormat/>
    <w:rsid w:val="00192720"/>
    <w:pPr>
      <w:ind w:left="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71472">
      <w:bodyDiv w:val="1"/>
      <w:marLeft w:val="0"/>
      <w:marRight w:val="0"/>
      <w:marTop w:val="0"/>
      <w:marBottom w:val="0"/>
      <w:divBdr>
        <w:top w:val="none" w:sz="0" w:space="0" w:color="auto"/>
        <w:left w:val="none" w:sz="0" w:space="0" w:color="auto"/>
        <w:bottom w:val="none" w:sz="0" w:space="0" w:color="auto"/>
        <w:right w:val="none" w:sz="0" w:space="0" w:color="auto"/>
      </w:divBdr>
      <w:divsChild>
        <w:div w:id="382369097">
          <w:marLeft w:val="0"/>
          <w:marRight w:val="0"/>
          <w:marTop w:val="240"/>
          <w:marBottom w:val="480"/>
          <w:divBdr>
            <w:top w:val="none" w:sz="0" w:space="0" w:color="auto"/>
            <w:left w:val="none" w:sz="0" w:space="0" w:color="auto"/>
            <w:bottom w:val="none" w:sz="0" w:space="0" w:color="auto"/>
            <w:right w:val="none" w:sz="0" w:space="0" w:color="auto"/>
          </w:divBdr>
          <w:divsChild>
            <w:div w:id="87702876">
              <w:marLeft w:val="0"/>
              <w:marRight w:val="0"/>
              <w:marTop w:val="0"/>
              <w:marBottom w:val="0"/>
              <w:divBdr>
                <w:top w:val="none" w:sz="0" w:space="0" w:color="auto"/>
                <w:left w:val="none" w:sz="0" w:space="0" w:color="auto"/>
                <w:bottom w:val="none" w:sz="0" w:space="0" w:color="auto"/>
                <w:right w:val="none" w:sz="0" w:space="0" w:color="auto"/>
              </w:divBdr>
              <w:divsChild>
                <w:div w:id="112749679">
                  <w:marLeft w:val="0"/>
                  <w:marRight w:val="0"/>
                  <w:marTop w:val="0"/>
                  <w:marBottom w:val="0"/>
                  <w:divBdr>
                    <w:top w:val="none" w:sz="0" w:space="0" w:color="auto"/>
                    <w:left w:val="none" w:sz="0" w:space="0" w:color="auto"/>
                    <w:bottom w:val="none" w:sz="0" w:space="0" w:color="auto"/>
                    <w:right w:val="none" w:sz="0" w:space="0" w:color="auto"/>
                  </w:divBdr>
                  <w:divsChild>
                    <w:div w:id="1983850956">
                      <w:marLeft w:val="0"/>
                      <w:marRight w:val="0"/>
                      <w:marTop w:val="0"/>
                      <w:marBottom w:val="0"/>
                      <w:divBdr>
                        <w:top w:val="none" w:sz="0" w:space="0" w:color="auto"/>
                        <w:left w:val="none" w:sz="0" w:space="0" w:color="auto"/>
                        <w:bottom w:val="none" w:sz="0" w:space="0" w:color="auto"/>
                        <w:right w:val="none" w:sz="0" w:space="0" w:color="auto"/>
                      </w:divBdr>
                      <w:divsChild>
                        <w:div w:id="15825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48325">
      <w:bodyDiv w:val="1"/>
      <w:marLeft w:val="0"/>
      <w:marRight w:val="0"/>
      <w:marTop w:val="0"/>
      <w:marBottom w:val="0"/>
      <w:divBdr>
        <w:top w:val="none" w:sz="0" w:space="0" w:color="auto"/>
        <w:left w:val="none" w:sz="0" w:space="0" w:color="auto"/>
        <w:bottom w:val="none" w:sz="0" w:space="0" w:color="auto"/>
        <w:right w:val="none" w:sz="0" w:space="0" w:color="auto"/>
      </w:divBdr>
      <w:divsChild>
        <w:div w:id="794181293">
          <w:marLeft w:val="0"/>
          <w:marRight w:val="0"/>
          <w:marTop w:val="0"/>
          <w:marBottom w:val="0"/>
          <w:divBdr>
            <w:top w:val="none" w:sz="0" w:space="0" w:color="auto"/>
            <w:left w:val="none" w:sz="0" w:space="0" w:color="auto"/>
            <w:bottom w:val="none" w:sz="0" w:space="0" w:color="auto"/>
            <w:right w:val="none" w:sz="0" w:space="0" w:color="auto"/>
          </w:divBdr>
        </w:div>
      </w:divsChild>
    </w:div>
    <w:div w:id="505362044">
      <w:bodyDiv w:val="1"/>
      <w:marLeft w:val="0"/>
      <w:marRight w:val="0"/>
      <w:marTop w:val="0"/>
      <w:marBottom w:val="0"/>
      <w:divBdr>
        <w:top w:val="none" w:sz="0" w:space="0" w:color="auto"/>
        <w:left w:val="none" w:sz="0" w:space="0" w:color="auto"/>
        <w:bottom w:val="none" w:sz="0" w:space="0" w:color="auto"/>
        <w:right w:val="none" w:sz="0" w:space="0" w:color="auto"/>
      </w:divBdr>
    </w:div>
    <w:div w:id="1152867776">
      <w:bodyDiv w:val="1"/>
      <w:marLeft w:val="0"/>
      <w:marRight w:val="0"/>
      <w:marTop w:val="0"/>
      <w:marBottom w:val="0"/>
      <w:divBdr>
        <w:top w:val="none" w:sz="0" w:space="0" w:color="auto"/>
        <w:left w:val="none" w:sz="0" w:space="0" w:color="auto"/>
        <w:bottom w:val="none" w:sz="0" w:space="0" w:color="auto"/>
        <w:right w:val="none" w:sz="0" w:space="0" w:color="auto"/>
      </w:divBdr>
    </w:div>
    <w:div w:id="1271359554">
      <w:bodyDiv w:val="1"/>
      <w:marLeft w:val="0"/>
      <w:marRight w:val="0"/>
      <w:marTop w:val="0"/>
      <w:marBottom w:val="0"/>
      <w:divBdr>
        <w:top w:val="none" w:sz="0" w:space="0" w:color="auto"/>
        <w:left w:val="none" w:sz="0" w:space="0" w:color="auto"/>
        <w:bottom w:val="none" w:sz="0" w:space="0" w:color="auto"/>
        <w:right w:val="none" w:sz="0" w:space="0" w:color="auto"/>
      </w:divBdr>
    </w:div>
    <w:div w:id="1350136222">
      <w:bodyDiv w:val="1"/>
      <w:marLeft w:val="0"/>
      <w:marRight w:val="0"/>
      <w:marTop w:val="0"/>
      <w:marBottom w:val="0"/>
      <w:divBdr>
        <w:top w:val="none" w:sz="0" w:space="0" w:color="auto"/>
        <w:left w:val="none" w:sz="0" w:space="0" w:color="auto"/>
        <w:bottom w:val="none" w:sz="0" w:space="0" w:color="auto"/>
        <w:right w:val="none" w:sz="0" w:space="0" w:color="auto"/>
      </w:divBdr>
    </w:div>
    <w:div w:id="1673139811">
      <w:bodyDiv w:val="1"/>
      <w:marLeft w:val="0"/>
      <w:marRight w:val="0"/>
      <w:marTop w:val="0"/>
      <w:marBottom w:val="0"/>
      <w:divBdr>
        <w:top w:val="none" w:sz="0" w:space="0" w:color="auto"/>
        <w:left w:val="none" w:sz="0" w:space="0" w:color="auto"/>
        <w:bottom w:val="none" w:sz="0" w:space="0" w:color="auto"/>
        <w:right w:val="none" w:sz="0" w:space="0" w:color="auto"/>
      </w:divBdr>
      <w:divsChild>
        <w:div w:id="857963251">
          <w:marLeft w:val="0"/>
          <w:marRight w:val="0"/>
          <w:marTop w:val="0"/>
          <w:marBottom w:val="0"/>
          <w:divBdr>
            <w:top w:val="none" w:sz="0" w:space="0" w:color="auto"/>
            <w:left w:val="none" w:sz="0" w:space="0" w:color="auto"/>
            <w:bottom w:val="none" w:sz="0" w:space="0" w:color="auto"/>
            <w:right w:val="none" w:sz="0" w:space="0" w:color="auto"/>
          </w:divBdr>
        </w:div>
      </w:divsChild>
    </w:div>
    <w:div w:id="1684285108">
      <w:bodyDiv w:val="1"/>
      <w:marLeft w:val="0"/>
      <w:marRight w:val="0"/>
      <w:marTop w:val="0"/>
      <w:marBottom w:val="0"/>
      <w:divBdr>
        <w:top w:val="none" w:sz="0" w:space="0" w:color="auto"/>
        <w:left w:val="none" w:sz="0" w:space="0" w:color="auto"/>
        <w:bottom w:val="none" w:sz="0" w:space="0" w:color="auto"/>
        <w:right w:val="none" w:sz="0" w:space="0" w:color="auto"/>
      </w:divBdr>
    </w:div>
    <w:div w:id="1794522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7.jpg"/><Relationship Id="rId39" Type="http://schemas.openxmlformats.org/officeDocument/2006/relationships/hyperlink" Target="https://developer.digitalhealth.gov.au/resources/services/healthcare-identifiers-service-hi" TargetMode="External"/><Relationship Id="rId21" Type="http://schemas.openxmlformats.org/officeDocument/2006/relationships/hyperlink" Target="https://www.safetyandquality.gov.au/publications-and-resources/resource-library/australian-framework-national-clinical-quality-registries-2024" TargetMode="External"/><Relationship Id="rId34" Type="http://schemas.openxmlformats.org/officeDocument/2006/relationships/footer" Target="footer4.xml"/><Relationship Id="rId42" Type="http://schemas.openxmlformats.org/officeDocument/2006/relationships/hyperlink" Target="https://www.oasis-open.org/standards/" TargetMode="External"/><Relationship Id="rId47" Type="http://schemas.openxmlformats.org/officeDocument/2006/relationships/hyperlink" Target="https://meteor.aihw.gov.au/content/index.phtml/itemId/270393" TargetMode="External"/><Relationship Id="rId50" Type="http://schemas.openxmlformats.org/officeDocument/2006/relationships/hyperlink" Target="https://meteor.aihw.gov.au/content/index.phtml/itemId/433356" TargetMode="External"/><Relationship Id="rId55" Type="http://schemas.openxmlformats.org/officeDocument/2006/relationships/hyperlink" Target="https://meteor.aihw.gov.au/content/index.phtml/itemId/287305" TargetMode="External"/><Relationship Id="rId63" Type="http://schemas.openxmlformats.org/officeDocument/2006/relationships/hyperlink" Target="https://meteor.aihw.gov.au/content/index.phtml/itemId/288917" TargetMode="External"/><Relationship Id="rId68" Type="http://schemas.openxmlformats.org/officeDocument/2006/relationships/hyperlink" Target="https://meteor.aihw.gov.au/content/276533" TargetMode="External"/><Relationship Id="rId76" Type="http://schemas.openxmlformats.org/officeDocument/2006/relationships/hyperlink" Target="http://meteor.aihw.gov.au/content/index.phtml/itemId/370931" TargetMode="External"/><Relationship Id="rId84" Type="http://schemas.openxmlformats.org/officeDocument/2006/relationships/footer" Target="footer7.xml"/><Relationship Id="rId89" Type="http://schemas.openxmlformats.org/officeDocument/2006/relationships/header" Target="header9.xml"/><Relationship Id="rId7" Type="http://schemas.openxmlformats.org/officeDocument/2006/relationships/settings" Target="settings.xml"/><Relationship Id="rId71" Type="http://schemas.openxmlformats.org/officeDocument/2006/relationships/hyperlink" Target="https://developer.digitalhealth.gov.au/resources/services/national-clinical-terminology-service-ncts" TargetMode="External"/><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safetyandquality.gov.au" TargetMode="External"/><Relationship Id="rId29" Type="http://schemas.openxmlformats.org/officeDocument/2006/relationships/header" Target="header3.xml"/><Relationship Id="rId11" Type="http://schemas.openxmlformats.org/officeDocument/2006/relationships/image" Target="media/image1.jpg"/><Relationship Id="rId24" Type="http://schemas.openxmlformats.org/officeDocument/2006/relationships/image" Target="media/image5.jpg"/><Relationship Id="rId32" Type="http://schemas.openxmlformats.org/officeDocument/2006/relationships/footer" Target="footer3.xml"/><Relationship Id="rId37" Type="http://schemas.openxmlformats.org/officeDocument/2006/relationships/image" Target="media/image12.jpg"/><Relationship Id="rId40" Type="http://schemas.openxmlformats.org/officeDocument/2006/relationships/hyperlink" Target="https://developer.digitalhealth.gov.au/resources/national-ehealth-security-and-access-framework-v4-0" TargetMode="External"/><Relationship Id="rId45" Type="http://schemas.openxmlformats.org/officeDocument/2006/relationships/hyperlink" Target="https://developer.digitalhealth.gov.au/resources/topics/secure-development-practices" TargetMode="External"/><Relationship Id="rId53" Type="http://schemas.openxmlformats.org/officeDocument/2006/relationships/hyperlink" Target="https://meteor.aihw.gov.au/content/370943" TargetMode="External"/><Relationship Id="rId58" Type="http://schemas.openxmlformats.org/officeDocument/2006/relationships/hyperlink" Target="https://meteor.aihw.gov.au/content/index.phtml/itemId/287316" TargetMode="External"/><Relationship Id="rId66" Type="http://schemas.openxmlformats.org/officeDocument/2006/relationships/hyperlink" Target="https://meteor.aihw.gov.au/content/237561" TargetMode="External"/><Relationship Id="rId74" Type="http://schemas.openxmlformats.org/officeDocument/2006/relationships/hyperlink" Target="https://www.safetyandquality.gov.au/sites/default/files/migrated/measurement-for-Improvement-toolkit-b.pdf" TargetMode="External"/><Relationship Id="rId79" Type="http://schemas.openxmlformats.org/officeDocument/2006/relationships/header" Target="header6.xml"/><Relationship Id="rId87" Type="http://schemas.openxmlformats.org/officeDocument/2006/relationships/hyperlink" Target="http://www.safetyandquality.gov.au/" TargetMode="External"/><Relationship Id="rId5" Type="http://schemas.openxmlformats.org/officeDocument/2006/relationships/numbering" Target="numbering.xml"/><Relationship Id="rId61" Type="http://schemas.openxmlformats.org/officeDocument/2006/relationships/hyperlink" Target="https://meteor.aihw.gov.au/content/index.phtml/itemId/287035" TargetMode="External"/><Relationship Id="rId82" Type="http://schemas.openxmlformats.org/officeDocument/2006/relationships/footer" Target="footer6.xml"/><Relationship Id="rId90" Type="http://schemas.openxmlformats.org/officeDocument/2006/relationships/footer" Target="footer9.xml"/><Relationship Id="rId19" Type="http://schemas.openxmlformats.org/officeDocument/2006/relationships/hyperlink" Target="mailto:communications@safetyandquality.gov.au?subject=Enquiry" TargetMode="External"/><Relationship Id="rId14" Type="http://schemas.openxmlformats.org/officeDocument/2006/relationships/footer" Target="footer1.xml"/><Relationship Id="rId22" Type="http://schemas.openxmlformats.org/officeDocument/2006/relationships/hyperlink" Target="https://www.digitalhealth.gov.au/about-us/strategies-and-plans/national-healthcare-interoperability-plan" TargetMode="External"/><Relationship Id="rId27" Type="http://schemas.openxmlformats.org/officeDocument/2006/relationships/image" Target="media/image8.jpg"/><Relationship Id="rId30" Type="http://schemas.openxmlformats.org/officeDocument/2006/relationships/header" Target="header4.xml"/><Relationship Id="rId35" Type="http://schemas.openxmlformats.org/officeDocument/2006/relationships/image" Target="media/image10.jpg"/><Relationship Id="rId43" Type="http://schemas.openxmlformats.org/officeDocument/2006/relationships/hyperlink" Target="https://www.oasis-open.org/standards/" TargetMode="External"/><Relationship Id="rId48" Type="http://schemas.openxmlformats.org/officeDocument/2006/relationships/hyperlink" Target="https://meteor.aihw.gov.au/content/index.phtml/itemId/268959" TargetMode="External"/><Relationship Id="rId56" Type="http://schemas.openxmlformats.org/officeDocument/2006/relationships/hyperlink" Target="https://meteor.aihw.gov.au/content/index.phtml/itemId/291036" TargetMode="External"/><Relationship Id="rId64" Type="http://schemas.openxmlformats.org/officeDocument/2006/relationships/hyperlink" Target="%20http://meteor.aihw.gov.au/content/index.phtml/itemId/181162%20" TargetMode="External"/><Relationship Id="rId69" Type="http://schemas.openxmlformats.org/officeDocument/2006/relationships/hyperlink" Target="https://www.safetyandquality.gov.au/standards/clinical-care-standards" TargetMode="External"/><Relationship Id="rId77" Type="http://schemas.openxmlformats.org/officeDocument/2006/relationships/hyperlink" Target="https://meteor.aihw.gov.au/content/370931" TargetMode="External"/><Relationship Id="rId8" Type="http://schemas.openxmlformats.org/officeDocument/2006/relationships/webSettings" Target="webSettings.xml"/><Relationship Id="rId51" Type="http://schemas.openxmlformats.org/officeDocument/2006/relationships/hyperlink" Target="https://meteor.aihw.gov.au/content/268955" TargetMode="External"/><Relationship Id="rId72" Type="http://schemas.openxmlformats.org/officeDocument/2006/relationships/hyperlink" Target="https://developer.digitalhealth.gov.au/resources/services/national-clinical-terminology-service-ncts" TargetMode="External"/><Relationship Id="rId80" Type="http://schemas.openxmlformats.org/officeDocument/2006/relationships/header" Target="header7.xml"/><Relationship Id="rId85" Type="http://schemas.openxmlformats.org/officeDocument/2006/relationships/image" Target="media/image13.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creativecommons.org/licenses/by-nc-nd/4.0/" TargetMode="External"/><Relationship Id="rId25" Type="http://schemas.openxmlformats.org/officeDocument/2006/relationships/image" Target="media/image6.jpg"/><Relationship Id="rId33" Type="http://schemas.openxmlformats.org/officeDocument/2006/relationships/header" Target="header5.xml"/><Relationship Id="rId38" Type="http://schemas.openxmlformats.org/officeDocument/2006/relationships/hyperlink" Target="https://developer.digitalhealth.gov.au/initiatives/interoperability-and-digital-health-standards" TargetMode="External"/><Relationship Id="rId46" Type="http://schemas.openxmlformats.org/officeDocument/2006/relationships/hyperlink" Target="https://meteor.aihw.gov.au/content/index.phtml/itemId/268979" TargetMode="External"/><Relationship Id="rId59" Type="http://schemas.openxmlformats.org/officeDocument/2006/relationships/hyperlink" Target="https://meteor.aihw.gov.au/content/index.phtml/itemId/287224" TargetMode="External"/><Relationship Id="rId67" Type="http://schemas.openxmlformats.org/officeDocument/2006/relationships/hyperlink" Target="About%20metadata%20standards.%20Canberra:%20AIHW.%20" TargetMode="External"/><Relationship Id="rId20" Type="http://schemas.openxmlformats.org/officeDocument/2006/relationships/hyperlink" Target="https://www.safetyandquality.gov.au/publications-and-resources/resource-library/australian-framework-national-clinical-quality-registries-2024" TargetMode="External"/><Relationship Id="rId41" Type="http://schemas.openxmlformats.org/officeDocument/2006/relationships/hyperlink" Target="https://developer.digitalhealth.gov.au/resources/services/national-authentication-nash" TargetMode="External"/><Relationship Id="rId54" Type="http://schemas.openxmlformats.org/officeDocument/2006/relationships/hyperlink" Target="https://meteor.aihw.gov.au/content/index.phtml/itemId/287007" TargetMode="External"/><Relationship Id="rId62" Type="http://schemas.openxmlformats.org/officeDocument/2006/relationships/hyperlink" Target="https://meteor.aihw.gov.au/content/index.phtml/itemId/269022" TargetMode="External"/><Relationship Id="rId70" Type="http://schemas.openxmlformats.org/officeDocument/2006/relationships/hyperlink" Target="https://www.health.gov.au/topics/health-technologies-and-digital-health/about/healthcare-identifiers" TargetMode="External"/><Relationship Id="rId75" Type="http://schemas.openxmlformats.org/officeDocument/2006/relationships/hyperlink" Target="https://www.safetyandquality.gov.au/standards/nsqhs-standards/clinical-governance/clinical-governance-standard" TargetMode="External"/><Relationship Id="rId83" Type="http://schemas.openxmlformats.org/officeDocument/2006/relationships/header" Target="header8.xml"/><Relationship Id="rId88" Type="http://schemas.openxmlformats.org/officeDocument/2006/relationships/footer" Target="footer8.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mail@safetyandquality.gov.au" TargetMode="Externa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1.jpg"/><Relationship Id="rId49" Type="http://schemas.openxmlformats.org/officeDocument/2006/relationships/hyperlink" Target="https://meteor.aihw.gov.au/content/index.phtml/itemId/270544" TargetMode="External"/><Relationship Id="rId57" Type="http://schemas.openxmlformats.org/officeDocument/2006/relationships/hyperlink" Target="https://meteor.aihw.gov.au/content/index.phtml/itemId/290046" TargetMode="External"/><Relationship Id="rId10" Type="http://schemas.openxmlformats.org/officeDocument/2006/relationships/endnotes" Target="endnotes.xml"/><Relationship Id="rId31" Type="http://schemas.openxmlformats.org/officeDocument/2006/relationships/footer" Target="footer2.xml"/><Relationship Id="rId44" Type="http://schemas.openxmlformats.org/officeDocument/2006/relationships/hyperlink" Target="https://openid.net/" TargetMode="External"/><Relationship Id="rId52" Type="http://schemas.openxmlformats.org/officeDocument/2006/relationships/hyperlink" Target="https://meteor.aihw.gov.au/content/index.phtml/itemId/303794" TargetMode="External"/><Relationship Id="rId60" Type="http://schemas.openxmlformats.org/officeDocument/2006/relationships/hyperlink" Target="https://meteor.aihw.gov.au/content/index.phtml/itemId/286953" TargetMode="External"/><Relationship Id="rId65" Type="http://schemas.openxmlformats.org/officeDocument/2006/relationships/hyperlink" Target="https://d.docs.live.net/f5d580ad9f0c6419/Documents/Data%20set%20specification%20(DSS)." TargetMode="External"/><Relationship Id="rId73" Type="http://schemas.openxmlformats.org/officeDocument/2006/relationships/hyperlink" Target="https://d.docs.live.net/f5d580ad9f0c6419/Documents/National%20Product%20Catalogue." TargetMode="External"/><Relationship Id="rId78" Type="http://schemas.openxmlformats.org/officeDocument/2006/relationships/hyperlink" Target="https://www.abs.gov.au/statistics/statistical-geography/australian-statistical-geography-standard-asgs" TargetMode="External"/><Relationship Id="rId81" Type="http://schemas.openxmlformats.org/officeDocument/2006/relationships/footer" Target="footer5.xml"/><Relationship Id="rId86" Type="http://schemas.openxmlformats.org/officeDocument/2006/relationships/hyperlink" Target="mailto:mail@safetyandquality.gov.au"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pen Disclosure">
      <a:dk1>
        <a:srgbClr val="000000"/>
      </a:dk1>
      <a:lt1>
        <a:srgbClr val="FFFFFF"/>
      </a:lt1>
      <a:dk2>
        <a:srgbClr val="005370"/>
      </a:dk2>
      <a:lt2>
        <a:srgbClr val="1178A0"/>
      </a:lt2>
      <a:accent1>
        <a:srgbClr val="00A7E5"/>
      </a:accent1>
      <a:accent2>
        <a:srgbClr val="E6F1F8"/>
      </a:accent2>
      <a:accent3>
        <a:srgbClr val="0065A3"/>
      </a:accent3>
      <a:accent4>
        <a:srgbClr val="00B2CB"/>
      </a:accent4>
      <a:accent5>
        <a:srgbClr val="00B28E"/>
      </a:accent5>
      <a:accent6>
        <a:srgbClr val="E1241A"/>
      </a:accent6>
      <a:hlink>
        <a:srgbClr val="1178A2"/>
      </a:hlink>
      <a:folHlink>
        <a:srgbClr val="1178A1"/>
      </a:folHlink>
    </a:clrScheme>
    <a:fontScheme name="Commissi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498f89d-1eae-456b-90f1-fc78c5fe8b2a" xsi:nil="true"/>
    <lcf76f155ced4ddcb4097134ff3c332f xmlns="ac66711c-8613-4dde-a928-6bd510ab7da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8743DCC77DB274DB22D4DDF53FCBF5F" ma:contentTypeVersion="18" ma:contentTypeDescription="Create a new document." ma:contentTypeScope="" ma:versionID="f2315991d8f1da9559351f72d0e0457d">
  <xsd:schema xmlns:xsd="http://www.w3.org/2001/XMLSchema" xmlns:xs="http://www.w3.org/2001/XMLSchema" xmlns:p="http://schemas.microsoft.com/office/2006/metadata/properties" xmlns:ns2="4498f89d-1eae-456b-90f1-fc78c5fe8b2a" xmlns:ns3="ac66711c-8613-4dde-a928-6bd510ab7da4" targetNamespace="http://schemas.microsoft.com/office/2006/metadata/properties" ma:root="true" ma:fieldsID="9a763c1932d058a543df9faa9858a109" ns2:_="" ns3:_="">
    <xsd:import namespace="4498f89d-1eae-456b-90f1-fc78c5fe8b2a"/>
    <xsd:import namespace="ac66711c-8613-4dde-a928-6bd510ab7da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Loca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8f89d-1eae-456b-90f1-fc78c5fe8b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3bf5309-f60c-4adc-92cd-c2ac96d59903}" ma:internalName="TaxCatchAll" ma:showField="CatchAllData" ma:web="4498f89d-1eae-456b-90f1-fc78c5fe8b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c66711c-8613-4dde-a928-6bd510ab7da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10993F-C032-4EB5-B966-AAD7DBE5B118}">
  <ds:schemaRefs>
    <ds:schemaRef ds:uri="http://schemas.microsoft.com/office/2006/metadata/properties"/>
    <ds:schemaRef ds:uri="http://schemas.microsoft.com/office/infopath/2007/PartnerControls"/>
    <ds:schemaRef ds:uri="4498f89d-1eae-456b-90f1-fc78c5fe8b2a"/>
    <ds:schemaRef ds:uri="ac66711c-8613-4dde-a928-6bd510ab7da4"/>
  </ds:schemaRefs>
</ds:datastoreItem>
</file>

<file path=customXml/itemProps2.xml><?xml version="1.0" encoding="utf-8"?>
<ds:datastoreItem xmlns:ds="http://schemas.openxmlformats.org/officeDocument/2006/customXml" ds:itemID="{6254ED53-EB4B-49A4-AD2E-696576FC5B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8f89d-1eae-456b-90f1-fc78c5fe8b2a"/>
    <ds:schemaRef ds:uri="ac66711c-8613-4dde-a928-6bd510ab7d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D016665-7C5A-3347-B9F9-71760F4CFFCD}">
  <ds:schemaRefs>
    <ds:schemaRef ds:uri="http://schemas.openxmlformats.org/officeDocument/2006/bibliography"/>
  </ds:schemaRefs>
</ds:datastoreItem>
</file>

<file path=customXml/itemProps4.xml><?xml version="1.0" encoding="utf-8"?>
<ds:datastoreItem xmlns:ds="http://schemas.openxmlformats.org/officeDocument/2006/customXml" ds:itemID="{10E1C3D3-2B3A-4E54-8A75-513EA6A431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89</Pages>
  <Words>25105</Words>
  <Characters>143104</Characters>
  <Application>Microsoft Office Word</Application>
  <DocSecurity>0</DocSecurity>
  <Lines>1192</Lines>
  <Paragraphs>335</Paragraphs>
  <ScaleCrop>false</ScaleCrop>
  <HeadingPairs>
    <vt:vector size="2" baseType="variant">
      <vt:variant>
        <vt:lpstr>Title</vt:lpstr>
      </vt:variant>
      <vt:variant>
        <vt:i4>1</vt:i4>
      </vt:variant>
    </vt:vector>
  </HeadingPairs>
  <TitlesOfParts>
    <vt:vector size="1" baseType="lpstr">
      <vt:lpstr/>
    </vt:vector>
  </TitlesOfParts>
  <Manager/>
  <Company>Australian Commission on Safety and Quality in Health Care</Company>
  <LinksUpToDate>false</LinksUpToDate>
  <CharactersWithSpaces>167874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ADAMS, Kass</cp:lastModifiedBy>
  <cp:revision>13</cp:revision>
  <cp:lastPrinted>2020-03-04T03:32:00Z</cp:lastPrinted>
  <dcterms:created xsi:type="dcterms:W3CDTF">2024-08-25T21:30:00Z</dcterms:created>
  <dcterms:modified xsi:type="dcterms:W3CDTF">2024-08-26T02:17:00Z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0x01010028743DCC77DB274DB22D4DDF53FCBF5F</vt:lpwstr>
  </property>
  <property fmtid="{D5CDD505-2E9C-101B-9397-08002B2CF9AE}" pid="3" name="MediaServiceImageTags">
    <vt:lpwstr/>
  </property>
</Properties>
</file>