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0FE981" w14:textId="4423EAB0" w:rsidR="00BC6298" w:rsidRPr="00466C72" w:rsidRDefault="00D07BC5" w:rsidP="00BC6298">
      <w:pPr>
        <w:pStyle w:val="Category"/>
        <w:rPr>
          <w:smallCaps/>
        </w:rPr>
      </w:pPr>
      <w:bookmarkStart w:id="0" w:name="_Toc476822632"/>
      <w:bookmarkStart w:id="1" w:name="_Toc476822653"/>
      <w:r>
        <w:rPr>
          <w:smallCaps/>
        </w:rPr>
        <w:t>FAST</w:t>
      </w:r>
      <w:r w:rsidR="00BC6298">
        <w:rPr>
          <w:smallCaps/>
        </w:rPr>
        <w:t xml:space="preserve"> </w:t>
      </w:r>
      <w:r>
        <w:rPr>
          <w:smallCaps/>
        </w:rPr>
        <w:t>FACTS</w:t>
      </w:r>
      <w:r w:rsidR="00BC6298" w:rsidRPr="00466C72">
        <w:rPr>
          <w:smallCaps/>
        </w:rPr>
        <w:t xml:space="preserve"> </w:t>
      </w:r>
    </w:p>
    <w:p w14:paraId="6948469B" w14:textId="324C4793" w:rsidR="00BC6298" w:rsidRPr="00BC6298" w:rsidRDefault="00BC6298" w:rsidP="00500FFF">
      <w:pPr>
        <w:pStyle w:val="Category"/>
        <w:ind w:left="5103"/>
        <w:rPr>
          <w:b w:val="0"/>
          <w:bCs/>
        </w:rPr>
      </w:pPr>
      <w:r w:rsidRPr="00FE44FA">
        <w:rPr>
          <w:b w:val="0"/>
          <w:lang w:val="en-GB"/>
        </w:rPr>
        <w:t xml:space="preserve">for </w:t>
      </w:r>
      <w:r w:rsidR="00D07BC5">
        <w:rPr>
          <w:b w:val="0"/>
          <w:lang w:val="en-GB"/>
        </w:rPr>
        <w:t>CQR operators,</w:t>
      </w:r>
      <w:r w:rsidRPr="00FE44FA">
        <w:rPr>
          <w:b w:val="0"/>
          <w:lang w:val="en-GB"/>
        </w:rPr>
        <w:t xml:space="preserve"> </w:t>
      </w:r>
      <w:r w:rsidR="00D07BC5">
        <w:rPr>
          <w:b w:val="0"/>
          <w:lang w:val="en-GB"/>
        </w:rPr>
        <w:t>clinicians,</w:t>
      </w:r>
      <w:r>
        <w:rPr>
          <w:b w:val="0"/>
          <w:lang w:val="en-GB"/>
        </w:rPr>
        <w:t xml:space="preserve"> </w:t>
      </w:r>
      <w:r w:rsidR="00D07BC5">
        <w:rPr>
          <w:b w:val="0"/>
          <w:bCs/>
          <w:lang w:val="en-GB"/>
        </w:rPr>
        <w:t>health</w:t>
      </w:r>
      <w:r w:rsidRPr="00FE44FA">
        <w:rPr>
          <w:b w:val="0"/>
          <w:bCs/>
          <w:lang w:val="en-GB"/>
        </w:rPr>
        <w:t xml:space="preserve"> </w:t>
      </w:r>
      <w:r w:rsidR="00D07BC5">
        <w:rPr>
          <w:b w:val="0"/>
          <w:bCs/>
          <w:lang w:val="en-GB"/>
        </w:rPr>
        <w:t>services</w:t>
      </w:r>
      <w:r w:rsidRPr="00FE44FA">
        <w:rPr>
          <w:b w:val="0"/>
          <w:bCs/>
          <w:lang w:val="en-GB"/>
        </w:rPr>
        <w:t xml:space="preserve"> </w:t>
      </w:r>
      <w:r w:rsidR="00D07BC5">
        <w:rPr>
          <w:b w:val="0"/>
          <w:bCs/>
          <w:lang w:val="en-GB"/>
        </w:rPr>
        <w:t>and other</w:t>
      </w:r>
      <w:r w:rsidRPr="00FE44FA">
        <w:rPr>
          <w:b w:val="0"/>
          <w:bCs/>
          <w:lang w:val="en-GB"/>
        </w:rPr>
        <w:t xml:space="preserve"> </w:t>
      </w:r>
      <w:r w:rsidR="00D07BC5">
        <w:rPr>
          <w:b w:val="0"/>
          <w:bCs/>
        </w:rPr>
        <w:t>stakeholders</w:t>
      </w:r>
      <w:r w:rsidRPr="00466C72">
        <w:rPr>
          <w:b w:val="0"/>
          <w:bCs/>
        </w:rPr>
        <w:t xml:space="preserve"> </w:t>
      </w:r>
      <w:bookmarkEnd w:id="0"/>
      <w:bookmarkEnd w:id="1"/>
    </w:p>
    <w:p w14:paraId="702D2863" w14:textId="77777777" w:rsidR="00BC6298" w:rsidRPr="005F2C28" w:rsidRDefault="00BC6298" w:rsidP="00BC6298">
      <w:pPr>
        <w:pStyle w:val="Title"/>
      </w:pPr>
      <w:r w:rsidRPr="005F2C28">
        <w:t xml:space="preserve">Australian Framework for </w:t>
      </w:r>
    </w:p>
    <w:p w14:paraId="0C809AD5" w14:textId="77777777" w:rsidR="00BC6298" w:rsidRDefault="00BC6298" w:rsidP="00BC6298">
      <w:pPr>
        <w:pStyle w:val="Title"/>
        <w:rPr>
          <w:i/>
          <w:sz w:val="28"/>
          <w:szCs w:val="28"/>
        </w:rPr>
      </w:pPr>
      <w:r w:rsidRPr="005F2C28">
        <w:t>National Clinical Quality Registries 2024</w:t>
      </w:r>
      <w:r>
        <w:rPr>
          <w:i/>
          <w:sz w:val="28"/>
          <w:szCs w:val="28"/>
        </w:rPr>
        <w:t xml:space="preserve"> </w:t>
      </w:r>
    </w:p>
    <w:p w14:paraId="76D27B8A" w14:textId="77777777" w:rsidR="00BC2684" w:rsidRPr="00D46F78" w:rsidRDefault="00BC2684" w:rsidP="00BC6298">
      <w:pPr>
        <w:rPr>
          <w:color w:val="000000" w:themeColor="text1"/>
        </w:rPr>
      </w:pPr>
    </w:p>
    <w:p w14:paraId="22AB60B8" w14:textId="77777777" w:rsidR="00AE5001" w:rsidRDefault="00AE5001" w:rsidP="00BC6298">
      <w:pPr>
        <w:pStyle w:val="PulloutTextBody"/>
        <w:sectPr w:rsidR="00AE5001" w:rsidSect="00341A91">
          <w:headerReference w:type="even" r:id="rId11"/>
          <w:headerReference w:type="default" r:id="rId12"/>
          <w:footerReference w:type="even" r:id="rId13"/>
          <w:footerReference w:type="default" r:id="rId14"/>
          <w:headerReference w:type="first" r:id="rId15"/>
          <w:type w:val="continuous"/>
          <w:pgSz w:w="11906" w:h="16838"/>
          <w:pgMar w:top="2126" w:right="1134" w:bottom="1418" w:left="1134" w:header="709" w:footer="709" w:gutter="0"/>
          <w:cols w:space="720"/>
          <w:titlePg/>
          <w:docGrid w:linePitch="299"/>
        </w:sectPr>
      </w:pPr>
    </w:p>
    <w:p w14:paraId="2EBB7C39" w14:textId="77777777" w:rsidR="00BC6298" w:rsidRPr="00D46F78" w:rsidRDefault="00BC6298" w:rsidP="00BC6298">
      <w:pPr>
        <w:pStyle w:val="PulloutTextBody"/>
      </w:pPr>
      <w:r w:rsidRPr="00D46F78">
        <w:t>National Clinical Quality Registries (CQRs) make an important contribution to healthcare in Australia by giving clinicians, health service organisations and governments the information they need to keep making healthcare safer and better for everyone.</w:t>
      </w:r>
    </w:p>
    <w:p w14:paraId="49E4216A" w14:textId="77777777" w:rsidR="00AE5001" w:rsidRDefault="00AE5001" w:rsidP="00841F74">
      <w:pPr>
        <w:rPr>
          <w:color w:val="000000" w:themeColor="text1"/>
          <w:lang w:val="en-GB"/>
        </w:rPr>
      </w:pPr>
    </w:p>
    <w:p w14:paraId="7E29D1B8" w14:textId="02CE92D8" w:rsidR="00841F74" w:rsidRPr="00841F74" w:rsidRDefault="00841F74" w:rsidP="00B77175">
      <w:pPr>
        <w:rPr>
          <w:color w:val="000000" w:themeColor="text1"/>
          <w:lang w:val="en-GB"/>
        </w:rPr>
      </w:pPr>
      <w:r w:rsidRPr="00841F74">
        <w:rPr>
          <w:color w:val="000000" w:themeColor="text1"/>
          <w:lang w:val="en-GB"/>
        </w:rPr>
        <w:t>CQRs systematically collect and analyse data from across the health system and provide timely feedback on the safety and quality of care. They aim to report on best-practice and identify issues of concern as they emerge.</w:t>
      </w:r>
    </w:p>
    <w:p w14:paraId="255F82BF" w14:textId="77777777" w:rsidR="00841F74" w:rsidRPr="00841F74" w:rsidRDefault="00841F74" w:rsidP="00B77175">
      <w:pPr>
        <w:rPr>
          <w:color w:val="000000" w:themeColor="text1"/>
          <w:lang w:val="en-GB"/>
        </w:rPr>
      </w:pPr>
      <w:r w:rsidRPr="00841F74">
        <w:rPr>
          <w:color w:val="000000" w:themeColor="text1"/>
          <w:lang w:val="en-GB"/>
        </w:rPr>
        <w:t xml:space="preserve">To be effective, CQRs should have sound arrangements in place for governance, data management and reporting, and they should be able to operate within an increasingly digitally enabled health system. </w:t>
      </w:r>
    </w:p>
    <w:p w14:paraId="48B64315" w14:textId="04EB1939" w:rsidR="00BC6298" w:rsidRDefault="00841F74" w:rsidP="00B77175">
      <w:pPr>
        <w:rPr>
          <w:bCs/>
        </w:rPr>
      </w:pPr>
      <w:r w:rsidRPr="00841F74">
        <w:rPr>
          <w:color w:val="000000" w:themeColor="text1"/>
          <w:lang w:val="en-GB"/>
        </w:rPr>
        <w:t xml:space="preserve">Developed by the Australian Commission on Safety and Quality in Health Care (the Commission), the </w:t>
      </w:r>
      <w:hyperlink r:id="rId16" w:tooltip="Australian Framework for National Clinical Quality Registries 2024 - Australian Commission on Safety and Quality in Health Care" w:history="1">
        <w:r w:rsidRPr="00CA522F">
          <w:rPr>
            <w:rStyle w:val="Hyperlink"/>
            <w:i/>
            <w:iCs/>
            <w:lang w:val="en-GB"/>
          </w:rPr>
          <w:t>Australian Framework for National Clinical Quality Registries 2024</w:t>
        </w:r>
      </w:hyperlink>
      <w:r w:rsidRPr="00841F74">
        <w:rPr>
          <w:color w:val="000000" w:themeColor="text1"/>
          <w:lang w:val="en-GB"/>
        </w:rPr>
        <w:t xml:space="preserve"> (the Framework) aims to help new, developing and well-established CQRs succeed as valuable contributors to a learning health system</w:t>
      </w:r>
      <w:r w:rsidR="00BC6298">
        <w:rPr>
          <w:bCs/>
        </w:rPr>
        <w:t>.</w:t>
      </w:r>
      <w:r w:rsidR="00327E4E">
        <w:rPr>
          <w:bCs/>
        </w:rPr>
        <w:t xml:space="preserve"> </w:t>
      </w:r>
    </w:p>
    <w:tbl>
      <w:tblPr>
        <w:tblStyle w:val="PulloutBox"/>
        <w:tblW w:w="5000" w:type="pct"/>
        <w:tblLook w:val="0020" w:firstRow="1" w:lastRow="0" w:firstColumn="0" w:lastColumn="0" w:noHBand="0" w:noVBand="0"/>
        <w:tblDescription w:val="Box 1"/>
      </w:tblPr>
      <w:tblGrid>
        <w:gridCol w:w="1254"/>
        <w:gridCol w:w="3205"/>
      </w:tblGrid>
      <w:tr w:rsidR="00B77175" w14:paraId="1E40597E" w14:textId="77777777" w:rsidTr="00B77175">
        <w:trPr>
          <w:trHeight w:val="854"/>
        </w:trPr>
        <w:tc>
          <w:tcPr>
            <w:tcW w:w="1406" w:type="pct"/>
          </w:tcPr>
          <w:p w14:paraId="27DADA4F" w14:textId="77777777" w:rsidR="00B77175" w:rsidRPr="00BC6298" w:rsidRDefault="00B77175" w:rsidP="00B06D27">
            <w:pPr>
              <w:rPr>
                <w:b/>
                <w:bCs/>
              </w:rPr>
            </w:pPr>
            <w:r>
              <w:rPr>
                <w:b/>
                <w:bCs/>
                <w:noProof/>
              </w:rPr>
              <w:drawing>
                <wp:inline distT="0" distB="0" distL="0" distR="0" wp14:anchorId="25B5F604" wp14:editId="2F01FE95">
                  <wp:extent cx="435672" cy="615799"/>
                  <wp:effectExtent l="0" t="0" r="0" b="0"/>
                  <wp:docPr id="257128565" name="Picture 1" descr="A blue and white graphic cove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28565" name="Picture 1" descr="A blue and white graphic cover design"/>
                          <pic:cNvPicPr/>
                        </pic:nvPicPr>
                        <pic:blipFill>
                          <a:blip r:embed="rId17"/>
                          <a:stretch>
                            <a:fillRect/>
                          </a:stretch>
                        </pic:blipFill>
                        <pic:spPr>
                          <a:xfrm>
                            <a:off x="0" y="0"/>
                            <a:ext cx="435672" cy="615799"/>
                          </a:xfrm>
                          <a:prstGeom prst="rect">
                            <a:avLst/>
                          </a:prstGeom>
                        </pic:spPr>
                      </pic:pic>
                    </a:graphicData>
                  </a:graphic>
                </wp:inline>
              </w:drawing>
            </w:r>
          </w:p>
        </w:tc>
        <w:tc>
          <w:tcPr>
            <w:tcW w:w="3594" w:type="pct"/>
            <w:tcMar>
              <w:bottom w:w="0" w:type="dxa"/>
            </w:tcMar>
            <w:vAlign w:val="center"/>
          </w:tcPr>
          <w:p w14:paraId="11F5D02F" w14:textId="190A407C" w:rsidR="00B77175" w:rsidRPr="00BC6298" w:rsidRDefault="00000000" w:rsidP="00B06D27">
            <w:pPr>
              <w:rPr>
                <w:b/>
                <w:bCs/>
              </w:rPr>
            </w:pPr>
            <w:hyperlink r:id="rId18" w:tooltip="Australian Framework for National Clinical Quality Registries 2024 - Australian Commission on Safety and Quality in Health Care" w:history="1">
              <w:r w:rsidR="00B77175" w:rsidRPr="00CA522F">
                <w:rPr>
                  <w:rStyle w:val="Hyperlink"/>
                  <w:b/>
                  <w:bCs/>
                </w:rPr>
                <w:t xml:space="preserve">View or download the </w:t>
              </w:r>
              <w:r w:rsidR="00B77175" w:rsidRPr="00CA522F">
                <w:rPr>
                  <w:rStyle w:val="Hyperlink"/>
                  <w:b/>
                  <w:bCs/>
                  <w:i/>
                  <w:iCs/>
                </w:rPr>
                <w:t xml:space="preserve">Australian Framework for National Clinical Quality Registries </w:t>
              </w:r>
              <w:r w:rsidR="00BB2E41" w:rsidRPr="00CA522F">
                <w:rPr>
                  <w:rStyle w:val="Hyperlink"/>
                  <w:b/>
                  <w:bCs/>
                  <w:i/>
                  <w:iCs/>
                </w:rPr>
                <w:t>2024</w:t>
              </w:r>
              <w:r w:rsidR="00BB2E41" w:rsidRPr="00CA522F">
                <w:rPr>
                  <w:rStyle w:val="Hyperlink"/>
                  <w:b/>
                  <w:bCs/>
                </w:rPr>
                <w:t>.</w:t>
              </w:r>
            </w:hyperlink>
            <w:r w:rsidR="00B77175">
              <w:rPr>
                <w:b/>
                <w:bCs/>
              </w:rPr>
              <w:t xml:space="preserve"> </w:t>
            </w:r>
          </w:p>
        </w:tc>
      </w:tr>
      <w:tr w:rsidR="00A2438F" w14:paraId="759B48DA" w14:textId="77777777" w:rsidTr="00316534">
        <w:trPr>
          <w:trHeight w:val="60"/>
        </w:trPr>
        <w:tc>
          <w:tcPr>
            <w:tcW w:w="5000" w:type="pct"/>
            <w:gridSpan w:val="2"/>
            <w:tcMar>
              <w:bottom w:w="0" w:type="dxa"/>
            </w:tcMar>
          </w:tcPr>
          <w:p w14:paraId="62A52C24" w14:textId="2654AB11" w:rsidR="00A2438F" w:rsidRDefault="00A2438F" w:rsidP="00A2438F">
            <w:pPr>
              <w:pStyle w:val="PulloutBoxHeading"/>
            </w:pPr>
            <w:r w:rsidRPr="00D46F78">
              <w:t xml:space="preserve">What’s new about the </w:t>
            </w:r>
            <w:r w:rsidR="00B95803">
              <w:t>F</w:t>
            </w:r>
            <w:r w:rsidRPr="00D46F78">
              <w:t>ramework?</w:t>
            </w:r>
          </w:p>
        </w:tc>
      </w:tr>
      <w:tr w:rsidR="00A2438F" w14:paraId="0E5CB12A" w14:textId="77777777" w:rsidTr="00316534">
        <w:trPr>
          <w:trHeight w:val="60"/>
        </w:trPr>
        <w:tc>
          <w:tcPr>
            <w:tcW w:w="5000" w:type="pct"/>
            <w:gridSpan w:val="2"/>
            <w:tcMar>
              <w:top w:w="0" w:type="dxa"/>
            </w:tcMar>
          </w:tcPr>
          <w:p w14:paraId="509C41E9" w14:textId="5F624029" w:rsidR="00A2438F" w:rsidRPr="00BC6298" w:rsidRDefault="00A2438F" w:rsidP="00A2438F">
            <w:pPr>
              <w:pStyle w:val="TicksLists"/>
            </w:pPr>
            <w:r w:rsidRPr="00BC6298">
              <w:t xml:space="preserve">The </w:t>
            </w:r>
            <w:r w:rsidRPr="00886FEA">
              <w:rPr>
                <w:i/>
                <w:iCs/>
              </w:rPr>
              <w:t>Australian Framework for National Clinical Quality Registries 2024</w:t>
            </w:r>
            <w:r w:rsidRPr="00BC6298">
              <w:t xml:space="preserve"> (the Framework) is an update to the </w:t>
            </w:r>
            <w:r w:rsidRPr="00886FEA">
              <w:rPr>
                <w:i/>
                <w:iCs/>
              </w:rPr>
              <w:t>Framework for Australian Clinical Quality Registries 2014</w:t>
            </w:r>
            <w:r w:rsidRPr="00BC6298">
              <w:t>.</w:t>
            </w:r>
            <w:r w:rsidR="00327E4E">
              <w:t xml:space="preserve"> </w:t>
            </w:r>
          </w:p>
          <w:p w14:paraId="15996575" w14:textId="4366F217" w:rsidR="00A2438F" w:rsidRPr="00BC6298" w:rsidRDefault="00A2438F" w:rsidP="00A2438F">
            <w:pPr>
              <w:pStyle w:val="TicksLists"/>
            </w:pPr>
            <w:r w:rsidRPr="00BC6298">
              <w:t xml:space="preserve">It is a principles-based document that aims to help CQRs deliver meaningful feedback to clinicians, health service organisations and governments. It contains </w:t>
            </w:r>
            <w:r w:rsidRPr="00886FEA">
              <w:rPr>
                <w:i/>
                <w:iCs/>
              </w:rPr>
              <w:t>Strategic Principles</w:t>
            </w:r>
            <w:r w:rsidRPr="00BC6298">
              <w:t xml:space="preserve">, </w:t>
            </w:r>
            <w:r w:rsidRPr="00886FEA">
              <w:rPr>
                <w:i/>
                <w:iCs/>
              </w:rPr>
              <w:t>Operating Principles</w:t>
            </w:r>
            <w:r w:rsidRPr="00BC6298">
              <w:t xml:space="preserve"> and a new </w:t>
            </w:r>
            <w:r w:rsidRPr="00886FEA">
              <w:rPr>
                <w:i/>
                <w:iCs/>
              </w:rPr>
              <w:t>Quality Standard for CQRs</w:t>
            </w:r>
            <w:r w:rsidRPr="00BC6298">
              <w:t>.</w:t>
            </w:r>
            <w:r w:rsidR="00327E4E">
              <w:t xml:space="preserve"> </w:t>
            </w:r>
          </w:p>
          <w:p w14:paraId="38D5FCDD" w14:textId="62237795" w:rsidR="00A2438F" w:rsidRPr="00BC6298" w:rsidRDefault="00A2711B" w:rsidP="00A2438F">
            <w:pPr>
              <w:pStyle w:val="TicksLists"/>
            </w:pPr>
            <w:r>
              <w:t>It</w:t>
            </w:r>
            <w:r w:rsidR="00A2438F" w:rsidRPr="00BC6298">
              <w:t xml:space="preserve"> emphasises the role CQRs play in driving improvements in the safety and quality of healthcare. It recognises the challenges and opportunities for CQRs in a digitally enabled health system.</w:t>
            </w:r>
            <w:r w:rsidR="00327E4E">
              <w:t xml:space="preserve"> </w:t>
            </w:r>
          </w:p>
          <w:p w14:paraId="44807030" w14:textId="6CA83D05" w:rsidR="00A2438F" w:rsidRPr="00841F74" w:rsidRDefault="00A2711B" w:rsidP="00841F74">
            <w:pPr>
              <w:pStyle w:val="TicksLists"/>
              <w:rPr>
                <w:lang w:val="en-GB"/>
              </w:rPr>
            </w:pPr>
            <w:r>
              <w:rPr>
                <w:lang w:val="en-GB"/>
              </w:rPr>
              <w:t>The</w:t>
            </w:r>
            <w:r w:rsidR="00841F74" w:rsidRPr="00841F74">
              <w:rPr>
                <w:lang w:val="en-GB"/>
              </w:rPr>
              <w:t xml:space="preserve"> </w:t>
            </w:r>
            <w:r>
              <w:rPr>
                <w:lang w:val="en-GB"/>
              </w:rPr>
              <w:t xml:space="preserve">Framework was produced by the </w:t>
            </w:r>
            <w:r w:rsidR="00841F74" w:rsidRPr="00841F74">
              <w:rPr>
                <w:lang w:val="en-GB"/>
              </w:rPr>
              <w:t>Commission</w:t>
            </w:r>
            <w:r>
              <w:rPr>
                <w:lang w:val="en-GB"/>
              </w:rPr>
              <w:t>,</w:t>
            </w:r>
            <w:r w:rsidR="00841F74" w:rsidRPr="00841F74">
              <w:rPr>
                <w:lang w:val="en-GB"/>
              </w:rPr>
              <w:t xml:space="preserve"> work</w:t>
            </w:r>
            <w:r>
              <w:rPr>
                <w:lang w:val="en-GB"/>
              </w:rPr>
              <w:t>ing</w:t>
            </w:r>
            <w:r w:rsidR="00841F74" w:rsidRPr="00841F74">
              <w:rPr>
                <w:lang w:val="en-GB"/>
              </w:rPr>
              <w:t xml:space="preserve"> with an Advisory Group including CQR experts and representatives from </w:t>
            </w:r>
            <w:r w:rsidR="0056556C">
              <w:rPr>
                <w:lang w:val="en-GB"/>
              </w:rPr>
              <w:br/>
            </w:r>
            <w:r w:rsidR="00841F74" w:rsidRPr="00841F74">
              <w:rPr>
                <w:lang w:val="en-GB"/>
              </w:rPr>
              <w:t>all states and territories</w:t>
            </w:r>
            <w:r w:rsidR="006F0027">
              <w:rPr>
                <w:lang w:val="en-GB"/>
              </w:rPr>
              <w:t>, and</w:t>
            </w:r>
            <w:r w:rsidR="0056556C">
              <w:rPr>
                <w:lang w:val="en-GB"/>
              </w:rPr>
              <w:t xml:space="preserve"> was</w:t>
            </w:r>
            <w:r w:rsidR="006F0027">
              <w:rPr>
                <w:lang w:val="en-GB"/>
              </w:rPr>
              <w:t xml:space="preserve"> </w:t>
            </w:r>
            <w:r w:rsidR="00841F74" w:rsidRPr="00841F74">
              <w:rPr>
                <w:lang w:val="en-GB"/>
              </w:rPr>
              <w:t xml:space="preserve">informed by a national process </w:t>
            </w:r>
            <w:r w:rsidR="0056556C">
              <w:rPr>
                <w:lang w:val="en-GB"/>
              </w:rPr>
              <w:br/>
            </w:r>
            <w:r w:rsidR="00841F74" w:rsidRPr="00841F74">
              <w:rPr>
                <w:lang w:val="en-GB"/>
              </w:rPr>
              <w:t xml:space="preserve">of stakeholder consultation. </w:t>
            </w:r>
            <w:r w:rsidR="0056556C">
              <w:rPr>
                <w:lang w:val="en-GB"/>
              </w:rPr>
              <w:br/>
            </w:r>
            <w:r w:rsidR="006F0027">
              <w:rPr>
                <w:lang w:val="en-GB"/>
              </w:rPr>
              <w:t>It</w:t>
            </w:r>
            <w:r w:rsidR="00841F74" w:rsidRPr="00841F74">
              <w:rPr>
                <w:lang w:val="en-GB"/>
              </w:rPr>
              <w:t xml:space="preserve"> underpins the</w:t>
            </w:r>
            <w:r w:rsidR="00841F74">
              <w:rPr>
                <w:lang w:val="en-GB"/>
              </w:rPr>
              <w:t xml:space="preserve"> </w:t>
            </w:r>
            <w:hyperlink r:id="rId19" w:tooltip="National Clinical Quality Registry Program - The Department of Health and Aged Care">
              <w:r w:rsidR="00886FEA" w:rsidRPr="00841F74">
                <w:rPr>
                  <w:rStyle w:val="Hyperlink"/>
                  <w:i/>
                </w:rPr>
                <w:t>National Strategy for Clinical Quality Registries and Virtual Registries 2020–2030</w:t>
              </w:r>
            </w:hyperlink>
            <w:r w:rsidR="00A2438F" w:rsidRPr="00BC6298">
              <w:t>.</w:t>
            </w:r>
            <w:r w:rsidR="00327E4E">
              <w:t xml:space="preserve"> </w:t>
            </w:r>
          </w:p>
        </w:tc>
      </w:tr>
    </w:tbl>
    <w:p w14:paraId="23AA341C" w14:textId="77777777" w:rsidR="00AE5001" w:rsidRDefault="00AE5001" w:rsidP="00AE5001">
      <w:pPr>
        <w:rPr>
          <w:bCs/>
        </w:rPr>
        <w:sectPr w:rsidR="00AE5001" w:rsidSect="00AE5001">
          <w:type w:val="continuous"/>
          <w:pgSz w:w="11906" w:h="16838"/>
          <w:pgMar w:top="2126" w:right="1134" w:bottom="1418" w:left="1134" w:header="709" w:footer="709" w:gutter="0"/>
          <w:cols w:num="2" w:space="720"/>
          <w:docGrid w:linePitch="299"/>
        </w:sectPr>
      </w:pPr>
    </w:p>
    <w:p w14:paraId="78C6FBE9" w14:textId="77777777" w:rsidR="00550138" w:rsidRDefault="00550138" w:rsidP="00240277">
      <w:pPr>
        <w:pStyle w:val="Heading2"/>
        <w:spacing w:before="0"/>
      </w:pPr>
      <w:r>
        <w:lastRenderedPageBreak/>
        <w:t>Get to know the Framework</w:t>
      </w:r>
    </w:p>
    <w:p w14:paraId="2D160C29" w14:textId="03AC01A0" w:rsidR="00A2438F" w:rsidRDefault="00A2438F" w:rsidP="00341A91">
      <w:pPr>
        <w:pStyle w:val="Heading3"/>
        <w:spacing w:before="0"/>
      </w:pPr>
      <w:r>
        <w:t>What is the Framework?</w:t>
      </w:r>
    </w:p>
    <w:p w14:paraId="215E78C7" w14:textId="05F9C463" w:rsidR="00A2438F" w:rsidRPr="00841F74" w:rsidRDefault="00841F74" w:rsidP="00A2438F">
      <w:pPr>
        <w:rPr>
          <w:lang w:val="en-GB"/>
        </w:rPr>
      </w:pPr>
      <w:r w:rsidRPr="00841F74">
        <w:rPr>
          <w:lang w:val="en-GB"/>
        </w:rPr>
        <w:t>The Framework sets out the principles under which all CQRs should be operating, and provides clear and practical guidance on how those principles can be implemented, over time. It also helps to ensure that CQRs have processes in place to minimise the risks associated with data collection and management</w:t>
      </w:r>
      <w:r w:rsidR="00A2438F">
        <w:t>.</w:t>
      </w:r>
      <w:r w:rsidR="00327E4E">
        <w:t xml:space="preserve"> </w:t>
      </w:r>
    </w:p>
    <w:p w14:paraId="4A132B6A" w14:textId="41F0506A" w:rsidR="00A2438F" w:rsidRDefault="00A2438F" w:rsidP="00327E4E">
      <w:pPr>
        <w:pStyle w:val="Heading3"/>
      </w:pPr>
      <w:r w:rsidRPr="007C2817">
        <w:t xml:space="preserve">What </w:t>
      </w:r>
      <w:r>
        <w:t>does</w:t>
      </w:r>
      <w:r w:rsidRPr="007C2817">
        <w:t xml:space="preserve"> the Framework </w:t>
      </w:r>
      <w:r>
        <w:t>include</w:t>
      </w:r>
      <w:r w:rsidRPr="007C2817">
        <w:t>?</w:t>
      </w:r>
    </w:p>
    <w:p w14:paraId="2FCE0AB8" w14:textId="274B058C" w:rsidR="00A2438F" w:rsidRPr="00327E4E" w:rsidRDefault="00A2438F" w:rsidP="00A2438F">
      <w:pPr>
        <w:rPr>
          <w:i/>
        </w:rPr>
      </w:pPr>
      <w:r>
        <w:t xml:space="preserve">The Framework </w:t>
      </w:r>
      <w:r>
        <w:rPr>
          <w:highlight w:val="white"/>
        </w:rPr>
        <w:t xml:space="preserve">includes </w:t>
      </w:r>
      <w:r>
        <w:rPr>
          <w:i/>
          <w:highlight w:val="white"/>
        </w:rPr>
        <w:t>Strategic Principles</w:t>
      </w:r>
      <w:r>
        <w:rPr>
          <w:highlight w:val="white"/>
        </w:rPr>
        <w:t xml:space="preserve"> and </w:t>
      </w:r>
      <w:r>
        <w:rPr>
          <w:i/>
          <w:highlight w:val="white"/>
        </w:rPr>
        <w:t>Operating Principles</w:t>
      </w:r>
      <w:r w:rsidRPr="00E214ED">
        <w:rPr>
          <w:iCs/>
        </w:rPr>
        <w:t xml:space="preserve"> </w:t>
      </w:r>
      <w:r>
        <w:rPr>
          <w:iCs/>
        </w:rPr>
        <w:t>that</w:t>
      </w:r>
      <w:r w:rsidRPr="00E214ED">
        <w:rPr>
          <w:iCs/>
        </w:rPr>
        <w:t xml:space="preserve"> help ensure CQRs are aligned with national strategic approaches to CQR development.</w:t>
      </w:r>
      <w:r w:rsidRPr="00E214ED">
        <w:rPr>
          <w:i/>
        </w:rPr>
        <w:t> </w:t>
      </w:r>
      <w:r>
        <w:rPr>
          <w:iCs/>
        </w:rPr>
        <w:t xml:space="preserve">It also includes a </w:t>
      </w:r>
      <w:r w:rsidRPr="007C2817">
        <w:rPr>
          <w:i/>
          <w:iCs/>
        </w:rPr>
        <w:t>Quality Standard</w:t>
      </w:r>
      <w:r>
        <w:rPr>
          <w:i/>
          <w:iCs/>
        </w:rPr>
        <w:t xml:space="preserve"> for CQRs</w:t>
      </w:r>
      <w:r>
        <w:t xml:space="preserve"> that aims</w:t>
      </w:r>
      <w:r w:rsidRPr="00483EB6">
        <w:t xml:space="preserve"> to mitigate risk</w:t>
      </w:r>
      <w:r>
        <w:t>s</w:t>
      </w:r>
      <w:r w:rsidRPr="00483EB6">
        <w:t xml:space="preserve"> relat</w:t>
      </w:r>
      <w:r>
        <w:t>ed</w:t>
      </w:r>
      <w:r w:rsidRPr="00483EB6">
        <w:t xml:space="preserve"> to </w:t>
      </w:r>
      <w:r>
        <w:t>data</w:t>
      </w:r>
      <w:r w:rsidRPr="00483EB6">
        <w:t xml:space="preserve"> collection and management</w:t>
      </w:r>
      <w:r>
        <w:t>,</w:t>
      </w:r>
      <w:r w:rsidRPr="00483EB6">
        <w:t xml:space="preserve"> and promote the reporting </w:t>
      </w:r>
      <w:r>
        <w:t xml:space="preserve">processes that drive improvements in </w:t>
      </w:r>
      <w:r w:rsidRPr="00483EB6">
        <w:t>safety and quality.</w:t>
      </w:r>
      <w:r>
        <w:rPr>
          <w:highlight w:val="white"/>
        </w:rPr>
        <w:t xml:space="preserve"> The </w:t>
      </w:r>
      <w:r>
        <w:rPr>
          <w:i/>
          <w:highlight w:val="white"/>
        </w:rPr>
        <w:t xml:space="preserve">Quality Standard </w:t>
      </w:r>
      <w:r>
        <w:rPr>
          <w:highlight w:val="white"/>
        </w:rPr>
        <w:t xml:space="preserve">aligns with the </w:t>
      </w:r>
      <w:r w:rsidRPr="00C233A3">
        <w:rPr>
          <w:i/>
          <w:iCs/>
          <w:highlight w:val="white"/>
        </w:rPr>
        <w:t>National Safety and Quality Health Service (NSQHS) Standards</w:t>
      </w:r>
      <w:r>
        <w:rPr>
          <w:highlight w:val="white"/>
        </w:rPr>
        <w:t>.</w:t>
      </w:r>
      <w:r w:rsidR="00327E4E">
        <w:t xml:space="preserve"> </w:t>
      </w:r>
    </w:p>
    <w:p w14:paraId="3BC3BB53" w14:textId="45D6B3FC" w:rsidR="00A2438F" w:rsidRDefault="00A2438F" w:rsidP="00327E4E">
      <w:pPr>
        <w:pStyle w:val="Heading3"/>
      </w:pPr>
      <w:r w:rsidRPr="00327E4E">
        <w:t>Who should use the Framework?</w:t>
      </w:r>
    </w:p>
    <w:p w14:paraId="5DF9D1FC" w14:textId="5FC77C6C" w:rsidR="00A2438F" w:rsidRPr="00327E4E" w:rsidRDefault="00A2438F" w:rsidP="00A2438F">
      <w:r w:rsidRPr="007C2817">
        <w:rPr>
          <w:bCs/>
        </w:rPr>
        <w:t>The Framework applies to</w:t>
      </w:r>
      <w:r>
        <w:t xml:space="preserve"> national CQRs operating in areas that represent the greatest burden of disease, the greatest cost to the health system, or the greatest variation in care and outcomes. </w:t>
      </w:r>
      <w:r w:rsidRPr="00C233A3">
        <w:t>Application of the Framework is voluntary</w:t>
      </w:r>
      <w:r>
        <w:t xml:space="preserve"> </w:t>
      </w:r>
      <w:r w:rsidRPr="00C233A3">
        <w:t xml:space="preserve">however the </w:t>
      </w:r>
      <w:r w:rsidRPr="00C233A3">
        <w:rPr>
          <w:i/>
          <w:iCs/>
        </w:rPr>
        <w:t xml:space="preserve">Quality Standard </w:t>
      </w:r>
      <w:r>
        <w:t>provides</w:t>
      </w:r>
      <w:r w:rsidRPr="00C233A3">
        <w:t xml:space="preserve"> a nationally consistent quality framework that can be used by all CQRs committed to improving safety and quality </w:t>
      </w:r>
      <w:r>
        <w:t>in</w:t>
      </w:r>
      <w:r w:rsidRPr="00C233A3">
        <w:t xml:space="preserve"> health care.</w:t>
      </w:r>
      <w:r w:rsidR="00327E4E">
        <w:t xml:space="preserve"> </w:t>
      </w:r>
      <w:r w:rsidRPr="007C2817">
        <w:rPr>
          <w:bCs/>
        </w:rPr>
        <w:t>The Framework is intended for use</w:t>
      </w:r>
      <w:r>
        <w:rPr>
          <w:b/>
        </w:rPr>
        <w:t xml:space="preserve"> </w:t>
      </w:r>
      <w:r w:rsidRPr="007C2817">
        <w:rPr>
          <w:bCs/>
        </w:rPr>
        <w:t>by</w:t>
      </w:r>
      <w:r>
        <w:t xml:space="preserve"> CQR operators including registry data custodians; Commonwealth, state and territory health departments; and health service organisation administrators and clinicians. It is also relevant for medical colleges, governments, funders, the community, and anyone with an interest in health outcomes, variations in clinical practice, and health-system improvement. </w:t>
      </w:r>
    </w:p>
    <w:p w14:paraId="65063C5C" w14:textId="77777777" w:rsidR="00841F74" w:rsidRDefault="00841F74" w:rsidP="00841F74">
      <w:pPr>
        <w:pStyle w:val="Heading3"/>
      </w:pPr>
      <w:r w:rsidRPr="00A2438F">
        <w:t>How do CQRs contribute to a learning health system?</w:t>
      </w:r>
    </w:p>
    <w:p w14:paraId="1B4EEAAC" w14:textId="5BE3A25C" w:rsidR="00841F74" w:rsidRPr="00341A91" w:rsidRDefault="00841F74" w:rsidP="00841F74">
      <w:pPr>
        <w:rPr>
          <w:spacing w:val="-2"/>
        </w:rPr>
      </w:pPr>
      <w:r w:rsidRPr="00341A91">
        <w:rPr>
          <w:spacing w:val="-2"/>
        </w:rPr>
        <w:t>CQRs provide timely feedback on clinical results, enabling clinicians and health service organisations to address emerging issues, and adopt best-practice approaches to patient care.</w:t>
      </w:r>
      <w:r w:rsidR="00024A26" w:rsidRPr="00341A91">
        <w:rPr>
          <w:spacing w:val="-2"/>
        </w:rPr>
        <w:t xml:space="preserve"> </w:t>
      </w:r>
      <w:r w:rsidRPr="00341A91">
        <w:rPr>
          <w:spacing w:val="-2"/>
        </w:rPr>
        <w:t xml:space="preserve">CQR feedback loops co-exist with other components of the health system, such as healthcare policy, regulations and guidelines, the Commission’s Clinical Care Standards and work on healthcare variation, and results from research and clinical trials. The synergies between these different components collectively drive a learning health system. </w:t>
      </w:r>
    </w:p>
    <w:p w14:paraId="7185B1E5" w14:textId="5ABD2C6B" w:rsidR="00636580" w:rsidRDefault="00636580" w:rsidP="00636580">
      <w:pPr>
        <w:pStyle w:val="FigureTableTitle"/>
      </w:pPr>
      <w:r w:rsidRPr="00636580">
        <w:t xml:space="preserve">Below: </w:t>
      </w:r>
      <w:r w:rsidR="00E674F3">
        <w:t>CQR f</w:t>
      </w:r>
      <w:r w:rsidRPr="00636580">
        <w:t>eedback loop for ongoing improvements in the safety and quality of healthcare.</w:t>
      </w:r>
    </w:p>
    <w:p w14:paraId="7FD8AB91" w14:textId="1494505C" w:rsidR="0056556C" w:rsidRPr="00636580" w:rsidRDefault="00636580" w:rsidP="00636580">
      <w:pPr>
        <w:pStyle w:val="FigureTableTitle"/>
      </w:pPr>
      <w:r w:rsidRPr="00636580">
        <w:rPr>
          <w:noProof/>
        </w:rPr>
        <w:t xml:space="preserve"> </w:t>
      </w:r>
      <w:r>
        <w:rPr>
          <w:noProof/>
        </w:rPr>
        <w:drawing>
          <wp:inline distT="0" distB="0" distL="0" distR="0" wp14:anchorId="48A8C067" wp14:editId="346D0538">
            <wp:extent cx="2776251" cy="2753495"/>
            <wp:effectExtent l="0" t="0" r="5080" b="2540"/>
            <wp:docPr id="257597846" name="Picture 1" descr="CQR feedback loop for ongoing improvements in the safety and quality of health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597846" name="Picture 1" descr="CQR feedback loop for ongoing improvements in the safety and quality of healthcare."/>
                    <pic:cNvPicPr/>
                  </pic:nvPicPr>
                  <pic:blipFill>
                    <a:blip r:embed="rId20"/>
                    <a:stretch>
                      <a:fillRect/>
                    </a:stretch>
                  </pic:blipFill>
                  <pic:spPr>
                    <a:xfrm>
                      <a:off x="0" y="0"/>
                      <a:ext cx="2875452" cy="2851883"/>
                    </a:xfrm>
                    <a:prstGeom prst="rect">
                      <a:avLst/>
                    </a:prstGeom>
                  </pic:spPr>
                </pic:pic>
              </a:graphicData>
            </a:graphic>
          </wp:inline>
        </w:drawing>
      </w:r>
    </w:p>
    <w:p w14:paraId="241A615D" w14:textId="581B66D4" w:rsidR="00024A26" w:rsidRPr="00341A91" w:rsidRDefault="00024A26" w:rsidP="00024A26">
      <w:pPr>
        <w:pStyle w:val="Heading3"/>
        <w:rPr>
          <w:spacing w:val="-6"/>
        </w:rPr>
      </w:pPr>
      <w:r w:rsidRPr="00341A91">
        <w:rPr>
          <w:spacing w:val="-6"/>
        </w:rPr>
        <w:t xml:space="preserve">Are there </w:t>
      </w:r>
      <w:r w:rsidR="00C57409">
        <w:rPr>
          <w:spacing w:val="-6"/>
        </w:rPr>
        <w:t>any</w:t>
      </w:r>
      <w:r w:rsidRPr="00341A91">
        <w:rPr>
          <w:spacing w:val="-6"/>
        </w:rPr>
        <w:t xml:space="preserve"> resources</w:t>
      </w:r>
      <w:r w:rsidR="00C57409">
        <w:rPr>
          <w:spacing w:val="-6"/>
        </w:rPr>
        <w:t xml:space="preserve"> to support the implementation </w:t>
      </w:r>
      <w:r w:rsidR="00F64D83">
        <w:rPr>
          <w:spacing w:val="-6"/>
        </w:rPr>
        <w:br/>
      </w:r>
      <w:r w:rsidR="00C57409">
        <w:rPr>
          <w:spacing w:val="-6"/>
        </w:rPr>
        <w:t>of the Framework</w:t>
      </w:r>
      <w:r w:rsidRPr="00341A91">
        <w:rPr>
          <w:spacing w:val="-6"/>
        </w:rPr>
        <w:t>?</w:t>
      </w:r>
    </w:p>
    <w:p w14:paraId="2315FD2F" w14:textId="77777777" w:rsidR="00024A26" w:rsidRPr="00D46F78" w:rsidRDefault="00024A26" w:rsidP="00024A26">
      <w:pPr>
        <w:rPr>
          <w:color w:val="000000" w:themeColor="text1"/>
        </w:rPr>
      </w:pPr>
      <w:r w:rsidRPr="00D46F78">
        <w:rPr>
          <w:color w:val="000000" w:themeColor="text1"/>
        </w:rPr>
        <w:t xml:space="preserve">Additional documents to support CQRs as they implement the Framework can be found on the Commission’s website, including: </w:t>
      </w:r>
    </w:p>
    <w:p w14:paraId="1D9ECA18" w14:textId="77777777" w:rsidR="00024A26" w:rsidRDefault="00000000" w:rsidP="00024A26">
      <w:pPr>
        <w:pStyle w:val="ListParagraph"/>
        <w:numPr>
          <w:ilvl w:val="0"/>
          <w:numId w:val="33"/>
        </w:numPr>
        <w:spacing w:before="0" w:after="0" w:line="276" w:lineRule="auto"/>
        <w:rPr>
          <w:rStyle w:val="Hyperlink"/>
          <w:i/>
          <w:iCs/>
        </w:rPr>
      </w:pPr>
      <w:hyperlink r:id="rId21" w:tooltip="Attachment 1: Australian CQR logical design and infrastructure guideline 2024 - Australian Commission on Safety and Quality in Health Care" w:history="1">
        <w:r w:rsidR="00024A26" w:rsidRPr="006B5E85">
          <w:rPr>
            <w:rStyle w:val="Hyperlink"/>
            <w:i/>
            <w:iCs/>
          </w:rPr>
          <w:t xml:space="preserve">Attachment 1: Australian CQR logical design and infrastructure guideline </w:t>
        </w:r>
      </w:hyperlink>
    </w:p>
    <w:p w14:paraId="2C7B80A9" w14:textId="42BEFFF0" w:rsidR="00636580" w:rsidRPr="0060642C" w:rsidRDefault="00000000" w:rsidP="00C810DB">
      <w:pPr>
        <w:pStyle w:val="ListParagraph"/>
        <w:numPr>
          <w:ilvl w:val="0"/>
          <w:numId w:val="33"/>
        </w:numPr>
        <w:spacing w:before="0" w:after="0" w:line="276" w:lineRule="auto"/>
        <w:rPr>
          <w:i/>
          <w:iCs/>
          <w:color w:val="005370" w:themeColor="text2"/>
          <w:u w:val="single"/>
        </w:rPr>
        <w:sectPr w:rsidR="00636580" w:rsidRPr="0060642C" w:rsidSect="00341A91">
          <w:type w:val="continuous"/>
          <w:pgSz w:w="11906" w:h="16838"/>
          <w:pgMar w:top="768" w:right="1134" w:bottom="1418" w:left="1134" w:header="709" w:footer="709" w:gutter="0"/>
          <w:cols w:num="2" w:space="720"/>
          <w:docGrid w:linePitch="299"/>
        </w:sectPr>
      </w:pPr>
      <w:hyperlink r:id="rId22" w:tooltip="Attachment 2: Australian CQR security compliance guideline 2024 - Australian Commission on Safety and Quality in Health Care" w:history="1">
        <w:r w:rsidR="00024A26" w:rsidRPr="00C810DB">
          <w:rPr>
            <w:rStyle w:val="Hyperlink"/>
            <w:i/>
            <w:iCs/>
          </w:rPr>
          <w:t>Attachment 2: Australian CQR security compliance guideline</w:t>
        </w:r>
      </w:hyperlink>
      <w:r w:rsidR="0060642C">
        <w:rPr>
          <w:rStyle w:val="Hyperlink"/>
          <w:i/>
          <w:iCs/>
        </w:rPr>
        <w:t>.</w:t>
      </w:r>
    </w:p>
    <w:p w14:paraId="6EAE8D10" w14:textId="77777777" w:rsidR="00341A91" w:rsidRPr="0014386A" w:rsidRDefault="00000000" w:rsidP="00550138">
      <w:pPr>
        <w:pStyle w:val="Website"/>
        <w:spacing w:before="240"/>
        <w:rPr>
          <w:rStyle w:val="Hyperlink"/>
        </w:rPr>
      </w:pPr>
      <w:hyperlink r:id="rId23" w:history="1">
        <w:r w:rsidR="00341A91" w:rsidRPr="0014386A">
          <w:rPr>
            <w:rStyle w:val="Hyperlink"/>
          </w:rPr>
          <w:t>safetyandquality.gov.au</w:t>
        </w:r>
      </w:hyperlink>
    </w:p>
    <w:p w14:paraId="396697E6" w14:textId="77777777" w:rsidR="00341A91" w:rsidRDefault="00341A91" w:rsidP="00341A91">
      <w:pPr>
        <w:pStyle w:val="FootnoteText"/>
        <w:tabs>
          <w:tab w:val="right" w:pos="8931"/>
        </w:tabs>
        <w:spacing w:before="240"/>
        <w:rPr>
          <w:rStyle w:val="Roman"/>
          <w:rFonts w:eastAsiaTheme="majorEastAsia"/>
          <w:sz w:val="16"/>
          <w:szCs w:val="16"/>
        </w:rPr>
      </w:pPr>
      <w:r w:rsidRPr="00146BFB">
        <w:rPr>
          <w:noProof/>
          <w:sz w:val="16"/>
          <w:szCs w:val="16"/>
          <w:lang w:val="en-US" w:eastAsia="en-US"/>
        </w:rPr>
        <w:drawing>
          <wp:inline distT="0" distB="0" distL="0" distR="0" wp14:anchorId="76A80F66" wp14:editId="2863B36B">
            <wp:extent cx="596265" cy="211455"/>
            <wp:effectExtent l="0" t="0" r="635" b="4445"/>
            <wp:docPr id="1032460519" name="Picture 1032460519"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c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265" cy="211455"/>
                    </a:xfrm>
                    <a:prstGeom prst="rect">
                      <a:avLst/>
                    </a:prstGeom>
                    <a:noFill/>
                    <a:ln>
                      <a:noFill/>
                    </a:ln>
                  </pic:spPr>
                </pic:pic>
              </a:graphicData>
            </a:graphic>
          </wp:inline>
        </w:drawing>
      </w:r>
    </w:p>
    <w:p w14:paraId="3F9651E8" w14:textId="392FC47F" w:rsidR="00327E4E" w:rsidRPr="005D5912" w:rsidRDefault="00341A91" w:rsidP="005D5912">
      <w:pPr>
        <w:pStyle w:val="FootnoteText"/>
        <w:tabs>
          <w:tab w:val="right" w:pos="8931"/>
        </w:tabs>
        <w:rPr>
          <w:rFonts w:eastAsiaTheme="majorEastAsia"/>
          <w:sz w:val="16"/>
          <w:szCs w:val="16"/>
        </w:rPr>
      </w:pPr>
      <w:r w:rsidRPr="00146BFB">
        <w:rPr>
          <w:rStyle w:val="Roman"/>
          <w:rFonts w:eastAsiaTheme="majorEastAsia"/>
          <w:sz w:val="16"/>
          <w:szCs w:val="16"/>
        </w:rPr>
        <w:t>© Australian Commission on Safety and</w:t>
      </w:r>
      <w:r>
        <w:rPr>
          <w:rStyle w:val="Roman"/>
          <w:rFonts w:eastAsiaTheme="majorEastAsia"/>
          <w:sz w:val="16"/>
          <w:szCs w:val="16"/>
        </w:rPr>
        <w:softHyphen/>
      </w:r>
      <w:r>
        <w:rPr>
          <w:rStyle w:val="Roman"/>
          <w:rFonts w:eastAsiaTheme="majorEastAsia"/>
          <w:sz w:val="16"/>
          <w:szCs w:val="16"/>
        </w:rPr>
        <w:softHyphen/>
      </w:r>
      <w:r w:rsidRPr="00146BFB">
        <w:rPr>
          <w:rStyle w:val="Roman"/>
          <w:rFonts w:eastAsiaTheme="majorEastAsia"/>
          <w:sz w:val="16"/>
          <w:szCs w:val="16"/>
        </w:rPr>
        <w:t xml:space="preserve"> </w:t>
      </w:r>
      <w:r w:rsidRPr="00146BFB">
        <w:rPr>
          <w:rStyle w:val="Roman"/>
          <w:rFonts w:eastAsiaTheme="majorEastAsia"/>
          <w:sz w:val="16"/>
          <w:szCs w:val="16"/>
        </w:rPr>
        <w:softHyphen/>
        <w:t>Quality in Health Care 202</w:t>
      </w:r>
      <w:r>
        <w:rPr>
          <w:rStyle w:val="Roman"/>
          <w:rFonts w:eastAsiaTheme="majorEastAsia"/>
          <w:sz w:val="16"/>
          <w:szCs w:val="16"/>
        </w:rPr>
        <w:t>4</w:t>
      </w:r>
    </w:p>
    <w:sectPr w:rsidR="00327E4E" w:rsidRPr="005D5912" w:rsidSect="003A07D5">
      <w:type w:val="continuous"/>
      <w:pgSz w:w="11906" w:h="16838"/>
      <w:pgMar w:top="2126" w:right="1134" w:bottom="1418" w:left="113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9BE973" w14:textId="77777777" w:rsidR="00B85393" w:rsidRDefault="00B85393" w:rsidP="000B0274">
      <w:r>
        <w:separator/>
      </w:r>
    </w:p>
    <w:p w14:paraId="7D57C494" w14:textId="77777777" w:rsidR="00B85393" w:rsidRDefault="00B85393"/>
    <w:p w14:paraId="2B1D5FDF" w14:textId="77777777" w:rsidR="00B85393" w:rsidRDefault="00B85393"/>
    <w:p w14:paraId="20F3BC77" w14:textId="77777777" w:rsidR="00B85393" w:rsidRDefault="00B85393"/>
    <w:p w14:paraId="4191DB86" w14:textId="77777777" w:rsidR="00B85393" w:rsidRDefault="00B85393"/>
  </w:endnote>
  <w:endnote w:type="continuationSeparator" w:id="0">
    <w:p w14:paraId="6A70D409" w14:textId="77777777" w:rsidR="00B85393" w:rsidRDefault="00B85393" w:rsidP="000B0274">
      <w:r>
        <w:continuationSeparator/>
      </w:r>
    </w:p>
    <w:p w14:paraId="05834D97" w14:textId="77777777" w:rsidR="00B85393" w:rsidRDefault="00B85393"/>
    <w:p w14:paraId="1944580C" w14:textId="77777777" w:rsidR="00B85393" w:rsidRDefault="00B85393"/>
    <w:p w14:paraId="6DF2950E" w14:textId="77777777" w:rsidR="00B85393" w:rsidRDefault="00B85393"/>
    <w:p w14:paraId="0E4D2BFB" w14:textId="77777777" w:rsidR="00B85393" w:rsidRDefault="00B853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Arial (Body)">
    <w:altName w:val="Arial"/>
    <w:panose1 w:val="020B0604020202020204"/>
    <w:charset w:val="00"/>
    <w:family w:val="roman"/>
    <w:pitch w:val="default"/>
  </w:font>
  <w:font w:name="Gotham Medium">
    <w:altName w:val="Calibri"/>
    <w:panose1 w:val="020B0604020202020204"/>
    <w:charset w:val="00"/>
    <w:family w:val="auto"/>
    <w:notTrueType/>
    <w:pitch w:val="variable"/>
    <w:sig w:usb0="A100007F" w:usb1="4000005B" w:usb2="00000000" w:usb3="00000000" w:csb0="0000009B" w:csb1="00000000"/>
  </w:font>
  <w:font w:name="Lucida Grande">
    <w:panose1 w:val="020B0600040502020204"/>
    <w:charset w:val="00"/>
    <w:family w:val="swiss"/>
    <w:pitch w:val="variable"/>
    <w:sig w:usb0="E1000AEF" w:usb1="5000A1FF" w:usb2="00000000" w:usb3="00000000" w:csb0="000001BF" w:csb1="00000000"/>
  </w:font>
  <w:font w:name="ProximaNova-Bold">
    <w:altName w:val="Arial"/>
    <w:panose1 w:val="02000506030000020004"/>
    <w:charset w:val="00"/>
    <w:family w:val="auto"/>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8DCA2" w14:textId="77777777" w:rsidR="00295887" w:rsidRDefault="00295887" w:rsidP="00D84622">
    <w:pPr>
      <w:pStyle w:val="Footer"/>
    </w:pPr>
  </w:p>
  <w:p w14:paraId="45F51B87" w14:textId="77777777" w:rsidR="00295887" w:rsidRDefault="00295887"/>
  <w:p w14:paraId="672DDA5D" w14:textId="77777777" w:rsidR="00295887" w:rsidRDefault="00295887"/>
  <w:p w14:paraId="651F1732" w14:textId="77777777" w:rsidR="00295887" w:rsidRDefault="002958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528B" w14:textId="545C4EFE" w:rsidR="00327E4E" w:rsidRPr="0022422A" w:rsidRDefault="00327E4E" w:rsidP="00327E4E">
    <w:pPr>
      <w:pStyle w:val="Footer"/>
      <w:tabs>
        <w:tab w:val="right" w:pos="14570"/>
      </w:tabs>
      <w:rPr>
        <w:b/>
        <w:bCs/>
        <w:lang w:val="en-GB"/>
      </w:rPr>
    </w:pPr>
    <w:r w:rsidRPr="0026569B">
      <w:tab/>
    </w:r>
    <w:r w:rsidRPr="0026569B">
      <w:fldChar w:fldCharType="begin"/>
    </w:r>
    <w:r w:rsidRPr="0026569B">
      <w:instrText xml:space="preserve"> PAGE </w:instrText>
    </w:r>
    <w:r w:rsidRPr="0026569B">
      <w:fldChar w:fldCharType="separate"/>
    </w:r>
    <w:r>
      <w:t>5</w:t>
    </w:r>
    <w:r w:rsidRPr="0026569B">
      <w:fldChar w:fldCharType="end"/>
    </w:r>
  </w:p>
  <w:p w14:paraId="352F46C3" w14:textId="77777777" w:rsidR="00327E4E" w:rsidRDefault="00327E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A3E9B4" w14:textId="77777777" w:rsidR="00B85393" w:rsidRDefault="00B85393" w:rsidP="000B0274">
      <w:r>
        <w:separator/>
      </w:r>
    </w:p>
    <w:p w14:paraId="5A498CE9" w14:textId="77777777" w:rsidR="00B85393" w:rsidRDefault="00B85393"/>
    <w:p w14:paraId="52AF9D7C" w14:textId="77777777" w:rsidR="00B85393" w:rsidRDefault="00B85393"/>
    <w:p w14:paraId="36398BE5" w14:textId="77777777" w:rsidR="00B85393" w:rsidRDefault="00B85393"/>
    <w:p w14:paraId="58B88E9B" w14:textId="77777777" w:rsidR="00B85393" w:rsidRDefault="00B85393"/>
  </w:footnote>
  <w:footnote w:type="continuationSeparator" w:id="0">
    <w:p w14:paraId="2FA6912C" w14:textId="77777777" w:rsidR="00B85393" w:rsidRDefault="00B85393" w:rsidP="000B0274">
      <w:r>
        <w:continuationSeparator/>
      </w:r>
    </w:p>
    <w:p w14:paraId="241C238C" w14:textId="77777777" w:rsidR="00B85393" w:rsidRDefault="00B85393"/>
    <w:p w14:paraId="668C6E2D" w14:textId="77777777" w:rsidR="00B85393" w:rsidRDefault="00B85393"/>
    <w:p w14:paraId="346B96A8" w14:textId="77777777" w:rsidR="00B85393" w:rsidRDefault="00B85393"/>
    <w:p w14:paraId="1E7F6A7F" w14:textId="77777777" w:rsidR="00B85393" w:rsidRDefault="00B853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6A9268" w14:textId="77777777" w:rsidR="00295887" w:rsidRDefault="00295887"/>
  <w:p w14:paraId="307F7B7F" w14:textId="77777777" w:rsidR="00295887" w:rsidRDefault="00295887"/>
  <w:p w14:paraId="25B17734" w14:textId="77777777" w:rsidR="00295887" w:rsidRDefault="00295887"/>
  <w:p w14:paraId="2436C4FB" w14:textId="77777777" w:rsidR="00295887" w:rsidRDefault="0029588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6A9ABC" w14:textId="2B1DBF23" w:rsidR="00295887" w:rsidRPr="002E4B35" w:rsidRDefault="00295887" w:rsidP="002E4B35">
    <w:pPr>
      <w:tabs>
        <w:tab w:val="left" w:pos="7062"/>
        <w:tab w:val="right" w:pos="9638"/>
      </w:tabs>
      <w:spacing w:before="0"/>
      <w:ind w:left="-142"/>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DE2DA0" w14:textId="45683EC6" w:rsidR="00341A91" w:rsidRDefault="00341A91">
    <w:pPr>
      <w:pStyle w:val="Header"/>
    </w:pPr>
    <w:r w:rsidRPr="00FB375B">
      <w:rPr>
        <w:rFonts w:eastAsiaTheme="majorEastAsia"/>
        <w:noProof/>
        <w:lang w:val="en-US" w:eastAsia="en-US"/>
      </w:rPr>
      <w:drawing>
        <wp:inline distT="0" distB="0" distL="0" distR="0" wp14:anchorId="4B3CF8BD" wp14:editId="7D1F3715">
          <wp:extent cx="4307149" cy="543600"/>
          <wp:effectExtent l="0" t="0" r="0" b="2540"/>
          <wp:docPr id="399897216" name="Picture 399897216"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9AEA5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DE986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706B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F1E75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A78E3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E1D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392B1B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3E9A9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EC5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E850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105138"/>
    <w:multiLevelType w:val="hybridMultilevel"/>
    <w:tmpl w:val="0E8C4BC4"/>
    <w:lvl w:ilvl="0" w:tplc="EC840366">
      <w:start w:val="1"/>
      <w:numFmt w:val="bullet"/>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9C32EB"/>
    <w:multiLevelType w:val="multilevel"/>
    <w:tmpl w:val="D1DCA2EC"/>
    <w:lvl w:ilvl="0">
      <w:start w:val="1"/>
      <w:numFmt w:val="bulle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12EF7FF1"/>
    <w:multiLevelType w:val="hybridMultilevel"/>
    <w:tmpl w:val="21681086"/>
    <w:lvl w:ilvl="0" w:tplc="432A0E3E">
      <w:start w:val="1"/>
      <w:numFmt w:val="bullet"/>
      <w:pStyle w:val="TicksLists"/>
      <w:lvlText w:val=""/>
      <w:lvlJc w:val="left"/>
      <w:pPr>
        <w:ind w:left="360" w:hanging="360"/>
      </w:pPr>
      <w:rPr>
        <w:rFonts w:ascii="Wingdings" w:hAnsi="Wingdings" w:hint="default"/>
        <w:color w:val="000000" w:themeColor="tex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6BB4224"/>
    <w:multiLevelType w:val="hybridMultilevel"/>
    <w:tmpl w:val="9A809E82"/>
    <w:lvl w:ilvl="0" w:tplc="288E36DA">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9ED443B"/>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9F1571C"/>
    <w:multiLevelType w:val="hybridMultilevel"/>
    <w:tmpl w:val="3C0AC4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19FB70A4"/>
    <w:multiLevelType w:val="hybridMultilevel"/>
    <w:tmpl w:val="06FA1C6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1A5E2DC9"/>
    <w:multiLevelType w:val="hybridMultilevel"/>
    <w:tmpl w:val="86E47792"/>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1DC12D85"/>
    <w:multiLevelType w:val="hybridMultilevel"/>
    <w:tmpl w:val="0974E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2E7E4F75"/>
    <w:multiLevelType w:val="hybridMultilevel"/>
    <w:tmpl w:val="56CEB2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E90D34"/>
    <w:multiLevelType w:val="hybridMultilevel"/>
    <w:tmpl w:val="603C357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46A452C3"/>
    <w:multiLevelType w:val="multilevel"/>
    <w:tmpl w:val="3FEA7ED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3011F28"/>
    <w:multiLevelType w:val="hybridMultilevel"/>
    <w:tmpl w:val="FF0C1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D51963"/>
    <w:multiLevelType w:val="hybridMultilevel"/>
    <w:tmpl w:val="C280387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DD80077"/>
    <w:multiLevelType w:val="hybridMultilevel"/>
    <w:tmpl w:val="04C440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77367A"/>
    <w:multiLevelType w:val="hybridMultilevel"/>
    <w:tmpl w:val="C8D6723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74F82BE3"/>
    <w:multiLevelType w:val="hybridMultilevel"/>
    <w:tmpl w:val="BC86D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77D73AC8"/>
    <w:multiLevelType w:val="hybridMultilevel"/>
    <w:tmpl w:val="9192FE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7E67008C"/>
    <w:multiLevelType w:val="hybridMultilevel"/>
    <w:tmpl w:val="46C6A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7264671">
    <w:abstractNumId w:val="10"/>
  </w:num>
  <w:num w:numId="2" w16cid:durableId="151913477">
    <w:abstractNumId w:val="12"/>
  </w:num>
  <w:num w:numId="3" w16cid:durableId="348606052">
    <w:abstractNumId w:val="21"/>
  </w:num>
  <w:num w:numId="4" w16cid:durableId="1235355125">
    <w:abstractNumId w:val="25"/>
  </w:num>
  <w:num w:numId="5" w16cid:durableId="1472750514">
    <w:abstractNumId w:val="24"/>
  </w:num>
  <w:num w:numId="6" w16cid:durableId="614288394">
    <w:abstractNumId w:val="13"/>
  </w:num>
  <w:num w:numId="7" w16cid:durableId="245379576">
    <w:abstractNumId w:val="15"/>
  </w:num>
  <w:num w:numId="8" w16cid:durableId="172110863">
    <w:abstractNumId w:val="11"/>
  </w:num>
  <w:num w:numId="9" w16cid:durableId="58670212">
    <w:abstractNumId w:val="30"/>
  </w:num>
  <w:num w:numId="10" w16cid:durableId="534196612">
    <w:abstractNumId w:val="19"/>
  </w:num>
  <w:num w:numId="11" w16cid:durableId="827283642">
    <w:abstractNumId w:val="17"/>
  </w:num>
  <w:num w:numId="12" w16cid:durableId="1909533196">
    <w:abstractNumId w:val="29"/>
  </w:num>
  <w:num w:numId="13" w16cid:durableId="32389037">
    <w:abstractNumId w:val="18"/>
  </w:num>
  <w:num w:numId="14" w16cid:durableId="600066042">
    <w:abstractNumId w:val="23"/>
  </w:num>
  <w:num w:numId="15" w16cid:durableId="1676572075">
    <w:abstractNumId w:val="31"/>
  </w:num>
  <w:num w:numId="16" w16cid:durableId="1887064147">
    <w:abstractNumId w:val="22"/>
  </w:num>
  <w:num w:numId="17" w16cid:durableId="1194685873">
    <w:abstractNumId w:val="16"/>
  </w:num>
  <w:num w:numId="18" w16cid:durableId="1656180747">
    <w:abstractNumId w:val="27"/>
  </w:num>
  <w:num w:numId="19" w16cid:durableId="507600832">
    <w:abstractNumId w:val="28"/>
  </w:num>
  <w:num w:numId="20" w16cid:durableId="432896054">
    <w:abstractNumId w:val="0"/>
  </w:num>
  <w:num w:numId="21" w16cid:durableId="709962027">
    <w:abstractNumId w:val="1"/>
  </w:num>
  <w:num w:numId="22" w16cid:durableId="127600342">
    <w:abstractNumId w:val="2"/>
  </w:num>
  <w:num w:numId="23" w16cid:durableId="510798662">
    <w:abstractNumId w:val="3"/>
  </w:num>
  <w:num w:numId="24" w16cid:durableId="1460763758">
    <w:abstractNumId w:val="8"/>
  </w:num>
  <w:num w:numId="25" w16cid:durableId="32459187">
    <w:abstractNumId w:val="4"/>
  </w:num>
  <w:num w:numId="26" w16cid:durableId="606155784">
    <w:abstractNumId w:val="5"/>
  </w:num>
  <w:num w:numId="27" w16cid:durableId="1602303292">
    <w:abstractNumId w:val="6"/>
  </w:num>
  <w:num w:numId="28" w16cid:durableId="1497647213">
    <w:abstractNumId w:val="7"/>
  </w:num>
  <w:num w:numId="29" w16cid:durableId="167600216">
    <w:abstractNumId w:val="9"/>
  </w:num>
  <w:num w:numId="30" w16cid:durableId="1389576648">
    <w:abstractNumId w:val="26"/>
  </w:num>
  <w:num w:numId="31" w16cid:durableId="1921331399">
    <w:abstractNumId w:val="32"/>
  </w:num>
  <w:num w:numId="32" w16cid:durableId="689916061">
    <w:abstractNumId w:val="14"/>
  </w:num>
  <w:num w:numId="33" w16cid:durableId="1595284034">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AU" w:vendorID="64" w:dllVersion="4096" w:nlCheck="1" w:checkStyle="0"/>
  <w:activeWritingStyle w:appName="MSWord" w:lang="en-GB"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298"/>
    <w:rsid w:val="00002668"/>
    <w:rsid w:val="00003743"/>
    <w:rsid w:val="000077FA"/>
    <w:rsid w:val="0001053B"/>
    <w:rsid w:val="00012782"/>
    <w:rsid w:val="00020DBD"/>
    <w:rsid w:val="00024A26"/>
    <w:rsid w:val="00025A92"/>
    <w:rsid w:val="0003162D"/>
    <w:rsid w:val="00036AB8"/>
    <w:rsid w:val="00036F5E"/>
    <w:rsid w:val="000406F8"/>
    <w:rsid w:val="00043671"/>
    <w:rsid w:val="00050775"/>
    <w:rsid w:val="00054B74"/>
    <w:rsid w:val="00054E14"/>
    <w:rsid w:val="00061777"/>
    <w:rsid w:val="00067456"/>
    <w:rsid w:val="00067CE9"/>
    <w:rsid w:val="00070812"/>
    <w:rsid w:val="000720AA"/>
    <w:rsid w:val="00074553"/>
    <w:rsid w:val="0008065C"/>
    <w:rsid w:val="00083CD1"/>
    <w:rsid w:val="00090EFF"/>
    <w:rsid w:val="00091FC5"/>
    <w:rsid w:val="00092229"/>
    <w:rsid w:val="00092E65"/>
    <w:rsid w:val="000957FA"/>
    <w:rsid w:val="00095DA6"/>
    <w:rsid w:val="00095DC5"/>
    <w:rsid w:val="000A39AC"/>
    <w:rsid w:val="000A3F0D"/>
    <w:rsid w:val="000A4C01"/>
    <w:rsid w:val="000B0274"/>
    <w:rsid w:val="000B0BFE"/>
    <w:rsid w:val="000B4610"/>
    <w:rsid w:val="000B79D3"/>
    <w:rsid w:val="000C1722"/>
    <w:rsid w:val="000C1DD4"/>
    <w:rsid w:val="000C5B0F"/>
    <w:rsid w:val="000C798B"/>
    <w:rsid w:val="000C7A69"/>
    <w:rsid w:val="000D017D"/>
    <w:rsid w:val="000D6405"/>
    <w:rsid w:val="000E15DA"/>
    <w:rsid w:val="000E2F2E"/>
    <w:rsid w:val="000E6572"/>
    <w:rsid w:val="000F0D77"/>
    <w:rsid w:val="000F29C7"/>
    <w:rsid w:val="000F6B39"/>
    <w:rsid w:val="0010673D"/>
    <w:rsid w:val="00106CF5"/>
    <w:rsid w:val="00115403"/>
    <w:rsid w:val="00115E61"/>
    <w:rsid w:val="00120FCB"/>
    <w:rsid w:val="00131E52"/>
    <w:rsid w:val="00140002"/>
    <w:rsid w:val="00143A76"/>
    <w:rsid w:val="00145BE3"/>
    <w:rsid w:val="00146A66"/>
    <w:rsid w:val="00147FC6"/>
    <w:rsid w:val="001507C6"/>
    <w:rsid w:val="00155F03"/>
    <w:rsid w:val="00157B31"/>
    <w:rsid w:val="00160453"/>
    <w:rsid w:val="001652A9"/>
    <w:rsid w:val="00173ED5"/>
    <w:rsid w:val="00174141"/>
    <w:rsid w:val="00174535"/>
    <w:rsid w:val="0017675C"/>
    <w:rsid w:val="00182C0F"/>
    <w:rsid w:val="00183675"/>
    <w:rsid w:val="00184C86"/>
    <w:rsid w:val="001852DE"/>
    <w:rsid w:val="001859B5"/>
    <w:rsid w:val="001860B2"/>
    <w:rsid w:val="001918F7"/>
    <w:rsid w:val="001921ED"/>
    <w:rsid w:val="00195458"/>
    <w:rsid w:val="001962DE"/>
    <w:rsid w:val="00196AC8"/>
    <w:rsid w:val="001A11A5"/>
    <w:rsid w:val="001A1EBD"/>
    <w:rsid w:val="001A4A68"/>
    <w:rsid w:val="001B15D1"/>
    <w:rsid w:val="001B3443"/>
    <w:rsid w:val="001B7C8B"/>
    <w:rsid w:val="001C0F51"/>
    <w:rsid w:val="001D0D87"/>
    <w:rsid w:val="001E1042"/>
    <w:rsid w:val="001E38B8"/>
    <w:rsid w:val="001E77C4"/>
    <w:rsid w:val="001E7F08"/>
    <w:rsid w:val="001F5AD3"/>
    <w:rsid w:val="001F6D10"/>
    <w:rsid w:val="00212A89"/>
    <w:rsid w:val="0021323F"/>
    <w:rsid w:val="002132AE"/>
    <w:rsid w:val="002166E4"/>
    <w:rsid w:val="002255F7"/>
    <w:rsid w:val="0023112B"/>
    <w:rsid w:val="0023231A"/>
    <w:rsid w:val="00237ADF"/>
    <w:rsid w:val="00237F1B"/>
    <w:rsid w:val="00240277"/>
    <w:rsid w:val="00245D81"/>
    <w:rsid w:val="0024767D"/>
    <w:rsid w:val="002503C3"/>
    <w:rsid w:val="002505F5"/>
    <w:rsid w:val="00251167"/>
    <w:rsid w:val="002550A7"/>
    <w:rsid w:val="00255596"/>
    <w:rsid w:val="00255DCB"/>
    <w:rsid w:val="00261F43"/>
    <w:rsid w:val="00262327"/>
    <w:rsid w:val="002625FB"/>
    <w:rsid w:val="00263A63"/>
    <w:rsid w:val="00264387"/>
    <w:rsid w:val="00264A5A"/>
    <w:rsid w:val="002662B4"/>
    <w:rsid w:val="0026675D"/>
    <w:rsid w:val="002674D8"/>
    <w:rsid w:val="00267635"/>
    <w:rsid w:val="00277A59"/>
    <w:rsid w:val="0028150E"/>
    <w:rsid w:val="00281FD4"/>
    <w:rsid w:val="002851F2"/>
    <w:rsid w:val="002854C3"/>
    <w:rsid w:val="00291EBD"/>
    <w:rsid w:val="00293CDE"/>
    <w:rsid w:val="00295887"/>
    <w:rsid w:val="002A5442"/>
    <w:rsid w:val="002A60A4"/>
    <w:rsid w:val="002C1CA0"/>
    <w:rsid w:val="002C529B"/>
    <w:rsid w:val="002C6AF0"/>
    <w:rsid w:val="002C6E07"/>
    <w:rsid w:val="002D0EB0"/>
    <w:rsid w:val="002D247E"/>
    <w:rsid w:val="002E195D"/>
    <w:rsid w:val="002E1AAD"/>
    <w:rsid w:val="002E2DBA"/>
    <w:rsid w:val="002E3986"/>
    <w:rsid w:val="002E4B35"/>
    <w:rsid w:val="002E6A48"/>
    <w:rsid w:val="002E7082"/>
    <w:rsid w:val="002F3AE3"/>
    <w:rsid w:val="002F7E6F"/>
    <w:rsid w:val="0030786C"/>
    <w:rsid w:val="00312A62"/>
    <w:rsid w:val="00316683"/>
    <w:rsid w:val="003241DC"/>
    <w:rsid w:val="00327E4E"/>
    <w:rsid w:val="00341A36"/>
    <w:rsid w:val="00341A91"/>
    <w:rsid w:val="00341BEE"/>
    <w:rsid w:val="00343286"/>
    <w:rsid w:val="0034680F"/>
    <w:rsid w:val="0035066E"/>
    <w:rsid w:val="00350BE1"/>
    <w:rsid w:val="003523A5"/>
    <w:rsid w:val="00354BCF"/>
    <w:rsid w:val="003559EA"/>
    <w:rsid w:val="003657DB"/>
    <w:rsid w:val="0036588B"/>
    <w:rsid w:val="00370326"/>
    <w:rsid w:val="00380792"/>
    <w:rsid w:val="003808E4"/>
    <w:rsid w:val="0038248B"/>
    <w:rsid w:val="00382B2D"/>
    <w:rsid w:val="00386683"/>
    <w:rsid w:val="003873C6"/>
    <w:rsid w:val="00392002"/>
    <w:rsid w:val="00392A85"/>
    <w:rsid w:val="00393C9C"/>
    <w:rsid w:val="00396AFB"/>
    <w:rsid w:val="003A07D5"/>
    <w:rsid w:val="003A4E56"/>
    <w:rsid w:val="003A70CE"/>
    <w:rsid w:val="003C0E23"/>
    <w:rsid w:val="003C297A"/>
    <w:rsid w:val="003C540E"/>
    <w:rsid w:val="003C5F0C"/>
    <w:rsid w:val="003D17F9"/>
    <w:rsid w:val="003D3806"/>
    <w:rsid w:val="003D437B"/>
    <w:rsid w:val="003D4829"/>
    <w:rsid w:val="003E197F"/>
    <w:rsid w:val="003E442B"/>
    <w:rsid w:val="003E6E73"/>
    <w:rsid w:val="003E76C8"/>
    <w:rsid w:val="003F3F0B"/>
    <w:rsid w:val="0040152C"/>
    <w:rsid w:val="00402CBA"/>
    <w:rsid w:val="00412E9D"/>
    <w:rsid w:val="00414952"/>
    <w:rsid w:val="00416643"/>
    <w:rsid w:val="00423210"/>
    <w:rsid w:val="00425504"/>
    <w:rsid w:val="0042727E"/>
    <w:rsid w:val="004305D6"/>
    <w:rsid w:val="004377EE"/>
    <w:rsid w:val="00440CC0"/>
    <w:rsid w:val="00440D73"/>
    <w:rsid w:val="004437F3"/>
    <w:rsid w:val="00447D31"/>
    <w:rsid w:val="00452849"/>
    <w:rsid w:val="00455560"/>
    <w:rsid w:val="00456385"/>
    <w:rsid w:val="00465AB0"/>
    <w:rsid w:val="00470AB8"/>
    <w:rsid w:val="00477E9B"/>
    <w:rsid w:val="00482ECA"/>
    <w:rsid w:val="00485776"/>
    <w:rsid w:val="00485794"/>
    <w:rsid w:val="004867E2"/>
    <w:rsid w:val="00486826"/>
    <w:rsid w:val="0048784D"/>
    <w:rsid w:val="00493AA0"/>
    <w:rsid w:val="004A0670"/>
    <w:rsid w:val="004A299A"/>
    <w:rsid w:val="004A4851"/>
    <w:rsid w:val="004A5C81"/>
    <w:rsid w:val="004B0417"/>
    <w:rsid w:val="004B2999"/>
    <w:rsid w:val="004C04EB"/>
    <w:rsid w:val="004C3664"/>
    <w:rsid w:val="004C4927"/>
    <w:rsid w:val="004C6833"/>
    <w:rsid w:val="004D448C"/>
    <w:rsid w:val="004E067A"/>
    <w:rsid w:val="004E179B"/>
    <w:rsid w:val="004E2389"/>
    <w:rsid w:val="004E50C2"/>
    <w:rsid w:val="004E58C1"/>
    <w:rsid w:val="004F412D"/>
    <w:rsid w:val="00500FFF"/>
    <w:rsid w:val="00505824"/>
    <w:rsid w:val="0051563D"/>
    <w:rsid w:val="005179C7"/>
    <w:rsid w:val="0052107C"/>
    <w:rsid w:val="005221B7"/>
    <w:rsid w:val="00530100"/>
    <w:rsid w:val="0053231E"/>
    <w:rsid w:val="00532FA1"/>
    <w:rsid w:val="00536E0C"/>
    <w:rsid w:val="005408C7"/>
    <w:rsid w:val="005422E7"/>
    <w:rsid w:val="005437FD"/>
    <w:rsid w:val="00544A4E"/>
    <w:rsid w:val="00550138"/>
    <w:rsid w:val="0055205D"/>
    <w:rsid w:val="00553E33"/>
    <w:rsid w:val="00555C4C"/>
    <w:rsid w:val="00555D6E"/>
    <w:rsid w:val="00562F72"/>
    <w:rsid w:val="0056304B"/>
    <w:rsid w:val="00565356"/>
    <w:rsid w:val="0056556C"/>
    <w:rsid w:val="00566B97"/>
    <w:rsid w:val="00570C6C"/>
    <w:rsid w:val="00584334"/>
    <w:rsid w:val="00591A14"/>
    <w:rsid w:val="0059380A"/>
    <w:rsid w:val="0059724C"/>
    <w:rsid w:val="005A1AA7"/>
    <w:rsid w:val="005A4D0B"/>
    <w:rsid w:val="005A61B4"/>
    <w:rsid w:val="005A65E0"/>
    <w:rsid w:val="005A735B"/>
    <w:rsid w:val="005B04D8"/>
    <w:rsid w:val="005C1496"/>
    <w:rsid w:val="005C5EF4"/>
    <w:rsid w:val="005C6AAE"/>
    <w:rsid w:val="005D1073"/>
    <w:rsid w:val="005D1804"/>
    <w:rsid w:val="005D2770"/>
    <w:rsid w:val="005D5912"/>
    <w:rsid w:val="005D5D06"/>
    <w:rsid w:val="005D62B5"/>
    <w:rsid w:val="005E1DCE"/>
    <w:rsid w:val="005E2614"/>
    <w:rsid w:val="005E2695"/>
    <w:rsid w:val="005E7144"/>
    <w:rsid w:val="005F1E4A"/>
    <w:rsid w:val="0060642C"/>
    <w:rsid w:val="00607B0B"/>
    <w:rsid w:val="00611870"/>
    <w:rsid w:val="00614E29"/>
    <w:rsid w:val="0062216A"/>
    <w:rsid w:val="0062531C"/>
    <w:rsid w:val="00625634"/>
    <w:rsid w:val="00625EC1"/>
    <w:rsid w:val="00626F7D"/>
    <w:rsid w:val="00630199"/>
    <w:rsid w:val="006317C9"/>
    <w:rsid w:val="00632475"/>
    <w:rsid w:val="00632C35"/>
    <w:rsid w:val="006340B0"/>
    <w:rsid w:val="00636395"/>
    <w:rsid w:val="00636580"/>
    <w:rsid w:val="00641773"/>
    <w:rsid w:val="00641CB0"/>
    <w:rsid w:val="0064239F"/>
    <w:rsid w:val="006452FC"/>
    <w:rsid w:val="006456F1"/>
    <w:rsid w:val="006501AE"/>
    <w:rsid w:val="00653E73"/>
    <w:rsid w:val="00656A90"/>
    <w:rsid w:val="00657DD2"/>
    <w:rsid w:val="00662E5A"/>
    <w:rsid w:val="00664B6D"/>
    <w:rsid w:val="00664F67"/>
    <w:rsid w:val="006655E2"/>
    <w:rsid w:val="00670F54"/>
    <w:rsid w:val="006728F9"/>
    <w:rsid w:val="006746DA"/>
    <w:rsid w:val="006765C3"/>
    <w:rsid w:val="006767BC"/>
    <w:rsid w:val="006803BA"/>
    <w:rsid w:val="00684FB9"/>
    <w:rsid w:val="00686115"/>
    <w:rsid w:val="006922F5"/>
    <w:rsid w:val="00694113"/>
    <w:rsid w:val="006947D9"/>
    <w:rsid w:val="006A16DD"/>
    <w:rsid w:val="006A2587"/>
    <w:rsid w:val="006A641D"/>
    <w:rsid w:val="006B2EBD"/>
    <w:rsid w:val="006B3CFC"/>
    <w:rsid w:val="006B5E85"/>
    <w:rsid w:val="006C0CD8"/>
    <w:rsid w:val="006C45E7"/>
    <w:rsid w:val="006C5476"/>
    <w:rsid w:val="006C5AEE"/>
    <w:rsid w:val="006C679A"/>
    <w:rsid w:val="006D09FE"/>
    <w:rsid w:val="006D0C40"/>
    <w:rsid w:val="006D15C1"/>
    <w:rsid w:val="006D2783"/>
    <w:rsid w:val="006D4CD4"/>
    <w:rsid w:val="006D732F"/>
    <w:rsid w:val="006E110B"/>
    <w:rsid w:val="006E27DA"/>
    <w:rsid w:val="006E4597"/>
    <w:rsid w:val="006E688D"/>
    <w:rsid w:val="006F0027"/>
    <w:rsid w:val="006F1432"/>
    <w:rsid w:val="006F618A"/>
    <w:rsid w:val="006F7964"/>
    <w:rsid w:val="007028EC"/>
    <w:rsid w:val="007035D8"/>
    <w:rsid w:val="0070703E"/>
    <w:rsid w:val="00707D22"/>
    <w:rsid w:val="007103BE"/>
    <w:rsid w:val="00711E21"/>
    <w:rsid w:val="00712832"/>
    <w:rsid w:val="00713F05"/>
    <w:rsid w:val="00715168"/>
    <w:rsid w:val="0071637F"/>
    <w:rsid w:val="00716597"/>
    <w:rsid w:val="00716FED"/>
    <w:rsid w:val="00722691"/>
    <w:rsid w:val="007238E8"/>
    <w:rsid w:val="0072413F"/>
    <w:rsid w:val="00725FB9"/>
    <w:rsid w:val="00730020"/>
    <w:rsid w:val="007333AD"/>
    <w:rsid w:val="007360BF"/>
    <w:rsid w:val="00737D4D"/>
    <w:rsid w:val="007406E6"/>
    <w:rsid w:val="0074571C"/>
    <w:rsid w:val="00746CCD"/>
    <w:rsid w:val="00747CE1"/>
    <w:rsid w:val="007517A6"/>
    <w:rsid w:val="0075340B"/>
    <w:rsid w:val="007545C7"/>
    <w:rsid w:val="0076005C"/>
    <w:rsid w:val="0076111D"/>
    <w:rsid w:val="007635C1"/>
    <w:rsid w:val="00766B42"/>
    <w:rsid w:val="0076731D"/>
    <w:rsid w:val="00767650"/>
    <w:rsid w:val="00767A90"/>
    <w:rsid w:val="00770588"/>
    <w:rsid w:val="00770EDE"/>
    <w:rsid w:val="0078070C"/>
    <w:rsid w:val="00784541"/>
    <w:rsid w:val="00787790"/>
    <w:rsid w:val="00794DF2"/>
    <w:rsid w:val="007968CC"/>
    <w:rsid w:val="00796FB7"/>
    <w:rsid w:val="0079708B"/>
    <w:rsid w:val="007A4FD1"/>
    <w:rsid w:val="007B04A9"/>
    <w:rsid w:val="007B16AC"/>
    <w:rsid w:val="007B1D5C"/>
    <w:rsid w:val="007B54E0"/>
    <w:rsid w:val="007B5D05"/>
    <w:rsid w:val="007B5D1E"/>
    <w:rsid w:val="007C2217"/>
    <w:rsid w:val="007C2E29"/>
    <w:rsid w:val="007C471C"/>
    <w:rsid w:val="007C52D3"/>
    <w:rsid w:val="007D4258"/>
    <w:rsid w:val="007E000D"/>
    <w:rsid w:val="007E175B"/>
    <w:rsid w:val="007E3F8A"/>
    <w:rsid w:val="007F3645"/>
    <w:rsid w:val="007F58DD"/>
    <w:rsid w:val="007F6791"/>
    <w:rsid w:val="00802131"/>
    <w:rsid w:val="00805E44"/>
    <w:rsid w:val="00811C26"/>
    <w:rsid w:val="00812A44"/>
    <w:rsid w:val="00820059"/>
    <w:rsid w:val="008264EB"/>
    <w:rsid w:val="00827924"/>
    <w:rsid w:val="00830756"/>
    <w:rsid w:val="00837A90"/>
    <w:rsid w:val="00841F74"/>
    <w:rsid w:val="008448B1"/>
    <w:rsid w:val="0084624A"/>
    <w:rsid w:val="00855A49"/>
    <w:rsid w:val="00856DF5"/>
    <w:rsid w:val="00857E76"/>
    <w:rsid w:val="0086059A"/>
    <w:rsid w:val="00865932"/>
    <w:rsid w:val="00872059"/>
    <w:rsid w:val="00873673"/>
    <w:rsid w:val="008803A1"/>
    <w:rsid w:val="0088122A"/>
    <w:rsid w:val="008839CD"/>
    <w:rsid w:val="00886FEA"/>
    <w:rsid w:val="00892AC8"/>
    <w:rsid w:val="00897E5A"/>
    <w:rsid w:val="008A07AF"/>
    <w:rsid w:val="008A4580"/>
    <w:rsid w:val="008A4AC8"/>
    <w:rsid w:val="008A4E8B"/>
    <w:rsid w:val="008A58F9"/>
    <w:rsid w:val="008B014E"/>
    <w:rsid w:val="008C1853"/>
    <w:rsid w:val="008D09DE"/>
    <w:rsid w:val="008D5AFD"/>
    <w:rsid w:val="008D7939"/>
    <w:rsid w:val="008E3658"/>
    <w:rsid w:val="008E59EB"/>
    <w:rsid w:val="008E5D6A"/>
    <w:rsid w:val="008F26C0"/>
    <w:rsid w:val="008F42F4"/>
    <w:rsid w:val="00901462"/>
    <w:rsid w:val="00901D6C"/>
    <w:rsid w:val="00902A76"/>
    <w:rsid w:val="00904474"/>
    <w:rsid w:val="00904D1C"/>
    <w:rsid w:val="0091137C"/>
    <w:rsid w:val="0091384C"/>
    <w:rsid w:val="0091791A"/>
    <w:rsid w:val="009213F3"/>
    <w:rsid w:val="0092204C"/>
    <w:rsid w:val="00922DEE"/>
    <w:rsid w:val="009238AA"/>
    <w:rsid w:val="009244B8"/>
    <w:rsid w:val="00924894"/>
    <w:rsid w:val="00925748"/>
    <w:rsid w:val="00932407"/>
    <w:rsid w:val="00933B21"/>
    <w:rsid w:val="00933EC2"/>
    <w:rsid w:val="009374DD"/>
    <w:rsid w:val="00941048"/>
    <w:rsid w:val="009424A5"/>
    <w:rsid w:val="00950089"/>
    <w:rsid w:val="0095539D"/>
    <w:rsid w:val="009561A8"/>
    <w:rsid w:val="00957E88"/>
    <w:rsid w:val="00961B39"/>
    <w:rsid w:val="00961FBE"/>
    <w:rsid w:val="00964277"/>
    <w:rsid w:val="0097582E"/>
    <w:rsid w:val="00977D26"/>
    <w:rsid w:val="00977E26"/>
    <w:rsid w:val="009805EC"/>
    <w:rsid w:val="00984227"/>
    <w:rsid w:val="009904EA"/>
    <w:rsid w:val="00991AF5"/>
    <w:rsid w:val="0099343F"/>
    <w:rsid w:val="00995094"/>
    <w:rsid w:val="009A007B"/>
    <w:rsid w:val="009A0425"/>
    <w:rsid w:val="009A263C"/>
    <w:rsid w:val="009A53EC"/>
    <w:rsid w:val="009B053D"/>
    <w:rsid w:val="009B3E5D"/>
    <w:rsid w:val="009B64E3"/>
    <w:rsid w:val="009C5964"/>
    <w:rsid w:val="009C672E"/>
    <w:rsid w:val="009C77A3"/>
    <w:rsid w:val="009D0B90"/>
    <w:rsid w:val="009D1A6C"/>
    <w:rsid w:val="009D3827"/>
    <w:rsid w:val="009D6852"/>
    <w:rsid w:val="009E0725"/>
    <w:rsid w:val="009E0D48"/>
    <w:rsid w:val="009E1F38"/>
    <w:rsid w:val="009E5D18"/>
    <w:rsid w:val="009E6B78"/>
    <w:rsid w:val="009E6D37"/>
    <w:rsid w:val="009F1EC9"/>
    <w:rsid w:val="009F33F8"/>
    <w:rsid w:val="009F430A"/>
    <w:rsid w:val="009F4ACF"/>
    <w:rsid w:val="009F5557"/>
    <w:rsid w:val="00A028AC"/>
    <w:rsid w:val="00A02BFF"/>
    <w:rsid w:val="00A0554C"/>
    <w:rsid w:val="00A1015B"/>
    <w:rsid w:val="00A12B60"/>
    <w:rsid w:val="00A139AB"/>
    <w:rsid w:val="00A14828"/>
    <w:rsid w:val="00A15082"/>
    <w:rsid w:val="00A16AEE"/>
    <w:rsid w:val="00A2438F"/>
    <w:rsid w:val="00A25AF1"/>
    <w:rsid w:val="00A2711B"/>
    <w:rsid w:val="00A369E8"/>
    <w:rsid w:val="00A4199A"/>
    <w:rsid w:val="00A44515"/>
    <w:rsid w:val="00A4512D"/>
    <w:rsid w:val="00A541E1"/>
    <w:rsid w:val="00A54775"/>
    <w:rsid w:val="00A5502C"/>
    <w:rsid w:val="00A5694A"/>
    <w:rsid w:val="00A62B2E"/>
    <w:rsid w:val="00A65795"/>
    <w:rsid w:val="00A6672E"/>
    <w:rsid w:val="00A705AF"/>
    <w:rsid w:val="00A7126D"/>
    <w:rsid w:val="00A73C2F"/>
    <w:rsid w:val="00A75B58"/>
    <w:rsid w:val="00A77349"/>
    <w:rsid w:val="00A81D72"/>
    <w:rsid w:val="00A91C04"/>
    <w:rsid w:val="00A931E2"/>
    <w:rsid w:val="00A93A18"/>
    <w:rsid w:val="00A964DB"/>
    <w:rsid w:val="00A96DED"/>
    <w:rsid w:val="00AA0055"/>
    <w:rsid w:val="00AA0A90"/>
    <w:rsid w:val="00AA3A3E"/>
    <w:rsid w:val="00AA603A"/>
    <w:rsid w:val="00AA6DC2"/>
    <w:rsid w:val="00AA7B58"/>
    <w:rsid w:val="00AB05F5"/>
    <w:rsid w:val="00AB0A6E"/>
    <w:rsid w:val="00AB40AB"/>
    <w:rsid w:val="00AB5D37"/>
    <w:rsid w:val="00AB64E5"/>
    <w:rsid w:val="00AB67C9"/>
    <w:rsid w:val="00AB6E76"/>
    <w:rsid w:val="00AB6ED9"/>
    <w:rsid w:val="00AB6F9B"/>
    <w:rsid w:val="00AC1F54"/>
    <w:rsid w:val="00AC282B"/>
    <w:rsid w:val="00AC6331"/>
    <w:rsid w:val="00AC637F"/>
    <w:rsid w:val="00AD01B4"/>
    <w:rsid w:val="00AD055C"/>
    <w:rsid w:val="00AD52A0"/>
    <w:rsid w:val="00AD5717"/>
    <w:rsid w:val="00AE05BB"/>
    <w:rsid w:val="00AE0BA6"/>
    <w:rsid w:val="00AE3267"/>
    <w:rsid w:val="00AE5001"/>
    <w:rsid w:val="00AF6154"/>
    <w:rsid w:val="00B00182"/>
    <w:rsid w:val="00B004EB"/>
    <w:rsid w:val="00B07615"/>
    <w:rsid w:val="00B163F6"/>
    <w:rsid w:val="00B17FDF"/>
    <w:rsid w:val="00B20701"/>
    <w:rsid w:val="00B213FD"/>
    <w:rsid w:val="00B2338E"/>
    <w:rsid w:val="00B24DF4"/>
    <w:rsid w:val="00B2665E"/>
    <w:rsid w:val="00B30753"/>
    <w:rsid w:val="00B328AF"/>
    <w:rsid w:val="00B32DD1"/>
    <w:rsid w:val="00B37148"/>
    <w:rsid w:val="00B3720C"/>
    <w:rsid w:val="00B37974"/>
    <w:rsid w:val="00B41409"/>
    <w:rsid w:val="00B4251C"/>
    <w:rsid w:val="00B42851"/>
    <w:rsid w:val="00B42EA6"/>
    <w:rsid w:val="00B456E0"/>
    <w:rsid w:val="00B459E9"/>
    <w:rsid w:val="00B47076"/>
    <w:rsid w:val="00B5113E"/>
    <w:rsid w:val="00B55FCC"/>
    <w:rsid w:val="00B56B37"/>
    <w:rsid w:val="00B57759"/>
    <w:rsid w:val="00B60D44"/>
    <w:rsid w:val="00B60D86"/>
    <w:rsid w:val="00B77175"/>
    <w:rsid w:val="00B85393"/>
    <w:rsid w:val="00B904EC"/>
    <w:rsid w:val="00B91269"/>
    <w:rsid w:val="00B91454"/>
    <w:rsid w:val="00B929D9"/>
    <w:rsid w:val="00B93CD5"/>
    <w:rsid w:val="00B9432A"/>
    <w:rsid w:val="00B95803"/>
    <w:rsid w:val="00B95A67"/>
    <w:rsid w:val="00B96A84"/>
    <w:rsid w:val="00BA0015"/>
    <w:rsid w:val="00BA2A5D"/>
    <w:rsid w:val="00BA2DE8"/>
    <w:rsid w:val="00BA4AEE"/>
    <w:rsid w:val="00BB2D0A"/>
    <w:rsid w:val="00BB2E41"/>
    <w:rsid w:val="00BC07E4"/>
    <w:rsid w:val="00BC2684"/>
    <w:rsid w:val="00BC4293"/>
    <w:rsid w:val="00BC4D09"/>
    <w:rsid w:val="00BC6298"/>
    <w:rsid w:val="00BD0B57"/>
    <w:rsid w:val="00BD5F76"/>
    <w:rsid w:val="00BD649D"/>
    <w:rsid w:val="00BD741B"/>
    <w:rsid w:val="00BE0DE7"/>
    <w:rsid w:val="00BE6832"/>
    <w:rsid w:val="00BF2561"/>
    <w:rsid w:val="00BF5905"/>
    <w:rsid w:val="00BF6152"/>
    <w:rsid w:val="00C025A9"/>
    <w:rsid w:val="00C06314"/>
    <w:rsid w:val="00C10135"/>
    <w:rsid w:val="00C123DF"/>
    <w:rsid w:val="00C206EE"/>
    <w:rsid w:val="00C23604"/>
    <w:rsid w:val="00C236B2"/>
    <w:rsid w:val="00C261EA"/>
    <w:rsid w:val="00C308FA"/>
    <w:rsid w:val="00C31839"/>
    <w:rsid w:val="00C31A7F"/>
    <w:rsid w:val="00C32280"/>
    <w:rsid w:val="00C33D29"/>
    <w:rsid w:val="00C35287"/>
    <w:rsid w:val="00C35DEC"/>
    <w:rsid w:val="00C35ED6"/>
    <w:rsid w:val="00C35F32"/>
    <w:rsid w:val="00C436EE"/>
    <w:rsid w:val="00C47531"/>
    <w:rsid w:val="00C477AC"/>
    <w:rsid w:val="00C51BE7"/>
    <w:rsid w:val="00C53C65"/>
    <w:rsid w:val="00C565EF"/>
    <w:rsid w:val="00C57409"/>
    <w:rsid w:val="00C57614"/>
    <w:rsid w:val="00C618D7"/>
    <w:rsid w:val="00C624CC"/>
    <w:rsid w:val="00C63431"/>
    <w:rsid w:val="00C63C14"/>
    <w:rsid w:val="00C64BBB"/>
    <w:rsid w:val="00C64D00"/>
    <w:rsid w:val="00C74935"/>
    <w:rsid w:val="00C7543A"/>
    <w:rsid w:val="00C810DB"/>
    <w:rsid w:val="00C84B06"/>
    <w:rsid w:val="00C85E91"/>
    <w:rsid w:val="00C911AD"/>
    <w:rsid w:val="00C929AD"/>
    <w:rsid w:val="00CA04C6"/>
    <w:rsid w:val="00CA522F"/>
    <w:rsid w:val="00CB0684"/>
    <w:rsid w:val="00CB2190"/>
    <w:rsid w:val="00CB5999"/>
    <w:rsid w:val="00CB5B1A"/>
    <w:rsid w:val="00CB5F24"/>
    <w:rsid w:val="00CB733F"/>
    <w:rsid w:val="00CC36EF"/>
    <w:rsid w:val="00CC4B4F"/>
    <w:rsid w:val="00CC4B8E"/>
    <w:rsid w:val="00CC5CD8"/>
    <w:rsid w:val="00CC697B"/>
    <w:rsid w:val="00CC6F53"/>
    <w:rsid w:val="00CC7207"/>
    <w:rsid w:val="00CE16CC"/>
    <w:rsid w:val="00CE1712"/>
    <w:rsid w:val="00CE3387"/>
    <w:rsid w:val="00CE3A39"/>
    <w:rsid w:val="00CE7355"/>
    <w:rsid w:val="00CF34D6"/>
    <w:rsid w:val="00CF4118"/>
    <w:rsid w:val="00CF419C"/>
    <w:rsid w:val="00CF702F"/>
    <w:rsid w:val="00D03291"/>
    <w:rsid w:val="00D042A3"/>
    <w:rsid w:val="00D05CB2"/>
    <w:rsid w:val="00D07BC5"/>
    <w:rsid w:val="00D07C0D"/>
    <w:rsid w:val="00D10D90"/>
    <w:rsid w:val="00D116AD"/>
    <w:rsid w:val="00D11C9F"/>
    <w:rsid w:val="00D13C42"/>
    <w:rsid w:val="00D16B25"/>
    <w:rsid w:val="00D20AD1"/>
    <w:rsid w:val="00D24922"/>
    <w:rsid w:val="00D301EA"/>
    <w:rsid w:val="00D31DC2"/>
    <w:rsid w:val="00D41AE5"/>
    <w:rsid w:val="00D429E0"/>
    <w:rsid w:val="00D42B9A"/>
    <w:rsid w:val="00D443A1"/>
    <w:rsid w:val="00D446AF"/>
    <w:rsid w:val="00D4484E"/>
    <w:rsid w:val="00D469E4"/>
    <w:rsid w:val="00D4728F"/>
    <w:rsid w:val="00D50BCB"/>
    <w:rsid w:val="00D50F47"/>
    <w:rsid w:val="00D5354B"/>
    <w:rsid w:val="00D563D0"/>
    <w:rsid w:val="00D738DB"/>
    <w:rsid w:val="00D73FE2"/>
    <w:rsid w:val="00D7465B"/>
    <w:rsid w:val="00D77741"/>
    <w:rsid w:val="00D81026"/>
    <w:rsid w:val="00D812BD"/>
    <w:rsid w:val="00D84622"/>
    <w:rsid w:val="00D8694D"/>
    <w:rsid w:val="00D87CBD"/>
    <w:rsid w:val="00D9306A"/>
    <w:rsid w:val="00D944BF"/>
    <w:rsid w:val="00D96327"/>
    <w:rsid w:val="00D975CE"/>
    <w:rsid w:val="00DB07A4"/>
    <w:rsid w:val="00DB5454"/>
    <w:rsid w:val="00DB5911"/>
    <w:rsid w:val="00DC0477"/>
    <w:rsid w:val="00DC0D24"/>
    <w:rsid w:val="00DD047B"/>
    <w:rsid w:val="00DD5D99"/>
    <w:rsid w:val="00DD6F15"/>
    <w:rsid w:val="00DE3C4E"/>
    <w:rsid w:val="00DE5D9E"/>
    <w:rsid w:val="00DE75D8"/>
    <w:rsid w:val="00DF0B12"/>
    <w:rsid w:val="00DF3751"/>
    <w:rsid w:val="00DF515C"/>
    <w:rsid w:val="00DF5695"/>
    <w:rsid w:val="00E00C20"/>
    <w:rsid w:val="00E015E6"/>
    <w:rsid w:val="00E02BEB"/>
    <w:rsid w:val="00E05B44"/>
    <w:rsid w:val="00E066B4"/>
    <w:rsid w:val="00E101E3"/>
    <w:rsid w:val="00E13C5C"/>
    <w:rsid w:val="00E209BF"/>
    <w:rsid w:val="00E2144C"/>
    <w:rsid w:val="00E22C12"/>
    <w:rsid w:val="00E236C6"/>
    <w:rsid w:val="00E3115C"/>
    <w:rsid w:val="00E34F33"/>
    <w:rsid w:val="00E35CBB"/>
    <w:rsid w:val="00E35DC5"/>
    <w:rsid w:val="00E40F95"/>
    <w:rsid w:val="00E41CF8"/>
    <w:rsid w:val="00E4269D"/>
    <w:rsid w:val="00E4312B"/>
    <w:rsid w:val="00E46615"/>
    <w:rsid w:val="00E5222C"/>
    <w:rsid w:val="00E57576"/>
    <w:rsid w:val="00E604B3"/>
    <w:rsid w:val="00E60650"/>
    <w:rsid w:val="00E60EE1"/>
    <w:rsid w:val="00E6109E"/>
    <w:rsid w:val="00E65475"/>
    <w:rsid w:val="00E674F3"/>
    <w:rsid w:val="00E708F6"/>
    <w:rsid w:val="00E716B4"/>
    <w:rsid w:val="00E7210E"/>
    <w:rsid w:val="00E86B67"/>
    <w:rsid w:val="00E9314D"/>
    <w:rsid w:val="00E95DFC"/>
    <w:rsid w:val="00EA33D5"/>
    <w:rsid w:val="00EA5C37"/>
    <w:rsid w:val="00EA5E02"/>
    <w:rsid w:val="00EA5FD0"/>
    <w:rsid w:val="00EA63B1"/>
    <w:rsid w:val="00EA78C1"/>
    <w:rsid w:val="00EB0020"/>
    <w:rsid w:val="00EB3985"/>
    <w:rsid w:val="00EC7D3F"/>
    <w:rsid w:val="00ED0468"/>
    <w:rsid w:val="00ED0DD3"/>
    <w:rsid w:val="00ED2736"/>
    <w:rsid w:val="00ED648B"/>
    <w:rsid w:val="00EE16DD"/>
    <w:rsid w:val="00EE2AE5"/>
    <w:rsid w:val="00EE31B0"/>
    <w:rsid w:val="00EE356F"/>
    <w:rsid w:val="00EE397E"/>
    <w:rsid w:val="00EE552C"/>
    <w:rsid w:val="00EE65B1"/>
    <w:rsid w:val="00EF1C55"/>
    <w:rsid w:val="00EF1C95"/>
    <w:rsid w:val="00EF23C0"/>
    <w:rsid w:val="00EF2774"/>
    <w:rsid w:val="00EF4059"/>
    <w:rsid w:val="00EF5586"/>
    <w:rsid w:val="00F00403"/>
    <w:rsid w:val="00F067A6"/>
    <w:rsid w:val="00F078B7"/>
    <w:rsid w:val="00F07B77"/>
    <w:rsid w:val="00F100D6"/>
    <w:rsid w:val="00F1278D"/>
    <w:rsid w:val="00F14BFD"/>
    <w:rsid w:val="00F17566"/>
    <w:rsid w:val="00F20F84"/>
    <w:rsid w:val="00F238F2"/>
    <w:rsid w:val="00F332B3"/>
    <w:rsid w:val="00F34D63"/>
    <w:rsid w:val="00F35F7A"/>
    <w:rsid w:val="00F41C35"/>
    <w:rsid w:val="00F4438C"/>
    <w:rsid w:val="00F46ED7"/>
    <w:rsid w:val="00F549D7"/>
    <w:rsid w:val="00F556DB"/>
    <w:rsid w:val="00F560D5"/>
    <w:rsid w:val="00F56325"/>
    <w:rsid w:val="00F64D83"/>
    <w:rsid w:val="00F73D95"/>
    <w:rsid w:val="00F7441E"/>
    <w:rsid w:val="00F77044"/>
    <w:rsid w:val="00F776F9"/>
    <w:rsid w:val="00F8015E"/>
    <w:rsid w:val="00F83598"/>
    <w:rsid w:val="00F85766"/>
    <w:rsid w:val="00F86673"/>
    <w:rsid w:val="00F866FA"/>
    <w:rsid w:val="00F87AD4"/>
    <w:rsid w:val="00F91869"/>
    <w:rsid w:val="00F91CCA"/>
    <w:rsid w:val="00F931D3"/>
    <w:rsid w:val="00F9524F"/>
    <w:rsid w:val="00F95769"/>
    <w:rsid w:val="00FA289A"/>
    <w:rsid w:val="00FA3C5E"/>
    <w:rsid w:val="00FA4197"/>
    <w:rsid w:val="00FB3323"/>
    <w:rsid w:val="00FB375B"/>
    <w:rsid w:val="00FB6425"/>
    <w:rsid w:val="00FB722E"/>
    <w:rsid w:val="00FB731C"/>
    <w:rsid w:val="00FC3BB9"/>
    <w:rsid w:val="00FC7F5D"/>
    <w:rsid w:val="00FD1BC7"/>
    <w:rsid w:val="00FD1D84"/>
    <w:rsid w:val="00FD4E9C"/>
    <w:rsid w:val="00FD50A4"/>
    <w:rsid w:val="00FD744A"/>
    <w:rsid w:val="00FE58D5"/>
    <w:rsid w:val="00FE5CA3"/>
    <w:rsid w:val="00FF08C3"/>
    <w:rsid w:val="00FF7C8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601E7C"/>
  <w15:docId w15:val="{2AF5480B-02E6-C641-A790-1D2A2D21A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6">
    <w:lsdException w:name="Normal" w:locked="0" w:uiPriority="0" w:qFormat="1"/>
    <w:lsdException w:name="heading 1" w:locked="0" w:uiPriority="0" w:qFormat="1"/>
    <w:lsdException w:name="heading 2" w:locked="0" w:uiPriority="0"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99" w:unhideWhenUsed="1"/>
    <w:lsdException w:name="footer" w:locked="0"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22" w:qFormat="1"/>
    <w:lsdException w:name="Emphasis" w:locked="0" w:uiPriority="0"/>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uiPriority="0"/>
    <w:lsdException w:name="Table Grid"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0"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B37148"/>
    <w:pPr>
      <w:spacing w:before="120" w:after="120"/>
    </w:pPr>
  </w:style>
  <w:style w:type="paragraph" w:styleId="Heading1">
    <w:name w:val="heading 1"/>
    <w:basedOn w:val="Normal"/>
    <w:next w:val="Normal"/>
    <w:qFormat/>
    <w:rsid w:val="008C1853"/>
    <w:pPr>
      <w:spacing w:before="480" w:after="240"/>
      <w:outlineLvl w:val="0"/>
    </w:pPr>
    <w:rPr>
      <w:rFonts w:cs="Arial"/>
      <w:b/>
      <w:bCs/>
      <w:color w:val="005370" w:themeColor="text2"/>
      <w:kern w:val="28"/>
      <w:sz w:val="40"/>
      <w:szCs w:val="32"/>
    </w:rPr>
  </w:style>
  <w:style w:type="paragraph" w:styleId="Heading2">
    <w:name w:val="heading 2"/>
    <w:basedOn w:val="Heading1"/>
    <w:next w:val="Normal"/>
    <w:qFormat/>
    <w:rsid w:val="002A5442"/>
    <w:pPr>
      <w:spacing w:before="360"/>
      <w:outlineLvl w:val="1"/>
    </w:pPr>
    <w:rPr>
      <w:bCs w:val="0"/>
      <w:iCs/>
      <w:sz w:val="32"/>
      <w:szCs w:val="28"/>
    </w:rPr>
  </w:style>
  <w:style w:type="paragraph" w:styleId="Heading3">
    <w:name w:val="heading 3"/>
    <w:basedOn w:val="Heading2"/>
    <w:next w:val="Normal"/>
    <w:qFormat/>
    <w:rsid w:val="00A81D72"/>
    <w:pPr>
      <w:spacing w:before="300" w:after="180"/>
      <w:outlineLvl w:val="2"/>
    </w:pPr>
    <w:rPr>
      <w:bCs/>
      <w:sz w:val="28"/>
      <w:szCs w:val="26"/>
    </w:rPr>
  </w:style>
  <w:style w:type="paragraph" w:styleId="Heading4">
    <w:name w:val="heading 4"/>
    <w:basedOn w:val="Normal"/>
    <w:next w:val="Normal"/>
    <w:qFormat/>
    <w:rsid w:val="001A1EBD"/>
    <w:pPr>
      <w:keepNext/>
      <w:spacing w:before="240"/>
      <w:outlineLvl w:val="3"/>
    </w:pPr>
    <w:rPr>
      <w:b/>
      <w:bCs/>
      <w:color w:val="000000" w:themeColor="text1"/>
      <w:sz w:val="24"/>
      <w:szCs w:val="26"/>
    </w:rPr>
  </w:style>
  <w:style w:type="paragraph" w:styleId="Heading5">
    <w:name w:val="heading 5"/>
    <w:basedOn w:val="Normal"/>
    <w:next w:val="Normal"/>
    <w:qFormat/>
    <w:rsid w:val="002A5442"/>
    <w:pPr>
      <w:keepNext/>
      <w:spacing w:before="240"/>
      <w:outlineLvl w:val="4"/>
    </w:pPr>
    <w:rPr>
      <w:b/>
      <w:bCs/>
      <w:iCs/>
      <w:color w:val="000000" w:themeColor="text1"/>
    </w:rPr>
  </w:style>
  <w:style w:type="paragraph" w:styleId="Heading6">
    <w:name w:val="heading 6"/>
    <w:basedOn w:val="Normal"/>
    <w:next w:val="Normal"/>
    <w:uiPriority w:val="98"/>
    <w:locked/>
    <w:rsid w:val="007E3F8A"/>
    <w:pPr>
      <w:keepNext/>
      <w:outlineLvl w:val="5"/>
    </w:pPr>
    <w:rPr>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A705AF"/>
    <w:rPr>
      <w:i/>
      <w:iCs/>
    </w:rPr>
  </w:style>
  <w:style w:type="character" w:styleId="Strong">
    <w:name w:val="Strong"/>
    <w:basedOn w:val="DefaultParagraphFont"/>
    <w:uiPriority w:val="22"/>
    <w:qFormat/>
    <w:rsid w:val="00A705AF"/>
    <w:rPr>
      <w:b/>
      <w:bCs/>
    </w:rPr>
  </w:style>
  <w:style w:type="paragraph" w:styleId="Subtitle">
    <w:name w:val="Subtitle"/>
    <w:basedOn w:val="Normal"/>
    <w:next w:val="Normal"/>
    <w:link w:val="SubtitleChar"/>
    <w:uiPriority w:val="98"/>
    <w:locked/>
    <w:rsid w:val="00F866FA"/>
    <w:pPr>
      <w:numPr>
        <w:ilvl w:val="1"/>
      </w:numPr>
      <w:spacing w:after="240"/>
      <w:ind w:right="397"/>
    </w:pPr>
    <w:rPr>
      <w:rFonts w:asciiTheme="majorHAnsi" w:eastAsiaTheme="majorEastAsia" w:hAnsiTheme="majorHAnsi" w:cs="Times New Roman (Headings CS)"/>
      <w:b/>
      <w:iCs/>
      <w:color w:val="1178A0" w:themeColor="background2"/>
      <w:sz w:val="40"/>
    </w:rPr>
  </w:style>
  <w:style w:type="character" w:customStyle="1" w:styleId="SubtitleChar">
    <w:name w:val="Subtitle Char"/>
    <w:basedOn w:val="DefaultParagraphFont"/>
    <w:link w:val="Subtitle"/>
    <w:uiPriority w:val="98"/>
    <w:rsid w:val="00F866FA"/>
    <w:rPr>
      <w:rFonts w:asciiTheme="majorHAnsi" w:eastAsiaTheme="majorEastAsia" w:hAnsiTheme="majorHAnsi" w:cs="Times New Roman (Headings CS)"/>
      <w:b/>
      <w:iCs/>
      <w:color w:val="1178A0" w:themeColor="background2"/>
      <w:sz w:val="40"/>
    </w:rPr>
  </w:style>
  <w:style w:type="paragraph" w:styleId="Title">
    <w:name w:val="Title"/>
    <w:basedOn w:val="Normal"/>
    <w:next w:val="Normal"/>
    <w:link w:val="TitleChar"/>
    <w:uiPriority w:val="99"/>
    <w:qFormat/>
    <w:rsid w:val="00D975CE"/>
    <w:pPr>
      <w:spacing w:before="480" w:after="240"/>
      <w:contextualSpacing/>
    </w:pPr>
    <w:rPr>
      <w:rFonts w:asciiTheme="majorHAnsi" w:eastAsiaTheme="majorEastAsia" w:hAnsiTheme="majorHAnsi" w:cs="Times New Roman (Headings CS)"/>
      <w:b/>
      <w:color w:val="005370" w:themeColor="text2"/>
      <w:spacing w:val="-6"/>
      <w:kern w:val="28"/>
      <w:sz w:val="60"/>
      <w:szCs w:val="56"/>
    </w:rPr>
  </w:style>
  <w:style w:type="character" w:customStyle="1" w:styleId="TitleChar">
    <w:name w:val="Title Char"/>
    <w:basedOn w:val="DefaultParagraphFont"/>
    <w:link w:val="Title"/>
    <w:uiPriority w:val="99"/>
    <w:rsid w:val="00D975CE"/>
    <w:rPr>
      <w:rFonts w:asciiTheme="majorHAnsi" w:eastAsiaTheme="majorEastAsia" w:hAnsiTheme="majorHAnsi" w:cs="Times New Roman (Headings CS)"/>
      <w:b/>
      <w:color w:val="005370" w:themeColor="text2"/>
      <w:spacing w:val="-6"/>
      <w:kern w:val="28"/>
      <w:sz w:val="60"/>
      <w:szCs w:val="56"/>
    </w:rPr>
  </w:style>
  <w:style w:type="paragraph" w:customStyle="1" w:styleId="PulloutTextHead">
    <w:name w:val="Pullout Text Head"/>
    <w:basedOn w:val="Heading3"/>
    <w:qFormat/>
    <w:rsid w:val="00036AB8"/>
    <w:pPr>
      <w:pBdr>
        <w:left w:val="single" w:sz="48" w:space="8" w:color="1178A0" w:themeColor="background2"/>
      </w:pBdr>
      <w:spacing w:before="180" w:after="120"/>
      <w:ind w:left="284"/>
    </w:pPr>
    <w:rPr>
      <w:caps/>
      <w:sz w:val="22"/>
      <w:lang w:val="en-GB"/>
    </w:rPr>
  </w:style>
  <w:style w:type="paragraph" w:styleId="TOC1">
    <w:name w:val="toc 1"/>
    <w:basedOn w:val="Normal"/>
    <w:next w:val="Normal"/>
    <w:autoRedefine/>
    <w:uiPriority w:val="39"/>
    <w:qFormat/>
    <w:rsid w:val="007A4FD1"/>
    <w:pPr>
      <w:tabs>
        <w:tab w:val="left" w:leader="dot" w:pos="9015"/>
      </w:tabs>
    </w:pPr>
    <w:rPr>
      <w:rFonts w:cstheme="minorHAnsi"/>
      <w:b/>
      <w:bCs/>
      <w:color w:val="005370" w:themeColor="text2"/>
      <w:sz w:val="24"/>
      <w:szCs w:val="20"/>
    </w:rPr>
  </w:style>
  <w:style w:type="paragraph" w:styleId="TOC2">
    <w:name w:val="toc 2"/>
    <w:basedOn w:val="Normal"/>
    <w:next w:val="Normal"/>
    <w:autoRedefine/>
    <w:uiPriority w:val="39"/>
    <w:qFormat/>
    <w:rsid w:val="004A299A"/>
    <w:pPr>
      <w:tabs>
        <w:tab w:val="right" w:leader="dot" w:pos="9015"/>
      </w:tabs>
      <w:ind w:left="221"/>
    </w:pPr>
    <w:rPr>
      <w:rFonts w:cstheme="minorHAnsi"/>
      <w:noProof/>
      <w:szCs w:val="20"/>
    </w:rPr>
  </w:style>
  <w:style w:type="paragraph" w:styleId="TOC3">
    <w:name w:val="toc 3"/>
    <w:basedOn w:val="Normal"/>
    <w:next w:val="Normal"/>
    <w:autoRedefine/>
    <w:uiPriority w:val="39"/>
    <w:qFormat/>
    <w:rsid w:val="007A4FD1"/>
    <w:pPr>
      <w:tabs>
        <w:tab w:val="right" w:leader="dot" w:pos="9015"/>
      </w:tabs>
      <w:spacing w:after="0"/>
      <w:ind w:left="442"/>
    </w:pPr>
    <w:rPr>
      <w:rFonts w:cs="Arial (Body)"/>
      <w:iCs/>
      <w:noProof/>
      <w:szCs w:val="20"/>
    </w:rPr>
  </w:style>
  <w:style w:type="paragraph" w:customStyle="1" w:styleId="FigureTableTitle">
    <w:name w:val="Figure/Table Title"/>
    <w:basedOn w:val="Normal"/>
    <w:qFormat/>
    <w:rsid w:val="00FD1BC7"/>
    <w:pPr>
      <w:spacing w:before="240" w:after="240"/>
      <w:contextualSpacing/>
    </w:pPr>
    <w:rPr>
      <w:b/>
    </w:rPr>
  </w:style>
  <w:style w:type="paragraph" w:styleId="FootnoteText">
    <w:name w:val="footnote text"/>
    <w:basedOn w:val="Normal"/>
    <w:link w:val="FootnoteTextChar"/>
    <w:rsid w:val="006765C3"/>
    <w:pPr>
      <w:spacing w:before="180" w:after="180"/>
      <w:contextualSpacing/>
    </w:pPr>
    <w:rPr>
      <w:sz w:val="18"/>
      <w:szCs w:val="20"/>
    </w:rPr>
  </w:style>
  <w:style w:type="character" w:customStyle="1" w:styleId="FootnoteTextChar">
    <w:name w:val="Footnote Text Char"/>
    <w:basedOn w:val="DefaultParagraphFont"/>
    <w:link w:val="FootnoteText"/>
    <w:rsid w:val="006765C3"/>
    <w:rPr>
      <w:sz w:val="18"/>
      <w:szCs w:val="20"/>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Light Heading"/>
    <w:basedOn w:val="TableNormal"/>
    <w:locked/>
    <w:rsid w:val="00FB722E"/>
    <w:pPr>
      <w:spacing w:before="60" w:after="60"/>
    </w:pPr>
    <w:rPr>
      <w:color w:val="000000" w:themeColor="text1"/>
      <w:sz w:val="20"/>
    </w:rPr>
    <w:tblPr>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CellMar>
        <w:top w:w="57" w:type="dxa"/>
        <w:left w:w="57" w:type="dxa"/>
        <w:bottom w:w="57" w:type="dxa"/>
        <w:right w:w="57" w:type="dxa"/>
      </w:tblCellMar>
    </w:tblPr>
    <w:tcPr>
      <w:shd w:val="clear" w:color="auto" w:fill="auto"/>
    </w:tcPr>
    <w:tblStylePr w:type="firstRow">
      <w:pPr>
        <w:wordWrap/>
        <w:spacing w:beforeLines="0" w:before="60" w:beforeAutospacing="0" w:afterLines="0" w:after="60" w:afterAutospacing="0" w:line="240" w:lineRule="auto"/>
        <w:jc w:val="left"/>
        <w:outlineLvl w:val="9"/>
      </w:pPr>
      <w:rPr>
        <w:rFonts w:asciiTheme="minorHAnsi" w:hAnsiTheme="minorHAnsi"/>
        <w:b/>
        <w:color w:val="000000" w:themeColor="text1"/>
        <w:sz w:val="20"/>
      </w:rPr>
      <w:tblPr/>
      <w:tcPr>
        <w:shd w:val="clear" w:color="auto" w:fill="E6F1F8" w:themeFill="accent2"/>
      </w:tcPr>
    </w:tblStylePr>
  </w:style>
  <w:style w:type="character" w:customStyle="1" w:styleId="Underline">
    <w:name w:val="Underline"/>
    <w:basedOn w:val="DefaultParagraphFont"/>
    <w:qFormat/>
    <w:rsid w:val="00E13C5C"/>
    <w:rPr>
      <w:u w:val="single"/>
    </w:rPr>
  </w:style>
  <w:style w:type="paragraph" w:styleId="Header">
    <w:name w:val="header"/>
    <w:basedOn w:val="Normal"/>
    <w:link w:val="HeaderChar"/>
    <w:uiPriority w:val="99"/>
    <w:unhideWhenUsed/>
    <w:locked/>
    <w:rsid w:val="00555D6E"/>
    <w:pPr>
      <w:tabs>
        <w:tab w:val="center" w:pos="4513"/>
        <w:tab w:val="right" w:pos="9026"/>
      </w:tabs>
      <w:spacing w:before="0"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9"/>
    <w:rsid w:val="00555D6E"/>
  </w:style>
  <w:style w:type="character" w:styleId="Hyperlink">
    <w:name w:val="Hyperlink"/>
    <w:basedOn w:val="DefaultParagraphFont"/>
    <w:uiPriority w:val="99"/>
    <w:rsid w:val="009374DD"/>
    <w:rPr>
      <w:color w:val="005370" w:themeColor="text2"/>
      <w:u w:val="single"/>
    </w:rPr>
  </w:style>
  <w:style w:type="paragraph" w:styleId="Footer">
    <w:name w:val="footer"/>
    <w:basedOn w:val="Normal"/>
    <w:link w:val="FooterChar"/>
    <w:rsid w:val="00D84622"/>
    <w:pPr>
      <w:tabs>
        <w:tab w:val="right" w:pos="9638"/>
      </w:tabs>
      <w:spacing w:after="0"/>
    </w:pPr>
    <w:rPr>
      <w:sz w:val="20"/>
    </w:rPr>
  </w:style>
  <w:style w:type="character" w:customStyle="1" w:styleId="FooterChar">
    <w:name w:val="Footer Char"/>
    <w:basedOn w:val="DefaultParagraphFont"/>
    <w:link w:val="Footer"/>
    <w:rsid w:val="00D84622"/>
    <w:rPr>
      <w:sz w:val="20"/>
    </w:rPr>
  </w:style>
  <w:style w:type="character" w:styleId="FollowedHyperlink">
    <w:name w:val="FollowedHyperlink"/>
    <w:basedOn w:val="DefaultParagraphFont"/>
    <w:rsid w:val="006E4597"/>
    <w:rPr>
      <w:color w:val="1178A0" w:themeColor="background2"/>
      <w:u w:val="single"/>
    </w:rPr>
  </w:style>
  <w:style w:type="paragraph" w:styleId="TOCHeading">
    <w:name w:val="TOC Heading"/>
    <w:basedOn w:val="Heading1"/>
    <w:next w:val="Normal"/>
    <w:unhideWhenUsed/>
    <w:qFormat/>
    <w:rsid w:val="00255596"/>
    <w:pPr>
      <w:spacing w:after="0" w:line="276" w:lineRule="auto"/>
      <w:outlineLvl w:val="9"/>
    </w:pPr>
    <w:rPr>
      <w:rFonts w:asciiTheme="majorHAnsi" w:eastAsiaTheme="majorEastAsia" w:hAnsiTheme="majorHAnsi" w:cstheme="majorBidi"/>
      <w:color w:val="007CAB" w:themeColor="accent1" w:themeShade="BF"/>
      <w:kern w:val="0"/>
      <w:szCs w:val="28"/>
      <w:lang w:val="en-US" w:eastAsia="ja-JP"/>
    </w:rPr>
  </w:style>
  <w:style w:type="paragraph" w:customStyle="1" w:styleId="Captions">
    <w:name w:val="Captions"/>
    <w:basedOn w:val="Normal"/>
    <w:link w:val="CaptionsChar"/>
    <w:qFormat/>
    <w:rsid w:val="00A15082"/>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uiPriority w:val="99"/>
    <w:qFormat/>
    <w:rsid w:val="006E110B"/>
    <w:pPr>
      <w:spacing w:before="480" w:after="0"/>
    </w:pPr>
    <w:rPr>
      <w:color w:val="005370" w:themeColor="text2"/>
      <w:sz w:val="32"/>
      <w:szCs w:val="40"/>
    </w:rPr>
  </w:style>
  <w:style w:type="character" w:customStyle="1" w:styleId="PublicationDateChar">
    <w:name w:val="Publication Date Char"/>
    <w:basedOn w:val="DefaultParagraphFont"/>
    <w:link w:val="PublicationDate"/>
    <w:uiPriority w:val="99"/>
    <w:rsid w:val="006E110B"/>
    <w:rPr>
      <w:color w:val="005370" w:themeColor="text2"/>
      <w:sz w:val="32"/>
      <w:szCs w:val="40"/>
    </w:rPr>
  </w:style>
  <w:style w:type="paragraph" w:customStyle="1" w:styleId="Redtext">
    <w:name w:val="Red text"/>
    <w:basedOn w:val="Normal"/>
    <w:qFormat/>
    <w:rsid w:val="00F866FA"/>
    <w:pPr>
      <w:spacing w:after="80"/>
    </w:pPr>
    <w:rPr>
      <w:color w:val="E1241A" w:themeColor="accent6"/>
    </w:rPr>
  </w:style>
  <w:style w:type="paragraph" w:styleId="TOC4">
    <w:name w:val="toc 4"/>
    <w:basedOn w:val="Normal"/>
    <w:next w:val="Normal"/>
    <w:autoRedefine/>
    <w:uiPriority w:val="39"/>
    <w:locked/>
    <w:rsid w:val="002E6A48"/>
    <w:pPr>
      <w:tabs>
        <w:tab w:val="right" w:pos="9016"/>
      </w:tabs>
      <w:spacing w:after="0"/>
      <w:ind w:left="658"/>
    </w:pPr>
  </w:style>
  <w:style w:type="table" w:customStyle="1" w:styleId="DarkHeadingBanded">
    <w:name w:val="Dark Heading Banded"/>
    <w:basedOn w:val="TableNormal"/>
    <w:uiPriority w:val="99"/>
    <w:rsid w:val="00737D4D"/>
    <w:pPr>
      <w:spacing w:after="0"/>
    </w:pPr>
    <w:rPr>
      <w:sz w:val="20"/>
    </w:rPr>
    <w:tblPr>
      <w:tblStyleRowBandSize w:val="1"/>
      <w:tblStyleColBandSize w:val="1"/>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pPr>
        <w:jc w:val="left"/>
      </w:pPr>
      <w:rPr>
        <w:b/>
        <w:color w:val="FFFFFF" w:themeColor="background1"/>
      </w:rPr>
      <w:tblPr/>
      <w:tcPr>
        <w:shd w:val="clear" w:color="auto" w:fill="1178A0" w:themeFill="background2"/>
      </w:tcPr>
    </w:tblStylePr>
    <w:tblStylePr w:type="band2Horz">
      <w:tblPr/>
      <w:tcPr>
        <w:shd w:val="clear" w:color="auto" w:fill="F2F2F2" w:themeFill="background1" w:themeFillShade="F2"/>
      </w:tcPr>
    </w:tblStylePr>
  </w:style>
  <w:style w:type="table" w:customStyle="1" w:styleId="DarkHeading">
    <w:name w:val="Dark Heading"/>
    <w:basedOn w:val="TableNormal"/>
    <w:uiPriority w:val="99"/>
    <w:rsid w:val="00737D4D"/>
    <w:pPr>
      <w:spacing w:after="0"/>
    </w:pPr>
    <w:rPr>
      <w:sz w:val="20"/>
      <w:szCs w:val="20"/>
    </w:rPr>
    <w:tblPr>
      <w:tblBorders>
        <w:top w:val="single" w:sz="4" w:space="0" w:color="1178A0" w:themeColor="background2"/>
        <w:left w:val="single" w:sz="4" w:space="0" w:color="1178A0" w:themeColor="background2"/>
        <w:bottom w:val="single" w:sz="4" w:space="0" w:color="1178A0" w:themeColor="background2"/>
        <w:right w:val="single" w:sz="4" w:space="0" w:color="1178A0" w:themeColor="background2"/>
        <w:insideH w:val="single" w:sz="4" w:space="0" w:color="1178A0" w:themeColor="background2"/>
        <w:insideV w:val="single" w:sz="4" w:space="0" w:color="1178A0" w:themeColor="background2"/>
      </w:tblBorders>
    </w:tblPr>
    <w:tblStylePr w:type="firstRow">
      <w:rPr>
        <w:rFonts w:asciiTheme="minorHAnsi" w:hAnsiTheme="minorHAnsi"/>
        <w:b/>
        <w:color w:val="FFFFFF"/>
        <w:sz w:val="20"/>
      </w:rPr>
      <w:tblPr/>
      <w:tcPr>
        <w:shd w:val="clear" w:color="auto" w:fill="1178A0" w:themeFill="background2"/>
      </w:tcPr>
    </w:tblStylePr>
  </w:style>
  <w:style w:type="table" w:customStyle="1" w:styleId="LightHeadingBanded">
    <w:name w:val="Light Heading Banded"/>
    <w:basedOn w:val="TableNormal"/>
    <w:uiPriority w:val="99"/>
    <w:rsid w:val="00737D4D"/>
    <w:pPr>
      <w:spacing w:after="0"/>
    </w:pPr>
    <w:rPr>
      <w:sz w:val="20"/>
    </w:rPr>
    <w:tblPr>
      <w:tblStyleRowBandSize w:val="1"/>
      <w:tblBorders>
        <w:top w:val="single" w:sz="4" w:space="0" w:color="005370" w:themeColor="text2"/>
        <w:left w:val="single" w:sz="4" w:space="0" w:color="005370" w:themeColor="text2"/>
        <w:bottom w:val="single" w:sz="4" w:space="0" w:color="005370" w:themeColor="text2"/>
        <w:right w:val="single" w:sz="4" w:space="0" w:color="005370" w:themeColor="text2"/>
        <w:insideH w:val="single" w:sz="4" w:space="0" w:color="005370" w:themeColor="text2"/>
        <w:insideV w:val="single" w:sz="4" w:space="0" w:color="005370" w:themeColor="text2"/>
      </w:tblBorders>
    </w:tblPr>
    <w:tblStylePr w:type="firstRow">
      <w:rPr>
        <w:rFonts w:asciiTheme="minorHAnsi" w:hAnsiTheme="minorHAnsi"/>
        <w:b/>
        <w:color w:val="000000" w:themeColor="text1"/>
      </w:rPr>
      <w:tblPr/>
      <w:tcPr>
        <w:shd w:val="clear" w:color="auto" w:fill="E6F1F8" w:themeFill="accent2"/>
      </w:tcPr>
    </w:tblStylePr>
    <w:tblStylePr w:type="band2Horz">
      <w:tblPr/>
      <w:tcPr>
        <w:shd w:val="clear" w:color="auto" w:fill="F2F2F2" w:themeFill="background1" w:themeFillShade="F2"/>
      </w:tcPr>
    </w:tblStylePr>
  </w:style>
  <w:style w:type="paragraph" w:customStyle="1" w:styleId="PulloutBoxHeading">
    <w:name w:val="Pullout Box Heading"/>
    <w:basedOn w:val="Heading3"/>
    <w:qFormat/>
    <w:rsid w:val="00036AB8"/>
    <w:pPr>
      <w:spacing w:before="120" w:after="60"/>
    </w:pPr>
  </w:style>
  <w:style w:type="table" w:customStyle="1" w:styleId="PulloutBox">
    <w:name w:val="Pullout Box"/>
    <w:basedOn w:val="TableNormal"/>
    <w:uiPriority w:val="99"/>
    <w:rsid w:val="00F866FA"/>
    <w:pPr>
      <w:spacing w:after="0"/>
    </w:pPr>
    <w:tblPr>
      <w:tblCellMar>
        <w:top w:w="284" w:type="dxa"/>
        <w:left w:w="284" w:type="dxa"/>
        <w:bottom w:w="284" w:type="dxa"/>
        <w:right w:w="284" w:type="dxa"/>
      </w:tblCellMar>
    </w:tblPr>
    <w:tcPr>
      <w:shd w:val="clear" w:color="auto" w:fill="E6F1F8" w:themeFill="accent2"/>
    </w:tcPr>
  </w:style>
  <w:style w:type="paragraph" w:styleId="ListParagraph">
    <w:name w:val="List Paragraph"/>
    <w:aliases w:val="NFP GP Bulleted List,List Paragraph1,Recommendation,Bullet table,Bullet point,CV text,Dot pt,F5 List Paragraph,FooterText,L,List Paragraph11,List Paragraph111,List Paragraph2,Medium Grid 1 - Accent 21,NAST Quote,Numbered Paragraph,1 headi"/>
    <w:basedOn w:val="Normal"/>
    <w:link w:val="ListParagraphChar"/>
    <w:uiPriority w:val="34"/>
    <w:qFormat/>
    <w:locked/>
    <w:rsid w:val="00A6672E"/>
    <w:pPr>
      <w:ind w:left="720"/>
      <w:contextualSpacing/>
    </w:pPr>
  </w:style>
  <w:style w:type="character" w:customStyle="1" w:styleId="ListParagraphChar">
    <w:name w:val="List Paragraph Char"/>
    <w:aliases w:val="NFP GP Bulleted List Char,List Paragraph1 Char,Recommendation Char,Bullet table Char,Bullet point Char,CV text Char,Dot pt Char,F5 List Paragraph Char,FooterText Char,L Char,List Paragraph11 Char,List Paragraph111 Char,1 headi Char"/>
    <w:basedOn w:val="DefaultParagraphFont"/>
    <w:link w:val="ListParagraph"/>
    <w:uiPriority w:val="34"/>
    <w:qFormat/>
    <w:rsid w:val="00A6672E"/>
  </w:style>
  <w:style w:type="paragraph" w:styleId="EndnoteText">
    <w:name w:val="endnote text"/>
    <w:basedOn w:val="Normal"/>
    <w:link w:val="EndnoteTextChar"/>
    <w:unhideWhenUsed/>
    <w:locked/>
    <w:rsid w:val="00EA63B1"/>
    <w:pPr>
      <w:spacing w:after="0"/>
    </w:pPr>
    <w:rPr>
      <w:rFonts w:ascii="Arial" w:hAnsi="Arial"/>
      <w:sz w:val="20"/>
      <w:szCs w:val="20"/>
      <w:lang w:val="en-GB" w:eastAsia="en-US"/>
    </w:rPr>
  </w:style>
  <w:style w:type="character" w:customStyle="1" w:styleId="EndnoteTextChar">
    <w:name w:val="Endnote Text Char"/>
    <w:basedOn w:val="DefaultParagraphFont"/>
    <w:link w:val="EndnoteText"/>
    <w:rsid w:val="00EA63B1"/>
    <w:rPr>
      <w:rFonts w:ascii="Arial" w:hAnsi="Arial"/>
      <w:sz w:val="20"/>
      <w:szCs w:val="20"/>
      <w:lang w:val="en-GB" w:eastAsia="en-US"/>
    </w:rPr>
  </w:style>
  <w:style w:type="character" w:styleId="EndnoteReference">
    <w:name w:val="endnote reference"/>
    <w:basedOn w:val="DefaultParagraphFont"/>
    <w:unhideWhenUsed/>
    <w:locked/>
    <w:rsid w:val="00EA63B1"/>
    <w:rPr>
      <w:vertAlign w:val="superscript"/>
    </w:rPr>
  </w:style>
  <w:style w:type="paragraph" w:customStyle="1" w:styleId="Default">
    <w:name w:val="Default"/>
    <w:rsid w:val="00632475"/>
    <w:pPr>
      <w:autoSpaceDE w:val="0"/>
      <w:autoSpaceDN w:val="0"/>
      <w:adjustRightInd w:val="0"/>
      <w:spacing w:after="0"/>
    </w:pPr>
    <w:rPr>
      <w:rFonts w:ascii="Gotham Medium" w:hAnsi="Gotham Medium" w:cs="Gotham Medium"/>
      <w:color w:val="000000"/>
      <w:sz w:val="24"/>
      <w:szCs w:val="24"/>
    </w:rPr>
  </w:style>
  <w:style w:type="table" w:customStyle="1" w:styleId="Plain">
    <w:name w:val="Plain"/>
    <w:basedOn w:val="TableNormal"/>
    <w:next w:val="TableGrid"/>
    <w:rsid w:val="00423210"/>
    <w:pPr>
      <w:spacing w:before="60" w:after="60"/>
    </w:pPr>
    <w:rPr>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b/>
      </w:rPr>
      <w:tblPr/>
      <w:trPr>
        <w:cantSplit/>
        <w:tblHeader/>
      </w:trPr>
    </w:tblStylePr>
  </w:style>
  <w:style w:type="paragraph" w:customStyle="1" w:styleId="TRIMnumber">
    <w:name w:val="TRIM number"/>
    <w:basedOn w:val="Normal"/>
    <w:qFormat/>
    <w:rsid w:val="00932407"/>
    <w:pPr>
      <w:spacing w:before="0" w:after="360"/>
      <w:jc w:val="right"/>
    </w:pPr>
  </w:style>
  <w:style w:type="paragraph" w:styleId="Revision">
    <w:name w:val="Revision"/>
    <w:hidden/>
    <w:uiPriority w:val="99"/>
    <w:semiHidden/>
    <w:rsid w:val="00174535"/>
    <w:pPr>
      <w:spacing w:after="0"/>
    </w:pPr>
  </w:style>
  <w:style w:type="character" w:customStyle="1" w:styleId="Superscript">
    <w:name w:val="Superscript"/>
    <w:uiPriority w:val="99"/>
    <w:rsid w:val="00183675"/>
    <w:rPr>
      <w:u w:val="none"/>
      <w:vertAlign w:val="superscript"/>
    </w:rPr>
  </w:style>
  <w:style w:type="paragraph" w:styleId="DocumentMap">
    <w:name w:val="Document Map"/>
    <w:basedOn w:val="Normal"/>
    <w:link w:val="DocumentMapChar"/>
    <w:uiPriority w:val="98"/>
    <w:semiHidden/>
    <w:unhideWhenUsed/>
    <w:locked/>
    <w:rsid w:val="006F7964"/>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8"/>
    <w:semiHidden/>
    <w:rsid w:val="006F7964"/>
    <w:rPr>
      <w:rFonts w:ascii="Lucida Grande" w:hAnsi="Lucida Grande" w:cs="Lucida Grande"/>
      <w:sz w:val="24"/>
      <w:szCs w:val="24"/>
    </w:rPr>
  </w:style>
  <w:style w:type="character" w:customStyle="1" w:styleId="Roman">
    <w:name w:val="Roman"/>
    <w:uiPriority w:val="99"/>
    <w:rsid w:val="00195458"/>
  </w:style>
  <w:style w:type="character" w:customStyle="1" w:styleId="Italic">
    <w:name w:val="Italic"/>
    <w:uiPriority w:val="99"/>
    <w:rsid w:val="0099343F"/>
    <w:rPr>
      <w:i/>
      <w:iCs/>
    </w:rPr>
  </w:style>
  <w:style w:type="character" w:styleId="UnresolvedMention">
    <w:name w:val="Unresolved Mention"/>
    <w:basedOn w:val="DefaultParagraphFont"/>
    <w:uiPriority w:val="99"/>
    <w:semiHidden/>
    <w:unhideWhenUsed/>
    <w:rsid w:val="00AB0A6E"/>
    <w:rPr>
      <w:color w:val="605E5C"/>
      <w:shd w:val="clear" w:color="auto" w:fill="E1DFDD"/>
    </w:rPr>
  </w:style>
  <w:style w:type="paragraph" w:customStyle="1" w:styleId="FactSheetType">
    <w:name w:val="Fact Sheet Type"/>
    <w:basedOn w:val="Normal"/>
    <w:qFormat/>
    <w:rsid w:val="0056304B"/>
    <w:pPr>
      <w:spacing w:before="0" w:after="480"/>
      <w:jc w:val="right"/>
    </w:pPr>
    <w:rPr>
      <w:bCs/>
      <w:sz w:val="28"/>
    </w:rPr>
  </w:style>
  <w:style w:type="paragraph" w:customStyle="1" w:styleId="PulloutTextBody">
    <w:name w:val="Pullout Text Body"/>
    <w:basedOn w:val="Normal"/>
    <w:qFormat/>
    <w:rsid w:val="00036AB8"/>
    <w:pPr>
      <w:pBdr>
        <w:left w:val="single" w:sz="48" w:space="8" w:color="1178A0" w:themeColor="background2"/>
      </w:pBdr>
      <w:spacing w:before="180"/>
      <w:ind w:left="284"/>
    </w:pPr>
    <w:rPr>
      <w:b/>
    </w:rPr>
  </w:style>
  <w:style w:type="table" w:customStyle="1" w:styleId="SurveyQuestions">
    <w:name w:val="Survey Questions"/>
    <w:basedOn w:val="DarkHeading"/>
    <w:uiPriority w:val="99"/>
    <w:rsid w:val="006456F1"/>
    <w:rPr>
      <w:sz w:val="22"/>
    </w:rPr>
    <w:tblPr/>
    <w:tblStylePr w:type="firstRow">
      <w:rPr>
        <w:rFonts w:asciiTheme="minorHAnsi" w:hAnsiTheme="minorHAnsi"/>
        <w:b/>
        <w:color w:val="FFFFFF"/>
        <w:sz w:val="22"/>
      </w:rPr>
      <w:tblPr/>
      <w:tcPr>
        <w:shd w:val="clear" w:color="auto" w:fill="1178A0" w:themeFill="background2"/>
      </w:tcPr>
    </w:tblStylePr>
    <w:tblStylePr w:type="firstCol">
      <w:rPr>
        <w:b/>
      </w:rPr>
      <w:tblPr/>
      <w:tcPr>
        <w:shd w:val="clear" w:color="auto" w:fill="E6F1F8" w:themeFill="accent2"/>
      </w:tcPr>
    </w:tblStylePr>
  </w:style>
  <w:style w:type="paragraph" w:customStyle="1" w:styleId="Heading1a">
    <w:name w:val="Heading 1a"/>
    <w:basedOn w:val="Heading1"/>
    <w:next w:val="Normal"/>
    <w:rsid w:val="008C1853"/>
    <w:pPr>
      <w:spacing w:before="0" w:after="480"/>
      <w:outlineLvl w:val="9"/>
    </w:pPr>
    <w:rPr>
      <w:rFonts w:ascii="Arial" w:hAnsi="Arial"/>
      <w:color w:val="0B6080"/>
      <w:kern w:val="32"/>
      <w:sz w:val="44"/>
    </w:rPr>
  </w:style>
  <w:style w:type="paragraph" w:customStyle="1" w:styleId="ImprintText">
    <w:name w:val="ImprintText"/>
    <w:basedOn w:val="Normal"/>
    <w:rsid w:val="000F6B39"/>
    <w:pPr>
      <w:spacing w:before="0"/>
    </w:pPr>
    <w:rPr>
      <w:rFonts w:ascii="Arial" w:hAnsi="Arial"/>
      <w:color w:val="000000"/>
      <w:szCs w:val="20"/>
    </w:rPr>
  </w:style>
  <w:style w:type="character" w:customStyle="1" w:styleId="DraftingNotesChar">
    <w:name w:val="DraftingNotesChar"/>
    <w:basedOn w:val="DefaultParagraphFont"/>
    <w:uiPriority w:val="1"/>
    <w:rsid w:val="000F6B39"/>
    <w:rPr>
      <w:rFonts w:ascii="Arial" w:hAnsi="Arial"/>
      <w:noProof/>
      <w:color w:val="FF40FF"/>
      <w:sz w:val="22"/>
    </w:rPr>
  </w:style>
  <w:style w:type="paragraph" w:customStyle="1" w:styleId="DraftingNotes">
    <w:name w:val="DraftingNotes"/>
    <w:basedOn w:val="Normal"/>
    <w:rsid w:val="008C1853"/>
    <w:pPr>
      <w:spacing w:before="0" w:after="240"/>
    </w:pPr>
    <w:rPr>
      <w:rFonts w:ascii="Arial" w:hAnsi="Arial"/>
      <w:b/>
      <w:color w:val="FF40FF"/>
      <w:szCs w:val="20"/>
    </w:rPr>
  </w:style>
  <w:style w:type="paragraph" w:customStyle="1" w:styleId="Backpagelogoholder">
    <w:name w:val="Back page logo holder"/>
    <w:basedOn w:val="Normal"/>
    <w:qFormat/>
    <w:rsid w:val="000E15DA"/>
    <w:pPr>
      <w:keepLines/>
      <w:spacing w:before="10920" w:after="240"/>
      <w:ind w:hanging="142"/>
    </w:pPr>
    <w:rPr>
      <w:rFonts w:eastAsiaTheme="majorEastAsia"/>
      <w:noProof/>
    </w:rPr>
  </w:style>
  <w:style w:type="character" w:styleId="LineNumber">
    <w:name w:val="line number"/>
    <w:basedOn w:val="DefaultParagraphFont"/>
    <w:uiPriority w:val="98"/>
    <w:semiHidden/>
    <w:unhideWhenUsed/>
    <w:locked/>
    <w:rsid w:val="006C45E7"/>
  </w:style>
  <w:style w:type="paragraph" w:customStyle="1" w:styleId="SandQwebaddress">
    <w:name w:val="S and Q web address"/>
    <w:basedOn w:val="Normal"/>
    <w:qFormat/>
    <w:rsid w:val="00262327"/>
    <w:pPr>
      <w:spacing w:before="480" w:after="60"/>
    </w:pPr>
  </w:style>
  <w:style w:type="paragraph" w:customStyle="1" w:styleId="Category">
    <w:name w:val="Category"/>
    <w:basedOn w:val="Normal"/>
    <w:qFormat/>
    <w:rsid w:val="00BC6298"/>
    <w:pPr>
      <w:keepLines/>
      <w:spacing w:before="0" w:after="0"/>
      <w:jc w:val="right"/>
    </w:pPr>
    <w:rPr>
      <w:b/>
      <w:color w:val="000000" w:themeColor="text1"/>
      <w:sz w:val="28"/>
      <w:szCs w:val="40"/>
      <w:lang w:val="en-US"/>
    </w:rPr>
  </w:style>
  <w:style w:type="paragraph" w:customStyle="1" w:styleId="designdirection">
    <w:name w:val="design direction"/>
    <w:basedOn w:val="Normal"/>
    <w:qFormat/>
    <w:rsid w:val="00BC6298"/>
    <w:pPr>
      <w:spacing w:before="0" w:after="0" w:line="276" w:lineRule="auto"/>
    </w:pPr>
    <w:rPr>
      <w:rFonts w:ascii="Arial" w:eastAsia="Arial" w:hAnsi="Arial" w:cs="Arial"/>
      <w:color w:val="0432FF"/>
      <w:lang w:val="en-GB" w:eastAsia="en-GB"/>
    </w:rPr>
  </w:style>
  <w:style w:type="paragraph" w:customStyle="1" w:styleId="TicksLists">
    <w:name w:val="Ticks (Lists)"/>
    <w:basedOn w:val="Normal"/>
    <w:uiPriority w:val="99"/>
    <w:rsid w:val="002E1AAD"/>
    <w:pPr>
      <w:numPr>
        <w:numId w:val="32"/>
      </w:numPr>
      <w:ind w:left="357" w:hanging="357"/>
    </w:pPr>
    <w:rPr>
      <w:rFonts w:ascii="Arial" w:hAnsi="Arial" w:cs="Arial"/>
      <w:color w:val="000000" w:themeColor="text1"/>
      <w:lang w:eastAsia="en-US"/>
    </w:rPr>
  </w:style>
  <w:style w:type="character" w:styleId="CommentReference">
    <w:name w:val="annotation reference"/>
    <w:basedOn w:val="DefaultParagraphFont"/>
    <w:unhideWhenUsed/>
    <w:locked/>
    <w:rsid w:val="00A2438F"/>
    <w:rPr>
      <w:sz w:val="16"/>
      <w:szCs w:val="16"/>
    </w:rPr>
  </w:style>
  <w:style w:type="paragraph" w:customStyle="1" w:styleId="Website">
    <w:name w:val="Website"/>
    <w:basedOn w:val="Normal"/>
    <w:uiPriority w:val="99"/>
    <w:rsid w:val="00327E4E"/>
    <w:pPr>
      <w:keepLines/>
      <w:widowControl w:val="0"/>
      <w:suppressAutoHyphens/>
      <w:autoSpaceDE w:val="0"/>
      <w:autoSpaceDN w:val="0"/>
      <w:adjustRightInd w:val="0"/>
      <w:spacing w:before="480" w:after="60"/>
      <w:textAlignment w:val="center"/>
    </w:pPr>
    <w:rPr>
      <w:rFonts w:cs="ProximaNova-Bold"/>
      <w:b/>
      <w:bCs/>
      <w:color w:val="005370" w:themeColor="text2"/>
      <w:sz w:val="27"/>
      <w:szCs w:val="27"/>
      <w:u w:color="1178A2"/>
      <w:lang w:val="en-US"/>
    </w:rPr>
  </w:style>
  <w:style w:type="paragraph" w:styleId="CommentText">
    <w:name w:val="annotation text"/>
    <w:basedOn w:val="Normal"/>
    <w:link w:val="CommentTextChar"/>
    <w:unhideWhenUsed/>
    <w:locked/>
    <w:rsid w:val="00886FEA"/>
    <w:rPr>
      <w:sz w:val="20"/>
      <w:szCs w:val="20"/>
    </w:rPr>
  </w:style>
  <w:style w:type="character" w:customStyle="1" w:styleId="CommentTextChar">
    <w:name w:val="Comment Text Char"/>
    <w:basedOn w:val="DefaultParagraphFont"/>
    <w:link w:val="CommentText"/>
    <w:rsid w:val="00886FEA"/>
    <w:rPr>
      <w:sz w:val="20"/>
      <w:szCs w:val="20"/>
    </w:rPr>
  </w:style>
  <w:style w:type="paragraph" w:styleId="CommentSubject">
    <w:name w:val="annotation subject"/>
    <w:basedOn w:val="CommentText"/>
    <w:next w:val="CommentText"/>
    <w:link w:val="CommentSubjectChar"/>
    <w:uiPriority w:val="98"/>
    <w:semiHidden/>
    <w:unhideWhenUsed/>
    <w:locked/>
    <w:rsid w:val="00886FEA"/>
    <w:rPr>
      <w:b/>
      <w:bCs/>
    </w:rPr>
  </w:style>
  <w:style w:type="character" w:customStyle="1" w:styleId="CommentSubjectChar">
    <w:name w:val="Comment Subject Char"/>
    <w:basedOn w:val="CommentTextChar"/>
    <w:link w:val="CommentSubject"/>
    <w:uiPriority w:val="98"/>
    <w:semiHidden/>
    <w:rsid w:val="00886FE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971472">
      <w:bodyDiv w:val="1"/>
      <w:marLeft w:val="0"/>
      <w:marRight w:val="0"/>
      <w:marTop w:val="0"/>
      <w:marBottom w:val="0"/>
      <w:divBdr>
        <w:top w:val="none" w:sz="0" w:space="0" w:color="auto"/>
        <w:left w:val="none" w:sz="0" w:space="0" w:color="auto"/>
        <w:bottom w:val="none" w:sz="0" w:space="0" w:color="auto"/>
        <w:right w:val="none" w:sz="0" w:space="0" w:color="auto"/>
      </w:divBdr>
      <w:divsChild>
        <w:div w:id="382369097">
          <w:marLeft w:val="0"/>
          <w:marRight w:val="0"/>
          <w:marTop w:val="240"/>
          <w:marBottom w:val="480"/>
          <w:divBdr>
            <w:top w:val="none" w:sz="0" w:space="0" w:color="auto"/>
            <w:left w:val="none" w:sz="0" w:space="0" w:color="auto"/>
            <w:bottom w:val="none" w:sz="0" w:space="0" w:color="auto"/>
            <w:right w:val="none" w:sz="0" w:space="0" w:color="auto"/>
          </w:divBdr>
          <w:divsChild>
            <w:div w:id="87702876">
              <w:marLeft w:val="0"/>
              <w:marRight w:val="0"/>
              <w:marTop w:val="0"/>
              <w:marBottom w:val="0"/>
              <w:divBdr>
                <w:top w:val="none" w:sz="0" w:space="0" w:color="auto"/>
                <w:left w:val="none" w:sz="0" w:space="0" w:color="auto"/>
                <w:bottom w:val="none" w:sz="0" w:space="0" w:color="auto"/>
                <w:right w:val="none" w:sz="0" w:space="0" w:color="auto"/>
              </w:divBdr>
              <w:divsChild>
                <w:div w:id="112749679">
                  <w:marLeft w:val="0"/>
                  <w:marRight w:val="0"/>
                  <w:marTop w:val="0"/>
                  <w:marBottom w:val="0"/>
                  <w:divBdr>
                    <w:top w:val="none" w:sz="0" w:space="0" w:color="auto"/>
                    <w:left w:val="none" w:sz="0" w:space="0" w:color="auto"/>
                    <w:bottom w:val="none" w:sz="0" w:space="0" w:color="auto"/>
                    <w:right w:val="none" w:sz="0" w:space="0" w:color="auto"/>
                  </w:divBdr>
                  <w:divsChild>
                    <w:div w:id="1983850956">
                      <w:marLeft w:val="0"/>
                      <w:marRight w:val="0"/>
                      <w:marTop w:val="0"/>
                      <w:marBottom w:val="0"/>
                      <w:divBdr>
                        <w:top w:val="none" w:sz="0" w:space="0" w:color="auto"/>
                        <w:left w:val="none" w:sz="0" w:space="0" w:color="auto"/>
                        <w:bottom w:val="none" w:sz="0" w:space="0" w:color="auto"/>
                        <w:right w:val="none" w:sz="0" w:space="0" w:color="auto"/>
                      </w:divBdr>
                      <w:divsChild>
                        <w:div w:id="1582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1152867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94522675">
      <w:bodyDiv w:val="1"/>
      <w:marLeft w:val="0"/>
      <w:marRight w:val="0"/>
      <w:marTop w:val="0"/>
      <w:marBottom w:val="0"/>
      <w:divBdr>
        <w:top w:val="none" w:sz="0" w:space="0" w:color="auto"/>
        <w:left w:val="none" w:sz="0" w:space="0" w:color="auto"/>
        <w:bottom w:val="none" w:sz="0" w:space="0" w:color="auto"/>
        <w:right w:val="none" w:sz="0" w:space="0" w:color="auto"/>
      </w:divBdr>
    </w:div>
    <w:div w:id="2096585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afetyandquality.gov.au/publications-and-resources/resource-library/australian-framework-national-clinical-quality-registries-2024"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safetyandquality.gov.au/publications-and-resources/resource-library/attachment-1-australian-cqr-logical-design-and-infrastructure-guideline"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afetyandquality.gov.au/publications-and-resources/resource-library/australian-framework-national-clinical-quality-registries-2024"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safetyandquality.gov.au" TargetMode="External"/><Relationship Id="rId10" Type="http://schemas.openxmlformats.org/officeDocument/2006/relationships/endnotes" Target="endnotes.xml"/><Relationship Id="rId19" Type="http://schemas.openxmlformats.org/officeDocument/2006/relationships/hyperlink" Target="https://www.health.gov.au/our-work/national-clinical-quality-registry-progr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safetyandquality.gov.au/publications-and-resources/resource-library/attachment-2-australian-cqr-security-compliance-guidelin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pen Disclosure">
      <a:dk1>
        <a:srgbClr val="000000"/>
      </a:dk1>
      <a:lt1>
        <a:srgbClr val="FFFFFF"/>
      </a:lt1>
      <a:dk2>
        <a:srgbClr val="005370"/>
      </a:dk2>
      <a:lt2>
        <a:srgbClr val="1178A0"/>
      </a:lt2>
      <a:accent1>
        <a:srgbClr val="00A7E5"/>
      </a:accent1>
      <a:accent2>
        <a:srgbClr val="E6F1F8"/>
      </a:accent2>
      <a:accent3>
        <a:srgbClr val="0065A3"/>
      </a:accent3>
      <a:accent4>
        <a:srgbClr val="00B2CB"/>
      </a:accent4>
      <a:accent5>
        <a:srgbClr val="00B28E"/>
      </a:accent5>
      <a:accent6>
        <a:srgbClr val="E1241A"/>
      </a:accent6>
      <a:hlink>
        <a:srgbClr val="1178A2"/>
      </a:hlink>
      <a:folHlink>
        <a:srgbClr val="1178A1"/>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743DCC77DB274DB22D4DDF53FCBF5F" ma:contentTypeVersion="18" ma:contentTypeDescription="Create a new document." ma:contentTypeScope="" ma:versionID="f2315991d8f1da9559351f72d0e0457d">
  <xsd:schema xmlns:xsd="http://www.w3.org/2001/XMLSchema" xmlns:xs="http://www.w3.org/2001/XMLSchema" xmlns:p="http://schemas.microsoft.com/office/2006/metadata/properties" xmlns:ns2="4498f89d-1eae-456b-90f1-fc78c5fe8b2a" xmlns:ns3="ac66711c-8613-4dde-a928-6bd510ab7da4" targetNamespace="http://schemas.microsoft.com/office/2006/metadata/properties" ma:root="true" ma:fieldsID="9a763c1932d058a543df9faa9858a109" ns2:_="" ns3:_="">
    <xsd:import namespace="4498f89d-1eae-456b-90f1-fc78c5fe8b2a"/>
    <xsd:import namespace="ac66711c-8613-4dde-a928-6bd510ab7da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98f89d-1eae-456b-90f1-fc78c5fe8b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3bf5309-f60c-4adc-92cd-c2ac96d59903}" ma:internalName="TaxCatchAll" ma:showField="CatchAllData" ma:web="4498f89d-1eae-456b-90f1-fc78c5fe8b2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66711c-8613-4dde-a928-6bd510ab7da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498f89d-1eae-456b-90f1-fc78c5fe8b2a" xsi:nil="true"/>
    <lcf76f155ced4ddcb4097134ff3c332f xmlns="ac66711c-8613-4dde-a928-6bd510ab7da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4ED53-EB4B-49A4-AD2E-696576FC5B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98f89d-1eae-456b-90f1-fc78c5fe8b2a"/>
    <ds:schemaRef ds:uri="ac66711c-8613-4dde-a928-6bd510ab7d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E1C3D3-2B3A-4E54-8A75-513EA6A431F3}">
  <ds:schemaRefs>
    <ds:schemaRef ds:uri="http://schemas.microsoft.com/sharepoint/v3/contenttype/forms"/>
  </ds:schemaRefs>
</ds:datastoreItem>
</file>

<file path=customXml/itemProps3.xml><?xml version="1.0" encoding="utf-8"?>
<ds:datastoreItem xmlns:ds="http://schemas.openxmlformats.org/officeDocument/2006/customXml" ds:itemID="{8110993F-C032-4EB5-B966-AAD7DBE5B118}">
  <ds:schemaRefs>
    <ds:schemaRef ds:uri="http://schemas.microsoft.com/office/2006/metadata/properties"/>
    <ds:schemaRef ds:uri="http://schemas.microsoft.com/office/infopath/2007/PartnerControls"/>
    <ds:schemaRef ds:uri="4498f89d-1eae-456b-90f1-fc78c5fe8b2a"/>
    <ds:schemaRef ds:uri="ac66711c-8613-4dde-a928-6bd510ab7da4"/>
  </ds:schemaRefs>
</ds:datastoreItem>
</file>

<file path=customXml/itemProps4.xml><?xml version="1.0" encoding="utf-8"?>
<ds:datastoreItem xmlns:ds="http://schemas.openxmlformats.org/officeDocument/2006/customXml" ds:itemID="{3D016665-7C5A-3347-B9F9-71760F4C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Pages>
  <Words>949</Words>
  <Characters>5413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Manager/>
  <Company>Australian Commission on Safety and Quality in Health Care</Company>
  <LinksUpToDate>false</LinksUpToDate>
  <CharactersWithSpaces>6350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Aija Christie</cp:lastModifiedBy>
  <cp:revision>5</cp:revision>
  <cp:lastPrinted>2020-03-04T03:32:00Z</cp:lastPrinted>
  <dcterms:created xsi:type="dcterms:W3CDTF">2024-08-26T00:04:00Z</dcterms:created>
  <dcterms:modified xsi:type="dcterms:W3CDTF">2024-08-26T06:55:00Z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0x01010028743DCC77DB274DB22D4DDF53FCBF5F</vt:lpwstr>
  </property>
  <property fmtid="{D5CDD505-2E9C-101B-9397-08002B2CF9AE}" pid="3" name="MediaServiceImageTags">
    <vt:lpwstr/>
  </property>
</Properties>
</file>