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67E" w14:textId="51538F0E" w:rsidR="001D2636" w:rsidRDefault="00923D2C" w:rsidP="00923D2C">
      <w:pPr>
        <w:pStyle w:val="Heading1"/>
        <w:spacing w:before="0" w:after="360" w:line="240" w:lineRule="auto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DA3EF12" wp14:editId="6450C2F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452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19D3AE" wp14:editId="78A13793">
            <wp:extent cx="2710800" cy="389307"/>
            <wp:effectExtent l="0" t="0" r="0" b="0"/>
            <wp:docPr id="1" name="Picture 1" descr="Just think: could it be sep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ust think: could it be sepsis?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3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10003" w14:textId="6CB744DC" w:rsidR="00D607F9" w:rsidRPr="00923D2C" w:rsidRDefault="00923D2C" w:rsidP="00923D2C">
      <w:pPr>
        <w:pStyle w:val="Title"/>
        <w:ind w:right="4166"/>
        <w:rPr>
          <w:color w:val="FFFFFF" w:themeColor="background1"/>
          <w:sz w:val="104"/>
          <w:szCs w:val="104"/>
        </w:rPr>
      </w:pPr>
      <w:r w:rsidRPr="00923D2C">
        <w:rPr>
          <w:color w:val="FFFFFF" w:themeColor="background1"/>
          <w:sz w:val="104"/>
          <w:szCs w:val="104"/>
        </w:rPr>
        <w:t>Sepsis for clinicians – fact sheet</w:t>
      </w:r>
    </w:p>
    <w:p w14:paraId="4DD99545" w14:textId="77777777" w:rsidR="00923D2C" w:rsidRPr="00923D2C" w:rsidRDefault="00923D2C" w:rsidP="00923D2C">
      <w:pPr>
        <w:spacing w:before="1440"/>
        <w:rPr>
          <w:lang w:eastAsia="en-GB"/>
        </w:rPr>
      </w:pPr>
    </w:p>
    <w:p w14:paraId="7FAB2DEC" w14:textId="77777777" w:rsidR="00923D2C" w:rsidRDefault="00923D2C">
      <w:pPr>
        <w:sectPr w:rsidR="00923D2C" w:rsidSect="00923D2C">
          <w:type w:val="continuous"/>
          <w:pgSz w:w="11906" w:h="16838" w:code="9"/>
          <w:pgMar w:top="1021" w:right="1361" w:bottom="567" w:left="567" w:header="284" w:footer="284" w:gutter="0"/>
          <w:cols w:space="340"/>
          <w:docGrid w:linePitch="360"/>
        </w:sectPr>
      </w:pPr>
    </w:p>
    <w:p w14:paraId="03A9A4D9" w14:textId="77777777" w:rsidR="00923D2C" w:rsidRDefault="00923D2C" w:rsidP="00923D2C">
      <w:pPr>
        <w:pStyle w:val="Heading2"/>
      </w:pPr>
      <w:r>
        <w:t>WHAT IS SEPSIS?</w:t>
      </w:r>
    </w:p>
    <w:p w14:paraId="1E25C75D" w14:textId="77777777" w:rsidR="00923D2C" w:rsidRPr="008E69A2" w:rsidRDefault="00923D2C" w:rsidP="008E69A2">
      <w:pPr>
        <w:spacing w:line="288" w:lineRule="auto"/>
        <w:rPr>
          <w:sz w:val="21"/>
          <w:szCs w:val="21"/>
        </w:rPr>
      </w:pPr>
      <w:r w:rsidRPr="008E69A2">
        <w:rPr>
          <w:sz w:val="21"/>
          <w:szCs w:val="21"/>
        </w:rPr>
        <w:t>Sepsis is a life-threatening condition that arises when the body’s response to an infection damages its own tissues and organs. Sepsis is also a medical emergency, requiring rapid treatment to increase a patient’s chance of survival.</w:t>
      </w:r>
    </w:p>
    <w:p w14:paraId="2A5E0CE9" w14:textId="77777777" w:rsidR="00923D2C" w:rsidRDefault="00923D2C" w:rsidP="00923D2C">
      <w:pPr>
        <w:pStyle w:val="Heading2"/>
      </w:pPr>
      <w:r>
        <w:t>HIGH RISK GROUPS</w:t>
      </w:r>
    </w:p>
    <w:p w14:paraId="33F843C3" w14:textId="77777777" w:rsidR="00923D2C" w:rsidRDefault="00923D2C" w:rsidP="008E69A2">
      <w:pPr>
        <w:pStyle w:val="Bullet1"/>
      </w:pPr>
      <w:r>
        <w:t>Neonates and young children</w:t>
      </w:r>
    </w:p>
    <w:p w14:paraId="4ABE9E0F" w14:textId="77777777" w:rsidR="00923D2C" w:rsidRDefault="00923D2C" w:rsidP="008E69A2">
      <w:pPr>
        <w:pStyle w:val="Bullet1"/>
      </w:pPr>
      <w:r>
        <w:t>Older Australians</w:t>
      </w:r>
    </w:p>
    <w:p w14:paraId="78245C5D" w14:textId="77777777" w:rsidR="00923D2C" w:rsidRDefault="00923D2C" w:rsidP="008E69A2">
      <w:pPr>
        <w:pStyle w:val="Bullet1"/>
      </w:pPr>
      <w:r>
        <w:t>Aboriginal and Torres Strait Islander peoples</w:t>
      </w:r>
    </w:p>
    <w:p w14:paraId="43A8CDC3" w14:textId="77777777" w:rsidR="00923D2C" w:rsidRDefault="00923D2C" w:rsidP="008E69A2">
      <w:pPr>
        <w:pStyle w:val="Bullet1"/>
      </w:pPr>
      <w:r>
        <w:t>Patients with multiple comorbidities</w:t>
      </w:r>
    </w:p>
    <w:p w14:paraId="688A9490" w14:textId="77777777" w:rsidR="00923D2C" w:rsidRDefault="00923D2C" w:rsidP="008E69A2">
      <w:pPr>
        <w:pStyle w:val="Bullet1"/>
      </w:pPr>
      <w:r>
        <w:t>Patients with indwelling devices</w:t>
      </w:r>
    </w:p>
    <w:p w14:paraId="67D77BD7" w14:textId="77777777" w:rsidR="00923D2C" w:rsidRDefault="00923D2C" w:rsidP="008E69A2">
      <w:pPr>
        <w:pStyle w:val="Bullet1"/>
      </w:pPr>
      <w:r>
        <w:t>Patients with COVID-19</w:t>
      </w:r>
    </w:p>
    <w:p w14:paraId="10CF562A" w14:textId="77777777" w:rsidR="00923D2C" w:rsidRDefault="00923D2C" w:rsidP="008E69A2">
      <w:pPr>
        <w:pStyle w:val="Bullet1"/>
      </w:pPr>
      <w:r>
        <w:t>Immunocompromised patients</w:t>
      </w:r>
    </w:p>
    <w:p w14:paraId="3162319A" w14:textId="77777777" w:rsidR="00923D2C" w:rsidRDefault="00923D2C" w:rsidP="008E69A2">
      <w:pPr>
        <w:pStyle w:val="Bullet1"/>
      </w:pPr>
      <w:r>
        <w:t>Pregnant women, both during pregnancy and following childbirth</w:t>
      </w:r>
    </w:p>
    <w:p w14:paraId="1BCEAF2F" w14:textId="77777777" w:rsidR="00923D2C" w:rsidRDefault="00923D2C" w:rsidP="008E69A2">
      <w:pPr>
        <w:pStyle w:val="Bullet1"/>
      </w:pPr>
      <w:r>
        <w:t>Cancer patients treated with chemotherapy</w:t>
      </w:r>
    </w:p>
    <w:p w14:paraId="51A81A79" w14:textId="5CA623C6" w:rsidR="00923D2C" w:rsidRDefault="00923D2C" w:rsidP="008E69A2">
      <w:pPr>
        <w:pStyle w:val="Bullet1"/>
      </w:pPr>
      <w:r>
        <w:t>Sepsis survivors, previously diagnosed with sepsis.</w:t>
      </w:r>
    </w:p>
    <w:p w14:paraId="43053AFE" w14:textId="4F951C2A" w:rsidR="00923D2C" w:rsidRDefault="00923D2C" w:rsidP="00923D2C">
      <w:pPr>
        <w:pStyle w:val="Heading2"/>
      </w:pPr>
      <w:r>
        <w:br w:type="column"/>
      </w:r>
      <w:r w:rsidRPr="00923D2C">
        <w:t>WHAT ARE THE SIGNS OF SEPSIS?</w:t>
      </w:r>
    </w:p>
    <w:tbl>
      <w:tblPr>
        <w:tblW w:w="5103" w:type="dxa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Signs of sepsis in adults and children"/>
      </w:tblPr>
      <w:tblGrid>
        <w:gridCol w:w="2127"/>
        <w:gridCol w:w="2976"/>
      </w:tblGrid>
      <w:tr w:rsidR="00923D2C" w14:paraId="0B6B418B" w14:textId="77777777" w:rsidTr="008E69A2">
        <w:trPr>
          <w:tblHeader/>
        </w:trPr>
        <w:tc>
          <w:tcPr>
            <w:tcW w:w="2127" w:type="dxa"/>
            <w:tcBorders>
              <w:bottom w:val="single" w:sz="4" w:space="0" w:color="5F0F2F" w:themeColor="text2"/>
            </w:tcBorders>
          </w:tcPr>
          <w:p w14:paraId="578AE867" w14:textId="5FC8F9D5" w:rsidR="00923D2C" w:rsidRDefault="00923D2C">
            <w:r>
              <w:t>In adults:</w:t>
            </w:r>
          </w:p>
        </w:tc>
        <w:tc>
          <w:tcPr>
            <w:tcW w:w="2976" w:type="dxa"/>
            <w:tcBorders>
              <w:bottom w:val="single" w:sz="4" w:space="0" w:color="5F0F2F" w:themeColor="text2"/>
            </w:tcBorders>
          </w:tcPr>
          <w:p w14:paraId="0702A471" w14:textId="1AF39EF7" w:rsidR="00923D2C" w:rsidRDefault="00923D2C">
            <w:r>
              <w:t>In children:</w:t>
            </w:r>
          </w:p>
        </w:tc>
      </w:tr>
      <w:tr w:rsidR="00923D2C" w14:paraId="7BF5D20A" w14:textId="77777777" w:rsidTr="008E69A2">
        <w:tc>
          <w:tcPr>
            <w:tcW w:w="2127" w:type="dxa"/>
            <w:tcBorders>
              <w:top w:val="single" w:sz="4" w:space="0" w:color="5F0F2F" w:themeColor="text2"/>
              <w:bottom w:val="single" w:sz="4" w:space="0" w:color="5F0F2F" w:themeColor="text2"/>
            </w:tcBorders>
          </w:tcPr>
          <w:p w14:paraId="59A7BA12" w14:textId="77777777" w:rsidR="00B8234D" w:rsidRDefault="00B8234D" w:rsidP="00B8234D">
            <w:pPr>
              <w:pStyle w:val="Bullet1"/>
            </w:pPr>
            <w:r w:rsidRPr="00B8234D">
              <w:t>Tachypnoea</w:t>
            </w:r>
          </w:p>
          <w:p w14:paraId="63B51EA9" w14:textId="6A264812" w:rsidR="00B8234D" w:rsidRDefault="00B8234D" w:rsidP="00B8234D">
            <w:pPr>
              <w:pStyle w:val="Bullet1"/>
            </w:pPr>
            <w:r>
              <w:t>Fever and rigors</w:t>
            </w:r>
          </w:p>
          <w:p w14:paraId="45DC39A9" w14:textId="77777777" w:rsidR="00923D2C" w:rsidRDefault="00923D2C" w:rsidP="00923D2C">
            <w:pPr>
              <w:pStyle w:val="Bullet1"/>
            </w:pPr>
            <w:r>
              <w:t>Low body temperature</w:t>
            </w:r>
          </w:p>
          <w:p w14:paraId="18807667" w14:textId="77777777" w:rsidR="00923D2C" w:rsidRDefault="00923D2C" w:rsidP="00923D2C">
            <w:pPr>
              <w:pStyle w:val="Bullet1"/>
            </w:pPr>
            <w:r>
              <w:t>Low or no urine output</w:t>
            </w:r>
          </w:p>
          <w:p w14:paraId="43A1327F" w14:textId="77777777" w:rsidR="00923D2C" w:rsidRDefault="00923D2C" w:rsidP="00923D2C">
            <w:pPr>
              <w:pStyle w:val="Bullet1"/>
            </w:pPr>
            <w:r>
              <w:t>Tachycardia</w:t>
            </w:r>
          </w:p>
          <w:p w14:paraId="199353E9" w14:textId="37882C23" w:rsidR="00923D2C" w:rsidRDefault="00923D2C" w:rsidP="00923D2C">
            <w:pPr>
              <w:pStyle w:val="Bullet1"/>
            </w:pPr>
            <w:r>
              <w:t xml:space="preserve">Nausea and </w:t>
            </w:r>
            <w:r>
              <w:br/>
              <w:t>vomiting</w:t>
            </w:r>
          </w:p>
          <w:p w14:paraId="547FB404" w14:textId="77777777" w:rsidR="00923D2C" w:rsidRDefault="00923D2C" w:rsidP="00923D2C">
            <w:pPr>
              <w:pStyle w:val="Bullet1"/>
            </w:pPr>
            <w:r>
              <w:t>Diarrhoea</w:t>
            </w:r>
          </w:p>
          <w:p w14:paraId="5CC48C6E" w14:textId="17B9911B" w:rsidR="00923D2C" w:rsidRDefault="00923D2C" w:rsidP="00923D2C">
            <w:pPr>
              <w:pStyle w:val="Bullet1"/>
            </w:pPr>
            <w:r>
              <w:t>Fatigue, malaise or generalised weakness</w:t>
            </w:r>
          </w:p>
          <w:p w14:paraId="2CBE37B5" w14:textId="37F9764C" w:rsidR="00923D2C" w:rsidRDefault="00923D2C" w:rsidP="00923D2C">
            <w:pPr>
              <w:pStyle w:val="Bullet1"/>
            </w:pPr>
            <w:r>
              <w:t>Increased pain</w:t>
            </w:r>
          </w:p>
        </w:tc>
        <w:tc>
          <w:tcPr>
            <w:tcW w:w="2976" w:type="dxa"/>
            <w:tcBorders>
              <w:top w:val="single" w:sz="4" w:space="0" w:color="5F0F2F" w:themeColor="text2"/>
              <w:bottom w:val="single" w:sz="4" w:space="0" w:color="5F0F2F" w:themeColor="text2"/>
            </w:tcBorders>
          </w:tcPr>
          <w:p w14:paraId="0A2D93F3" w14:textId="77777777" w:rsidR="00923D2C" w:rsidRDefault="00923D2C" w:rsidP="00923D2C">
            <w:pPr>
              <w:pStyle w:val="Bullet1"/>
            </w:pPr>
            <w:r>
              <w:t>Tachypnoea</w:t>
            </w:r>
          </w:p>
          <w:p w14:paraId="1431CDB9" w14:textId="77777777" w:rsidR="00923D2C" w:rsidRDefault="00923D2C" w:rsidP="00923D2C">
            <w:pPr>
              <w:pStyle w:val="Bullet1"/>
            </w:pPr>
            <w:r>
              <w:t>Blotchy or discoloured skin</w:t>
            </w:r>
          </w:p>
          <w:p w14:paraId="0C6AEF93" w14:textId="77777777" w:rsidR="00923D2C" w:rsidRDefault="00923D2C" w:rsidP="00923D2C">
            <w:pPr>
              <w:pStyle w:val="Bullet1"/>
            </w:pPr>
            <w:r>
              <w:t>Skin abnormally cold to touch</w:t>
            </w:r>
          </w:p>
          <w:p w14:paraId="247723E4" w14:textId="77777777" w:rsidR="00923D2C" w:rsidRDefault="00923D2C" w:rsidP="00923D2C">
            <w:pPr>
              <w:pStyle w:val="Bullet1"/>
            </w:pPr>
            <w:r>
              <w:t>Non-blanching rash</w:t>
            </w:r>
          </w:p>
          <w:p w14:paraId="27237897" w14:textId="77777777" w:rsidR="00923D2C" w:rsidRDefault="00923D2C" w:rsidP="00923D2C">
            <w:pPr>
              <w:pStyle w:val="Bullet1"/>
            </w:pPr>
            <w:r>
              <w:t>Infrequent wet nappies</w:t>
            </w:r>
          </w:p>
          <w:p w14:paraId="2C2DD8A2" w14:textId="77777777" w:rsidR="00923D2C" w:rsidRDefault="00923D2C" w:rsidP="00923D2C">
            <w:pPr>
              <w:pStyle w:val="Bullet1"/>
            </w:pPr>
            <w:r>
              <w:t>Drowsy, difficult to wake up or confused</w:t>
            </w:r>
          </w:p>
          <w:p w14:paraId="281D2F88" w14:textId="77777777" w:rsidR="00923D2C" w:rsidRDefault="00923D2C" w:rsidP="00923D2C">
            <w:pPr>
              <w:pStyle w:val="Bullet1"/>
            </w:pPr>
            <w:r>
              <w:t>Restlessness or floppy limbs</w:t>
            </w:r>
          </w:p>
          <w:p w14:paraId="7BF2CD52" w14:textId="77777777" w:rsidR="00923D2C" w:rsidRDefault="00923D2C" w:rsidP="00923D2C">
            <w:pPr>
              <w:pStyle w:val="Bullet1"/>
            </w:pPr>
            <w:r>
              <w:t>Vomiting</w:t>
            </w:r>
          </w:p>
          <w:p w14:paraId="39263F1B" w14:textId="77777777" w:rsidR="00923D2C" w:rsidRDefault="00923D2C" w:rsidP="00923D2C">
            <w:pPr>
              <w:pStyle w:val="Bullet1"/>
            </w:pPr>
            <w:r>
              <w:t>Diarrhoea</w:t>
            </w:r>
          </w:p>
          <w:p w14:paraId="0DF403F0" w14:textId="77777777" w:rsidR="00923D2C" w:rsidRDefault="00923D2C" w:rsidP="00923D2C">
            <w:pPr>
              <w:pStyle w:val="Bullet1"/>
            </w:pPr>
            <w:r>
              <w:t>Fits or convulsions</w:t>
            </w:r>
          </w:p>
          <w:p w14:paraId="186BD5CD" w14:textId="0E5BB73C" w:rsidR="00923D2C" w:rsidRDefault="00923D2C" w:rsidP="00923D2C">
            <w:pPr>
              <w:pStyle w:val="Bullet1"/>
            </w:pPr>
            <w:r>
              <w:t>Increased pain</w:t>
            </w:r>
          </w:p>
        </w:tc>
      </w:tr>
    </w:tbl>
    <w:p w14:paraId="30102969" w14:textId="77777777" w:rsidR="008E69A2" w:rsidRDefault="008E69A2" w:rsidP="008E69A2">
      <w:r>
        <w:t>A significant change in any single sign may not always be evident. There are several red flags to watch out for:</w:t>
      </w:r>
    </w:p>
    <w:p w14:paraId="72212450" w14:textId="77777777" w:rsidR="008E69A2" w:rsidRDefault="008E69A2" w:rsidP="008E69A2">
      <w:pPr>
        <w:pStyle w:val="Bullet1"/>
      </w:pPr>
      <w:r>
        <w:t>Subtle changes in several signs</w:t>
      </w:r>
    </w:p>
    <w:p w14:paraId="193DE4D9" w14:textId="77777777" w:rsidR="008E69A2" w:rsidRDefault="008E69A2" w:rsidP="008E69A2">
      <w:pPr>
        <w:pStyle w:val="Bullet1"/>
      </w:pPr>
      <w:r>
        <w:t>Prolonged generalised ‘viral’ illness with no improvement</w:t>
      </w:r>
    </w:p>
    <w:p w14:paraId="51D8AC51" w14:textId="77777777" w:rsidR="008E69A2" w:rsidRDefault="008E69A2" w:rsidP="008E69A2">
      <w:pPr>
        <w:pStyle w:val="Bullet1"/>
      </w:pPr>
      <w:r>
        <w:t xml:space="preserve">The patient </w:t>
      </w:r>
      <w:proofErr w:type="gramStart"/>
      <w:r>
        <w:t>expressing</w:t>
      </w:r>
      <w:proofErr w:type="gramEnd"/>
      <w:r>
        <w:t xml:space="preserve"> they “feel worse than ever”</w:t>
      </w:r>
    </w:p>
    <w:p w14:paraId="36DF76DC" w14:textId="77777777" w:rsidR="008E69A2" w:rsidRDefault="008E69A2" w:rsidP="008E69A2">
      <w:pPr>
        <w:pStyle w:val="Bullet1"/>
      </w:pPr>
      <w:r>
        <w:t>Heightened parental concern for children</w:t>
      </w:r>
    </w:p>
    <w:p w14:paraId="5EDD0920" w14:textId="77777777" w:rsidR="008E69A2" w:rsidRDefault="008E69A2" w:rsidP="008E69A2">
      <w:pPr>
        <w:pStyle w:val="Bullet1"/>
      </w:pPr>
      <w:r>
        <w:t>Any chance of an infection.</w:t>
      </w:r>
    </w:p>
    <w:p w14:paraId="19F27448" w14:textId="60B3EFDB" w:rsidR="00923D2C" w:rsidRPr="008E69A2" w:rsidRDefault="008E69A2" w:rsidP="008E69A2">
      <w:pPr>
        <w:ind w:right="-426"/>
        <w:rPr>
          <w:b/>
          <w:bCs/>
        </w:rPr>
      </w:pPr>
      <w:r w:rsidRPr="008E69A2">
        <w:rPr>
          <w:b/>
          <w:bCs/>
        </w:rPr>
        <w:t>Always have a high level of suspicion for sepsis, especially in undifferentiated diagnosis.</w:t>
      </w:r>
    </w:p>
    <w:p w14:paraId="4A4CE55A" w14:textId="77777777" w:rsidR="008E69A2" w:rsidRDefault="008E69A2">
      <w:pPr>
        <w:sectPr w:rsidR="008E69A2" w:rsidSect="00923D2C">
          <w:type w:val="continuous"/>
          <w:pgSz w:w="11906" w:h="16838" w:code="9"/>
          <w:pgMar w:top="1361" w:right="1361" w:bottom="567" w:left="567" w:header="284" w:footer="284" w:gutter="0"/>
          <w:cols w:num="2" w:space="340"/>
          <w:docGrid w:linePitch="360"/>
        </w:sectPr>
      </w:pPr>
    </w:p>
    <w:p w14:paraId="41F9054C" w14:textId="5083632A" w:rsidR="008E69A2" w:rsidRDefault="008E69A2" w:rsidP="008E69A2">
      <w:pPr>
        <w:pStyle w:val="Heading2"/>
        <w:spacing w:before="0"/>
      </w:pPr>
      <w:r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 wp14:anchorId="5B801BB9" wp14:editId="6D3DA8F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3800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TREATMENT AND MANAGEMENT</w:t>
      </w:r>
    </w:p>
    <w:p w14:paraId="094D005E" w14:textId="77777777" w:rsidR="008E69A2" w:rsidRDefault="008E69A2" w:rsidP="008E69A2">
      <w:r>
        <w:t>If sepsis is suspected it is essential to escalate your concerns immediately, expedite clinical assessment and treat urgently. Use a locally approved sepsis clinical pathway to guide treatment within the recommended timeframe.</w:t>
      </w:r>
    </w:p>
    <w:p w14:paraId="6A13BBC3" w14:textId="77777777" w:rsidR="008E69A2" w:rsidRDefault="008E69A2" w:rsidP="008E69A2">
      <w:r>
        <w:t xml:space="preserve">The key principles of care are </w:t>
      </w:r>
      <w:proofErr w:type="gramStart"/>
      <w:r w:rsidRPr="008E69A2">
        <w:rPr>
          <w:b/>
          <w:bCs/>
        </w:rPr>
        <w:t>recognise</w:t>
      </w:r>
      <w:proofErr w:type="gramEnd"/>
      <w:r>
        <w:t xml:space="preserve">, </w:t>
      </w:r>
      <w:r w:rsidRPr="008E69A2">
        <w:rPr>
          <w:b/>
          <w:bCs/>
        </w:rPr>
        <w:t>resuscitate</w:t>
      </w:r>
      <w:r>
        <w:t xml:space="preserve">, </w:t>
      </w:r>
      <w:r w:rsidRPr="008E69A2">
        <w:rPr>
          <w:b/>
          <w:bCs/>
        </w:rPr>
        <w:t>refer</w:t>
      </w:r>
      <w:r>
        <w:t xml:space="preserve"> and </w:t>
      </w:r>
      <w:r w:rsidRPr="008E69A2">
        <w:rPr>
          <w:b/>
          <w:bCs/>
        </w:rPr>
        <w:t>review</w:t>
      </w:r>
      <w:r>
        <w:t>.</w:t>
      </w:r>
    </w:p>
    <w:p w14:paraId="121708BA" w14:textId="77777777" w:rsidR="008E69A2" w:rsidRDefault="008E69A2" w:rsidP="008E69A2">
      <w:r>
        <w:t>Rapid priority actions include:</w:t>
      </w:r>
    </w:p>
    <w:p w14:paraId="2ACF3637" w14:textId="22D5590B" w:rsidR="008E69A2" w:rsidRDefault="008E69A2" w:rsidP="00B35655">
      <w:pPr>
        <w:pStyle w:val="NumberedList1"/>
        <w:ind w:right="-540"/>
      </w:pPr>
      <w:r>
        <w:t>Obtaining blood cultures and secure IV access</w:t>
      </w:r>
    </w:p>
    <w:p w14:paraId="7298C46F" w14:textId="512C5463" w:rsidR="008E69A2" w:rsidRDefault="008E69A2" w:rsidP="00B35655">
      <w:pPr>
        <w:pStyle w:val="NumberedList1"/>
      </w:pPr>
      <w:r>
        <w:t>Checking for allergies</w:t>
      </w:r>
    </w:p>
    <w:p w14:paraId="5A7420C1" w14:textId="683C9D84" w:rsidR="008E69A2" w:rsidRDefault="008E69A2" w:rsidP="00B35655">
      <w:pPr>
        <w:pStyle w:val="NumberedList1"/>
      </w:pPr>
      <w:r>
        <w:t>Administering broad spectrum parenteral antibiotics immediately after blood cultures are obtained</w:t>
      </w:r>
    </w:p>
    <w:p w14:paraId="518803D9" w14:textId="5B5A5DAB" w:rsidR="008E69A2" w:rsidRDefault="008E69A2" w:rsidP="00B35655">
      <w:pPr>
        <w:pStyle w:val="NumberedList1"/>
      </w:pPr>
      <w:r>
        <w:t>Administering parenteral fluids</w:t>
      </w:r>
    </w:p>
    <w:p w14:paraId="64D5D3C7" w14:textId="6D2FDB05" w:rsidR="008E69A2" w:rsidRDefault="008E69A2" w:rsidP="00B35655">
      <w:pPr>
        <w:pStyle w:val="NumberedList1"/>
        <w:ind w:right="453"/>
      </w:pPr>
      <w:r>
        <w:t>Administering supplemental oxygen as required</w:t>
      </w:r>
    </w:p>
    <w:p w14:paraId="4A30728F" w14:textId="52F17C88" w:rsidR="008E69A2" w:rsidRDefault="008E69A2" w:rsidP="00B35655">
      <w:pPr>
        <w:pStyle w:val="NumberedList1"/>
        <w:ind w:right="453"/>
      </w:pPr>
      <w:r>
        <w:t>Rapid escalation and review by a Senior Clinician experienced in managing sepsis</w:t>
      </w:r>
    </w:p>
    <w:p w14:paraId="1FF79D13" w14:textId="60B7E6B0" w:rsidR="008E69A2" w:rsidRDefault="008E69A2" w:rsidP="00B35655">
      <w:pPr>
        <w:pStyle w:val="NumberedList1"/>
        <w:ind w:right="453"/>
      </w:pPr>
      <w:r>
        <w:t>Obtain blood biochemistry, lactate and Full Blood Count (FBC)</w:t>
      </w:r>
    </w:p>
    <w:p w14:paraId="4AF06F7F" w14:textId="5FE0EDCD" w:rsidR="008E69A2" w:rsidRDefault="008E69A2" w:rsidP="00B35655">
      <w:pPr>
        <w:pStyle w:val="NumberedList1"/>
        <w:ind w:right="453"/>
      </w:pPr>
      <w:r>
        <w:t>Respond to blood culture results by either modifying parenteral antimicrobials or ceasing completely as indicated</w:t>
      </w:r>
    </w:p>
    <w:p w14:paraId="590FC1B3" w14:textId="4F387704" w:rsidR="008E69A2" w:rsidRDefault="008E69A2" w:rsidP="00B35655">
      <w:pPr>
        <w:pStyle w:val="NumberedList1"/>
        <w:ind w:right="453"/>
      </w:pPr>
      <w:r>
        <w:t>Monitor the patient closely as deterioration can be rapid, even after the initial clinical interventions are undertaken</w:t>
      </w:r>
    </w:p>
    <w:p w14:paraId="6D76333A" w14:textId="63730666" w:rsidR="008E69A2" w:rsidRDefault="008E69A2" w:rsidP="00B35655">
      <w:pPr>
        <w:pStyle w:val="NumberedList1"/>
        <w:ind w:right="453"/>
      </w:pPr>
      <w:r>
        <w:t>Consider the need to transfer for ongoing care early, and ensure timely consultation on the supportive care and interventions required before or during transfer.</w:t>
      </w:r>
    </w:p>
    <w:p w14:paraId="43DB2155" w14:textId="6A982C48" w:rsidR="00D607F9" w:rsidRPr="008E69A2" w:rsidRDefault="008E69A2" w:rsidP="008E69A2">
      <w:pPr>
        <w:rPr>
          <w:b/>
          <w:bCs/>
        </w:rPr>
      </w:pPr>
      <w:r w:rsidRPr="008E69A2">
        <w:rPr>
          <w:b/>
          <w:bCs/>
        </w:rPr>
        <w:t>Simply ask “could it be sepsis?” to trigger the actions needed to urgently commence life-saving treatment.</w:t>
      </w:r>
    </w:p>
    <w:p w14:paraId="6BEB597B" w14:textId="1A1647B7" w:rsidR="00D607F9" w:rsidRDefault="008E69A2" w:rsidP="00D607F9">
      <w:r>
        <w:rPr>
          <w:noProof/>
        </w:rPr>
        <w:drawing>
          <wp:inline distT="0" distB="0" distL="0" distR="0" wp14:anchorId="63C9F1C6" wp14:editId="5BEF8DAC">
            <wp:extent cx="996062" cy="1008000"/>
            <wp:effectExtent l="0" t="0" r="0" b="1905"/>
            <wp:docPr id="3" name="Picture 3" descr="Sepsis Awareness website">
              <a:hlinkClick xmlns:a="http://schemas.openxmlformats.org/drawingml/2006/main" r:id="rId10" tooltip="Sepsis Awareness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psis Awareness website">
                      <a:hlinkClick r:id="rId10" tooltip="Sepsis Awareness website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6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831F" w14:textId="77777777" w:rsidR="008E69A2" w:rsidRDefault="008E69A2" w:rsidP="008E69A2">
      <w:pPr>
        <w:pStyle w:val="Heading2"/>
      </w:pPr>
      <w:r>
        <w:br w:type="column"/>
      </w:r>
      <w:r>
        <w:t>REMEMBER TO SPEAK UP!</w:t>
      </w:r>
    </w:p>
    <w:p w14:paraId="6E6FF534" w14:textId="66B28B53" w:rsidR="008E69A2" w:rsidRDefault="008E69A2" w:rsidP="008E69A2">
      <w:pPr>
        <w:spacing w:line="288" w:lineRule="auto"/>
        <w:rPr>
          <w:sz w:val="21"/>
          <w:szCs w:val="21"/>
        </w:rPr>
      </w:pPr>
      <w:r w:rsidRPr="008E69A2">
        <w:rPr>
          <w:sz w:val="21"/>
          <w:szCs w:val="21"/>
        </w:rPr>
        <w:t>If you are concerned about a patient, it</w:t>
      </w:r>
      <w:r>
        <w:rPr>
          <w:sz w:val="21"/>
          <w:szCs w:val="21"/>
        </w:rPr>
        <w:t> </w:t>
      </w:r>
      <w:r w:rsidRPr="008E69A2">
        <w:rPr>
          <w:sz w:val="21"/>
          <w:szCs w:val="21"/>
        </w:rPr>
        <w:t>is</w:t>
      </w:r>
      <w:r>
        <w:rPr>
          <w:sz w:val="21"/>
          <w:szCs w:val="21"/>
        </w:rPr>
        <w:t> </w:t>
      </w:r>
      <w:r w:rsidRPr="008E69A2">
        <w:rPr>
          <w:sz w:val="21"/>
          <w:szCs w:val="21"/>
        </w:rPr>
        <w:t>important not to delay asking a Senior Clinician:</w:t>
      </w:r>
    </w:p>
    <w:p w14:paraId="6A97E251" w14:textId="1ADEB15A" w:rsidR="008E69A2" w:rsidRPr="008E69A2" w:rsidRDefault="008E69A2" w:rsidP="008E69A2">
      <w:pPr>
        <w:spacing w:line="288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6C467D18" wp14:editId="2C66A3A8">
            <wp:extent cx="1476000" cy="715303"/>
            <wp:effectExtent l="0" t="0" r="0" b="8890"/>
            <wp:docPr id="4" name="Picture 4" descr="Could it be sep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uld it be sepsis?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71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ECDE4" w14:textId="77777777" w:rsidR="008E69A2" w:rsidRDefault="008E69A2" w:rsidP="008E69A2">
      <w:pPr>
        <w:pStyle w:val="Heading2"/>
        <w:spacing w:before="1080"/>
      </w:pPr>
      <w:r>
        <w:t>NEED TO KNOW MORE?</w:t>
      </w:r>
    </w:p>
    <w:p w14:paraId="30CD835D" w14:textId="77777777" w:rsidR="008E69A2" w:rsidRDefault="008E69A2" w:rsidP="008E69A2">
      <w:r>
        <w:t>For more information on sepsis, review your local clinical policies or any of the following resources:</w:t>
      </w:r>
    </w:p>
    <w:p w14:paraId="573550F7" w14:textId="77777777" w:rsidR="008E69A2" w:rsidRPr="008E69A2" w:rsidRDefault="008E69A2" w:rsidP="008E69A2">
      <w:pPr>
        <w:spacing w:before="240"/>
        <w:rPr>
          <w:b/>
          <w:bCs/>
        </w:rPr>
      </w:pPr>
      <w:r w:rsidRPr="008E69A2">
        <w:rPr>
          <w:b/>
          <w:bCs/>
        </w:rPr>
        <w:t>Australian Commission of Safety and Quality in Health Care</w:t>
      </w:r>
    </w:p>
    <w:p w14:paraId="336FE6D4" w14:textId="3F712447" w:rsidR="008E69A2" w:rsidRDefault="00000000" w:rsidP="008E69A2">
      <w:hyperlink r:id="rId13" w:history="1">
        <w:r w:rsidR="008E69A2" w:rsidRPr="007E0ED5">
          <w:rPr>
            <w:rStyle w:val="Hyperlink"/>
          </w:rPr>
          <w:t>https://www.safetyandquality.gov.au/our-work/partnering-consumers/national-sepsis-program</w:t>
        </w:r>
      </w:hyperlink>
      <w:r w:rsidR="008E69A2">
        <w:t xml:space="preserve"> </w:t>
      </w:r>
    </w:p>
    <w:p w14:paraId="66F71759" w14:textId="77777777" w:rsidR="008E69A2" w:rsidRPr="008E69A2" w:rsidRDefault="008E69A2" w:rsidP="008E69A2">
      <w:pPr>
        <w:spacing w:before="240"/>
        <w:rPr>
          <w:b/>
          <w:bCs/>
        </w:rPr>
      </w:pPr>
      <w:r w:rsidRPr="008E69A2">
        <w:rPr>
          <w:b/>
          <w:bCs/>
        </w:rPr>
        <w:t>Australian Sepsis Network</w:t>
      </w:r>
    </w:p>
    <w:p w14:paraId="3047A459" w14:textId="1E79DDAD" w:rsidR="008E69A2" w:rsidRDefault="00000000" w:rsidP="008E69A2">
      <w:hyperlink r:id="rId14" w:history="1">
        <w:r w:rsidR="008E69A2" w:rsidRPr="007E0ED5">
          <w:rPr>
            <w:rStyle w:val="Hyperlink"/>
          </w:rPr>
          <w:t>https://www.australiansepsisnetwork.net.au/</w:t>
        </w:r>
      </w:hyperlink>
      <w:r w:rsidR="008E69A2">
        <w:t xml:space="preserve"> </w:t>
      </w:r>
    </w:p>
    <w:p w14:paraId="4778BD34" w14:textId="77777777" w:rsidR="008E69A2" w:rsidRPr="008E69A2" w:rsidRDefault="008E69A2" w:rsidP="008E69A2">
      <w:pPr>
        <w:spacing w:before="240"/>
        <w:rPr>
          <w:b/>
          <w:bCs/>
        </w:rPr>
      </w:pPr>
      <w:r w:rsidRPr="008E69A2">
        <w:rPr>
          <w:b/>
          <w:bCs/>
        </w:rPr>
        <w:t>Children’s Health Queensland Hospital and Health Service</w:t>
      </w:r>
    </w:p>
    <w:p w14:paraId="7DFF49AE" w14:textId="75EAE2A0" w:rsidR="008E69A2" w:rsidRDefault="00000000" w:rsidP="008E69A2">
      <w:pPr>
        <w:ind w:right="-398"/>
      </w:pPr>
      <w:hyperlink r:id="rId15" w:history="1">
        <w:r w:rsidR="008E69A2" w:rsidRPr="007E0ED5">
          <w:rPr>
            <w:rStyle w:val="Hyperlink"/>
          </w:rPr>
          <w:t>https://www.childrens.health.qld.gov.au/sepsis/</w:t>
        </w:r>
      </w:hyperlink>
      <w:r w:rsidR="008E69A2">
        <w:t xml:space="preserve"> </w:t>
      </w:r>
    </w:p>
    <w:p w14:paraId="45BA9797" w14:textId="77777777" w:rsidR="008E69A2" w:rsidRPr="008E69A2" w:rsidRDefault="008E69A2" w:rsidP="008E69A2">
      <w:pPr>
        <w:spacing w:before="240"/>
        <w:rPr>
          <w:b/>
          <w:bCs/>
        </w:rPr>
      </w:pPr>
      <w:r w:rsidRPr="008E69A2">
        <w:rPr>
          <w:b/>
          <w:bCs/>
        </w:rPr>
        <w:t>Clinical Excellence Queensland</w:t>
      </w:r>
    </w:p>
    <w:p w14:paraId="22564D9B" w14:textId="3E086441" w:rsidR="008E69A2" w:rsidRDefault="00000000" w:rsidP="008E69A2">
      <w:pPr>
        <w:ind w:right="-681"/>
      </w:pPr>
      <w:hyperlink r:id="rId16" w:history="1">
        <w:r w:rsidR="008E69A2" w:rsidRPr="007E0ED5">
          <w:rPr>
            <w:rStyle w:val="Hyperlink"/>
          </w:rPr>
          <w:t>https://clinicalexcellence.qld.gov.au/priority-areas/ safety-and-quality/sepsis/sepsis-pathways-and-resources</w:t>
        </w:r>
      </w:hyperlink>
      <w:r w:rsidR="008E69A2">
        <w:t xml:space="preserve"> </w:t>
      </w:r>
    </w:p>
    <w:p w14:paraId="63EBED4D" w14:textId="77777777" w:rsidR="008E69A2" w:rsidRPr="008E69A2" w:rsidRDefault="008E69A2" w:rsidP="008E69A2">
      <w:pPr>
        <w:spacing w:before="240"/>
        <w:ind w:right="-965"/>
        <w:rPr>
          <w:b/>
          <w:bCs/>
        </w:rPr>
      </w:pPr>
      <w:r w:rsidRPr="008E69A2">
        <w:rPr>
          <w:b/>
          <w:bCs/>
        </w:rPr>
        <w:t>NSW Clinical Excellence Commission</w:t>
      </w:r>
    </w:p>
    <w:p w14:paraId="6CFB9370" w14:textId="342137E3" w:rsidR="008E69A2" w:rsidRDefault="00C72DF2" w:rsidP="008E69A2">
      <w:pPr>
        <w:ind w:right="-681"/>
      </w:pPr>
      <w:hyperlink r:id="rId17" w:history="1">
        <w:r w:rsidRPr="00C72DF2">
          <w:rPr>
            <w:rStyle w:val="Hyperlink"/>
          </w:rPr>
          <w:t>https://www.cec.health.nsw.gov.au/keep-patients-safe/sepsis</w:t>
        </w:r>
      </w:hyperlink>
      <w:r w:rsidR="008E69A2">
        <w:t xml:space="preserve"> </w:t>
      </w:r>
    </w:p>
    <w:p w14:paraId="0A54222E" w14:textId="77777777" w:rsidR="008E69A2" w:rsidRPr="008E69A2" w:rsidRDefault="008E69A2" w:rsidP="008E69A2">
      <w:pPr>
        <w:spacing w:before="240"/>
        <w:rPr>
          <w:b/>
          <w:bCs/>
        </w:rPr>
      </w:pPr>
      <w:r w:rsidRPr="008E69A2">
        <w:rPr>
          <w:b/>
          <w:bCs/>
        </w:rPr>
        <w:t>Global Sepsis Alliance</w:t>
      </w:r>
    </w:p>
    <w:p w14:paraId="167F6658" w14:textId="19AEE6F0" w:rsidR="008E69A2" w:rsidRDefault="00000000" w:rsidP="008E69A2">
      <w:hyperlink r:id="rId18" w:history="1">
        <w:r w:rsidR="008E69A2" w:rsidRPr="007E0ED5">
          <w:rPr>
            <w:rStyle w:val="Hyperlink"/>
          </w:rPr>
          <w:t>https://www.global-sepsis-alliance.org/</w:t>
        </w:r>
      </w:hyperlink>
      <w:r w:rsidR="008E69A2">
        <w:t xml:space="preserve"> </w:t>
      </w:r>
    </w:p>
    <w:p w14:paraId="65DE4CF8" w14:textId="77777777" w:rsidR="00B35655" w:rsidRDefault="00B35655" w:rsidP="00B35655">
      <w:pPr>
        <w:spacing w:after="2040"/>
      </w:pPr>
    </w:p>
    <w:p w14:paraId="43A3CF0E" w14:textId="77777777" w:rsidR="00B35655" w:rsidRDefault="00B35655" w:rsidP="00D607F9">
      <w:pPr>
        <w:sectPr w:rsidR="00B35655" w:rsidSect="008E69A2">
          <w:headerReference w:type="default" r:id="rId19"/>
          <w:footerReference w:type="default" r:id="rId20"/>
          <w:pgSz w:w="11906" w:h="16838" w:code="9"/>
          <w:pgMar w:top="567" w:right="1361" w:bottom="567" w:left="567" w:header="284" w:footer="284" w:gutter="0"/>
          <w:cols w:num="2" w:space="1134"/>
          <w:docGrid w:linePitch="360"/>
        </w:sectPr>
      </w:pPr>
    </w:p>
    <w:p w14:paraId="1F1974C7" w14:textId="77777777" w:rsidR="00B35655" w:rsidRDefault="00B35655" w:rsidP="00B35655">
      <w:pPr>
        <w:spacing w:before="0" w:after="480"/>
      </w:pPr>
    </w:p>
    <w:p w14:paraId="2EA1A80C" w14:textId="77777777" w:rsidR="00B35655" w:rsidRDefault="00B35655" w:rsidP="00B35655">
      <w:pPr>
        <w:spacing w:before="0"/>
      </w:pPr>
      <w:r>
        <w:rPr>
          <w:noProof/>
        </w:rPr>
        <w:drawing>
          <wp:inline distT="0" distB="0" distL="0" distR="0" wp14:anchorId="697B3FC8" wp14:editId="384AD20B">
            <wp:extent cx="3977555" cy="442547"/>
            <wp:effectExtent l="0" t="0" r="0" b="2540"/>
            <wp:docPr id="6" name="Picture 6" descr="Australian Commission on Safety and Quality in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mmission on Safety and Quality in Health Car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9203" cy="45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9F37" w14:textId="77777777" w:rsidR="00B35655" w:rsidRDefault="00B35655" w:rsidP="00B35655">
      <w:pPr>
        <w:spacing w:before="0" w:after="0"/>
        <w:ind w:right="-710"/>
        <w:jc w:val="right"/>
      </w:pPr>
      <w:r>
        <w:br w:type="column"/>
      </w:r>
      <w:r>
        <w:rPr>
          <w:noProof/>
        </w:rPr>
        <w:drawing>
          <wp:inline distT="0" distB="0" distL="0" distR="0" wp14:anchorId="2968C989" wp14:editId="340868EF">
            <wp:extent cx="1977893" cy="347016"/>
            <wp:effectExtent l="0" t="0" r="0" b="0"/>
            <wp:docPr id="7" name="Picture 7" descr="The George Institute for Glob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George Institute for Global Health"/>
                    <pic:cNvPicPr/>
                  </pic:nvPicPr>
                  <pic:blipFill rotWithShape="1">
                    <a:blip r:embed="rId22"/>
                    <a:srcRect t="16841" b="17201"/>
                    <a:stretch/>
                  </pic:blipFill>
                  <pic:spPr bwMode="auto">
                    <a:xfrm>
                      <a:off x="0" y="0"/>
                      <a:ext cx="1980000" cy="34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0C610" w14:textId="3237D84E" w:rsidR="00B35655" w:rsidRPr="00E579FF" w:rsidRDefault="00B35655" w:rsidP="00992ACA">
      <w:pPr>
        <w:spacing w:before="180" w:after="0"/>
        <w:ind w:left="425" w:right="-510"/>
        <w:jc w:val="center"/>
      </w:pPr>
      <w:r>
        <w:rPr>
          <w:noProof/>
        </w:rPr>
        <w:drawing>
          <wp:inline distT="0" distB="0" distL="0" distR="0" wp14:anchorId="3352D2EF" wp14:editId="0C1196E7">
            <wp:extent cx="1067420" cy="419862"/>
            <wp:effectExtent l="0" t="0" r="0" b="0"/>
            <wp:docPr id="9" name="Picture 9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psis Australia logo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8" r="-1041"/>
                    <a:stretch/>
                  </pic:blipFill>
                  <pic:spPr bwMode="auto">
                    <a:xfrm>
                      <a:off x="0" y="0"/>
                      <a:ext cx="1103927" cy="434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5655" w:rsidRPr="00E579FF" w:rsidSect="00B35655">
      <w:type w:val="continuous"/>
      <w:pgSz w:w="11906" w:h="16838" w:code="9"/>
      <w:pgMar w:top="567" w:right="1361" w:bottom="567" w:left="567" w:header="284" w:footer="284" w:gutter="0"/>
      <w:cols w:num="2" w:space="340" w:equalWidth="0">
        <w:col w:w="6804" w:space="340"/>
        <w:col w:w="283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CC08" w14:textId="77777777" w:rsidR="00DA3B0B" w:rsidRDefault="00DA3B0B" w:rsidP="00D607F9">
      <w:pPr>
        <w:spacing w:before="0" w:after="0"/>
      </w:pPr>
      <w:r>
        <w:separator/>
      </w:r>
    </w:p>
  </w:endnote>
  <w:endnote w:type="continuationSeparator" w:id="0">
    <w:p w14:paraId="6F13534D" w14:textId="77777777" w:rsidR="00DA3B0B" w:rsidRDefault="00DA3B0B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71B1" w14:textId="77777777" w:rsidR="008E69A2" w:rsidRDefault="008E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D807" w14:textId="77777777" w:rsidR="00DA3B0B" w:rsidRDefault="00DA3B0B" w:rsidP="00D607F9">
      <w:pPr>
        <w:spacing w:before="0" w:after="0"/>
      </w:pPr>
      <w:r>
        <w:separator/>
      </w:r>
    </w:p>
  </w:footnote>
  <w:footnote w:type="continuationSeparator" w:id="0">
    <w:p w14:paraId="49C761D7" w14:textId="77777777" w:rsidR="00DA3B0B" w:rsidRDefault="00DA3B0B" w:rsidP="00D607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CAD8" w14:textId="77777777" w:rsidR="008E69A2" w:rsidRDefault="008E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0463E"/>
    <w:multiLevelType w:val="multilevel"/>
    <w:tmpl w:val="AD760BF6"/>
    <w:numStyleLink w:val="Numberedlist"/>
  </w:abstractNum>
  <w:abstractNum w:abstractNumId="11" w15:restartNumberingAfterBreak="0">
    <w:nsid w:val="36132CDC"/>
    <w:multiLevelType w:val="multilevel"/>
    <w:tmpl w:val="AD760BF6"/>
    <w:styleLink w:val="Numberedlist"/>
    <w:lvl w:ilvl="0">
      <w:start w:val="1"/>
      <w:numFmt w:val="decimal"/>
      <w:pStyle w:val="NumberedLis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2079">
    <w:abstractNumId w:val="9"/>
  </w:num>
  <w:num w:numId="2" w16cid:durableId="656081695">
    <w:abstractNumId w:val="7"/>
  </w:num>
  <w:num w:numId="3" w16cid:durableId="1119229000">
    <w:abstractNumId w:val="6"/>
  </w:num>
  <w:num w:numId="4" w16cid:durableId="752511427">
    <w:abstractNumId w:val="5"/>
  </w:num>
  <w:num w:numId="5" w16cid:durableId="1649750087">
    <w:abstractNumId w:val="4"/>
  </w:num>
  <w:num w:numId="6" w16cid:durableId="1480656036">
    <w:abstractNumId w:val="8"/>
  </w:num>
  <w:num w:numId="7" w16cid:durableId="1993949268">
    <w:abstractNumId w:val="3"/>
  </w:num>
  <w:num w:numId="8" w16cid:durableId="1642228438">
    <w:abstractNumId w:val="2"/>
  </w:num>
  <w:num w:numId="9" w16cid:durableId="2080205606">
    <w:abstractNumId w:val="1"/>
  </w:num>
  <w:num w:numId="10" w16cid:durableId="558788747">
    <w:abstractNumId w:val="0"/>
  </w:num>
  <w:num w:numId="11" w16cid:durableId="1317151795">
    <w:abstractNumId w:val="12"/>
  </w:num>
  <w:num w:numId="12" w16cid:durableId="1619293053">
    <w:abstractNumId w:val="14"/>
  </w:num>
  <w:num w:numId="13" w16cid:durableId="255990212">
    <w:abstractNumId w:val="13"/>
  </w:num>
  <w:num w:numId="14" w16cid:durableId="2010981962">
    <w:abstractNumId w:val="11"/>
  </w:num>
  <w:num w:numId="15" w16cid:durableId="123430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91494"/>
    <w:rsid w:val="00174C09"/>
    <w:rsid w:val="001B212A"/>
    <w:rsid w:val="001D2636"/>
    <w:rsid w:val="0021297C"/>
    <w:rsid w:val="002863BC"/>
    <w:rsid w:val="00333D78"/>
    <w:rsid w:val="00395590"/>
    <w:rsid w:val="00430841"/>
    <w:rsid w:val="004530EC"/>
    <w:rsid w:val="005065AB"/>
    <w:rsid w:val="00517459"/>
    <w:rsid w:val="00537932"/>
    <w:rsid w:val="006E08D9"/>
    <w:rsid w:val="00794AFF"/>
    <w:rsid w:val="00796D88"/>
    <w:rsid w:val="007C7D53"/>
    <w:rsid w:val="008D2DAD"/>
    <w:rsid w:val="008E67AD"/>
    <w:rsid w:val="008E69A2"/>
    <w:rsid w:val="00923D2C"/>
    <w:rsid w:val="00975CC5"/>
    <w:rsid w:val="00992ACA"/>
    <w:rsid w:val="009E0AA0"/>
    <w:rsid w:val="00B35655"/>
    <w:rsid w:val="00B45874"/>
    <w:rsid w:val="00B77BE8"/>
    <w:rsid w:val="00B8234D"/>
    <w:rsid w:val="00BD3045"/>
    <w:rsid w:val="00C72DF2"/>
    <w:rsid w:val="00CF5516"/>
    <w:rsid w:val="00D12D24"/>
    <w:rsid w:val="00D607F9"/>
    <w:rsid w:val="00D84EB1"/>
    <w:rsid w:val="00DA2487"/>
    <w:rsid w:val="00DA3B0B"/>
    <w:rsid w:val="00DB5272"/>
    <w:rsid w:val="00DE25F3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517459"/>
    <w:pPr>
      <w:keepNext/>
      <w:keepLines/>
      <w:spacing w:before="600" w:after="120" w:line="192" w:lineRule="auto"/>
      <w:outlineLvl w:val="0"/>
    </w:pPr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D2C"/>
    <w:pPr>
      <w:keepNext/>
      <w:keepLines/>
      <w:spacing w:before="300" w:after="120"/>
      <w:outlineLvl w:val="1"/>
    </w:pPr>
    <w:rPr>
      <w:rFonts w:asciiTheme="majorHAnsi" w:eastAsiaTheme="majorEastAsia" w:hAnsiTheme="majorHAnsi" w:cstheme="majorBidi"/>
      <w:caps/>
      <w:color w:val="5F0F2F" w:themeColor="accent1"/>
      <w:w w:val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59"/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D2C"/>
    <w:rPr>
      <w:rFonts w:asciiTheme="majorHAnsi" w:eastAsiaTheme="majorEastAsia" w:hAnsiTheme="majorHAnsi" w:cstheme="majorBidi"/>
      <w:caps/>
      <w:color w:val="5F0F2F" w:themeColor="accent1"/>
      <w:w w:val="8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D"/>
    <w:pPr>
      <w:spacing w:before="240" w:line="204" w:lineRule="auto"/>
      <w:ind w:right="6236"/>
      <w:outlineLvl w:val="1"/>
    </w:pPr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E67AD"/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7AD"/>
    <w:pPr>
      <w:spacing w:before="0" w:after="600" w:line="192" w:lineRule="auto"/>
      <w:outlineLvl w:val="0"/>
    </w:pPr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67AD"/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table" w:styleId="TableGrid">
    <w:name w:val="Table Grid"/>
    <w:basedOn w:val="TableNormal"/>
    <w:uiPriority w:val="39"/>
    <w:rsid w:val="00923D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655"/>
    <w:rPr>
      <w:color w:val="5F0F2F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9A2"/>
    <w:rPr>
      <w:color w:val="605E5C"/>
      <w:shd w:val="clear" w:color="auto" w:fill="E1DFDD"/>
    </w:rPr>
  </w:style>
  <w:style w:type="paragraph" w:customStyle="1" w:styleId="NumberedList1">
    <w:name w:val="Numbered List 1"/>
    <w:basedOn w:val="Normal"/>
    <w:qFormat/>
    <w:rsid w:val="00B35655"/>
    <w:pPr>
      <w:numPr>
        <w:numId w:val="15"/>
      </w:numPr>
    </w:pPr>
  </w:style>
  <w:style w:type="numbering" w:customStyle="1" w:styleId="Numberedlist">
    <w:name w:val="Numbered list"/>
    <w:uiPriority w:val="99"/>
    <w:rsid w:val="00B3565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afetyandquality.gov.au/our-work/partnering-consumers/national-sepsis-program" TargetMode="External"/><Relationship Id="rId18" Type="http://schemas.openxmlformats.org/officeDocument/2006/relationships/hyperlink" Target="https://www.global-sepsis-alliance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yperlink" Target="https://www.cec.health.nsw.gov.au/keep-patients-safe/sepsi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nicalexcellence.qld.gov.au/priority-areas/safety-and-quality/sepsis/sepsis-pathways-and-resourc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hildrens.health.qld.gov.au/sepsis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www.safetyandquality.gov.au/our-work/partnering-consumers/national-sepsis-progra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australiansepsisnetwork.net.au/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Sepsis Public Awareness – Clinician Factsheet</dc:title>
  <dc:subject/>
  <dc:creator/>
  <cp:keywords/>
  <dc:description/>
  <cp:lastModifiedBy/>
  <cp:revision>1</cp:revision>
  <dcterms:created xsi:type="dcterms:W3CDTF">2021-11-09T23:32:00Z</dcterms:created>
  <dcterms:modified xsi:type="dcterms:W3CDTF">2024-08-27T08:31:00Z</dcterms:modified>
</cp:coreProperties>
</file>