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49CE9" w14:textId="2FA8AE09" w:rsidR="00FE7540" w:rsidRDefault="00D3229C" w:rsidP="002E123C">
      <w:pPr>
        <w:pStyle w:val="FactSheetType"/>
        <w:ind w:right="-1"/>
        <w:jc w:val="left"/>
      </w:pPr>
      <w:r>
        <w:rPr>
          <w:noProof/>
        </w:rPr>
        <w:drawing>
          <wp:inline distT="0" distB="0" distL="0" distR="0" wp14:anchorId="752961D6" wp14:editId="6C0FA4C5">
            <wp:extent cx="6116320" cy="42539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1039" cy="4257193"/>
                    </a:xfrm>
                    <a:prstGeom prst="rect">
                      <a:avLst/>
                    </a:prstGeom>
                  </pic:spPr>
                </pic:pic>
              </a:graphicData>
            </a:graphic>
          </wp:inline>
        </w:drawing>
      </w:r>
    </w:p>
    <w:p w14:paraId="03C0DFDF" w14:textId="77777777" w:rsidR="00ED6A9C" w:rsidRDefault="00ED6A9C" w:rsidP="00ED6A9C">
      <w:pPr>
        <w:pStyle w:val="Subtitle"/>
        <w:rPr>
          <w:iCs w:val="0"/>
          <w:color w:val="005370" w:themeColor="text2"/>
          <w:spacing w:val="-6"/>
          <w:kern w:val="28"/>
          <w:sz w:val="60"/>
          <w:szCs w:val="56"/>
        </w:rPr>
      </w:pPr>
      <w:r w:rsidRPr="0061446B">
        <w:rPr>
          <w:iCs w:val="0"/>
          <w:color w:val="005370" w:themeColor="text2"/>
          <w:spacing w:val="-6"/>
          <w:kern w:val="28"/>
          <w:sz w:val="60"/>
          <w:szCs w:val="56"/>
        </w:rPr>
        <w:t>Transitioning from AS/NZS 4187:2014 to AS 5369:2023</w:t>
      </w:r>
    </w:p>
    <w:p w14:paraId="19591307" w14:textId="77777777" w:rsidR="00ED6A9C" w:rsidRPr="00EC18A6" w:rsidRDefault="00ED6A9C" w:rsidP="00ED6A9C">
      <w:pPr>
        <w:pStyle w:val="Subtitle"/>
      </w:pPr>
      <w:r w:rsidRPr="00EC18A6">
        <w:t>Identifying changes and implementation strategies for health service organisations</w:t>
      </w:r>
    </w:p>
    <w:p w14:paraId="093BC30C" w14:textId="6BD9598B" w:rsidR="00ED6A9C" w:rsidRPr="00EC18A6" w:rsidRDefault="008E7AD3" w:rsidP="00ED6A9C">
      <w:pPr>
        <w:pStyle w:val="PublicationDate"/>
      </w:pPr>
      <w:r>
        <w:t>August</w:t>
      </w:r>
      <w:r w:rsidR="00ED6A9C" w:rsidRPr="00EC18A6">
        <w:t xml:space="preserve"> 2024</w:t>
      </w:r>
    </w:p>
    <w:p w14:paraId="4AA5C4DA" w14:textId="77777777" w:rsidR="00E519D6" w:rsidRDefault="00E519D6">
      <w:pPr>
        <w:spacing w:before="0" w:after="80"/>
        <w:rPr>
          <w:color w:val="000000" w:themeColor="text1"/>
          <w:sz w:val="28"/>
          <w:szCs w:val="40"/>
        </w:rPr>
      </w:pPr>
      <w:r>
        <w:br w:type="page"/>
      </w:r>
    </w:p>
    <w:p w14:paraId="7A0CD1D2" w14:textId="77777777" w:rsidR="00A6192E" w:rsidRPr="00A6192E" w:rsidRDefault="00A6192E" w:rsidP="00E519D6">
      <w:pPr>
        <w:pStyle w:val="PublicationDate"/>
        <w:sectPr w:rsidR="00A6192E" w:rsidRPr="00A6192E" w:rsidSect="004120CA">
          <w:headerReference w:type="even" r:id="rId12"/>
          <w:headerReference w:type="default" r:id="rId13"/>
          <w:footerReference w:type="even" r:id="rId14"/>
          <w:headerReference w:type="first" r:id="rId15"/>
          <w:pgSz w:w="11906" w:h="16838"/>
          <w:pgMar w:top="3425" w:right="1134" w:bottom="851" w:left="1134" w:header="709" w:footer="567" w:gutter="0"/>
          <w:cols w:space="708"/>
          <w:titlePg/>
          <w:docGrid w:linePitch="360"/>
        </w:sectPr>
      </w:pPr>
    </w:p>
    <w:sdt>
      <w:sdtPr>
        <w:rPr>
          <w:rFonts w:asciiTheme="minorHAnsi" w:eastAsia="Times New Roman" w:hAnsiTheme="minorHAnsi" w:cs="Times New Roman"/>
          <w:b/>
          <w:bCs w:val="0"/>
          <w:color w:val="auto"/>
          <w:sz w:val="22"/>
          <w:szCs w:val="22"/>
          <w:lang w:val="en-AU" w:eastAsia="en-AU"/>
        </w:rPr>
        <w:id w:val="-1851016081"/>
        <w:docPartObj>
          <w:docPartGallery w:val="Table of Contents"/>
          <w:docPartUnique/>
        </w:docPartObj>
      </w:sdtPr>
      <w:sdtEndPr>
        <w:rPr>
          <w:b w:val="0"/>
          <w:noProof/>
        </w:rPr>
      </w:sdtEndPr>
      <w:sdtContent>
        <w:p w14:paraId="2DE0BDD7" w14:textId="156117AF" w:rsidR="00FE7540" w:rsidRDefault="00FE7540">
          <w:pPr>
            <w:pStyle w:val="TOCHeading"/>
          </w:pPr>
          <w:r>
            <w:t>Contents</w:t>
          </w:r>
        </w:p>
        <w:p w14:paraId="048ACF53" w14:textId="4009C23D" w:rsidR="00267916" w:rsidRDefault="00FE7540">
          <w:pPr>
            <w:pStyle w:val="TOC2"/>
            <w:rPr>
              <w:rFonts w:eastAsiaTheme="minorEastAsia" w:cstheme="minorBidi"/>
              <w:kern w:val="2"/>
              <w:szCs w:val="22"/>
              <w14:ligatures w14:val="standardContextual"/>
            </w:rPr>
          </w:pPr>
          <w:r>
            <w:fldChar w:fldCharType="begin"/>
          </w:r>
          <w:r>
            <w:instrText xml:space="preserve"> TOC \o "1-3" \h \z \u </w:instrText>
          </w:r>
          <w:r>
            <w:fldChar w:fldCharType="separate"/>
          </w:r>
          <w:hyperlink w:anchor="_Toc174010259" w:history="1">
            <w:r w:rsidR="00267916" w:rsidRPr="00E37ABD">
              <w:rPr>
                <w:rStyle w:val="Hyperlink"/>
              </w:rPr>
              <w:t>About this document</w:t>
            </w:r>
            <w:r w:rsidR="00267916">
              <w:rPr>
                <w:webHidden/>
              </w:rPr>
              <w:tab/>
            </w:r>
            <w:r w:rsidR="00267916">
              <w:rPr>
                <w:webHidden/>
              </w:rPr>
              <w:fldChar w:fldCharType="begin"/>
            </w:r>
            <w:r w:rsidR="00267916">
              <w:rPr>
                <w:webHidden/>
              </w:rPr>
              <w:instrText xml:space="preserve"> PAGEREF _Toc174010259 \h </w:instrText>
            </w:r>
            <w:r w:rsidR="00267916">
              <w:rPr>
                <w:webHidden/>
              </w:rPr>
            </w:r>
            <w:r w:rsidR="00267916">
              <w:rPr>
                <w:webHidden/>
              </w:rPr>
              <w:fldChar w:fldCharType="separate"/>
            </w:r>
            <w:r w:rsidR="00267916">
              <w:rPr>
                <w:webHidden/>
              </w:rPr>
              <w:t>2</w:t>
            </w:r>
            <w:r w:rsidR="00267916">
              <w:rPr>
                <w:webHidden/>
              </w:rPr>
              <w:fldChar w:fldCharType="end"/>
            </w:r>
          </w:hyperlink>
        </w:p>
        <w:p w14:paraId="5C40568D" w14:textId="028828EA" w:rsidR="00267916" w:rsidRDefault="005949D6">
          <w:pPr>
            <w:pStyle w:val="TOC2"/>
            <w:rPr>
              <w:rFonts w:eastAsiaTheme="minorEastAsia" w:cstheme="minorBidi"/>
              <w:kern w:val="2"/>
              <w:szCs w:val="22"/>
              <w14:ligatures w14:val="standardContextual"/>
            </w:rPr>
          </w:pPr>
          <w:hyperlink w:anchor="_Toc174010260" w:history="1">
            <w:r w:rsidR="00267916" w:rsidRPr="00E37ABD">
              <w:rPr>
                <w:rStyle w:val="Hyperlink"/>
              </w:rPr>
              <w:t>Overview</w:t>
            </w:r>
            <w:r w:rsidR="00267916">
              <w:rPr>
                <w:webHidden/>
              </w:rPr>
              <w:tab/>
            </w:r>
            <w:r w:rsidR="00267916">
              <w:rPr>
                <w:webHidden/>
              </w:rPr>
              <w:fldChar w:fldCharType="begin"/>
            </w:r>
            <w:r w:rsidR="00267916">
              <w:rPr>
                <w:webHidden/>
              </w:rPr>
              <w:instrText xml:space="preserve"> PAGEREF _Toc174010260 \h </w:instrText>
            </w:r>
            <w:r w:rsidR="00267916">
              <w:rPr>
                <w:webHidden/>
              </w:rPr>
            </w:r>
            <w:r w:rsidR="00267916">
              <w:rPr>
                <w:webHidden/>
              </w:rPr>
              <w:fldChar w:fldCharType="separate"/>
            </w:r>
            <w:r w:rsidR="00267916">
              <w:rPr>
                <w:webHidden/>
              </w:rPr>
              <w:t>2</w:t>
            </w:r>
            <w:r w:rsidR="00267916">
              <w:rPr>
                <w:webHidden/>
              </w:rPr>
              <w:fldChar w:fldCharType="end"/>
            </w:r>
          </w:hyperlink>
        </w:p>
        <w:p w14:paraId="2B45504B" w14:textId="6C6CB63C" w:rsidR="00267916" w:rsidRDefault="005949D6">
          <w:pPr>
            <w:pStyle w:val="TOC2"/>
            <w:rPr>
              <w:rFonts w:eastAsiaTheme="minorEastAsia" w:cstheme="minorBidi"/>
              <w:kern w:val="2"/>
              <w:szCs w:val="22"/>
              <w14:ligatures w14:val="standardContextual"/>
            </w:rPr>
          </w:pPr>
          <w:hyperlink w:anchor="_Toc174010261" w:history="1">
            <w:r w:rsidR="00267916" w:rsidRPr="00E37ABD">
              <w:rPr>
                <w:rStyle w:val="Hyperlink"/>
              </w:rPr>
              <w:t>Key changes</w:t>
            </w:r>
            <w:r w:rsidR="00267916">
              <w:rPr>
                <w:webHidden/>
              </w:rPr>
              <w:tab/>
            </w:r>
            <w:r w:rsidR="00267916">
              <w:rPr>
                <w:webHidden/>
              </w:rPr>
              <w:fldChar w:fldCharType="begin"/>
            </w:r>
            <w:r w:rsidR="00267916">
              <w:rPr>
                <w:webHidden/>
              </w:rPr>
              <w:instrText xml:space="preserve"> PAGEREF _Toc174010261 \h </w:instrText>
            </w:r>
            <w:r w:rsidR="00267916">
              <w:rPr>
                <w:webHidden/>
              </w:rPr>
            </w:r>
            <w:r w:rsidR="00267916">
              <w:rPr>
                <w:webHidden/>
              </w:rPr>
              <w:fldChar w:fldCharType="separate"/>
            </w:r>
            <w:r w:rsidR="00267916">
              <w:rPr>
                <w:webHidden/>
              </w:rPr>
              <w:t>2</w:t>
            </w:r>
            <w:r w:rsidR="00267916">
              <w:rPr>
                <w:webHidden/>
              </w:rPr>
              <w:fldChar w:fldCharType="end"/>
            </w:r>
          </w:hyperlink>
        </w:p>
        <w:p w14:paraId="1D260465" w14:textId="5B0B9BEF" w:rsidR="00267916" w:rsidRDefault="005949D6">
          <w:pPr>
            <w:pStyle w:val="TOC2"/>
            <w:rPr>
              <w:rFonts w:eastAsiaTheme="minorEastAsia" w:cstheme="minorBidi"/>
              <w:kern w:val="2"/>
              <w:szCs w:val="22"/>
              <w14:ligatures w14:val="standardContextual"/>
            </w:rPr>
          </w:pPr>
          <w:hyperlink w:anchor="_Toc174010262" w:history="1">
            <w:r w:rsidR="00267916" w:rsidRPr="00E37ABD">
              <w:rPr>
                <w:rStyle w:val="Hyperlink"/>
              </w:rPr>
              <w:t>Implementation considerations</w:t>
            </w:r>
            <w:r w:rsidR="00267916">
              <w:rPr>
                <w:webHidden/>
              </w:rPr>
              <w:tab/>
            </w:r>
            <w:r w:rsidR="00267916">
              <w:rPr>
                <w:webHidden/>
              </w:rPr>
              <w:fldChar w:fldCharType="begin"/>
            </w:r>
            <w:r w:rsidR="00267916">
              <w:rPr>
                <w:webHidden/>
              </w:rPr>
              <w:instrText xml:space="preserve"> PAGEREF _Toc174010262 \h </w:instrText>
            </w:r>
            <w:r w:rsidR="00267916">
              <w:rPr>
                <w:webHidden/>
              </w:rPr>
            </w:r>
            <w:r w:rsidR="00267916">
              <w:rPr>
                <w:webHidden/>
              </w:rPr>
              <w:fldChar w:fldCharType="separate"/>
            </w:r>
            <w:r w:rsidR="00267916">
              <w:rPr>
                <w:webHidden/>
              </w:rPr>
              <w:t>3</w:t>
            </w:r>
            <w:r w:rsidR="00267916">
              <w:rPr>
                <w:webHidden/>
              </w:rPr>
              <w:fldChar w:fldCharType="end"/>
            </w:r>
          </w:hyperlink>
        </w:p>
        <w:p w14:paraId="5683648A" w14:textId="2BF23842" w:rsidR="00267916" w:rsidRDefault="005949D6">
          <w:pPr>
            <w:pStyle w:val="TOC2"/>
            <w:rPr>
              <w:rFonts w:eastAsiaTheme="minorEastAsia" w:cstheme="minorBidi"/>
              <w:kern w:val="2"/>
              <w:szCs w:val="22"/>
              <w14:ligatures w14:val="standardContextual"/>
            </w:rPr>
          </w:pPr>
          <w:hyperlink w:anchor="_Toc174010263" w:history="1">
            <w:r w:rsidR="00267916" w:rsidRPr="00E37ABD">
              <w:rPr>
                <w:rStyle w:val="Hyperlink"/>
              </w:rPr>
              <w:t>Table 1. Major changes in AS 5369:2023 and implementation strategies for health service organisations</w:t>
            </w:r>
            <w:r w:rsidR="00267916">
              <w:rPr>
                <w:webHidden/>
              </w:rPr>
              <w:tab/>
            </w:r>
            <w:r w:rsidR="00267916">
              <w:rPr>
                <w:webHidden/>
              </w:rPr>
              <w:fldChar w:fldCharType="begin"/>
            </w:r>
            <w:r w:rsidR="00267916">
              <w:rPr>
                <w:webHidden/>
              </w:rPr>
              <w:instrText xml:space="preserve"> PAGEREF _Toc174010263 \h </w:instrText>
            </w:r>
            <w:r w:rsidR="00267916">
              <w:rPr>
                <w:webHidden/>
              </w:rPr>
            </w:r>
            <w:r w:rsidR="00267916">
              <w:rPr>
                <w:webHidden/>
              </w:rPr>
              <w:fldChar w:fldCharType="separate"/>
            </w:r>
            <w:r w:rsidR="00267916">
              <w:rPr>
                <w:webHidden/>
              </w:rPr>
              <w:t>4</w:t>
            </w:r>
            <w:r w:rsidR="00267916">
              <w:rPr>
                <w:webHidden/>
              </w:rPr>
              <w:fldChar w:fldCharType="end"/>
            </w:r>
          </w:hyperlink>
        </w:p>
        <w:p w14:paraId="09B4F7C6" w14:textId="1D5B8C74" w:rsidR="00267916" w:rsidRDefault="005949D6">
          <w:pPr>
            <w:pStyle w:val="TOC2"/>
            <w:rPr>
              <w:rFonts w:eastAsiaTheme="minorEastAsia" w:cstheme="minorBidi"/>
              <w:kern w:val="2"/>
              <w:szCs w:val="22"/>
              <w14:ligatures w14:val="standardContextual"/>
            </w:rPr>
          </w:pPr>
          <w:hyperlink w:anchor="_Toc174010264" w:history="1">
            <w:r w:rsidR="00267916" w:rsidRPr="00E37ABD">
              <w:rPr>
                <w:rStyle w:val="Hyperlink"/>
              </w:rPr>
              <w:t>More information</w:t>
            </w:r>
            <w:r w:rsidR="00267916">
              <w:rPr>
                <w:webHidden/>
              </w:rPr>
              <w:tab/>
            </w:r>
            <w:r w:rsidR="00267916">
              <w:rPr>
                <w:webHidden/>
              </w:rPr>
              <w:fldChar w:fldCharType="begin"/>
            </w:r>
            <w:r w:rsidR="00267916">
              <w:rPr>
                <w:webHidden/>
              </w:rPr>
              <w:instrText xml:space="preserve"> PAGEREF _Toc174010264 \h </w:instrText>
            </w:r>
            <w:r w:rsidR="00267916">
              <w:rPr>
                <w:webHidden/>
              </w:rPr>
            </w:r>
            <w:r w:rsidR="00267916">
              <w:rPr>
                <w:webHidden/>
              </w:rPr>
              <w:fldChar w:fldCharType="separate"/>
            </w:r>
            <w:r w:rsidR="00267916">
              <w:rPr>
                <w:webHidden/>
              </w:rPr>
              <w:t>18</w:t>
            </w:r>
            <w:r w:rsidR="00267916">
              <w:rPr>
                <w:webHidden/>
              </w:rPr>
              <w:fldChar w:fldCharType="end"/>
            </w:r>
          </w:hyperlink>
        </w:p>
        <w:p w14:paraId="21DFA7B1" w14:textId="7E922125" w:rsidR="00FE7540" w:rsidRDefault="00FE7540">
          <w:r>
            <w:rPr>
              <w:b/>
              <w:bCs/>
              <w:noProof/>
            </w:rPr>
            <w:fldChar w:fldCharType="end"/>
          </w:r>
        </w:p>
      </w:sdtContent>
    </w:sdt>
    <w:p w14:paraId="70F53BF4" w14:textId="77777777" w:rsidR="00FE7540" w:rsidRDefault="00FE7540">
      <w:pPr>
        <w:spacing w:before="0" w:after="80"/>
        <w:rPr>
          <w:rFonts w:asciiTheme="majorHAnsi" w:eastAsiaTheme="majorEastAsia" w:hAnsiTheme="majorHAnsi" w:cs="Times New Roman (Headings CS)"/>
          <w:b/>
          <w:color w:val="005370"/>
          <w:spacing w:val="-6"/>
          <w:kern w:val="28"/>
          <w:sz w:val="56"/>
          <w:szCs w:val="54"/>
        </w:rPr>
      </w:pPr>
      <w:r>
        <w:rPr>
          <w:color w:val="005370"/>
          <w:sz w:val="56"/>
          <w:szCs w:val="54"/>
        </w:rPr>
        <w:br w:type="page"/>
      </w:r>
    </w:p>
    <w:p w14:paraId="52B8A7F1" w14:textId="098B8810" w:rsidR="00694113" w:rsidRPr="00C56893" w:rsidRDefault="00FE7540" w:rsidP="00FE7540">
      <w:pPr>
        <w:pStyle w:val="Heading2"/>
        <w:rPr>
          <w:sz w:val="44"/>
          <w:szCs w:val="48"/>
        </w:rPr>
      </w:pPr>
      <w:bookmarkStart w:id="0" w:name="_Toc174010259"/>
      <w:r>
        <w:lastRenderedPageBreak/>
        <w:t>About this document</w:t>
      </w:r>
      <w:bookmarkEnd w:id="0"/>
    </w:p>
    <w:p w14:paraId="7065176D" w14:textId="12E9A4EC" w:rsidR="00981862" w:rsidRPr="00FE7540" w:rsidRDefault="00981862" w:rsidP="002272C9">
      <w:bookmarkStart w:id="1" w:name="_Hlk165451810"/>
      <w:r w:rsidRPr="00FE7540">
        <w:t xml:space="preserve">This document </w:t>
      </w:r>
      <w:r w:rsidR="002272C9" w:rsidRPr="00FE7540">
        <w:t>is to assist</w:t>
      </w:r>
      <w:r w:rsidRPr="00FE7540">
        <w:t xml:space="preserve"> health service organisations </w:t>
      </w:r>
      <w:r w:rsidR="00025F9D" w:rsidRPr="00FE7540">
        <w:t>to</w:t>
      </w:r>
      <w:r w:rsidR="002272C9" w:rsidRPr="00FE7540">
        <w:t xml:space="preserve"> implement the </w:t>
      </w:r>
      <w:r w:rsidR="00025F9D" w:rsidRPr="00FE7540">
        <w:t>updated</w:t>
      </w:r>
      <w:r w:rsidR="002272C9" w:rsidRPr="00FE7540">
        <w:t xml:space="preserve"> and new requirements introduced in AS 5369:2023 </w:t>
      </w:r>
      <w:r w:rsidR="002272C9" w:rsidRPr="00FE7540">
        <w:rPr>
          <w:i/>
          <w:iCs/>
        </w:rPr>
        <w:t>Reprocessing of reusable medical devices and other devices in health and non-health related facilities</w:t>
      </w:r>
      <w:r w:rsidR="002272C9" w:rsidRPr="00FE7540">
        <w:t>.</w:t>
      </w:r>
    </w:p>
    <w:p w14:paraId="3A651527" w14:textId="7AB19A91" w:rsidR="00962EDE" w:rsidRPr="00025F9D" w:rsidRDefault="00962EDE" w:rsidP="00962EDE">
      <w:pPr>
        <w:pStyle w:val="Heading2"/>
      </w:pPr>
      <w:bookmarkStart w:id="2" w:name="_Toc174010260"/>
      <w:r w:rsidRPr="00025F9D">
        <w:t>Overview</w:t>
      </w:r>
      <w:bookmarkEnd w:id="2"/>
    </w:p>
    <w:p w14:paraId="6CA23204" w14:textId="3EB931F0" w:rsidR="002272C9" w:rsidRPr="00962EDE" w:rsidRDefault="005949D6" w:rsidP="002272C9">
      <w:hyperlink r:id="rId16" w:history="1">
        <w:r w:rsidR="00962EDE" w:rsidRPr="00025F9D">
          <w:rPr>
            <w:rStyle w:val="Hyperlink"/>
          </w:rPr>
          <w:t>Action 3.17a</w:t>
        </w:r>
      </w:hyperlink>
      <w:r w:rsidR="00962EDE" w:rsidRPr="00025F9D">
        <w:t xml:space="preserve"> of </w:t>
      </w:r>
      <w:r w:rsidR="00962EDE" w:rsidRPr="00025F9D">
        <w:rPr>
          <w:rFonts w:ascii="Arial" w:hAnsi="Arial" w:cs="Arial"/>
        </w:rPr>
        <w:t xml:space="preserve">the </w:t>
      </w:r>
      <w:hyperlink r:id="rId17" w:history="1">
        <w:r w:rsidR="00962EDE" w:rsidRPr="00025F9D">
          <w:rPr>
            <w:rStyle w:val="Hyperlink"/>
            <w:rFonts w:ascii="Arial" w:hAnsi="Arial" w:cs="Arial"/>
          </w:rPr>
          <w:t>National Safety and Quality Health Service (NSQHS) Standards</w:t>
        </w:r>
      </w:hyperlink>
      <w:r w:rsidR="00962EDE" w:rsidRPr="00025F9D">
        <w:rPr>
          <w:rFonts w:ascii="Arial" w:hAnsi="Arial" w:cs="Arial"/>
        </w:rPr>
        <w:t xml:space="preserve"> requires health service organisations to have processes for reprocessing that are consistent with relevant national and international standards, in conjunction with manufacturers’ guidelines.</w:t>
      </w:r>
    </w:p>
    <w:p w14:paraId="12734E37" w14:textId="7E2D9F44" w:rsidR="00703D77" w:rsidRDefault="00703D77" w:rsidP="0078080B">
      <w:pPr>
        <w:spacing w:after="0"/>
      </w:pPr>
      <w:r>
        <w:t>I</w:t>
      </w:r>
      <w:r w:rsidRPr="00760F98">
        <w:t xml:space="preserve">n </w:t>
      </w:r>
      <w:r w:rsidRPr="00703D77">
        <w:t>December 2023</w:t>
      </w:r>
      <w:r w:rsidR="00B42DE5">
        <w:t xml:space="preserve">, </w:t>
      </w:r>
      <w:r w:rsidR="001C22CB" w:rsidRPr="00F106AD">
        <w:t>AS 5369:2023</w:t>
      </w:r>
      <w:r w:rsidR="001C22CB" w:rsidRPr="00703D77">
        <w:t xml:space="preserve"> superseded AS/NZS </w:t>
      </w:r>
      <w:r w:rsidR="008316EE" w:rsidRPr="00703D77">
        <w:t>4187</w:t>
      </w:r>
      <w:r w:rsidR="001C22CB" w:rsidRPr="00703D77">
        <w:t xml:space="preserve">:2014 </w:t>
      </w:r>
      <w:r w:rsidR="001C22CB" w:rsidRPr="00234466">
        <w:rPr>
          <w:i/>
          <w:iCs/>
        </w:rPr>
        <w:t>Reprocessing of reusable medical devices in health service organisations</w:t>
      </w:r>
      <w:r w:rsidR="001C22CB">
        <w:t xml:space="preserve"> and AS/NZS 4815:2006 </w:t>
      </w:r>
      <w:r w:rsidR="001C22CB" w:rsidRPr="00234466">
        <w:rPr>
          <w:i/>
          <w:iCs/>
        </w:rPr>
        <w:t>Office-based health care facilities - Reprocessing of reusable medical and surgical instruments and equipment, and maintenance of the associated environment</w:t>
      </w:r>
      <w:r w:rsidR="001C22CB">
        <w:t xml:space="preserve">. </w:t>
      </w:r>
      <w:bookmarkStart w:id="3" w:name="_Hlk157692661"/>
    </w:p>
    <w:bookmarkEnd w:id="3"/>
    <w:p w14:paraId="3E01121B" w14:textId="5E5BE4D7" w:rsidR="00025F9D" w:rsidRPr="00CE0495" w:rsidRDefault="00025F9D" w:rsidP="00025F9D">
      <w:pPr>
        <w:spacing w:after="0"/>
      </w:pPr>
      <w:r w:rsidRPr="00CE0495">
        <w:t xml:space="preserve">AS 5369:2023 specifies the requirements for the effective and </w:t>
      </w:r>
      <w:bookmarkStart w:id="4" w:name="_Hlk164434975"/>
      <w:r w:rsidRPr="00CE0495">
        <w:t>safe reprocessing, storage, handling, and transportation of reusable medical devices (RMDs) and other devices</w:t>
      </w:r>
      <w:bookmarkEnd w:id="4"/>
      <w:r>
        <w:t xml:space="preserve"> used in</w:t>
      </w:r>
      <w:r w:rsidRPr="00CE0495">
        <w:t xml:space="preserve"> human health care and other treatments</w:t>
      </w:r>
      <w:r>
        <w:t xml:space="preserve">. Implementation of </w:t>
      </w:r>
      <w:r w:rsidRPr="00CE0495">
        <w:t xml:space="preserve">AS 5369:2023 </w:t>
      </w:r>
      <w:r>
        <w:t>is required</w:t>
      </w:r>
      <w:r w:rsidRPr="00CE0495">
        <w:t xml:space="preserve"> in </w:t>
      </w:r>
      <w:r>
        <w:t>all healthcare settings as well as other non-healthcare settings where RMDs and other devices are in use.</w:t>
      </w:r>
      <w:r w:rsidRPr="00CE0495">
        <w:t xml:space="preserve"> </w:t>
      </w:r>
    </w:p>
    <w:p w14:paraId="53E69FFF" w14:textId="1782C74D" w:rsidR="00962EDE" w:rsidRDefault="00962EDE" w:rsidP="00962EDE">
      <w:pPr>
        <w:pStyle w:val="Heading2"/>
      </w:pPr>
      <w:bookmarkStart w:id="5" w:name="_Toc174010261"/>
      <w:r w:rsidRPr="00025F9D">
        <w:t>Key changes</w:t>
      </w:r>
      <w:bookmarkEnd w:id="5"/>
    </w:p>
    <w:p w14:paraId="26E73559" w14:textId="030E33C1" w:rsidR="005747A5" w:rsidRPr="00FE7809" w:rsidRDefault="00A14EB9" w:rsidP="00A14EB9">
      <w:r w:rsidRPr="00FE7809">
        <w:t xml:space="preserve">The transition from AS/NZS </w:t>
      </w:r>
      <w:r w:rsidR="008316EE" w:rsidRPr="00FE7809">
        <w:t>4187</w:t>
      </w:r>
      <w:r w:rsidRPr="00FE7809">
        <w:t xml:space="preserve">:2014 to AS 5369:2023 </w:t>
      </w:r>
      <w:r w:rsidR="00A67A7D" w:rsidRPr="00FE7809">
        <w:t xml:space="preserve">involves </w:t>
      </w:r>
      <w:r w:rsidR="00355C51" w:rsidRPr="00FE7809">
        <w:t xml:space="preserve">the following </w:t>
      </w:r>
      <w:r w:rsidR="00307E37" w:rsidRPr="00FE7809">
        <w:t>key changes</w:t>
      </w:r>
      <w:r w:rsidR="00982460" w:rsidRPr="00FE7809">
        <w:t xml:space="preserve">, </w:t>
      </w:r>
      <w:bookmarkStart w:id="6" w:name="_Hlk166483931"/>
      <w:r w:rsidR="00982460" w:rsidRPr="00FE7809">
        <w:t>several of which are significantly different to AS/NZS 4187:2014 and have resource implications for health service organisations</w:t>
      </w:r>
      <w:bookmarkEnd w:id="6"/>
      <w:r w:rsidR="005747A5" w:rsidRPr="00FE7809">
        <w:t>:</w:t>
      </w:r>
    </w:p>
    <w:p w14:paraId="402E2D7D" w14:textId="39C8EE80" w:rsidR="003F5815" w:rsidRPr="00FE7809" w:rsidRDefault="00A67A7D" w:rsidP="005747A5">
      <w:pPr>
        <w:pStyle w:val="ListParagraph"/>
        <w:numPr>
          <w:ilvl w:val="0"/>
          <w:numId w:val="41"/>
        </w:numPr>
      </w:pPr>
      <w:r w:rsidRPr="00FE7809">
        <w:t xml:space="preserve">An expanded </w:t>
      </w:r>
      <w:r w:rsidR="00A14EB9" w:rsidRPr="00FE7809">
        <w:t xml:space="preserve">scope to include office-based and non-health related facilities </w:t>
      </w:r>
      <w:r w:rsidR="00667B19" w:rsidRPr="00FE7809">
        <w:t xml:space="preserve">that use RMDs and other devices for diagnosis, treatment, and other </w:t>
      </w:r>
      <w:proofErr w:type="gramStart"/>
      <w:r w:rsidR="00667B19" w:rsidRPr="00FE7809">
        <w:t>procedures</w:t>
      </w:r>
      <w:proofErr w:type="gramEnd"/>
    </w:p>
    <w:p w14:paraId="0830B2CB" w14:textId="619BE939" w:rsidR="00912D82" w:rsidRPr="00FE7809" w:rsidRDefault="005D0AE4" w:rsidP="0073320D">
      <w:pPr>
        <w:pStyle w:val="ListParagraph"/>
        <w:numPr>
          <w:ilvl w:val="0"/>
          <w:numId w:val="41"/>
        </w:numPr>
      </w:pPr>
      <w:r w:rsidRPr="00FE7809">
        <w:rPr>
          <w:rFonts w:cstheme="minorHAnsi"/>
        </w:rPr>
        <w:t>No recommendation on the timeframe for health service organisation</w:t>
      </w:r>
      <w:r w:rsidR="0009229C" w:rsidRPr="00FE7809">
        <w:rPr>
          <w:rFonts w:cstheme="minorHAnsi"/>
        </w:rPr>
        <w:t>s</w:t>
      </w:r>
      <w:r w:rsidRPr="00FE7809">
        <w:rPr>
          <w:rFonts w:cstheme="minorHAnsi"/>
        </w:rPr>
        <w:t xml:space="preserve"> to implement the requirements of AS 5369:2023, while AS/NZS 4187:2014 recommend</w:t>
      </w:r>
      <w:r w:rsidR="0009229C" w:rsidRPr="00FE7809">
        <w:rPr>
          <w:rFonts w:cstheme="minorHAnsi"/>
        </w:rPr>
        <w:t>ed a</w:t>
      </w:r>
      <w:r w:rsidRPr="00FE7809">
        <w:rPr>
          <w:rFonts w:cstheme="minorHAnsi"/>
        </w:rPr>
        <w:t xml:space="preserve"> </w:t>
      </w:r>
      <w:r w:rsidR="00912D82" w:rsidRPr="00FE7809">
        <w:rPr>
          <w:rFonts w:cstheme="minorHAnsi"/>
        </w:rPr>
        <w:t xml:space="preserve">two-year </w:t>
      </w:r>
      <w:proofErr w:type="gramStart"/>
      <w:r w:rsidR="00912D82" w:rsidRPr="00FE7809">
        <w:rPr>
          <w:rFonts w:cstheme="minorHAnsi"/>
        </w:rPr>
        <w:t>timeframe</w:t>
      </w:r>
      <w:proofErr w:type="gramEnd"/>
    </w:p>
    <w:p w14:paraId="7521AF68" w14:textId="713B3A19" w:rsidR="005747A5" w:rsidRPr="00FE7809" w:rsidRDefault="00A67A7D" w:rsidP="0073320D">
      <w:pPr>
        <w:pStyle w:val="ListParagraph"/>
        <w:numPr>
          <w:ilvl w:val="0"/>
          <w:numId w:val="41"/>
        </w:numPr>
      </w:pPr>
      <w:r w:rsidRPr="00FE7809">
        <w:rPr>
          <w:rFonts w:cstheme="minorHAnsi"/>
        </w:rPr>
        <w:t xml:space="preserve">An </w:t>
      </w:r>
      <w:r w:rsidR="003F5815" w:rsidRPr="00FE7809">
        <w:rPr>
          <w:rFonts w:cstheme="minorHAnsi"/>
        </w:rPr>
        <w:t xml:space="preserve">emphasis </w:t>
      </w:r>
      <w:r w:rsidRPr="00FE7809">
        <w:rPr>
          <w:rFonts w:cstheme="minorHAnsi"/>
        </w:rPr>
        <w:t xml:space="preserve">on </w:t>
      </w:r>
      <w:r w:rsidR="003F5815" w:rsidRPr="00FE7809">
        <w:rPr>
          <w:rFonts w:cstheme="minorHAnsi"/>
        </w:rPr>
        <w:t xml:space="preserve">a risk-based approach </w:t>
      </w:r>
    </w:p>
    <w:p w14:paraId="2B1A4DB2" w14:textId="26B444A8" w:rsidR="00C03764" w:rsidRDefault="00A67A7D" w:rsidP="005747A5">
      <w:pPr>
        <w:pStyle w:val="ListParagraph"/>
        <w:numPr>
          <w:ilvl w:val="0"/>
          <w:numId w:val="41"/>
        </w:numPr>
      </w:pPr>
      <w:r>
        <w:t xml:space="preserve">A </w:t>
      </w:r>
      <w:r w:rsidR="00C03764">
        <w:t>recommend</w:t>
      </w:r>
      <w:r>
        <w:t>ation for</w:t>
      </w:r>
      <w:r w:rsidR="007B5C0E">
        <w:t xml:space="preserve"> </w:t>
      </w:r>
      <w:r w:rsidR="00C03764">
        <w:t>annual</w:t>
      </w:r>
      <w:r w:rsidR="00C03764" w:rsidRPr="00C03764">
        <w:t xml:space="preserve"> training </w:t>
      </w:r>
      <w:r>
        <w:t xml:space="preserve">of </w:t>
      </w:r>
      <w:r w:rsidR="00C03764" w:rsidRPr="00C03764">
        <w:t xml:space="preserve">staff in infection </w:t>
      </w:r>
      <w:r w:rsidR="0076166A">
        <w:t xml:space="preserve">prevention and </w:t>
      </w:r>
      <w:r w:rsidR="00C03764" w:rsidRPr="00C03764">
        <w:t>control and occupational exposure procedures</w:t>
      </w:r>
    </w:p>
    <w:p w14:paraId="1070814E" w14:textId="24C95ACC" w:rsidR="0076166A" w:rsidRDefault="00A67A7D" w:rsidP="005747A5">
      <w:pPr>
        <w:pStyle w:val="ListParagraph"/>
        <w:numPr>
          <w:ilvl w:val="0"/>
          <w:numId w:val="41"/>
        </w:numPr>
      </w:pPr>
      <w:r>
        <w:t>A</w:t>
      </w:r>
      <w:r w:rsidR="00982460">
        <w:t>n</w:t>
      </w:r>
      <w:r w:rsidR="00A14EB9" w:rsidRPr="00A14EB9">
        <w:t xml:space="preserve"> emphasis on management responsibilities, </w:t>
      </w:r>
      <w:r>
        <w:t xml:space="preserve">and the establishment of </w:t>
      </w:r>
      <w:r w:rsidR="00A14EB9" w:rsidRPr="00A14EB9">
        <w:t>systems such as business continuity plan</w:t>
      </w:r>
      <w:r>
        <w:t>ning</w:t>
      </w:r>
      <w:r w:rsidR="00A14EB9" w:rsidRPr="00A14EB9">
        <w:t xml:space="preserve"> to ensure compliance with the standard under all </w:t>
      </w:r>
      <w:proofErr w:type="gramStart"/>
      <w:r w:rsidR="00A14EB9" w:rsidRPr="00A14EB9">
        <w:t>conditions</w:t>
      </w:r>
      <w:proofErr w:type="gramEnd"/>
    </w:p>
    <w:p w14:paraId="2991EABF" w14:textId="0A694A0D" w:rsidR="005747A5" w:rsidRDefault="00F72C01" w:rsidP="006B182F">
      <w:pPr>
        <w:pStyle w:val="ListParagraph"/>
        <w:numPr>
          <w:ilvl w:val="0"/>
          <w:numId w:val="41"/>
        </w:numPr>
      </w:pPr>
      <w:bookmarkStart w:id="7" w:name="_Hlk167187503"/>
      <w:r>
        <w:t>R</w:t>
      </w:r>
      <w:r w:rsidR="00A14EB9" w:rsidRPr="00A14EB9">
        <w:t xml:space="preserve">equirements </w:t>
      </w:r>
      <w:r>
        <w:t xml:space="preserve">about </w:t>
      </w:r>
      <w:r w:rsidR="00A14EB9" w:rsidRPr="00A14EB9">
        <w:t xml:space="preserve">evidence of accreditation and quality management activities in </w:t>
      </w:r>
      <w:r>
        <w:t xml:space="preserve">contracts with third parties </w:t>
      </w:r>
      <w:r w:rsidR="00F8135B">
        <w:t>f</w:t>
      </w:r>
      <w:r w:rsidR="00F8135B" w:rsidRPr="00F8135B">
        <w:t>or reprocessing services</w:t>
      </w:r>
    </w:p>
    <w:bookmarkEnd w:id="7"/>
    <w:p w14:paraId="6F6F2C1D" w14:textId="340CF719" w:rsidR="0076166A" w:rsidRPr="00ED4EEC" w:rsidRDefault="00A67A7D" w:rsidP="005747A5">
      <w:pPr>
        <w:pStyle w:val="ListParagraph"/>
        <w:numPr>
          <w:ilvl w:val="0"/>
          <w:numId w:val="41"/>
        </w:numPr>
      </w:pPr>
      <w:r w:rsidRPr="00ED4EEC">
        <w:t>T</w:t>
      </w:r>
      <w:r w:rsidR="00A14EB9" w:rsidRPr="00ED4EEC">
        <w:t>he involvement of competent person</w:t>
      </w:r>
      <w:r w:rsidR="00A14067" w:rsidRPr="00ED4EEC">
        <w:t>s</w:t>
      </w:r>
      <w:r w:rsidR="00A14EB9" w:rsidRPr="00ED4EEC">
        <w:t xml:space="preserve"> to oversee </w:t>
      </w:r>
      <w:r w:rsidR="00FA00C6" w:rsidRPr="00ED4EEC">
        <w:t xml:space="preserve">document and record </w:t>
      </w:r>
      <w:r w:rsidRPr="00ED4EEC">
        <w:t xml:space="preserve">controls </w:t>
      </w:r>
      <w:r w:rsidR="00FA00C6" w:rsidRPr="00ED4EEC">
        <w:t xml:space="preserve">and product </w:t>
      </w:r>
      <w:r w:rsidR="00A14EB9" w:rsidRPr="00ED4EEC">
        <w:t xml:space="preserve">selection </w:t>
      </w:r>
      <w:proofErr w:type="gramStart"/>
      <w:r w:rsidR="00A14EB9" w:rsidRPr="00ED4EEC">
        <w:t>process</w:t>
      </w:r>
      <w:r w:rsidRPr="00ED4EEC">
        <w:t>es</w:t>
      </w:r>
      <w:proofErr w:type="gramEnd"/>
    </w:p>
    <w:p w14:paraId="53356920" w14:textId="243A6698" w:rsidR="006F314F" w:rsidRPr="00ED4EEC" w:rsidRDefault="006F314F" w:rsidP="006F314F">
      <w:pPr>
        <w:pStyle w:val="ListParagraph"/>
        <w:numPr>
          <w:ilvl w:val="0"/>
          <w:numId w:val="41"/>
        </w:numPr>
      </w:pPr>
      <w:r w:rsidRPr="00ED4EEC">
        <w:t>An emphasis on Therapeutic Goods Administration (TGA) requirement</w:t>
      </w:r>
      <w:r w:rsidR="00982460" w:rsidRPr="00ED4EEC">
        <w:t>s</w:t>
      </w:r>
      <w:r w:rsidRPr="00ED4EEC">
        <w:t xml:space="preserve"> for RMDs</w:t>
      </w:r>
      <w:r w:rsidR="00982460" w:rsidRPr="00ED4EEC">
        <w:t>,</w:t>
      </w:r>
      <w:r w:rsidRPr="00ED4EEC">
        <w:t xml:space="preserve"> RMD</w:t>
      </w:r>
      <w:r w:rsidR="00982460" w:rsidRPr="00ED4EEC">
        <w:t>s accessories,</w:t>
      </w:r>
      <w:r w:rsidRPr="00ED4EEC">
        <w:t xml:space="preserve"> reprocessing equipment</w:t>
      </w:r>
      <w:r w:rsidR="00A30CBB" w:rsidRPr="00ED4EEC">
        <w:t>,</w:t>
      </w:r>
      <w:r w:rsidRPr="00ED4EEC">
        <w:t xml:space="preserve"> and </w:t>
      </w:r>
      <w:r w:rsidR="00982460" w:rsidRPr="00ED4EEC">
        <w:t xml:space="preserve">reprocessing </w:t>
      </w:r>
      <w:r w:rsidRPr="00ED4EEC">
        <w:t>agents</w:t>
      </w:r>
    </w:p>
    <w:p w14:paraId="124A2A72" w14:textId="003FECB8" w:rsidR="005747A5" w:rsidRPr="00ED4EEC" w:rsidRDefault="00A67A7D" w:rsidP="005747A5">
      <w:pPr>
        <w:pStyle w:val="ListParagraph"/>
        <w:numPr>
          <w:ilvl w:val="0"/>
          <w:numId w:val="41"/>
        </w:numPr>
      </w:pPr>
      <w:r w:rsidRPr="00ED4EEC">
        <w:t>A</w:t>
      </w:r>
      <w:r w:rsidR="00F8135B" w:rsidRPr="00ED4EEC">
        <w:t>dditional</w:t>
      </w:r>
      <w:r w:rsidR="00A14EB9" w:rsidRPr="00ED4EEC">
        <w:t xml:space="preserve"> guidelines for maintaining traceable</w:t>
      </w:r>
      <w:r w:rsidR="00EF372C" w:rsidRPr="00ED4EEC">
        <w:t xml:space="preserve"> and</w:t>
      </w:r>
      <w:r w:rsidR="00A14EB9" w:rsidRPr="00ED4EEC">
        <w:t xml:space="preserve"> legible </w:t>
      </w:r>
      <w:proofErr w:type="gramStart"/>
      <w:r w:rsidR="00A14EB9" w:rsidRPr="00ED4EEC">
        <w:t>record</w:t>
      </w:r>
      <w:r w:rsidR="005747A5" w:rsidRPr="00ED4EEC">
        <w:t>s</w:t>
      </w:r>
      <w:proofErr w:type="gramEnd"/>
      <w:r w:rsidR="00A14EB9" w:rsidRPr="00ED4EEC">
        <w:t xml:space="preserve"> </w:t>
      </w:r>
    </w:p>
    <w:p w14:paraId="56D61D01" w14:textId="01C5A05C" w:rsidR="005747A5" w:rsidRPr="00ED4EEC" w:rsidRDefault="00A67A7D" w:rsidP="005747A5">
      <w:pPr>
        <w:pStyle w:val="ListParagraph"/>
        <w:numPr>
          <w:ilvl w:val="0"/>
          <w:numId w:val="41"/>
        </w:numPr>
      </w:pPr>
      <w:r w:rsidRPr="00ED4EEC">
        <w:t>G</w:t>
      </w:r>
      <w:r w:rsidR="000E6523" w:rsidRPr="00ED4EEC">
        <w:t xml:space="preserve">uidance for grouping devices into product families, which determine the methods for </w:t>
      </w:r>
      <w:proofErr w:type="gramStart"/>
      <w:r w:rsidR="000E6523" w:rsidRPr="00ED4EEC">
        <w:t>reprocessing</w:t>
      </w:r>
      <w:proofErr w:type="gramEnd"/>
      <w:r w:rsidR="000E6523" w:rsidRPr="00ED4EEC">
        <w:t xml:space="preserve"> </w:t>
      </w:r>
    </w:p>
    <w:p w14:paraId="6280D799" w14:textId="602E2809" w:rsidR="00A67A7D" w:rsidRDefault="00A14EB9" w:rsidP="005747A5">
      <w:pPr>
        <w:pStyle w:val="ListParagraph"/>
        <w:numPr>
          <w:ilvl w:val="0"/>
          <w:numId w:val="41"/>
        </w:numPr>
      </w:pPr>
      <w:r w:rsidRPr="00A14EB9">
        <w:t xml:space="preserve">Facility design </w:t>
      </w:r>
      <w:r w:rsidR="00A67A7D">
        <w:t xml:space="preserve">that </w:t>
      </w:r>
      <w:r w:rsidRPr="00A14EB9">
        <w:t>support</w:t>
      </w:r>
      <w:r w:rsidR="00A67A7D">
        <w:t>s</w:t>
      </w:r>
      <w:r w:rsidRPr="00A14EB9">
        <w:t xml:space="preserve"> dedicated reprocessing areas and </w:t>
      </w:r>
      <w:r w:rsidR="00FC2C9A" w:rsidRPr="00A14EB9">
        <w:t>adher</w:t>
      </w:r>
      <w:r w:rsidR="00FC2C9A">
        <w:t>ence</w:t>
      </w:r>
      <w:r w:rsidRPr="00A14EB9">
        <w:t xml:space="preserve"> to unidirectional workflows to mitigate cross-contamination risks </w:t>
      </w:r>
    </w:p>
    <w:p w14:paraId="63450AB8" w14:textId="3CFEE625" w:rsidR="005747A5" w:rsidRDefault="00F72C01" w:rsidP="005747A5">
      <w:pPr>
        <w:pStyle w:val="ListParagraph"/>
        <w:numPr>
          <w:ilvl w:val="0"/>
          <w:numId w:val="41"/>
        </w:numPr>
      </w:pPr>
      <w:r>
        <w:t>S</w:t>
      </w:r>
      <w:r w:rsidR="00A14EB9" w:rsidRPr="00A14EB9">
        <w:t xml:space="preserve">tipulations for </w:t>
      </w:r>
      <w:r w:rsidR="00A14067">
        <w:t xml:space="preserve">cleaning sinks, </w:t>
      </w:r>
      <w:r w:rsidR="00A14EB9" w:rsidRPr="00A14EB9">
        <w:t>hand hygiene facilities and ventilation systems</w:t>
      </w:r>
    </w:p>
    <w:p w14:paraId="6028FB19" w14:textId="3DB531A8" w:rsidR="005747A5" w:rsidRDefault="00F72C01" w:rsidP="005747A5">
      <w:pPr>
        <w:pStyle w:val="ListParagraph"/>
        <w:numPr>
          <w:ilvl w:val="0"/>
          <w:numId w:val="41"/>
        </w:numPr>
      </w:pPr>
      <w:r>
        <w:lastRenderedPageBreak/>
        <w:t>E</w:t>
      </w:r>
      <w:r w:rsidRPr="00F72C01">
        <w:t xml:space="preserve">nhanced risk assessment and performance qualifications </w:t>
      </w:r>
      <w:r>
        <w:t>for h</w:t>
      </w:r>
      <w:r w:rsidR="00A14EB9" w:rsidRPr="00A14EB9">
        <w:t xml:space="preserve">andling, storage, and transport of RMDs </w:t>
      </w:r>
      <w:r w:rsidR="00F8135B">
        <w:t>and other devices</w:t>
      </w:r>
      <w:r w:rsidR="00ED4EEC">
        <w:t xml:space="preserve"> </w:t>
      </w:r>
      <w:r w:rsidR="00A14EB9" w:rsidRPr="00A14EB9">
        <w:t>to prevent contamination and ensure safety throughout the reprocessing cycle</w:t>
      </w:r>
      <w:r w:rsidR="005747A5">
        <w:t>.</w:t>
      </w:r>
      <w:r w:rsidR="00A14EB9" w:rsidRPr="00A14EB9">
        <w:t xml:space="preserve"> </w:t>
      </w:r>
    </w:p>
    <w:p w14:paraId="2F63280F" w14:textId="21715D13" w:rsidR="005747A5" w:rsidRDefault="005747A5" w:rsidP="00947765">
      <w:pPr>
        <w:spacing w:after="0"/>
      </w:pPr>
      <w:r>
        <w:t xml:space="preserve">Table 1 </w:t>
      </w:r>
      <w:r w:rsidR="00982460">
        <w:t xml:space="preserve">maps AS 4187:2014 to </w:t>
      </w:r>
      <w:r>
        <w:t>the detailed updates and new requirements</w:t>
      </w:r>
      <w:r w:rsidR="009D6DC5">
        <w:t xml:space="preserve"> </w:t>
      </w:r>
      <w:r w:rsidR="00982460">
        <w:t>of</w:t>
      </w:r>
      <w:r w:rsidR="009D6DC5" w:rsidRPr="00760F98">
        <w:t xml:space="preserve"> AS 5369:2023</w:t>
      </w:r>
      <w:r w:rsidR="009D6DC5">
        <w:t xml:space="preserve"> and</w:t>
      </w:r>
      <w:r w:rsidR="00982460">
        <w:t xml:space="preserve"> includes suggestions for</w:t>
      </w:r>
      <w:r w:rsidR="009D6DC5">
        <w:t xml:space="preserve"> implementation strategies for health service organisation</w:t>
      </w:r>
      <w:r w:rsidR="00F175B0">
        <w:t>s</w:t>
      </w:r>
      <w:r>
        <w:rPr>
          <w:i/>
          <w:iCs/>
        </w:rPr>
        <w:t>.</w:t>
      </w:r>
      <w:r w:rsidR="00982460">
        <w:rPr>
          <w:i/>
          <w:iCs/>
        </w:rPr>
        <w:t xml:space="preserve"> </w:t>
      </w:r>
      <w:bookmarkStart w:id="8" w:name="_Hlk166484167"/>
      <w:r w:rsidR="00982460">
        <w:t>In general, a staged implementation process, informed by risk assessment, is recommended.</w:t>
      </w:r>
      <w:bookmarkEnd w:id="8"/>
    </w:p>
    <w:p w14:paraId="21437238" w14:textId="77777777" w:rsidR="00355C51" w:rsidRPr="00CE0495" w:rsidRDefault="00355C51" w:rsidP="00355C51">
      <w:pPr>
        <w:pStyle w:val="Heading2"/>
      </w:pPr>
      <w:bookmarkStart w:id="9" w:name="_Toc174010262"/>
      <w:bookmarkEnd w:id="1"/>
      <w:r>
        <w:t>Implementation considerations</w:t>
      </w:r>
      <w:bookmarkEnd w:id="9"/>
    </w:p>
    <w:p w14:paraId="04415404" w14:textId="1CB80387" w:rsidR="00962EDE" w:rsidRDefault="00962EDE" w:rsidP="00962EDE">
      <w:pPr>
        <w:rPr>
          <w:rFonts w:ascii="Arial" w:hAnsi="Arial" w:cs="Arial"/>
        </w:rPr>
      </w:pPr>
      <w:r>
        <w:rPr>
          <w:rFonts w:ascii="Arial" w:hAnsi="Arial" w:cs="Arial"/>
        </w:rPr>
        <w:t xml:space="preserve">Health </w:t>
      </w:r>
      <w:r w:rsidRPr="004E361C">
        <w:rPr>
          <w:rFonts w:ascii="Arial" w:hAnsi="Arial" w:cs="Arial"/>
        </w:rPr>
        <w:t xml:space="preserve">service organisations should </w:t>
      </w:r>
      <w:bookmarkStart w:id="10" w:name="_Hlk167187596"/>
      <w:r w:rsidRPr="004E361C">
        <w:rPr>
          <w:rFonts w:ascii="Arial" w:hAnsi="Arial" w:cs="Arial"/>
        </w:rPr>
        <w:t xml:space="preserve">conduct a gap analysis using a risk-based approach to determine changes </w:t>
      </w:r>
      <w:r w:rsidR="00F72C01">
        <w:rPr>
          <w:rFonts w:ascii="Arial" w:hAnsi="Arial" w:cs="Arial"/>
        </w:rPr>
        <w:t xml:space="preserve">that </w:t>
      </w:r>
      <w:r w:rsidRPr="004E361C">
        <w:rPr>
          <w:rFonts w:ascii="Arial" w:hAnsi="Arial" w:cs="Arial"/>
        </w:rPr>
        <w:t>are necessary to align with the new requirements</w:t>
      </w:r>
      <w:r>
        <w:rPr>
          <w:rFonts w:ascii="Arial" w:hAnsi="Arial" w:cs="Arial"/>
        </w:rPr>
        <w:t xml:space="preserve"> in AS 5369:2023. </w:t>
      </w:r>
    </w:p>
    <w:bookmarkEnd w:id="10"/>
    <w:p w14:paraId="05BBCA58" w14:textId="3F35E599" w:rsidR="00F72C01" w:rsidRDefault="00962EDE" w:rsidP="00ED4EEC">
      <w:pPr>
        <w:rPr>
          <w:rFonts w:ascii="Arial" w:hAnsi="Arial" w:cs="Arial"/>
        </w:rPr>
      </w:pPr>
      <w:r>
        <w:rPr>
          <w:rFonts w:ascii="Arial" w:hAnsi="Arial" w:cs="Arial"/>
        </w:rPr>
        <w:t>Health service organisations should update or develop an asset management plan</w:t>
      </w:r>
      <w:r w:rsidR="00982460">
        <w:rPr>
          <w:rFonts w:ascii="Arial" w:hAnsi="Arial" w:cs="Arial"/>
        </w:rPr>
        <w:t>,</w:t>
      </w:r>
      <w:r>
        <w:rPr>
          <w:rFonts w:ascii="Arial" w:hAnsi="Arial" w:cs="Arial"/>
        </w:rPr>
        <w:t xml:space="preserve"> including timelines for future redevelopment or upgrade to their </w:t>
      </w:r>
      <w:bookmarkStart w:id="11" w:name="_Hlk167187621"/>
      <w:r w:rsidR="00F72C01">
        <w:rPr>
          <w:rFonts w:ascii="Arial" w:hAnsi="Arial" w:cs="Arial"/>
        </w:rPr>
        <w:t xml:space="preserve">reprocessing </w:t>
      </w:r>
      <w:r>
        <w:rPr>
          <w:rFonts w:ascii="Arial" w:hAnsi="Arial" w:cs="Arial"/>
        </w:rPr>
        <w:t xml:space="preserve">service </w:t>
      </w:r>
      <w:bookmarkEnd w:id="11"/>
      <w:r>
        <w:rPr>
          <w:rFonts w:ascii="Arial" w:hAnsi="Arial" w:cs="Arial"/>
        </w:rPr>
        <w:t xml:space="preserve">to meet the requirements of the new standard. </w:t>
      </w:r>
    </w:p>
    <w:p w14:paraId="75BD4160" w14:textId="77777777" w:rsidR="005747A5" w:rsidRDefault="005747A5" w:rsidP="0078080B">
      <w:pPr>
        <w:spacing w:after="0"/>
      </w:pPr>
    </w:p>
    <w:p w14:paraId="1E123C1A" w14:textId="77777777" w:rsidR="00962EDE" w:rsidRDefault="00962EDE" w:rsidP="00962EDE">
      <w:pPr>
        <w:spacing w:after="0"/>
      </w:pPr>
    </w:p>
    <w:p w14:paraId="3A92D48C" w14:textId="77777777" w:rsidR="00962EDE" w:rsidRDefault="00962EDE" w:rsidP="00962EDE">
      <w:pPr>
        <w:spacing w:after="0"/>
        <w:sectPr w:rsidR="00962EDE" w:rsidSect="004120CA">
          <w:headerReference w:type="even" r:id="rId18"/>
          <w:headerReference w:type="default" r:id="rId19"/>
          <w:footerReference w:type="even" r:id="rId20"/>
          <w:footerReference w:type="default" r:id="rId21"/>
          <w:headerReference w:type="first" r:id="rId22"/>
          <w:footerReference w:type="first" r:id="rId23"/>
          <w:footnotePr>
            <w:numFmt w:val="chicago"/>
          </w:footnotePr>
          <w:pgSz w:w="11900" w:h="16840"/>
          <w:pgMar w:top="1735" w:right="1134" w:bottom="1440" w:left="1134" w:header="709" w:footer="709" w:gutter="0"/>
          <w:pgNumType w:start="1"/>
          <w:cols w:space="708"/>
          <w:titlePg/>
          <w:docGrid w:linePitch="360"/>
        </w:sectPr>
      </w:pPr>
    </w:p>
    <w:p w14:paraId="2C43D79F" w14:textId="55AEC6FB" w:rsidR="0078080B" w:rsidRPr="004120CA" w:rsidRDefault="0078080B" w:rsidP="004120CA">
      <w:pPr>
        <w:pStyle w:val="TableFiguretitle"/>
      </w:pPr>
      <w:bookmarkStart w:id="12" w:name="_Toc174010263"/>
      <w:r w:rsidRPr="004120CA">
        <w:lastRenderedPageBreak/>
        <w:t>Table 1</w:t>
      </w:r>
      <w:r w:rsidR="009B4519" w:rsidRPr="004120CA">
        <w:t>.</w:t>
      </w:r>
      <w:r w:rsidRPr="004120CA">
        <w:t xml:space="preserve"> </w:t>
      </w:r>
      <w:r w:rsidR="009B4519" w:rsidRPr="004120CA">
        <w:t xml:space="preserve">Major </w:t>
      </w:r>
      <w:r w:rsidR="00616324" w:rsidRPr="004120CA">
        <w:t>changes</w:t>
      </w:r>
      <w:r w:rsidR="009B4519" w:rsidRPr="004120CA">
        <w:t xml:space="preserve"> </w:t>
      </w:r>
      <w:r w:rsidR="00463090" w:rsidRPr="004120CA">
        <w:t>in</w:t>
      </w:r>
      <w:r w:rsidR="00FC2955" w:rsidRPr="004120CA">
        <w:t xml:space="preserve"> AS 5369:2023</w:t>
      </w:r>
      <w:r w:rsidR="009D6DC5" w:rsidRPr="004120CA">
        <w:t xml:space="preserve"> and implementation strategies for health service organisation</w:t>
      </w:r>
      <w:r w:rsidR="00783AB2">
        <w:t>s</w:t>
      </w:r>
      <w:bookmarkEnd w:id="12"/>
    </w:p>
    <w:tbl>
      <w:tblPr>
        <w:tblStyle w:val="DarkHeadingBanded"/>
        <w:tblW w:w="5033" w:type="pct"/>
        <w:tblLook w:val="04A0" w:firstRow="1" w:lastRow="0" w:firstColumn="1" w:lastColumn="0" w:noHBand="0" w:noVBand="1"/>
      </w:tblPr>
      <w:tblGrid>
        <w:gridCol w:w="1697"/>
        <w:gridCol w:w="2684"/>
        <w:gridCol w:w="4658"/>
        <w:gridCol w:w="4706"/>
      </w:tblGrid>
      <w:tr w:rsidR="005747A5" w:rsidRPr="00852E02" w14:paraId="4CF8483F" w14:textId="03820C7F" w:rsidTr="00742B12">
        <w:trPr>
          <w:cnfStyle w:val="100000000000" w:firstRow="1" w:lastRow="0" w:firstColumn="0" w:lastColumn="0" w:oddVBand="0" w:evenVBand="0" w:oddHBand="0" w:evenHBand="0" w:firstRowFirstColumn="0" w:firstRowLastColumn="0" w:lastRowFirstColumn="0" w:lastRowLastColumn="0"/>
          <w:tblHeader/>
        </w:trPr>
        <w:tc>
          <w:tcPr>
            <w:tcW w:w="617" w:type="pct"/>
          </w:tcPr>
          <w:p w14:paraId="4D6EB2E6" w14:textId="28AE206C" w:rsidR="005747A5" w:rsidRPr="00852E02" w:rsidRDefault="005747A5" w:rsidP="00983A4A">
            <w:pPr>
              <w:rPr>
                <w:rFonts w:cstheme="minorHAnsi"/>
                <w:sz w:val="22"/>
              </w:rPr>
            </w:pPr>
            <w:r w:rsidRPr="00852E02">
              <w:rPr>
                <w:rFonts w:cstheme="minorHAnsi"/>
                <w:sz w:val="22"/>
              </w:rPr>
              <w:t>Heading</w:t>
            </w:r>
          </w:p>
        </w:tc>
        <w:tc>
          <w:tcPr>
            <w:tcW w:w="976" w:type="pct"/>
          </w:tcPr>
          <w:p w14:paraId="2AD21146" w14:textId="52CF5EDA" w:rsidR="005747A5" w:rsidRPr="00852E02" w:rsidRDefault="005747A5" w:rsidP="00983A4A">
            <w:pPr>
              <w:rPr>
                <w:rFonts w:cstheme="minorHAnsi"/>
                <w:sz w:val="22"/>
              </w:rPr>
            </w:pPr>
            <w:r w:rsidRPr="00852E02">
              <w:rPr>
                <w:rFonts w:cstheme="minorHAnsi"/>
                <w:sz w:val="22"/>
              </w:rPr>
              <w:t xml:space="preserve">AS/NZS 4187:2014 </w:t>
            </w:r>
          </w:p>
        </w:tc>
        <w:tc>
          <w:tcPr>
            <w:tcW w:w="1694" w:type="pct"/>
          </w:tcPr>
          <w:p w14:paraId="57ED7D99" w14:textId="763FC853" w:rsidR="005747A5" w:rsidRPr="00852E02" w:rsidRDefault="005747A5" w:rsidP="00983A4A">
            <w:pPr>
              <w:rPr>
                <w:rFonts w:cstheme="minorHAnsi"/>
                <w:sz w:val="22"/>
              </w:rPr>
            </w:pPr>
            <w:bookmarkStart w:id="13" w:name="_Hlk163818518"/>
            <w:r w:rsidRPr="00852E02">
              <w:rPr>
                <w:rFonts w:cstheme="minorHAnsi"/>
                <w:sz w:val="22"/>
              </w:rPr>
              <w:t xml:space="preserve">AS 5369:2023 </w:t>
            </w:r>
            <w:bookmarkEnd w:id="13"/>
          </w:p>
        </w:tc>
        <w:tc>
          <w:tcPr>
            <w:tcW w:w="1712" w:type="pct"/>
          </w:tcPr>
          <w:p w14:paraId="2F2608C7" w14:textId="29BE2142" w:rsidR="005747A5" w:rsidRPr="00852E02" w:rsidRDefault="00982460" w:rsidP="00983A4A">
            <w:pPr>
              <w:rPr>
                <w:rFonts w:cstheme="minorHAnsi"/>
                <w:sz w:val="22"/>
              </w:rPr>
            </w:pPr>
            <w:r w:rsidRPr="00852E02">
              <w:rPr>
                <w:rFonts w:cstheme="minorHAnsi"/>
                <w:sz w:val="22"/>
              </w:rPr>
              <w:t>Implications for i</w:t>
            </w:r>
            <w:r w:rsidR="00C00FA8" w:rsidRPr="00852E02">
              <w:rPr>
                <w:rFonts w:cstheme="minorHAnsi"/>
                <w:sz w:val="22"/>
              </w:rPr>
              <w:t>mplement</w:t>
            </w:r>
            <w:r w:rsidR="005C3BD5" w:rsidRPr="00852E02">
              <w:rPr>
                <w:rFonts w:cstheme="minorHAnsi"/>
                <w:sz w:val="22"/>
              </w:rPr>
              <w:t>ation</w:t>
            </w:r>
            <w:r w:rsidR="00C00FA8" w:rsidRPr="00852E02">
              <w:rPr>
                <w:rFonts w:cstheme="minorHAnsi"/>
                <w:sz w:val="22"/>
              </w:rPr>
              <w:t xml:space="preserve"> </w:t>
            </w:r>
            <w:r w:rsidR="005C3BD5" w:rsidRPr="00852E02">
              <w:rPr>
                <w:rFonts w:cstheme="minorHAnsi"/>
                <w:sz w:val="22"/>
              </w:rPr>
              <w:t xml:space="preserve">of </w:t>
            </w:r>
            <w:r w:rsidR="00C00FA8" w:rsidRPr="00852E02">
              <w:rPr>
                <w:rFonts w:cstheme="minorHAnsi"/>
                <w:sz w:val="22"/>
              </w:rPr>
              <w:t>AS 5369:2023 in health service organisations</w:t>
            </w:r>
          </w:p>
        </w:tc>
      </w:tr>
      <w:tr w:rsidR="005747A5" w:rsidRPr="00852E02" w14:paraId="71BDB214" w14:textId="612B8D50" w:rsidTr="00742B12">
        <w:tc>
          <w:tcPr>
            <w:tcW w:w="617" w:type="pct"/>
            <w:tcBorders>
              <w:bottom w:val="single" w:sz="4" w:space="0" w:color="1178A0" w:themeColor="background2"/>
            </w:tcBorders>
            <w:tcMar>
              <w:top w:w="108" w:type="dxa"/>
              <w:bottom w:w="108" w:type="dxa"/>
            </w:tcMar>
          </w:tcPr>
          <w:p w14:paraId="6BF887C7" w14:textId="0ED90AB8" w:rsidR="005747A5" w:rsidRPr="00852E02" w:rsidRDefault="005747A5" w:rsidP="00983A4A">
            <w:pPr>
              <w:rPr>
                <w:rFonts w:cstheme="minorHAnsi"/>
                <w:sz w:val="22"/>
              </w:rPr>
            </w:pPr>
            <w:r w:rsidRPr="00852E02">
              <w:rPr>
                <w:rFonts w:cstheme="minorHAnsi"/>
                <w:sz w:val="22"/>
              </w:rPr>
              <w:t>Scope</w:t>
            </w:r>
          </w:p>
        </w:tc>
        <w:tc>
          <w:tcPr>
            <w:tcW w:w="976" w:type="pct"/>
            <w:tcMar>
              <w:top w:w="108" w:type="dxa"/>
              <w:bottom w:w="108" w:type="dxa"/>
            </w:tcMar>
          </w:tcPr>
          <w:p w14:paraId="387DD6E7" w14:textId="236FE68A" w:rsidR="005747A5" w:rsidRPr="00852E02" w:rsidRDefault="005747A5" w:rsidP="00983A4A">
            <w:pPr>
              <w:rPr>
                <w:rFonts w:cstheme="minorHAnsi"/>
                <w:sz w:val="22"/>
              </w:rPr>
            </w:pPr>
            <w:r w:rsidRPr="00852E02">
              <w:rPr>
                <w:rFonts w:cstheme="minorHAnsi"/>
                <w:sz w:val="22"/>
              </w:rPr>
              <w:t xml:space="preserve">Specifies the requirements and practices necessary for the effective and safe reprocessing, storage, handling, and transportation of </w:t>
            </w:r>
            <w:r w:rsidR="00CC080F" w:rsidRPr="00852E02">
              <w:rPr>
                <w:rFonts w:cstheme="minorHAnsi"/>
                <w:sz w:val="22"/>
              </w:rPr>
              <w:t>RMDs</w:t>
            </w:r>
            <w:r w:rsidRPr="00852E02">
              <w:rPr>
                <w:rFonts w:cstheme="minorHAnsi"/>
                <w:sz w:val="22"/>
              </w:rPr>
              <w:t xml:space="preserve"> in health service organisations.</w:t>
            </w:r>
          </w:p>
        </w:tc>
        <w:tc>
          <w:tcPr>
            <w:tcW w:w="1694" w:type="pct"/>
            <w:tcMar>
              <w:top w:w="108" w:type="dxa"/>
              <w:bottom w:w="108" w:type="dxa"/>
            </w:tcMar>
          </w:tcPr>
          <w:p w14:paraId="48772909" w14:textId="54E95198" w:rsidR="005747A5" w:rsidRPr="00852E02" w:rsidRDefault="00355C51" w:rsidP="003D0779">
            <w:pPr>
              <w:rPr>
                <w:rFonts w:cstheme="minorHAnsi"/>
                <w:sz w:val="22"/>
              </w:rPr>
            </w:pPr>
            <w:bookmarkStart w:id="14" w:name="_Hlk163818530"/>
            <w:r w:rsidRPr="00852E02">
              <w:rPr>
                <w:rFonts w:cstheme="minorHAnsi"/>
                <w:sz w:val="22"/>
              </w:rPr>
              <w:t xml:space="preserve">Specifies reprocessing requirements for all healthcare facilities, including office-based facilities </w:t>
            </w:r>
            <w:bookmarkStart w:id="15" w:name="_Hlk165536128"/>
            <w:r w:rsidRPr="00852E02">
              <w:rPr>
                <w:rFonts w:cstheme="minorHAnsi"/>
                <w:sz w:val="22"/>
              </w:rPr>
              <w:t>(such as medical clinics, dental practices, and podiatry practices) that use RMDs and other devices for diagnosis, treatment, and other procedures</w:t>
            </w:r>
            <w:bookmarkEnd w:id="15"/>
            <w:r w:rsidRPr="00852E02">
              <w:rPr>
                <w:rFonts w:cstheme="minorHAnsi"/>
                <w:sz w:val="22"/>
              </w:rPr>
              <w:t xml:space="preserve"> </w:t>
            </w:r>
            <w:r w:rsidR="00CF62BE" w:rsidRPr="00852E02">
              <w:rPr>
                <w:rFonts w:cstheme="minorHAnsi"/>
                <w:sz w:val="22"/>
              </w:rPr>
              <w:t>(previously covered under AS/NZS 4815:2006)</w:t>
            </w:r>
            <w:r w:rsidR="00667B19" w:rsidRPr="00852E02">
              <w:rPr>
                <w:rFonts w:cstheme="minorHAnsi"/>
                <w:sz w:val="22"/>
              </w:rPr>
              <w:t>.</w:t>
            </w:r>
          </w:p>
          <w:p w14:paraId="4EAA2E43" w14:textId="24DFA864" w:rsidR="003C210B" w:rsidRPr="00852E02" w:rsidRDefault="005747A5" w:rsidP="001741AD">
            <w:pPr>
              <w:rPr>
                <w:rFonts w:cstheme="minorHAnsi"/>
                <w:sz w:val="22"/>
              </w:rPr>
            </w:pPr>
            <w:r w:rsidRPr="00852E02">
              <w:rPr>
                <w:rFonts w:cstheme="minorHAnsi"/>
                <w:sz w:val="22"/>
              </w:rPr>
              <w:t xml:space="preserve">Lists some products </w:t>
            </w:r>
            <w:r w:rsidR="00A14342" w:rsidRPr="00852E02">
              <w:rPr>
                <w:rFonts w:cstheme="minorHAnsi"/>
                <w:sz w:val="22"/>
              </w:rPr>
              <w:t xml:space="preserve">that </w:t>
            </w:r>
            <w:r w:rsidRPr="00852E02">
              <w:rPr>
                <w:rFonts w:cstheme="minorHAnsi"/>
                <w:sz w:val="22"/>
              </w:rPr>
              <w:t xml:space="preserve">may be considered to be medical devices in some jurisdictions, such as items specifically intended for cleaning or sterilisation of medical devices; pouches, reel goods, sterilisation wrap, and reusable containers for packaging of medical devices for sterilisation; disinfection substances; aids for persons with disabilities; devices incorporating animal and/or human tissues; and/or devices for in vitro fertilization or assisted reproduction technologies. </w:t>
            </w:r>
            <w:bookmarkEnd w:id="14"/>
          </w:p>
        </w:tc>
        <w:tc>
          <w:tcPr>
            <w:tcW w:w="1712" w:type="pct"/>
            <w:tcMar>
              <w:top w:w="108" w:type="dxa"/>
              <w:bottom w:w="108" w:type="dxa"/>
            </w:tcMar>
          </w:tcPr>
          <w:p w14:paraId="7439A855" w14:textId="77777777" w:rsidR="005C3BD5" w:rsidRPr="00852E02" w:rsidRDefault="005C3BD5" w:rsidP="005C3BD5">
            <w:pPr>
              <w:rPr>
                <w:rFonts w:cstheme="minorHAnsi"/>
                <w:sz w:val="22"/>
              </w:rPr>
            </w:pPr>
            <w:r w:rsidRPr="00852E02">
              <w:rPr>
                <w:rFonts w:cstheme="minorHAnsi"/>
                <w:sz w:val="22"/>
              </w:rPr>
              <w:t xml:space="preserve">Health service organisations should adopt a risk-based approach and develop a risk assessment process and management system for reprocessing RMDs and other devices. </w:t>
            </w:r>
          </w:p>
          <w:p w14:paraId="7F90B958" w14:textId="37F04204" w:rsidR="00C05125" w:rsidRPr="00852E02" w:rsidRDefault="00C05125" w:rsidP="003D0779">
            <w:pPr>
              <w:rPr>
                <w:rFonts w:cstheme="minorHAnsi"/>
                <w:sz w:val="22"/>
              </w:rPr>
            </w:pPr>
            <w:r w:rsidRPr="00852E02">
              <w:rPr>
                <w:rFonts w:cstheme="minorHAnsi"/>
                <w:sz w:val="22"/>
              </w:rPr>
              <w:t xml:space="preserve">Health service organisations should follow </w:t>
            </w:r>
            <w:r w:rsidR="00882961" w:rsidRPr="00852E02">
              <w:rPr>
                <w:rFonts w:cstheme="minorHAnsi"/>
                <w:sz w:val="22"/>
              </w:rPr>
              <w:t xml:space="preserve">the </w:t>
            </w:r>
            <w:hyperlink r:id="rId24" w:history="1">
              <w:r w:rsidR="00882961" w:rsidRPr="00852E02">
                <w:rPr>
                  <w:rStyle w:val="Hyperlink"/>
                  <w:rFonts w:cstheme="minorHAnsi"/>
                  <w:i/>
                  <w:iCs/>
                  <w:sz w:val="22"/>
                </w:rPr>
                <w:t>Australian Guidelines for the Prevention and Control of Infection in Healthcare</w:t>
              </w:r>
            </w:hyperlink>
            <w:r w:rsidR="00882961" w:rsidRPr="00852E02">
              <w:rPr>
                <w:rFonts w:cstheme="minorHAnsi"/>
                <w:sz w:val="22"/>
              </w:rPr>
              <w:t xml:space="preserve"> (the Guidelines) and their jurisdiction requirements </w:t>
            </w:r>
            <w:r w:rsidR="005C3BD5" w:rsidRPr="00852E02">
              <w:rPr>
                <w:rFonts w:cstheme="minorHAnsi"/>
                <w:sz w:val="22"/>
              </w:rPr>
              <w:t xml:space="preserve">about </w:t>
            </w:r>
            <w:r w:rsidRPr="00852E02">
              <w:rPr>
                <w:rFonts w:cstheme="minorHAnsi"/>
                <w:sz w:val="22"/>
              </w:rPr>
              <w:t xml:space="preserve">which products should be included as </w:t>
            </w:r>
            <w:r w:rsidR="00A14342" w:rsidRPr="00852E02">
              <w:rPr>
                <w:rFonts w:cstheme="minorHAnsi"/>
                <w:sz w:val="22"/>
              </w:rPr>
              <w:t xml:space="preserve">reusable </w:t>
            </w:r>
            <w:r w:rsidRPr="00852E02">
              <w:rPr>
                <w:rFonts w:cstheme="minorHAnsi"/>
                <w:sz w:val="22"/>
              </w:rPr>
              <w:t xml:space="preserve">medical devices and ensure their local </w:t>
            </w:r>
            <w:r w:rsidR="00947765" w:rsidRPr="00852E02">
              <w:rPr>
                <w:rFonts w:cstheme="minorHAnsi"/>
                <w:sz w:val="22"/>
              </w:rPr>
              <w:t xml:space="preserve">procedures and </w:t>
            </w:r>
            <w:r w:rsidRPr="00852E02">
              <w:rPr>
                <w:rFonts w:cstheme="minorHAnsi"/>
                <w:sz w:val="22"/>
              </w:rPr>
              <w:t>processes on reprocessing, storage, handling</w:t>
            </w:r>
            <w:r w:rsidR="0067514E" w:rsidRPr="00852E02">
              <w:rPr>
                <w:rFonts w:cstheme="minorHAnsi"/>
                <w:sz w:val="22"/>
              </w:rPr>
              <w:t>,</w:t>
            </w:r>
            <w:r w:rsidRPr="00852E02">
              <w:rPr>
                <w:rFonts w:cstheme="minorHAnsi"/>
                <w:sz w:val="22"/>
              </w:rPr>
              <w:t xml:space="preserve"> and transportation </w:t>
            </w:r>
            <w:r w:rsidR="00FC2C9A" w:rsidRPr="00852E02">
              <w:rPr>
                <w:rFonts w:cstheme="minorHAnsi"/>
                <w:sz w:val="22"/>
              </w:rPr>
              <w:t xml:space="preserve">are </w:t>
            </w:r>
            <w:r w:rsidR="006E6861" w:rsidRPr="00852E02">
              <w:rPr>
                <w:rFonts w:cstheme="minorHAnsi"/>
                <w:sz w:val="22"/>
              </w:rPr>
              <w:t xml:space="preserve">in line </w:t>
            </w:r>
            <w:r w:rsidRPr="00852E02">
              <w:rPr>
                <w:rFonts w:cstheme="minorHAnsi"/>
                <w:sz w:val="22"/>
              </w:rPr>
              <w:t xml:space="preserve">with </w:t>
            </w:r>
            <w:r w:rsidR="002C3436" w:rsidRPr="00852E02">
              <w:rPr>
                <w:rFonts w:cstheme="minorHAnsi"/>
                <w:sz w:val="22"/>
              </w:rPr>
              <w:t xml:space="preserve">the </w:t>
            </w:r>
            <w:r w:rsidR="00991E86" w:rsidRPr="00852E02">
              <w:rPr>
                <w:rFonts w:cstheme="minorHAnsi"/>
                <w:sz w:val="22"/>
              </w:rPr>
              <w:t>new standard</w:t>
            </w:r>
            <w:r w:rsidR="002C3436" w:rsidRPr="00852E02">
              <w:rPr>
                <w:rFonts w:cstheme="minorHAnsi"/>
                <w:sz w:val="22"/>
              </w:rPr>
              <w:t xml:space="preserve"> </w:t>
            </w:r>
            <w:r w:rsidRPr="00852E02">
              <w:rPr>
                <w:rFonts w:cstheme="minorHAnsi"/>
                <w:sz w:val="22"/>
              </w:rPr>
              <w:t>AS 5369:2023.</w:t>
            </w:r>
          </w:p>
          <w:p w14:paraId="5ED919CA" w14:textId="63DA358E" w:rsidR="00FE333A" w:rsidRPr="00852E02" w:rsidRDefault="00F41DAB" w:rsidP="00F41DAB">
            <w:pPr>
              <w:rPr>
                <w:rFonts w:cstheme="minorHAnsi"/>
                <w:sz w:val="22"/>
              </w:rPr>
            </w:pPr>
            <w:r w:rsidRPr="00852E02">
              <w:rPr>
                <w:rFonts w:cstheme="minorHAnsi"/>
                <w:sz w:val="22"/>
              </w:rPr>
              <w:t xml:space="preserve">Health service organisations can refer to Section 3.1.4 </w:t>
            </w:r>
            <w:r w:rsidRPr="00852E02">
              <w:rPr>
                <w:rFonts w:cstheme="minorHAnsi"/>
                <w:i/>
                <w:iCs/>
                <w:sz w:val="22"/>
              </w:rPr>
              <w:t xml:space="preserve">Reprocessing of reusable medical devices </w:t>
            </w:r>
            <w:r w:rsidRPr="00852E02">
              <w:rPr>
                <w:rFonts w:cstheme="minorHAnsi"/>
                <w:sz w:val="22"/>
              </w:rPr>
              <w:t xml:space="preserve">of </w:t>
            </w:r>
            <w:hyperlink r:id="rId25" w:history="1">
              <w:r w:rsidR="00882961" w:rsidRPr="00852E02">
                <w:rPr>
                  <w:rStyle w:val="Hyperlink"/>
                  <w:rFonts w:cstheme="minorHAnsi"/>
                  <w:sz w:val="22"/>
                </w:rPr>
                <w:t xml:space="preserve">the </w:t>
              </w:r>
              <w:r w:rsidRPr="00852E02">
                <w:rPr>
                  <w:rStyle w:val="Hyperlink"/>
                  <w:rFonts w:cstheme="minorHAnsi"/>
                  <w:sz w:val="22"/>
                </w:rPr>
                <w:t>Guidelines</w:t>
              </w:r>
            </w:hyperlink>
            <w:r w:rsidRPr="00852E02">
              <w:rPr>
                <w:rFonts w:cstheme="minorHAnsi"/>
                <w:sz w:val="22"/>
              </w:rPr>
              <w:t xml:space="preserve"> and </w:t>
            </w:r>
            <w:r w:rsidR="00FE333A" w:rsidRPr="00852E02">
              <w:rPr>
                <w:rFonts w:cstheme="minorHAnsi"/>
                <w:sz w:val="22"/>
              </w:rPr>
              <w:t>Appendix B</w:t>
            </w:r>
            <w:r w:rsidR="00962EDE" w:rsidRPr="00852E02">
              <w:rPr>
                <w:rFonts w:cstheme="minorHAnsi"/>
                <w:sz w:val="22"/>
              </w:rPr>
              <w:t xml:space="preserve"> </w:t>
            </w:r>
            <w:r w:rsidR="00962EDE" w:rsidRPr="00852E02">
              <w:rPr>
                <w:rFonts w:cstheme="minorHAnsi"/>
                <w:i/>
                <w:iCs/>
                <w:sz w:val="22"/>
              </w:rPr>
              <w:t>Guidance on a risk-based approach</w:t>
            </w:r>
            <w:r w:rsidRPr="00852E02">
              <w:rPr>
                <w:rFonts w:cstheme="minorHAnsi"/>
                <w:sz w:val="22"/>
              </w:rPr>
              <w:t xml:space="preserve"> of AS 5369:2023</w:t>
            </w:r>
            <w:r w:rsidR="00FE333A" w:rsidRPr="00852E02">
              <w:rPr>
                <w:rFonts w:cstheme="minorHAnsi"/>
                <w:sz w:val="22"/>
              </w:rPr>
              <w:t>.</w:t>
            </w:r>
          </w:p>
        </w:tc>
      </w:tr>
      <w:tr w:rsidR="00FE7540" w:rsidRPr="00852E02" w14:paraId="2D0717F8" w14:textId="49BF5185" w:rsidTr="00742B12">
        <w:trPr>
          <w:cnfStyle w:val="000000010000" w:firstRow="0" w:lastRow="0" w:firstColumn="0" w:lastColumn="0" w:oddVBand="0" w:evenVBand="0" w:oddHBand="0" w:evenHBand="1" w:firstRowFirstColumn="0" w:firstRowLastColumn="0" w:lastRowFirstColumn="0" w:lastRowLastColumn="0"/>
        </w:trPr>
        <w:tc>
          <w:tcPr>
            <w:tcW w:w="617" w:type="pct"/>
            <w:tcBorders>
              <w:bottom w:val="single" w:sz="4" w:space="0" w:color="F2F2F2" w:themeColor="background1" w:themeShade="F2"/>
            </w:tcBorders>
            <w:tcMar>
              <w:top w:w="108" w:type="dxa"/>
              <w:bottom w:w="108" w:type="dxa"/>
            </w:tcMar>
          </w:tcPr>
          <w:p w14:paraId="00CA292C" w14:textId="41F4BB0F" w:rsidR="00FE7540" w:rsidRPr="00852E02" w:rsidRDefault="00FE7540" w:rsidP="00983A4A">
            <w:pPr>
              <w:rPr>
                <w:rFonts w:cstheme="minorHAnsi"/>
                <w:sz w:val="22"/>
              </w:rPr>
            </w:pPr>
            <w:r w:rsidRPr="00852E02">
              <w:rPr>
                <w:rFonts w:cstheme="minorHAnsi"/>
                <w:sz w:val="22"/>
              </w:rPr>
              <w:t>Education and training</w:t>
            </w:r>
          </w:p>
        </w:tc>
        <w:tc>
          <w:tcPr>
            <w:tcW w:w="976" w:type="pct"/>
            <w:tcMar>
              <w:top w:w="108" w:type="dxa"/>
              <w:bottom w:w="108" w:type="dxa"/>
            </w:tcMar>
          </w:tcPr>
          <w:p w14:paraId="669A2631" w14:textId="6669BDE8" w:rsidR="00FE7540" w:rsidRPr="00852E02" w:rsidRDefault="00FE7540" w:rsidP="00F81ABC">
            <w:pPr>
              <w:rPr>
                <w:rFonts w:cstheme="minorHAnsi"/>
                <w:color w:val="000000"/>
                <w:sz w:val="22"/>
              </w:rPr>
            </w:pPr>
            <w:r w:rsidRPr="00852E02">
              <w:rPr>
                <w:rFonts w:cstheme="minorHAnsi"/>
                <w:color w:val="000000"/>
                <w:sz w:val="22"/>
              </w:rPr>
              <w:t>Provides occupational health, workplace health and safety and training recommendations that apply to the operation of sterilising facilities.</w:t>
            </w:r>
          </w:p>
        </w:tc>
        <w:tc>
          <w:tcPr>
            <w:tcW w:w="1694" w:type="pct"/>
            <w:tcMar>
              <w:top w:w="108" w:type="dxa"/>
              <w:bottom w:w="108" w:type="dxa"/>
            </w:tcMar>
          </w:tcPr>
          <w:p w14:paraId="578DFA58" w14:textId="679FC96B" w:rsidR="00FE7540" w:rsidRPr="00852E02" w:rsidRDefault="00FE7540" w:rsidP="0096312D">
            <w:pPr>
              <w:rPr>
                <w:rFonts w:cstheme="minorHAnsi"/>
                <w:sz w:val="22"/>
              </w:rPr>
            </w:pPr>
            <w:bookmarkStart w:id="16" w:name="_Hlk163818542"/>
            <w:r w:rsidRPr="00852E02">
              <w:rPr>
                <w:rFonts w:cstheme="minorHAnsi"/>
                <w:sz w:val="22"/>
              </w:rPr>
              <w:t>Recommends that staff should be trained annually in local procedures for occupational exposure to blood and body substances.</w:t>
            </w:r>
          </w:p>
          <w:p w14:paraId="42B82242" w14:textId="51A6326C" w:rsidR="00FE7540" w:rsidRPr="00852E02" w:rsidRDefault="00FE7540" w:rsidP="0096312D">
            <w:pPr>
              <w:rPr>
                <w:rFonts w:cstheme="minorHAnsi"/>
                <w:sz w:val="22"/>
              </w:rPr>
            </w:pPr>
            <w:r w:rsidRPr="00852E02">
              <w:rPr>
                <w:rFonts w:cstheme="minorHAnsi"/>
                <w:sz w:val="22"/>
              </w:rPr>
              <w:t xml:space="preserve">Recommends that staff should be trained annually on infection prevention and control methods, such as personal protective </w:t>
            </w:r>
            <w:r w:rsidRPr="00852E02">
              <w:rPr>
                <w:rFonts w:cstheme="minorHAnsi"/>
                <w:sz w:val="22"/>
              </w:rPr>
              <w:lastRenderedPageBreak/>
              <w:t>equipment (PPE), hand hygiene and waste disposal.</w:t>
            </w:r>
            <w:bookmarkEnd w:id="16"/>
          </w:p>
        </w:tc>
        <w:tc>
          <w:tcPr>
            <w:tcW w:w="1712" w:type="pct"/>
            <w:tcMar>
              <w:top w:w="108" w:type="dxa"/>
              <w:bottom w:w="108" w:type="dxa"/>
            </w:tcMar>
          </w:tcPr>
          <w:p w14:paraId="65146F3A" w14:textId="2E0D71A3" w:rsidR="00FE7540" w:rsidRPr="00852E02" w:rsidRDefault="00FE7540" w:rsidP="0096312D">
            <w:pPr>
              <w:rPr>
                <w:rFonts w:cstheme="minorHAnsi"/>
                <w:sz w:val="22"/>
              </w:rPr>
            </w:pPr>
            <w:r w:rsidRPr="00852E02">
              <w:rPr>
                <w:rFonts w:cstheme="minorHAnsi"/>
                <w:sz w:val="22"/>
              </w:rPr>
              <w:lastRenderedPageBreak/>
              <w:t xml:space="preserve">Health service organisations should review the training needs of its workforce involved in reprocessing, storage, handling, and transportation of RMDs and other devices, focusing on infection prevention and control procedures and protocols, use of PPE, hand hygiene, waste management and </w:t>
            </w:r>
            <w:r w:rsidRPr="00852E02">
              <w:rPr>
                <w:rFonts w:cstheme="minorHAnsi"/>
                <w:sz w:val="22"/>
              </w:rPr>
              <w:lastRenderedPageBreak/>
              <w:t xml:space="preserve">occupational exposure prevention and management. Set a schedule for training workforce where knowledge and skills deficits are identified. </w:t>
            </w:r>
          </w:p>
          <w:p w14:paraId="4A7E185C" w14:textId="75275046" w:rsidR="00FE7540" w:rsidRPr="00852E02" w:rsidRDefault="00FE7540" w:rsidP="0096312D">
            <w:pPr>
              <w:rPr>
                <w:rFonts w:cstheme="minorHAnsi"/>
                <w:sz w:val="22"/>
              </w:rPr>
            </w:pPr>
            <w:r w:rsidRPr="00852E02">
              <w:rPr>
                <w:rFonts w:cstheme="minorHAnsi"/>
                <w:sz w:val="22"/>
              </w:rPr>
              <w:t xml:space="preserve">Health service organisations should refer to the </w:t>
            </w:r>
            <w:hyperlink r:id="rId26" w:history="1">
              <w:r w:rsidRPr="00852E02">
                <w:rPr>
                  <w:rStyle w:val="Hyperlink"/>
                  <w:rFonts w:cstheme="minorHAnsi"/>
                  <w:sz w:val="22"/>
                </w:rPr>
                <w:t>Clinical Governance Standard</w:t>
              </w:r>
            </w:hyperlink>
            <w:r w:rsidRPr="00852E02">
              <w:rPr>
                <w:rFonts w:cstheme="minorHAnsi"/>
                <w:sz w:val="22"/>
              </w:rPr>
              <w:t xml:space="preserve"> and the </w:t>
            </w:r>
            <w:hyperlink r:id="rId27" w:history="1">
              <w:r w:rsidRPr="00852E02">
                <w:rPr>
                  <w:rStyle w:val="Hyperlink"/>
                  <w:rFonts w:cstheme="minorHAnsi"/>
                  <w:sz w:val="22"/>
                </w:rPr>
                <w:t>Preventing and Controlling Infections Standard</w:t>
              </w:r>
            </w:hyperlink>
            <w:r w:rsidRPr="00852E02">
              <w:rPr>
                <w:rFonts w:cstheme="minorHAnsi"/>
                <w:sz w:val="22"/>
              </w:rPr>
              <w:t xml:space="preserve"> of the </w:t>
            </w:r>
            <w:hyperlink r:id="rId28" w:history="1">
              <w:r w:rsidRPr="00852E02">
                <w:rPr>
                  <w:rStyle w:val="Hyperlink"/>
                  <w:rFonts w:cstheme="minorHAnsi"/>
                  <w:sz w:val="22"/>
                </w:rPr>
                <w:t>NSQHS Standards</w:t>
              </w:r>
            </w:hyperlink>
            <w:r w:rsidRPr="00852E02">
              <w:rPr>
                <w:rFonts w:cstheme="minorHAnsi"/>
                <w:sz w:val="22"/>
              </w:rPr>
              <w:t xml:space="preserve"> for relevant actions that relate to staff training. </w:t>
            </w:r>
          </w:p>
          <w:p w14:paraId="4BA72DD0" w14:textId="1B9AE209" w:rsidR="00FE7540" w:rsidRPr="00852E02" w:rsidRDefault="00FE7540" w:rsidP="00B73565">
            <w:pPr>
              <w:rPr>
                <w:rFonts w:cstheme="minorHAnsi"/>
                <w:sz w:val="22"/>
              </w:rPr>
            </w:pPr>
            <w:r w:rsidRPr="00852E02">
              <w:rPr>
                <w:rFonts w:cstheme="minorHAnsi"/>
                <w:sz w:val="22"/>
              </w:rPr>
              <w:t xml:space="preserve">Health service organisations can refer to Section 4.3 </w:t>
            </w:r>
            <w:r w:rsidRPr="00852E02">
              <w:rPr>
                <w:rFonts w:cstheme="minorHAnsi"/>
                <w:i/>
                <w:iCs/>
                <w:sz w:val="22"/>
              </w:rPr>
              <w:t xml:space="preserve">Education and training </w:t>
            </w:r>
            <w:r w:rsidRPr="00852E02">
              <w:rPr>
                <w:rFonts w:cstheme="minorHAnsi"/>
                <w:sz w:val="22"/>
              </w:rPr>
              <w:t xml:space="preserve">of </w:t>
            </w:r>
            <w:hyperlink r:id="rId29" w:history="1">
              <w:r w:rsidRPr="00852E02">
                <w:rPr>
                  <w:rStyle w:val="Hyperlink"/>
                  <w:rFonts w:cstheme="minorHAnsi"/>
                  <w:sz w:val="22"/>
                </w:rPr>
                <w:t>the Guidelines</w:t>
              </w:r>
            </w:hyperlink>
            <w:r w:rsidRPr="00852E02">
              <w:rPr>
                <w:rFonts w:cstheme="minorHAnsi"/>
                <w:sz w:val="22"/>
              </w:rPr>
              <w:t xml:space="preserve"> on education strategies.</w:t>
            </w:r>
          </w:p>
        </w:tc>
      </w:tr>
      <w:tr w:rsidR="00FE7540" w:rsidRPr="00852E02" w14:paraId="7C7F2F10" w14:textId="77777777" w:rsidTr="00742B12">
        <w:tc>
          <w:tcPr>
            <w:tcW w:w="617" w:type="pct"/>
            <w:tcBorders>
              <w:top w:val="single" w:sz="4" w:space="0" w:color="F2F2F2" w:themeColor="background1" w:themeShade="F2"/>
            </w:tcBorders>
            <w:shd w:val="clear" w:color="auto" w:fill="F2F2F2" w:themeFill="background1" w:themeFillShade="F2"/>
            <w:tcMar>
              <w:top w:w="108" w:type="dxa"/>
              <w:bottom w:w="108" w:type="dxa"/>
            </w:tcMar>
          </w:tcPr>
          <w:p w14:paraId="24F1A912" w14:textId="77777777" w:rsidR="00FE7540" w:rsidRPr="00852E02" w:rsidRDefault="00FE7540" w:rsidP="00005BD0">
            <w:pPr>
              <w:rPr>
                <w:rFonts w:cstheme="minorHAnsi"/>
                <w:sz w:val="22"/>
              </w:rPr>
            </w:pPr>
          </w:p>
        </w:tc>
        <w:tc>
          <w:tcPr>
            <w:tcW w:w="976" w:type="pct"/>
            <w:shd w:val="clear" w:color="auto" w:fill="F2F2F2" w:themeFill="background1" w:themeFillShade="F2"/>
            <w:tcMar>
              <w:top w:w="108" w:type="dxa"/>
              <w:bottom w:w="108" w:type="dxa"/>
            </w:tcMar>
          </w:tcPr>
          <w:p w14:paraId="65EFD581" w14:textId="20DA3A73" w:rsidR="00FE7540" w:rsidRPr="00852E02" w:rsidRDefault="00FE7540" w:rsidP="00005BD0">
            <w:pPr>
              <w:rPr>
                <w:rFonts w:cstheme="minorHAnsi"/>
                <w:color w:val="000000"/>
                <w:sz w:val="22"/>
              </w:rPr>
            </w:pPr>
            <w:r w:rsidRPr="00852E02">
              <w:rPr>
                <w:rFonts w:cstheme="minorHAnsi"/>
                <w:color w:val="000000"/>
                <w:sz w:val="22"/>
              </w:rPr>
              <w:t>Lists a minimum formal induction/orientation and training program for new staff should include modes of transmission of infection, infection prevention and control principles, hand hygiene, workplace health and safety issues, reprocessing activities, documentation, and record keeping.</w:t>
            </w:r>
          </w:p>
        </w:tc>
        <w:tc>
          <w:tcPr>
            <w:tcW w:w="1694" w:type="pct"/>
            <w:shd w:val="clear" w:color="auto" w:fill="F2F2F2" w:themeFill="background1" w:themeFillShade="F2"/>
            <w:tcMar>
              <w:top w:w="108" w:type="dxa"/>
              <w:bottom w:w="108" w:type="dxa"/>
            </w:tcMar>
          </w:tcPr>
          <w:p w14:paraId="3CDE9805" w14:textId="6F00FFAD" w:rsidR="00FE7540" w:rsidRPr="00852E02" w:rsidRDefault="00FE7540" w:rsidP="00005BD0">
            <w:pPr>
              <w:rPr>
                <w:rFonts w:cstheme="minorHAnsi"/>
                <w:sz w:val="22"/>
              </w:rPr>
            </w:pPr>
            <w:bookmarkStart w:id="17" w:name="_Hlk163818653"/>
            <w:r w:rsidRPr="00852E02">
              <w:rPr>
                <w:rFonts w:cstheme="minorHAnsi"/>
                <w:sz w:val="22"/>
              </w:rPr>
              <w:t>Recommends incorporating an overview of quality management systems in relation to patient safety programs into the minimum formal induction/orientation and training program.</w:t>
            </w:r>
            <w:bookmarkEnd w:id="17"/>
          </w:p>
        </w:tc>
        <w:tc>
          <w:tcPr>
            <w:tcW w:w="1712" w:type="pct"/>
            <w:shd w:val="clear" w:color="auto" w:fill="F2F2F2" w:themeFill="background1" w:themeFillShade="F2"/>
            <w:tcMar>
              <w:top w:w="108" w:type="dxa"/>
              <w:bottom w:w="108" w:type="dxa"/>
            </w:tcMar>
          </w:tcPr>
          <w:p w14:paraId="145D8F01" w14:textId="3F5DAFF0" w:rsidR="00FE7540" w:rsidRPr="00852E02" w:rsidRDefault="00FE7540" w:rsidP="00005BD0">
            <w:pPr>
              <w:rPr>
                <w:rFonts w:cstheme="minorHAnsi"/>
                <w:sz w:val="22"/>
              </w:rPr>
            </w:pPr>
            <w:r w:rsidRPr="00852E02">
              <w:rPr>
                <w:rFonts w:cstheme="minorHAnsi"/>
                <w:sz w:val="22"/>
              </w:rPr>
              <w:t xml:space="preserve">Health service organisations consider updating their formal orientation and training program to incorporate an overview of their quality management system.  </w:t>
            </w:r>
          </w:p>
          <w:p w14:paraId="6443D647" w14:textId="77777777" w:rsidR="00FE7540" w:rsidRPr="00852E02" w:rsidRDefault="00FE7540" w:rsidP="00005BD0">
            <w:pPr>
              <w:rPr>
                <w:rFonts w:cstheme="minorHAnsi"/>
                <w:sz w:val="22"/>
              </w:rPr>
            </w:pPr>
            <w:r w:rsidRPr="00852E02">
              <w:rPr>
                <w:rFonts w:cstheme="minorHAnsi"/>
                <w:sz w:val="22"/>
              </w:rPr>
              <w:t xml:space="preserve">Health service organisations should refer to the </w:t>
            </w:r>
            <w:hyperlink r:id="rId30" w:history="1">
              <w:r w:rsidRPr="00852E02">
                <w:rPr>
                  <w:rStyle w:val="Hyperlink"/>
                  <w:rFonts w:cstheme="minorHAnsi"/>
                  <w:sz w:val="22"/>
                </w:rPr>
                <w:t>Clinical Governance Standard</w:t>
              </w:r>
            </w:hyperlink>
            <w:r w:rsidRPr="00852E02">
              <w:rPr>
                <w:rFonts w:cstheme="minorHAnsi"/>
                <w:sz w:val="22"/>
              </w:rPr>
              <w:t xml:space="preserve"> and the </w:t>
            </w:r>
            <w:hyperlink r:id="rId31" w:history="1">
              <w:r w:rsidRPr="00852E02">
                <w:rPr>
                  <w:rStyle w:val="Hyperlink"/>
                  <w:rFonts w:cstheme="minorHAnsi"/>
                  <w:sz w:val="22"/>
                </w:rPr>
                <w:t>Preventing and Controlling Infections Standard</w:t>
              </w:r>
            </w:hyperlink>
            <w:r w:rsidRPr="00852E02">
              <w:rPr>
                <w:rFonts w:cstheme="minorHAnsi"/>
                <w:sz w:val="22"/>
              </w:rPr>
              <w:t xml:space="preserve"> of the </w:t>
            </w:r>
            <w:hyperlink r:id="rId32" w:history="1">
              <w:r w:rsidRPr="00852E02">
                <w:rPr>
                  <w:rStyle w:val="Hyperlink"/>
                  <w:rFonts w:cstheme="minorHAnsi"/>
                  <w:sz w:val="22"/>
                </w:rPr>
                <w:t>NSQHS Standards</w:t>
              </w:r>
            </w:hyperlink>
            <w:r w:rsidRPr="00852E02">
              <w:rPr>
                <w:rFonts w:cstheme="minorHAnsi"/>
                <w:sz w:val="22"/>
              </w:rPr>
              <w:t xml:space="preserve"> for relevant actions that relate to staff training. </w:t>
            </w:r>
          </w:p>
          <w:p w14:paraId="427ACFB5" w14:textId="1EDA7878" w:rsidR="00FE7540" w:rsidRPr="00852E02" w:rsidRDefault="00FE7540" w:rsidP="00005BD0">
            <w:pPr>
              <w:rPr>
                <w:rFonts w:cstheme="minorHAnsi"/>
                <w:sz w:val="22"/>
              </w:rPr>
            </w:pPr>
            <w:r w:rsidRPr="00852E02">
              <w:rPr>
                <w:rFonts w:cstheme="minorHAnsi"/>
                <w:sz w:val="22"/>
              </w:rPr>
              <w:t xml:space="preserve">Health service organisations can refer to Section 4.3 </w:t>
            </w:r>
            <w:r w:rsidRPr="00852E02">
              <w:rPr>
                <w:rFonts w:cstheme="minorHAnsi"/>
                <w:i/>
                <w:iCs/>
                <w:sz w:val="22"/>
              </w:rPr>
              <w:t xml:space="preserve">Education and training </w:t>
            </w:r>
            <w:r w:rsidRPr="00852E02">
              <w:rPr>
                <w:rFonts w:cstheme="minorHAnsi"/>
                <w:sz w:val="22"/>
              </w:rPr>
              <w:t>of</w:t>
            </w:r>
            <w:r w:rsidRPr="00852E02">
              <w:rPr>
                <w:rFonts w:cstheme="minorHAnsi"/>
                <w:i/>
                <w:iCs/>
                <w:sz w:val="22"/>
              </w:rPr>
              <w:t xml:space="preserve"> </w:t>
            </w:r>
            <w:hyperlink r:id="rId33" w:history="1">
              <w:r w:rsidRPr="00852E02">
                <w:rPr>
                  <w:rStyle w:val="Hyperlink"/>
                  <w:rFonts w:cstheme="minorHAnsi"/>
                  <w:sz w:val="22"/>
                </w:rPr>
                <w:t>the Guidelines</w:t>
              </w:r>
            </w:hyperlink>
            <w:r w:rsidRPr="00852E02">
              <w:rPr>
                <w:rFonts w:cstheme="minorHAnsi"/>
                <w:sz w:val="22"/>
              </w:rPr>
              <w:t xml:space="preserve"> on education strategies and </w:t>
            </w:r>
            <w:hyperlink r:id="rId34" w:history="1">
              <w:r w:rsidRPr="00852E02">
                <w:rPr>
                  <w:rStyle w:val="Hyperlink"/>
                  <w:rFonts w:cstheme="minorHAnsi"/>
                  <w:sz w:val="22"/>
                </w:rPr>
                <w:t>ISO 9001:2015</w:t>
              </w:r>
              <w:r w:rsidRPr="00852E02">
                <w:rPr>
                  <w:rStyle w:val="Hyperlink"/>
                  <w:rFonts w:cstheme="minorHAnsi"/>
                  <w:sz w:val="22"/>
                  <w:u w:val="none"/>
                </w:rPr>
                <w:t xml:space="preserve"> </w:t>
              </w:r>
              <w:r w:rsidRPr="00852E02">
                <w:rPr>
                  <w:rStyle w:val="Hyperlink"/>
                  <w:rFonts w:cstheme="minorHAnsi"/>
                  <w:i/>
                  <w:iCs/>
                  <w:color w:val="auto"/>
                  <w:sz w:val="22"/>
                  <w:u w:val="none"/>
                </w:rPr>
                <w:t>Quality management systems requirements</w:t>
              </w:r>
            </w:hyperlink>
            <w:r w:rsidRPr="00852E02">
              <w:rPr>
                <w:rFonts w:cstheme="minorHAnsi"/>
                <w:sz w:val="22"/>
              </w:rPr>
              <w:t xml:space="preserve"> for the requirements on how to establish, implement, maintain and continually improve a quality management system.</w:t>
            </w:r>
          </w:p>
        </w:tc>
      </w:tr>
      <w:tr w:rsidR="00005BD0" w:rsidRPr="00852E02" w14:paraId="23ED6EC6" w14:textId="67955DE0" w:rsidTr="00742B12">
        <w:trPr>
          <w:cnfStyle w:val="000000010000" w:firstRow="0" w:lastRow="0" w:firstColumn="0" w:lastColumn="0" w:oddVBand="0" w:evenVBand="0" w:oddHBand="0" w:evenHBand="1" w:firstRowFirstColumn="0" w:firstRowLastColumn="0" w:lastRowFirstColumn="0" w:lastRowLastColumn="0"/>
        </w:trPr>
        <w:tc>
          <w:tcPr>
            <w:tcW w:w="617" w:type="pct"/>
            <w:shd w:val="clear" w:color="auto" w:fill="auto"/>
            <w:tcMar>
              <w:top w:w="108" w:type="dxa"/>
              <w:bottom w:w="108" w:type="dxa"/>
            </w:tcMar>
          </w:tcPr>
          <w:p w14:paraId="6EBB6593" w14:textId="2E45ACBA" w:rsidR="00005BD0" w:rsidRPr="00852E02" w:rsidRDefault="00005BD0" w:rsidP="00005BD0">
            <w:pPr>
              <w:rPr>
                <w:rFonts w:cstheme="minorHAnsi"/>
                <w:sz w:val="22"/>
              </w:rPr>
            </w:pPr>
            <w:r w:rsidRPr="00852E02">
              <w:rPr>
                <w:rFonts w:cstheme="minorHAnsi"/>
                <w:sz w:val="22"/>
              </w:rPr>
              <w:lastRenderedPageBreak/>
              <w:t>Documentation</w:t>
            </w:r>
          </w:p>
        </w:tc>
        <w:tc>
          <w:tcPr>
            <w:tcW w:w="976" w:type="pct"/>
            <w:shd w:val="clear" w:color="auto" w:fill="auto"/>
            <w:tcMar>
              <w:top w:w="108" w:type="dxa"/>
              <w:bottom w:w="108" w:type="dxa"/>
            </w:tcMar>
          </w:tcPr>
          <w:p w14:paraId="53BFD394" w14:textId="227C1863" w:rsidR="00005BD0" w:rsidRPr="00852E02" w:rsidRDefault="00005BD0" w:rsidP="00005BD0">
            <w:pPr>
              <w:rPr>
                <w:rFonts w:cstheme="minorHAnsi"/>
                <w:color w:val="000000"/>
                <w:sz w:val="22"/>
              </w:rPr>
            </w:pPr>
            <w:r w:rsidRPr="00852E02">
              <w:rPr>
                <w:rFonts w:cstheme="minorHAnsi"/>
                <w:color w:val="000000"/>
                <w:sz w:val="22"/>
              </w:rPr>
              <w:t>Documents</w:t>
            </w:r>
            <w:r w:rsidRPr="00852E02">
              <w:rPr>
                <w:rFonts w:cstheme="minorHAnsi"/>
                <w:sz w:val="22"/>
              </w:rPr>
              <w:t xml:space="preserve"> required by the </w:t>
            </w:r>
            <w:r w:rsidR="009D0864" w:rsidRPr="00852E02">
              <w:rPr>
                <w:rFonts w:cstheme="minorHAnsi"/>
                <w:sz w:val="22"/>
              </w:rPr>
              <w:t>s</w:t>
            </w:r>
            <w:r w:rsidRPr="00852E02">
              <w:rPr>
                <w:rFonts w:cstheme="minorHAnsi"/>
                <w:sz w:val="22"/>
              </w:rPr>
              <w:t>tandard</w:t>
            </w:r>
            <w:r w:rsidRPr="00852E02">
              <w:rPr>
                <w:rFonts w:cstheme="minorHAnsi"/>
                <w:color w:val="000000"/>
                <w:sz w:val="22"/>
              </w:rPr>
              <w:t xml:space="preserve"> shall be approved by designated personnel.</w:t>
            </w:r>
          </w:p>
          <w:p w14:paraId="2634AE31" w14:textId="77777777" w:rsidR="00005BD0" w:rsidRPr="00852E02" w:rsidRDefault="00005BD0" w:rsidP="00005BD0">
            <w:pPr>
              <w:spacing w:before="0"/>
              <w:rPr>
                <w:rFonts w:cstheme="minorHAnsi"/>
                <w:color w:val="000000"/>
                <w:sz w:val="22"/>
              </w:rPr>
            </w:pPr>
          </w:p>
        </w:tc>
        <w:tc>
          <w:tcPr>
            <w:tcW w:w="1694" w:type="pct"/>
            <w:shd w:val="clear" w:color="auto" w:fill="auto"/>
            <w:tcMar>
              <w:top w:w="108" w:type="dxa"/>
              <w:bottom w:w="108" w:type="dxa"/>
            </w:tcMar>
          </w:tcPr>
          <w:p w14:paraId="67DB23AE" w14:textId="0D8C4AD9" w:rsidR="00005BD0" w:rsidRPr="00852E02" w:rsidRDefault="00005BD0" w:rsidP="00005BD0">
            <w:pPr>
              <w:rPr>
                <w:rFonts w:cstheme="minorHAnsi"/>
                <w:sz w:val="22"/>
              </w:rPr>
            </w:pPr>
            <w:bookmarkStart w:id="18" w:name="_Hlk163818561"/>
            <w:r w:rsidRPr="00852E02">
              <w:rPr>
                <w:rFonts w:cstheme="minorHAnsi"/>
                <w:sz w:val="22"/>
              </w:rPr>
              <w:t>Documents required by the new standard shall be approved by competent persons.</w:t>
            </w:r>
          </w:p>
          <w:p w14:paraId="4E0B55F5" w14:textId="458EF2D7" w:rsidR="00005BD0" w:rsidRPr="00852E02" w:rsidRDefault="00005BD0" w:rsidP="00005BD0">
            <w:pPr>
              <w:rPr>
                <w:rFonts w:cstheme="minorHAnsi"/>
                <w:sz w:val="22"/>
              </w:rPr>
            </w:pPr>
            <w:r w:rsidRPr="00852E02">
              <w:rPr>
                <w:rFonts w:cstheme="minorHAnsi"/>
                <w:sz w:val="22"/>
              </w:rPr>
              <w:t xml:space="preserve">Documents and records should include purchasing records, monitoring of reprocessing equipment records, cleaning process records, cleaning of the reprocessing facility, sterilisation and high-level disinfection process records, staff training and competency records, maintenance records for RMDs and other devices and reprocessing equipment, microbiological surveillance testing, Installation Qualification, Operational Qualification and Performance Qualification for reprocessing records, process deviation reports and recall records. </w:t>
            </w:r>
            <w:bookmarkEnd w:id="18"/>
          </w:p>
        </w:tc>
        <w:tc>
          <w:tcPr>
            <w:tcW w:w="1712" w:type="pct"/>
            <w:shd w:val="clear" w:color="auto" w:fill="auto"/>
            <w:tcMar>
              <w:top w:w="108" w:type="dxa"/>
              <w:bottom w:w="108" w:type="dxa"/>
            </w:tcMar>
          </w:tcPr>
          <w:p w14:paraId="55FE5D9D" w14:textId="37F5A22E" w:rsidR="00005BD0" w:rsidRPr="00852E02" w:rsidRDefault="00005BD0" w:rsidP="00005BD0">
            <w:pPr>
              <w:rPr>
                <w:rFonts w:cstheme="minorHAnsi"/>
                <w:sz w:val="22"/>
              </w:rPr>
            </w:pPr>
            <w:r w:rsidRPr="00852E02">
              <w:rPr>
                <w:rFonts w:cstheme="minorHAnsi"/>
                <w:sz w:val="22"/>
              </w:rPr>
              <w:t xml:space="preserve">Health service organisations should </w:t>
            </w:r>
            <w:r w:rsidR="005C3BD5" w:rsidRPr="00852E02">
              <w:rPr>
                <w:rFonts w:cstheme="minorHAnsi"/>
                <w:sz w:val="22"/>
              </w:rPr>
              <w:t>determine approval processes for these documents consistent with their local governance arrangements, including governance of reprocessing services</w:t>
            </w:r>
            <w:r w:rsidRPr="00852E02">
              <w:rPr>
                <w:rFonts w:cstheme="minorHAnsi"/>
                <w:sz w:val="22"/>
              </w:rPr>
              <w:t>.</w:t>
            </w:r>
          </w:p>
          <w:p w14:paraId="683F47FE" w14:textId="41BE37A9" w:rsidR="00005BD0" w:rsidRPr="00852E02" w:rsidRDefault="00005BD0" w:rsidP="00005BD0">
            <w:pPr>
              <w:rPr>
                <w:rFonts w:cstheme="minorHAnsi"/>
                <w:sz w:val="22"/>
              </w:rPr>
            </w:pPr>
            <w:r w:rsidRPr="00852E02">
              <w:rPr>
                <w:rFonts w:cstheme="minorHAnsi"/>
                <w:sz w:val="22"/>
              </w:rPr>
              <w:t xml:space="preserve">Health service organisations should refer to the </w:t>
            </w:r>
            <w:hyperlink r:id="rId35" w:history="1">
              <w:r w:rsidRPr="00852E02">
                <w:rPr>
                  <w:rStyle w:val="Hyperlink"/>
                  <w:rFonts w:cstheme="minorHAnsi"/>
                  <w:sz w:val="22"/>
                </w:rPr>
                <w:t>Clinical Governance Standard</w:t>
              </w:r>
            </w:hyperlink>
            <w:r w:rsidRPr="00852E02">
              <w:rPr>
                <w:rFonts w:cstheme="minorHAnsi"/>
                <w:sz w:val="22"/>
              </w:rPr>
              <w:t xml:space="preserve"> of the </w:t>
            </w:r>
            <w:hyperlink r:id="rId36" w:history="1">
              <w:r w:rsidRPr="00852E02">
                <w:rPr>
                  <w:rStyle w:val="Hyperlink"/>
                  <w:rFonts w:cstheme="minorHAnsi"/>
                  <w:sz w:val="22"/>
                </w:rPr>
                <w:t>NSQHS Standards</w:t>
              </w:r>
            </w:hyperlink>
            <w:r w:rsidRPr="00852E02">
              <w:rPr>
                <w:rFonts w:cstheme="minorHAnsi"/>
                <w:sz w:val="22"/>
              </w:rPr>
              <w:t xml:space="preserve"> for relevant actions that related to clinical performance and effectiveness. </w:t>
            </w:r>
          </w:p>
        </w:tc>
      </w:tr>
      <w:tr w:rsidR="00005BD0" w:rsidRPr="00852E02" w14:paraId="0E75FFBD" w14:textId="5EB9D182" w:rsidTr="00742B12">
        <w:tc>
          <w:tcPr>
            <w:tcW w:w="617" w:type="pct"/>
            <w:shd w:val="clear" w:color="auto" w:fill="F2F2F2" w:themeFill="background1" w:themeFillShade="F2"/>
            <w:tcMar>
              <w:top w:w="108" w:type="dxa"/>
              <w:bottom w:w="108" w:type="dxa"/>
            </w:tcMar>
          </w:tcPr>
          <w:p w14:paraId="2FDC828B" w14:textId="707D0DD4" w:rsidR="00005BD0" w:rsidRPr="00852E02" w:rsidRDefault="00005BD0" w:rsidP="00005BD0">
            <w:pPr>
              <w:rPr>
                <w:rFonts w:cstheme="minorHAnsi"/>
                <w:sz w:val="22"/>
              </w:rPr>
            </w:pPr>
            <w:r w:rsidRPr="00852E02">
              <w:rPr>
                <w:rFonts w:cstheme="minorHAnsi"/>
                <w:sz w:val="22"/>
              </w:rPr>
              <w:t>Management responsibilities</w:t>
            </w:r>
          </w:p>
        </w:tc>
        <w:tc>
          <w:tcPr>
            <w:tcW w:w="976" w:type="pct"/>
            <w:shd w:val="clear" w:color="auto" w:fill="F2F2F2" w:themeFill="background1" w:themeFillShade="F2"/>
            <w:tcMar>
              <w:top w:w="108" w:type="dxa"/>
              <w:bottom w:w="108" w:type="dxa"/>
            </w:tcMar>
          </w:tcPr>
          <w:p w14:paraId="3988DF32" w14:textId="25B7C569" w:rsidR="00005BD0" w:rsidRPr="00852E02" w:rsidRDefault="00005BD0" w:rsidP="00005BD0">
            <w:pPr>
              <w:spacing w:after="0"/>
              <w:rPr>
                <w:rFonts w:cstheme="minorHAnsi"/>
                <w:color w:val="000000"/>
                <w:sz w:val="22"/>
              </w:rPr>
            </w:pPr>
            <w:r w:rsidRPr="00852E02">
              <w:rPr>
                <w:rFonts w:cstheme="minorHAnsi"/>
                <w:color w:val="000000"/>
                <w:sz w:val="22"/>
              </w:rPr>
              <w:t xml:space="preserve">Requires health service organisations’ executive management to ensure an organisational structure supports the requirements of the </w:t>
            </w:r>
            <w:r w:rsidR="009D0864" w:rsidRPr="00852E02">
              <w:rPr>
                <w:rFonts w:cstheme="minorHAnsi"/>
                <w:color w:val="000000"/>
                <w:sz w:val="22"/>
              </w:rPr>
              <w:t>s</w:t>
            </w:r>
            <w:r w:rsidRPr="00852E02">
              <w:rPr>
                <w:rFonts w:cstheme="minorHAnsi"/>
                <w:color w:val="000000"/>
                <w:sz w:val="22"/>
              </w:rPr>
              <w:t>tandard.</w:t>
            </w:r>
          </w:p>
        </w:tc>
        <w:tc>
          <w:tcPr>
            <w:tcW w:w="1694" w:type="pct"/>
            <w:shd w:val="clear" w:color="auto" w:fill="F2F2F2" w:themeFill="background1" w:themeFillShade="F2"/>
            <w:tcMar>
              <w:top w:w="108" w:type="dxa"/>
              <w:bottom w:w="108" w:type="dxa"/>
            </w:tcMar>
          </w:tcPr>
          <w:p w14:paraId="391D741B" w14:textId="4FFA7DE6" w:rsidR="00005BD0" w:rsidRPr="00852E02" w:rsidRDefault="00005BD0" w:rsidP="00005BD0">
            <w:pPr>
              <w:rPr>
                <w:rFonts w:cstheme="minorHAnsi"/>
                <w:sz w:val="22"/>
              </w:rPr>
            </w:pPr>
            <w:bookmarkStart w:id="19" w:name="_Hlk163818594"/>
            <w:r w:rsidRPr="00852E02">
              <w:rPr>
                <w:rFonts w:cstheme="minorHAnsi"/>
                <w:sz w:val="22"/>
              </w:rPr>
              <w:t>Details the management responsibilities to have appropriate systems, such as a business continuity plan, to ensure the requirements of the new standard are met at all times, regardless of emergency or other suboptimal operating conditions.</w:t>
            </w:r>
          </w:p>
          <w:bookmarkEnd w:id="19"/>
          <w:p w14:paraId="52E74CB1" w14:textId="77777777" w:rsidR="00005BD0" w:rsidRPr="00852E02" w:rsidRDefault="00005BD0" w:rsidP="00005BD0">
            <w:pPr>
              <w:rPr>
                <w:rFonts w:cstheme="minorHAnsi"/>
                <w:sz w:val="22"/>
              </w:rPr>
            </w:pPr>
          </w:p>
        </w:tc>
        <w:tc>
          <w:tcPr>
            <w:tcW w:w="1712" w:type="pct"/>
            <w:shd w:val="clear" w:color="auto" w:fill="F2F2F2" w:themeFill="background1" w:themeFillShade="F2"/>
            <w:tcMar>
              <w:top w:w="108" w:type="dxa"/>
              <w:bottom w:w="108" w:type="dxa"/>
            </w:tcMar>
          </w:tcPr>
          <w:p w14:paraId="103E3A99" w14:textId="496071D0" w:rsidR="00005BD0" w:rsidRPr="00852E02" w:rsidRDefault="00005BD0" w:rsidP="00005BD0">
            <w:pPr>
              <w:rPr>
                <w:rFonts w:cstheme="minorHAnsi"/>
                <w:sz w:val="22"/>
              </w:rPr>
            </w:pPr>
            <w:r w:rsidRPr="00852E02">
              <w:rPr>
                <w:rFonts w:cstheme="minorHAnsi"/>
                <w:sz w:val="22"/>
              </w:rPr>
              <w:t xml:space="preserve">Health service organisations should </w:t>
            </w:r>
            <w:r w:rsidR="005C3BD5" w:rsidRPr="00852E02">
              <w:rPr>
                <w:rFonts w:cstheme="minorHAnsi"/>
                <w:sz w:val="22"/>
              </w:rPr>
              <w:t xml:space="preserve">have </w:t>
            </w:r>
            <w:r w:rsidRPr="00852E02">
              <w:rPr>
                <w:rFonts w:cstheme="minorHAnsi"/>
                <w:sz w:val="22"/>
              </w:rPr>
              <w:t xml:space="preserve">business continuity </w:t>
            </w:r>
            <w:r w:rsidR="005C3BD5" w:rsidRPr="00852E02">
              <w:rPr>
                <w:rFonts w:cstheme="minorHAnsi"/>
                <w:sz w:val="22"/>
              </w:rPr>
              <w:t>processes</w:t>
            </w:r>
            <w:r w:rsidRPr="00852E02">
              <w:rPr>
                <w:rFonts w:cstheme="minorHAnsi"/>
                <w:sz w:val="22"/>
              </w:rPr>
              <w:t xml:space="preserve"> </w:t>
            </w:r>
            <w:r w:rsidR="005C3BD5" w:rsidRPr="00852E02">
              <w:rPr>
                <w:rFonts w:cstheme="minorHAnsi"/>
                <w:sz w:val="22"/>
              </w:rPr>
              <w:t xml:space="preserve">in place </w:t>
            </w:r>
            <w:r w:rsidRPr="00852E02">
              <w:rPr>
                <w:rFonts w:cstheme="minorHAnsi"/>
                <w:sz w:val="22"/>
              </w:rPr>
              <w:t xml:space="preserve">to ensure that reprocessing of RMDs and other devices can continue safely regardless of emergency or other suboptimal operating conditions. Management should be involved in regular reviews </w:t>
            </w:r>
            <w:r w:rsidR="00F54BB2" w:rsidRPr="00852E02">
              <w:rPr>
                <w:rFonts w:cstheme="minorHAnsi"/>
                <w:sz w:val="22"/>
              </w:rPr>
              <w:t xml:space="preserve">of their organisational structure and business continuity or disaster plan </w:t>
            </w:r>
            <w:r w:rsidRPr="00852E02">
              <w:rPr>
                <w:rFonts w:cstheme="minorHAnsi"/>
                <w:sz w:val="22"/>
              </w:rPr>
              <w:t>to ensure strategic alignment and resource availability for compliance.</w:t>
            </w:r>
          </w:p>
          <w:p w14:paraId="6EC8EB94" w14:textId="1DE7B185" w:rsidR="00005BD0" w:rsidRPr="00852E02" w:rsidRDefault="00005BD0" w:rsidP="00005BD0">
            <w:pPr>
              <w:rPr>
                <w:rFonts w:cstheme="minorHAnsi"/>
                <w:sz w:val="22"/>
              </w:rPr>
            </w:pPr>
            <w:r w:rsidRPr="00852E02">
              <w:rPr>
                <w:rFonts w:cstheme="minorHAnsi"/>
                <w:sz w:val="22"/>
              </w:rPr>
              <w:t xml:space="preserve">Health service organisations should refer to the </w:t>
            </w:r>
            <w:hyperlink r:id="rId37" w:history="1">
              <w:r w:rsidRPr="00852E02">
                <w:rPr>
                  <w:rStyle w:val="Hyperlink"/>
                  <w:rFonts w:cstheme="minorHAnsi"/>
                  <w:sz w:val="22"/>
                </w:rPr>
                <w:t>Clinical Governance Standard</w:t>
              </w:r>
            </w:hyperlink>
            <w:r w:rsidRPr="00852E02">
              <w:rPr>
                <w:rFonts w:cstheme="minorHAnsi"/>
                <w:sz w:val="22"/>
              </w:rPr>
              <w:t xml:space="preserve"> and the </w:t>
            </w:r>
            <w:hyperlink r:id="rId38" w:history="1">
              <w:r w:rsidRPr="00852E02">
                <w:rPr>
                  <w:rStyle w:val="Hyperlink"/>
                  <w:rFonts w:cstheme="minorHAnsi"/>
                  <w:sz w:val="22"/>
                </w:rPr>
                <w:t>Preventing and Controlling Infections Standard</w:t>
              </w:r>
            </w:hyperlink>
            <w:r w:rsidRPr="00852E02">
              <w:rPr>
                <w:rFonts w:cstheme="minorHAnsi"/>
                <w:sz w:val="22"/>
              </w:rPr>
              <w:t xml:space="preserve"> of the </w:t>
            </w:r>
            <w:hyperlink r:id="rId39" w:history="1">
              <w:r w:rsidRPr="00852E02">
                <w:rPr>
                  <w:rStyle w:val="Hyperlink"/>
                  <w:rFonts w:cstheme="minorHAnsi"/>
                  <w:sz w:val="22"/>
                </w:rPr>
                <w:t>NSQHS Standards</w:t>
              </w:r>
            </w:hyperlink>
            <w:r w:rsidRPr="00852E02">
              <w:rPr>
                <w:rFonts w:cstheme="minorHAnsi"/>
                <w:sz w:val="22"/>
              </w:rPr>
              <w:t xml:space="preserve"> for </w:t>
            </w:r>
            <w:r w:rsidRPr="00852E02">
              <w:rPr>
                <w:rFonts w:cstheme="minorHAnsi"/>
                <w:sz w:val="22"/>
              </w:rPr>
              <w:lastRenderedPageBreak/>
              <w:t>relevant actions relate</w:t>
            </w:r>
            <w:r w:rsidR="006F73C2" w:rsidRPr="00852E02">
              <w:rPr>
                <w:rFonts w:cstheme="minorHAnsi"/>
                <w:sz w:val="22"/>
              </w:rPr>
              <w:t>d</w:t>
            </w:r>
            <w:r w:rsidRPr="00852E02">
              <w:rPr>
                <w:rFonts w:cstheme="minorHAnsi"/>
                <w:sz w:val="22"/>
              </w:rPr>
              <w:t xml:space="preserve"> to management and clinical governance. </w:t>
            </w:r>
          </w:p>
          <w:p w14:paraId="19A75A32" w14:textId="043B4C34" w:rsidR="00005BD0" w:rsidRPr="00852E02" w:rsidRDefault="00005BD0" w:rsidP="00005BD0">
            <w:pPr>
              <w:rPr>
                <w:rFonts w:cstheme="minorHAnsi"/>
                <w:sz w:val="22"/>
              </w:rPr>
            </w:pPr>
            <w:r w:rsidRPr="00852E02">
              <w:rPr>
                <w:rFonts w:cstheme="minorHAnsi"/>
                <w:sz w:val="22"/>
              </w:rPr>
              <w:t xml:space="preserve">Health service organisations can refer to Section 4.1 </w:t>
            </w:r>
            <w:r w:rsidRPr="00852E02">
              <w:rPr>
                <w:rFonts w:cstheme="minorHAnsi"/>
                <w:i/>
                <w:iCs/>
                <w:sz w:val="22"/>
              </w:rPr>
              <w:t xml:space="preserve">Management and clinical governance </w:t>
            </w:r>
            <w:r w:rsidRPr="00852E02">
              <w:rPr>
                <w:rFonts w:cstheme="minorHAnsi"/>
                <w:sz w:val="22"/>
              </w:rPr>
              <w:t xml:space="preserve">of </w:t>
            </w:r>
            <w:hyperlink r:id="rId40" w:history="1">
              <w:r w:rsidRPr="00852E02">
                <w:rPr>
                  <w:rStyle w:val="Hyperlink"/>
                  <w:rFonts w:cstheme="minorHAnsi"/>
                  <w:sz w:val="22"/>
                </w:rPr>
                <w:t>the Guidelines</w:t>
              </w:r>
            </w:hyperlink>
            <w:r w:rsidRPr="00852E02">
              <w:rPr>
                <w:rFonts w:cstheme="minorHAnsi"/>
                <w:sz w:val="22"/>
              </w:rPr>
              <w:t xml:space="preserve"> on their roles and responsibilities.</w:t>
            </w:r>
          </w:p>
        </w:tc>
      </w:tr>
      <w:tr w:rsidR="00005BD0" w:rsidRPr="00852E02" w14:paraId="18D55B77" w14:textId="680EAF39" w:rsidTr="00742B12">
        <w:trPr>
          <w:cnfStyle w:val="000000010000" w:firstRow="0" w:lastRow="0" w:firstColumn="0" w:lastColumn="0" w:oddVBand="0" w:evenVBand="0" w:oddHBand="0" w:evenHBand="1" w:firstRowFirstColumn="0" w:firstRowLastColumn="0" w:lastRowFirstColumn="0" w:lastRowLastColumn="0"/>
        </w:trPr>
        <w:tc>
          <w:tcPr>
            <w:tcW w:w="617" w:type="pct"/>
            <w:tcBorders>
              <w:bottom w:val="single" w:sz="4" w:space="0" w:color="1178A0" w:themeColor="background2"/>
            </w:tcBorders>
            <w:shd w:val="clear" w:color="auto" w:fill="auto"/>
            <w:tcMar>
              <w:top w:w="108" w:type="dxa"/>
              <w:bottom w:w="108" w:type="dxa"/>
            </w:tcMar>
          </w:tcPr>
          <w:p w14:paraId="48EB2A13" w14:textId="44C1F0D0" w:rsidR="00005BD0" w:rsidRPr="00852E02" w:rsidRDefault="00005BD0" w:rsidP="00005BD0">
            <w:pPr>
              <w:rPr>
                <w:rFonts w:cstheme="minorHAnsi"/>
                <w:sz w:val="22"/>
              </w:rPr>
            </w:pPr>
            <w:r w:rsidRPr="00852E02">
              <w:rPr>
                <w:rFonts w:cstheme="minorHAnsi"/>
                <w:sz w:val="22"/>
              </w:rPr>
              <w:lastRenderedPageBreak/>
              <w:t>Contracts</w:t>
            </w:r>
          </w:p>
        </w:tc>
        <w:tc>
          <w:tcPr>
            <w:tcW w:w="976" w:type="pct"/>
            <w:shd w:val="clear" w:color="auto" w:fill="auto"/>
            <w:tcMar>
              <w:top w:w="108" w:type="dxa"/>
              <w:bottom w:w="108" w:type="dxa"/>
            </w:tcMar>
          </w:tcPr>
          <w:p w14:paraId="00B9F7E4" w14:textId="763CB0ED" w:rsidR="00005BD0" w:rsidRPr="00852E02" w:rsidRDefault="00005BD0" w:rsidP="00005BD0">
            <w:pPr>
              <w:rPr>
                <w:rFonts w:cstheme="minorHAnsi"/>
                <w:sz w:val="22"/>
              </w:rPr>
            </w:pPr>
            <w:r w:rsidRPr="00852E02">
              <w:rPr>
                <w:rFonts w:cstheme="minorHAnsi"/>
                <w:sz w:val="22"/>
              </w:rPr>
              <w:t>For reprocessing services that have been outsourced to a third</w:t>
            </w:r>
            <w:r w:rsidR="00FD1BE9" w:rsidRPr="00852E02">
              <w:rPr>
                <w:rFonts w:cstheme="minorHAnsi"/>
                <w:sz w:val="22"/>
              </w:rPr>
              <w:t xml:space="preserve"> </w:t>
            </w:r>
            <w:r w:rsidRPr="00852E02">
              <w:rPr>
                <w:rFonts w:cstheme="minorHAnsi"/>
                <w:sz w:val="22"/>
              </w:rPr>
              <w:t xml:space="preserve">party, health service organisations shall ensure that an agreement is in place that identifies the responsibilities of each party, including the requirement to comply with the </w:t>
            </w:r>
            <w:r w:rsidR="009D0864" w:rsidRPr="00852E02">
              <w:rPr>
                <w:rFonts w:cstheme="minorHAnsi"/>
                <w:sz w:val="22"/>
              </w:rPr>
              <w:t>s</w:t>
            </w:r>
            <w:r w:rsidRPr="00852E02">
              <w:rPr>
                <w:rFonts w:cstheme="minorHAnsi"/>
                <w:sz w:val="22"/>
              </w:rPr>
              <w:t>tandard.</w:t>
            </w:r>
          </w:p>
        </w:tc>
        <w:tc>
          <w:tcPr>
            <w:tcW w:w="1694" w:type="pct"/>
            <w:shd w:val="clear" w:color="auto" w:fill="auto"/>
            <w:tcMar>
              <w:top w:w="108" w:type="dxa"/>
              <w:bottom w:w="108" w:type="dxa"/>
            </w:tcMar>
          </w:tcPr>
          <w:p w14:paraId="7967A943" w14:textId="56B018EA" w:rsidR="00005BD0" w:rsidRPr="00852E02" w:rsidRDefault="00005BD0" w:rsidP="00005BD0">
            <w:pPr>
              <w:rPr>
                <w:rFonts w:cstheme="minorHAnsi"/>
                <w:sz w:val="22"/>
              </w:rPr>
            </w:pPr>
            <w:bookmarkStart w:id="20" w:name="_Hlk163818726"/>
            <w:r w:rsidRPr="00852E02">
              <w:rPr>
                <w:rFonts w:cstheme="minorHAnsi"/>
                <w:sz w:val="22"/>
              </w:rPr>
              <w:t>In addition to the agreement, AS 5369:2023 stipulates that the contract should include evidence of accreditation, internal or external audit or other quality activities that demonstrate a satisfactory level of risk management and conformance to the new standard.</w:t>
            </w:r>
            <w:bookmarkEnd w:id="20"/>
          </w:p>
        </w:tc>
        <w:tc>
          <w:tcPr>
            <w:tcW w:w="1712" w:type="pct"/>
            <w:shd w:val="clear" w:color="auto" w:fill="auto"/>
            <w:tcMar>
              <w:top w:w="108" w:type="dxa"/>
              <w:bottom w:w="108" w:type="dxa"/>
            </w:tcMar>
          </w:tcPr>
          <w:p w14:paraId="65A740C3" w14:textId="7282E451" w:rsidR="00D259DC" w:rsidRPr="00852E02" w:rsidRDefault="00005BD0" w:rsidP="00D259DC">
            <w:pPr>
              <w:rPr>
                <w:rFonts w:cstheme="minorHAnsi"/>
                <w:sz w:val="22"/>
              </w:rPr>
            </w:pPr>
            <w:r w:rsidRPr="00852E02">
              <w:rPr>
                <w:rFonts w:cstheme="minorHAnsi"/>
                <w:sz w:val="22"/>
              </w:rPr>
              <w:t xml:space="preserve">When a third-party provider is involved, health service organisations </w:t>
            </w:r>
            <w:r w:rsidR="00D259DC" w:rsidRPr="00852E02">
              <w:rPr>
                <w:rFonts w:cstheme="minorHAnsi"/>
                <w:sz w:val="22"/>
              </w:rPr>
              <w:t>should ensure all contracts for reprocessing services include:</w:t>
            </w:r>
          </w:p>
          <w:p w14:paraId="5C6C6FE6" w14:textId="77777777" w:rsidR="00D259DC" w:rsidRPr="00852E02" w:rsidRDefault="00D259DC" w:rsidP="00D259DC">
            <w:pPr>
              <w:pStyle w:val="ListParagraph"/>
              <w:numPr>
                <w:ilvl w:val="0"/>
                <w:numId w:val="45"/>
              </w:numPr>
              <w:rPr>
                <w:rFonts w:cstheme="minorHAnsi"/>
                <w:sz w:val="22"/>
              </w:rPr>
            </w:pPr>
            <w:r w:rsidRPr="00852E02">
              <w:rPr>
                <w:rFonts w:cstheme="minorHAnsi"/>
                <w:sz w:val="22"/>
              </w:rPr>
              <w:t xml:space="preserve">Responsibilities of each party </w:t>
            </w:r>
          </w:p>
          <w:p w14:paraId="470DBC72" w14:textId="476D3688" w:rsidR="00D259DC" w:rsidRPr="00852E02" w:rsidRDefault="00D259DC" w:rsidP="00D259DC">
            <w:pPr>
              <w:pStyle w:val="ListParagraph"/>
              <w:numPr>
                <w:ilvl w:val="0"/>
                <w:numId w:val="45"/>
              </w:numPr>
              <w:rPr>
                <w:rFonts w:cstheme="minorHAnsi"/>
                <w:sz w:val="22"/>
              </w:rPr>
            </w:pPr>
            <w:r w:rsidRPr="00852E02">
              <w:rPr>
                <w:rFonts w:cstheme="minorHAnsi"/>
                <w:sz w:val="22"/>
              </w:rPr>
              <w:t xml:space="preserve">Evidence of third party’s compliance with relevant </w:t>
            </w:r>
            <w:r w:rsidR="00905D99" w:rsidRPr="00852E02">
              <w:rPr>
                <w:rFonts w:cstheme="minorHAnsi"/>
                <w:sz w:val="22"/>
              </w:rPr>
              <w:t>s</w:t>
            </w:r>
            <w:r w:rsidRPr="00852E02">
              <w:rPr>
                <w:rFonts w:cstheme="minorHAnsi"/>
                <w:sz w:val="22"/>
              </w:rPr>
              <w:t>tandards</w:t>
            </w:r>
          </w:p>
          <w:p w14:paraId="75033ED9" w14:textId="77777777" w:rsidR="00D259DC" w:rsidRPr="00852E02" w:rsidRDefault="00D259DC" w:rsidP="00D259DC">
            <w:pPr>
              <w:pStyle w:val="ListParagraph"/>
              <w:numPr>
                <w:ilvl w:val="0"/>
                <w:numId w:val="45"/>
              </w:numPr>
              <w:rPr>
                <w:rFonts w:cstheme="minorHAnsi"/>
                <w:sz w:val="22"/>
              </w:rPr>
            </w:pPr>
            <w:r w:rsidRPr="00852E02">
              <w:rPr>
                <w:rFonts w:cstheme="minorHAnsi"/>
                <w:sz w:val="22"/>
              </w:rPr>
              <w:t xml:space="preserve">Provision for audits of records and quality checks, based on a risk assessment. </w:t>
            </w:r>
          </w:p>
          <w:p w14:paraId="7CC9A540" w14:textId="225E733A" w:rsidR="00005BD0" w:rsidRPr="00852E02" w:rsidRDefault="00005BD0" w:rsidP="00005BD0">
            <w:pPr>
              <w:rPr>
                <w:rFonts w:cstheme="minorHAnsi"/>
                <w:sz w:val="22"/>
              </w:rPr>
            </w:pPr>
            <w:r w:rsidRPr="00852E02">
              <w:rPr>
                <w:rFonts w:cstheme="minorHAnsi"/>
                <w:sz w:val="22"/>
              </w:rPr>
              <w:t xml:space="preserve">Health service organisations should regularly evaluate the </w:t>
            </w:r>
            <w:r w:rsidR="00F54BB2" w:rsidRPr="00852E02">
              <w:rPr>
                <w:rFonts w:cstheme="minorHAnsi"/>
                <w:sz w:val="22"/>
              </w:rPr>
              <w:t>third party</w:t>
            </w:r>
            <w:r w:rsidRPr="00852E02">
              <w:rPr>
                <w:rFonts w:cstheme="minorHAnsi"/>
                <w:sz w:val="22"/>
              </w:rPr>
              <w:t xml:space="preserve"> based on </w:t>
            </w:r>
            <w:r w:rsidR="00FD1BE9" w:rsidRPr="00852E02">
              <w:rPr>
                <w:rFonts w:cstheme="minorHAnsi"/>
                <w:sz w:val="22"/>
              </w:rPr>
              <w:t xml:space="preserve">results from </w:t>
            </w:r>
            <w:r w:rsidRPr="00852E02">
              <w:rPr>
                <w:rFonts w:cstheme="minorHAnsi"/>
                <w:sz w:val="22"/>
              </w:rPr>
              <w:t xml:space="preserve">audits and </w:t>
            </w:r>
            <w:r w:rsidR="00FD1BE9" w:rsidRPr="00852E02">
              <w:rPr>
                <w:rFonts w:cstheme="minorHAnsi"/>
                <w:sz w:val="22"/>
              </w:rPr>
              <w:t>quality checks</w:t>
            </w:r>
            <w:r w:rsidRPr="00852E02">
              <w:rPr>
                <w:rFonts w:cstheme="minorHAnsi"/>
                <w:sz w:val="22"/>
              </w:rPr>
              <w:t xml:space="preserve">. </w:t>
            </w:r>
          </w:p>
          <w:p w14:paraId="36B17493" w14:textId="1E39AA44" w:rsidR="00005BD0" w:rsidRPr="00852E02" w:rsidRDefault="00005BD0" w:rsidP="00005BD0">
            <w:pPr>
              <w:rPr>
                <w:rFonts w:cstheme="minorHAnsi"/>
                <w:sz w:val="22"/>
              </w:rPr>
            </w:pPr>
            <w:r w:rsidRPr="00852E02">
              <w:rPr>
                <w:rFonts w:cstheme="minorHAnsi"/>
                <w:sz w:val="22"/>
              </w:rPr>
              <w:t>Health service organisations should regular</w:t>
            </w:r>
            <w:r w:rsidR="006F73C2" w:rsidRPr="00852E02">
              <w:rPr>
                <w:rFonts w:cstheme="minorHAnsi"/>
                <w:sz w:val="22"/>
              </w:rPr>
              <w:t>ly</w:t>
            </w:r>
            <w:r w:rsidRPr="00852E02">
              <w:rPr>
                <w:rFonts w:cstheme="minorHAnsi"/>
                <w:sz w:val="22"/>
              </w:rPr>
              <w:t xml:space="preserve"> review </w:t>
            </w:r>
            <w:r w:rsidR="00F54BB2" w:rsidRPr="00852E02">
              <w:rPr>
                <w:rFonts w:cstheme="minorHAnsi"/>
                <w:sz w:val="22"/>
              </w:rPr>
              <w:t xml:space="preserve">third party </w:t>
            </w:r>
            <w:r w:rsidRPr="00852E02">
              <w:rPr>
                <w:rFonts w:cstheme="minorHAnsi"/>
                <w:sz w:val="22"/>
              </w:rPr>
              <w:t>contracts to ensure compliance with the new standard.</w:t>
            </w:r>
          </w:p>
          <w:p w14:paraId="5ADFAAAD" w14:textId="2FD0064C" w:rsidR="00005BD0" w:rsidRPr="00852E02" w:rsidRDefault="00005BD0" w:rsidP="00005BD0">
            <w:pPr>
              <w:rPr>
                <w:rFonts w:cstheme="minorHAnsi"/>
                <w:sz w:val="22"/>
              </w:rPr>
            </w:pPr>
            <w:r w:rsidRPr="00852E02">
              <w:rPr>
                <w:rFonts w:cstheme="minorHAnsi"/>
                <w:sz w:val="22"/>
              </w:rPr>
              <w:t xml:space="preserve">Health service organisations should ensure that all requirements by the new standard on contract agreement are documented in </w:t>
            </w:r>
            <w:r w:rsidR="00F54BB2" w:rsidRPr="00852E02">
              <w:rPr>
                <w:rFonts w:cstheme="minorHAnsi"/>
                <w:sz w:val="22"/>
              </w:rPr>
              <w:t>relevant</w:t>
            </w:r>
            <w:r w:rsidRPr="00852E02">
              <w:rPr>
                <w:rFonts w:cstheme="minorHAnsi"/>
                <w:sz w:val="22"/>
              </w:rPr>
              <w:t xml:space="preserve"> policies, procedures, or protocols. Staff who are involved in </w:t>
            </w:r>
            <w:r w:rsidR="0039355A" w:rsidRPr="00852E02">
              <w:rPr>
                <w:rFonts w:cstheme="minorHAnsi"/>
                <w:sz w:val="22"/>
              </w:rPr>
              <w:t xml:space="preserve">developing contract agreement and approval processes </w:t>
            </w:r>
            <w:r w:rsidRPr="00852E02">
              <w:rPr>
                <w:rFonts w:cstheme="minorHAnsi"/>
                <w:sz w:val="22"/>
              </w:rPr>
              <w:t>should be informed of any changes.</w:t>
            </w:r>
          </w:p>
          <w:p w14:paraId="1664FA65" w14:textId="66ECE31F" w:rsidR="00005BD0" w:rsidRPr="00852E02" w:rsidRDefault="00005BD0" w:rsidP="00005BD0">
            <w:pPr>
              <w:rPr>
                <w:rFonts w:cstheme="minorHAnsi"/>
                <w:sz w:val="22"/>
              </w:rPr>
            </w:pPr>
            <w:r w:rsidRPr="00852E02">
              <w:rPr>
                <w:rFonts w:cstheme="minorHAnsi"/>
                <w:sz w:val="22"/>
              </w:rPr>
              <w:lastRenderedPageBreak/>
              <w:t xml:space="preserve">Health service organisations should refer to the </w:t>
            </w:r>
            <w:hyperlink r:id="rId41" w:history="1">
              <w:r w:rsidRPr="00852E02">
                <w:rPr>
                  <w:rStyle w:val="Hyperlink"/>
                  <w:rFonts w:cstheme="minorHAnsi"/>
                  <w:sz w:val="22"/>
                </w:rPr>
                <w:t>Clinical Governance Standard</w:t>
              </w:r>
            </w:hyperlink>
            <w:r w:rsidRPr="00852E02">
              <w:rPr>
                <w:rFonts w:cstheme="minorHAnsi"/>
                <w:sz w:val="22"/>
              </w:rPr>
              <w:t xml:space="preserve"> and the </w:t>
            </w:r>
            <w:hyperlink r:id="rId42" w:history="1">
              <w:r w:rsidRPr="00852E02">
                <w:rPr>
                  <w:rStyle w:val="Hyperlink"/>
                  <w:rFonts w:cstheme="minorHAnsi"/>
                  <w:sz w:val="22"/>
                </w:rPr>
                <w:t>Preventing and Controlling Infections Standard</w:t>
              </w:r>
            </w:hyperlink>
            <w:r w:rsidRPr="00852E02">
              <w:rPr>
                <w:rFonts w:cstheme="minorHAnsi"/>
                <w:sz w:val="22"/>
              </w:rPr>
              <w:t xml:space="preserve"> of the </w:t>
            </w:r>
            <w:hyperlink r:id="rId43" w:history="1">
              <w:r w:rsidRPr="00852E02">
                <w:rPr>
                  <w:rStyle w:val="Hyperlink"/>
                  <w:rFonts w:cstheme="minorHAnsi"/>
                  <w:sz w:val="22"/>
                </w:rPr>
                <w:t>NSQHS Standards</w:t>
              </w:r>
            </w:hyperlink>
            <w:r w:rsidRPr="00852E02">
              <w:rPr>
                <w:rFonts w:cstheme="minorHAnsi"/>
                <w:sz w:val="22"/>
              </w:rPr>
              <w:t xml:space="preserve"> for relevant actions relate</w:t>
            </w:r>
            <w:r w:rsidR="006F73C2" w:rsidRPr="00852E02">
              <w:rPr>
                <w:rFonts w:cstheme="minorHAnsi"/>
                <w:sz w:val="22"/>
              </w:rPr>
              <w:t>d</w:t>
            </w:r>
            <w:r w:rsidRPr="00852E02">
              <w:rPr>
                <w:rFonts w:cstheme="minorHAnsi"/>
                <w:sz w:val="22"/>
              </w:rPr>
              <w:t xml:space="preserve"> to outsourced services. </w:t>
            </w:r>
          </w:p>
        </w:tc>
      </w:tr>
      <w:tr w:rsidR="00FE7540" w:rsidRPr="00852E02" w14:paraId="229A78DB" w14:textId="3AE6C29E" w:rsidTr="00742B12">
        <w:tc>
          <w:tcPr>
            <w:tcW w:w="617" w:type="pct"/>
            <w:tcBorders>
              <w:bottom w:val="single" w:sz="4" w:space="0" w:color="F2F2F2" w:themeColor="background1" w:themeShade="F2"/>
            </w:tcBorders>
            <w:shd w:val="clear" w:color="auto" w:fill="F2F2F2" w:themeFill="background1" w:themeFillShade="F2"/>
            <w:tcMar>
              <w:top w:w="108" w:type="dxa"/>
              <w:bottom w:w="108" w:type="dxa"/>
            </w:tcMar>
          </w:tcPr>
          <w:p w14:paraId="15659F21" w14:textId="5F40261D" w:rsidR="00FE7540" w:rsidRPr="00852E02" w:rsidRDefault="00FE7540" w:rsidP="00005BD0">
            <w:pPr>
              <w:rPr>
                <w:rFonts w:cstheme="minorHAnsi"/>
                <w:sz w:val="22"/>
              </w:rPr>
            </w:pPr>
            <w:r w:rsidRPr="00852E02">
              <w:rPr>
                <w:rFonts w:cstheme="minorHAnsi"/>
                <w:sz w:val="22"/>
              </w:rPr>
              <w:lastRenderedPageBreak/>
              <w:t>Purchasing</w:t>
            </w:r>
          </w:p>
        </w:tc>
        <w:tc>
          <w:tcPr>
            <w:tcW w:w="976" w:type="pct"/>
            <w:shd w:val="clear" w:color="auto" w:fill="F2F2F2" w:themeFill="background1" w:themeFillShade="F2"/>
            <w:tcMar>
              <w:top w:w="108" w:type="dxa"/>
              <w:bottom w:w="108" w:type="dxa"/>
            </w:tcMar>
          </w:tcPr>
          <w:p w14:paraId="7696842F" w14:textId="1536B997" w:rsidR="00FE7540" w:rsidRPr="00852E02" w:rsidRDefault="00FE7540" w:rsidP="00005BD0">
            <w:pPr>
              <w:rPr>
                <w:rFonts w:cstheme="minorHAnsi"/>
                <w:sz w:val="22"/>
              </w:rPr>
            </w:pPr>
            <w:r w:rsidRPr="00852E02">
              <w:rPr>
                <w:rFonts w:cstheme="minorHAnsi"/>
                <w:color w:val="000000"/>
                <w:sz w:val="22"/>
              </w:rPr>
              <w:t>Requires reprocessing facility manager involvement in the selection process before purchasing an RMD.</w:t>
            </w:r>
          </w:p>
        </w:tc>
        <w:tc>
          <w:tcPr>
            <w:tcW w:w="1694" w:type="pct"/>
            <w:shd w:val="clear" w:color="auto" w:fill="F2F2F2" w:themeFill="background1" w:themeFillShade="F2"/>
            <w:tcMar>
              <w:top w:w="108" w:type="dxa"/>
              <w:bottom w:w="108" w:type="dxa"/>
            </w:tcMar>
          </w:tcPr>
          <w:p w14:paraId="505642AF" w14:textId="1EA6177B" w:rsidR="00FE7540" w:rsidRPr="00852E02" w:rsidRDefault="00FE7540" w:rsidP="00005BD0">
            <w:pPr>
              <w:rPr>
                <w:rFonts w:cstheme="minorHAnsi"/>
                <w:sz w:val="22"/>
              </w:rPr>
            </w:pPr>
            <w:bookmarkStart w:id="21" w:name="_Hlk163818866"/>
            <w:r w:rsidRPr="00852E02">
              <w:rPr>
                <w:rFonts w:cstheme="minorHAnsi"/>
                <w:sz w:val="22"/>
              </w:rPr>
              <w:t>Requires the involvement of a competent person in the procedures for purchasing of the selected products for reprocessing, RMDs or other devices and accessories.</w:t>
            </w:r>
          </w:p>
          <w:bookmarkEnd w:id="21"/>
          <w:p w14:paraId="0759FF0E" w14:textId="3AFA0E4A" w:rsidR="00FE7540" w:rsidRPr="00852E02" w:rsidRDefault="00FE7540" w:rsidP="00005BD0">
            <w:pPr>
              <w:rPr>
                <w:rFonts w:cstheme="minorHAnsi"/>
                <w:sz w:val="22"/>
              </w:rPr>
            </w:pPr>
          </w:p>
        </w:tc>
        <w:tc>
          <w:tcPr>
            <w:tcW w:w="1712" w:type="pct"/>
            <w:shd w:val="clear" w:color="auto" w:fill="F2F2F2" w:themeFill="background1" w:themeFillShade="F2"/>
            <w:tcMar>
              <w:top w:w="108" w:type="dxa"/>
              <w:bottom w:w="108" w:type="dxa"/>
            </w:tcMar>
          </w:tcPr>
          <w:p w14:paraId="531F718D" w14:textId="631B8B15" w:rsidR="00FE7540" w:rsidRPr="00852E02" w:rsidRDefault="00FE7540" w:rsidP="00005BD0">
            <w:pPr>
              <w:rPr>
                <w:rFonts w:cstheme="minorHAnsi"/>
                <w:sz w:val="22"/>
              </w:rPr>
            </w:pPr>
            <w:r w:rsidRPr="00852E02">
              <w:rPr>
                <w:rFonts w:cstheme="minorHAnsi"/>
                <w:sz w:val="22"/>
              </w:rPr>
              <w:t>Health service organisations should ensure the involvement of personnel with reprocessing expertise in the selection process of products for reprocessing and RMDs/other devices.</w:t>
            </w:r>
          </w:p>
          <w:p w14:paraId="41C4FDA4" w14:textId="48215918" w:rsidR="00FE7540" w:rsidRPr="00852E02" w:rsidRDefault="00FE7540" w:rsidP="00005BD0">
            <w:pPr>
              <w:rPr>
                <w:rFonts w:cstheme="minorHAnsi"/>
                <w:sz w:val="22"/>
              </w:rPr>
            </w:pPr>
            <w:r w:rsidRPr="00852E02">
              <w:rPr>
                <w:rFonts w:cstheme="minorHAnsi"/>
                <w:sz w:val="22"/>
              </w:rPr>
              <w:t xml:space="preserve">Health service organisations should refer to the </w:t>
            </w:r>
            <w:hyperlink r:id="rId44" w:history="1">
              <w:r w:rsidRPr="00852E02">
                <w:rPr>
                  <w:rStyle w:val="Hyperlink"/>
                  <w:rFonts w:cstheme="minorHAnsi"/>
                  <w:sz w:val="22"/>
                </w:rPr>
                <w:t>Clinical Governance Standard</w:t>
              </w:r>
            </w:hyperlink>
            <w:r w:rsidRPr="00852E02">
              <w:rPr>
                <w:rFonts w:cstheme="minorHAnsi"/>
                <w:sz w:val="22"/>
              </w:rPr>
              <w:t xml:space="preserve"> of the </w:t>
            </w:r>
            <w:hyperlink r:id="rId45" w:history="1">
              <w:r w:rsidRPr="00852E02">
                <w:rPr>
                  <w:rStyle w:val="Hyperlink"/>
                  <w:rFonts w:cstheme="minorHAnsi"/>
                  <w:sz w:val="22"/>
                </w:rPr>
                <w:t>NSQHS Standards</w:t>
              </w:r>
            </w:hyperlink>
            <w:r w:rsidRPr="00852E02">
              <w:rPr>
                <w:rFonts w:cstheme="minorHAnsi"/>
                <w:sz w:val="22"/>
              </w:rPr>
              <w:t xml:space="preserve"> for relevant actions related to clinical performance and effectiveness.</w:t>
            </w:r>
          </w:p>
        </w:tc>
      </w:tr>
      <w:tr w:rsidR="00FE7540" w:rsidRPr="00852E02" w14:paraId="11C7B770" w14:textId="77777777" w:rsidTr="00742B12">
        <w:trPr>
          <w:cnfStyle w:val="000000010000" w:firstRow="0" w:lastRow="0" w:firstColumn="0" w:lastColumn="0" w:oddVBand="0" w:evenVBand="0" w:oddHBand="0" w:evenHBand="1" w:firstRowFirstColumn="0" w:firstRowLastColumn="0" w:lastRowFirstColumn="0" w:lastRowLastColumn="0"/>
        </w:trPr>
        <w:tc>
          <w:tcPr>
            <w:tcW w:w="617" w:type="pct"/>
            <w:tcBorders>
              <w:top w:val="single" w:sz="4" w:space="0" w:color="F2F2F2" w:themeColor="background1" w:themeShade="F2"/>
            </w:tcBorders>
            <w:tcMar>
              <w:top w:w="108" w:type="dxa"/>
              <w:bottom w:w="108" w:type="dxa"/>
            </w:tcMar>
          </w:tcPr>
          <w:p w14:paraId="7F37B32A" w14:textId="77777777" w:rsidR="00FE7540" w:rsidRPr="00852E02" w:rsidRDefault="00FE7540" w:rsidP="00005BD0">
            <w:pPr>
              <w:rPr>
                <w:rFonts w:cstheme="minorHAnsi"/>
                <w:sz w:val="22"/>
              </w:rPr>
            </w:pPr>
          </w:p>
        </w:tc>
        <w:tc>
          <w:tcPr>
            <w:tcW w:w="976" w:type="pct"/>
            <w:tcMar>
              <w:top w:w="108" w:type="dxa"/>
              <w:bottom w:w="108" w:type="dxa"/>
            </w:tcMar>
          </w:tcPr>
          <w:p w14:paraId="16E148B9" w14:textId="077C23E4" w:rsidR="00FE7540" w:rsidRPr="00852E02" w:rsidRDefault="00FE7540" w:rsidP="00005BD0">
            <w:pPr>
              <w:rPr>
                <w:rFonts w:cstheme="minorHAnsi"/>
                <w:color w:val="000000"/>
                <w:sz w:val="22"/>
              </w:rPr>
            </w:pPr>
            <w:r w:rsidRPr="00852E02">
              <w:rPr>
                <w:rFonts w:cstheme="minorHAnsi"/>
                <w:sz w:val="22"/>
              </w:rPr>
              <w:t>Does not specif</w:t>
            </w:r>
            <w:r w:rsidR="00020187">
              <w:rPr>
                <w:rFonts w:cstheme="minorHAnsi"/>
                <w:sz w:val="22"/>
              </w:rPr>
              <w:t>y</w:t>
            </w:r>
            <w:r w:rsidRPr="00852E02">
              <w:rPr>
                <w:rFonts w:cstheme="minorHAnsi"/>
                <w:sz w:val="22"/>
              </w:rPr>
              <w:t xml:space="preserve"> the TGA requirements for RMDs and accessories to RMD and reprocessing equipment.</w:t>
            </w:r>
          </w:p>
        </w:tc>
        <w:tc>
          <w:tcPr>
            <w:tcW w:w="1694" w:type="pct"/>
            <w:tcMar>
              <w:top w:w="108" w:type="dxa"/>
              <w:bottom w:w="108" w:type="dxa"/>
            </w:tcMar>
          </w:tcPr>
          <w:p w14:paraId="5BAF9B6D" w14:textId="64DF8613" w:rsidR="00FE7540" w:rsidRPr="00852E02" w:rsidRDefault="00FE7540" w:rsidP="00005BD0">
            <w:pPr>
              <w:rPr>
                <w:rFonts w:cstheme="minorHAnsi"/>
                <w:sz w:val="22"/>
              </w:rPr>
            </w:pPr>
            <w:r w:rsidRPr="00852E02">
              <w:rPr>
                <w:rFonts w:cstheme="minorHAnsi"/>
                <w:sz w:val="22"/>
              </w:rPr>
              <w:t xml:space="preserve">Includes the </w:t>
            </w:r>
            <w:hyperlink r:id="rId46" w:history="1">
              <w:r w:rsidRPr="00852E02">
                <w:rPr>
                  <w:rStyle w:val="Hyperlink"/>
                  <w:rFonts w:cstheme="minorHAnsi"/>
                  <w:sz w:val="22"/>
                </w:rPr>
                <w:t>TGA requirement</w:t>
              </w:r>
            </w:hyperlink>
            <w:r w:rsidRPr="00852E02">
              <w:rPr>
                <w:rStyle w:val="Hyperlink"/>
                <w:rFonts w:cstheme="minorHAnsi"/>
                <w:sz w:val="22"/>
              </w:rPr>
              <w:t>s</w:t>
            </w:r>
            <w:r w:rsidRPr="00852E02">
              <w:rPr>
                <w:rFonts w:cstheme="minorHAnsi"/>
                <w:sz w:val="22"/>
              </w:rPr>
              <w:t xml:space="preserve"> for RMDs/other devices and accessories to RMDs and reprocessing equipment to be entered on the </w:t>
            </w:r>
            <w:hyperlink r:id="rId47" w:history="1">
              <w:r w:rsidRPr="00852E02">
                <w:rPr>
                  <w:rStyle w:val="Hyperlink"/>
                  <w:rFonts w:cstheme="minorHAnsi"/>
                  <w:sz w:val="22"/>
                </w:rPr>
                <w:t>Australian Register of Therapeutic Goods (ARTG)</w:t>
              </w:r>
            </w:hyperlink>
            <w:r w:rsidRPr="00852E02">
              <w:rPr>
                <w:rFonts w:cstheme="minorHAnsi"/>
                <w:sz w:val="22"/>
              </w:rPr>
              <w:t>.</w:t>
            </w:r>
          </w:p>
        </w:tc>
        <w:tc>
          <w:tcPr>
            <w:tcW w:w="1712" w:type="pct"/>
            <w:tcMar>
              <w:top w:w="108" w:type="dxa"/>
              <w:bottom w:w="108" w:type="dxa"/>
            </w:tcMar>
          </w:tcPr>
          <w:p w14:paraId="2D05690A" w14:textId="38424EBA" w:rsidR="00FE7540" w:rsidRPr="00852E02" w:rsidRDefault="00FE7540" w:rsidP="00005BD0">
            <w:pPr>
              <w:rPr>
                <w:rFonts w:cstheme="minorHAnsi"/>
                <w:sz w:val="22"/>
              </w:rPr>
            </w:pPr>
            <w:r w:rsidRPr="00852E02">
              <w:rPr>
                <w:rFonts w:cstheme="minorHAnsi"/>
                <w:sz w:val="22"/>
              </w:rPr>
              <w:t xml:space="preserve">Health service organisation should review the </w:t>
            </w:r>
            <w:hyperlink r:id="rId48" w:history="1">
              <w:r w:rsidRPr="00852E02">
                <w:rPr>
                  <w:rStyle w:val="Hyperlink"/>
                  <w:rFonts w:cstheme="minorHAnsi"/>
                  <w:sz w:val="22"/>
                </w:rPr>
                <w:t>TGA requirement</w:t>
              </w:r>
            </w:hyperlink>
            <w:r w:rsidRPr="00852E02">
              <w:rPr>
                <w:rStyle w:val="Hyperlink"/>
                <w:rFonts w:cstheme="minorHAnsi"/>
                <w:sz w:val="22"/>
              </w:rPr>
              <w:t>s</w:t>
            </w:r>
            <w:r w:rsidRPr="00852E02">
              <w:rPr>
                <w:rFonts w:cstheme="minorHAnsi"/>
                <w:sz w:val="22"/>
              </w:rPr>
              <w:t xml:space="preserve"> when purchasing new reprocessing equipment, RMDs and other devices, and accessories for these devices.</w:t>
            </w:r>
          </w:p>
          <w:p w14:paraId="439B6C90" w14:textId="3295EED3" w:rsidR="00FE7540" w:rsidRPr="00852E02" w:rsidRDefault="00FE7540" w:rsidP="00005BD0">
            <w:pPr>
              <w:rPr>
                <w:rFonts w:cstheme="minorHAnsi"/>
                <w:sz w:val="22"/>
              </w:rPr>
            </w:pPr>
            <w:r w:rsidRPr="00852E02">
              <w:rPr>
                <w:rFonts w:cstheme="minorHAnsi"/>
                <w:sz w:val="22"/>
              </w:rPr>
              <w:t xml:space="preserve">Health service organisation should conduct a risk assessment in relation to existing reprocessing equipment, RMDs and other devices and accessories for these devices, and consider risk mitigation strategies for high risk equipment, RMDs, and other devices, and accessories for these devices. </w:t>
            </w:r>
          </w:p>
          <w:p w14:paraId="3CA0B88A" w14:textId="67DEE2EE" w:rsidR="00FE7540" w:rsidRPr="00852E02" w:rsidRDefault="00FE7540" w:rsidP="00005BD0">
            <w:pPr>
              <w:rPr>
                <w:rFonts w:cstheme="minorHAnsi"/>
                <w:sz w:val="22"/>
              </w:rPr>
            </w:pPr>
            <w:r w:rsidRPr="00852E02">
              <w:rPr>
                <w:rFonts w:cstheme="minorHAnsi"/>
                <w:sz w:val="22"/>
              </w:rPr>
              <w:t xml:space="preserve">Health service organisations should review and update their policies, procedures, or </w:t>
            </w:r>
            <w:r w:rsidRPr="00852E02">
              <w:rPr>
                <w:rFonts w:cstheme="minorHAnsi"/>
                <w:sz w:val="22"/>
              </w:rPr>
              <w:lastRenderedPageBreak/>
              <w:t>protocols on the processes for purchasing reprocessing equipment, RMDs and other devices, and accessories for these devices to incorporate reference to the TGA requirements. Staff who are involved in those processes should be informed of any changes.</w:t>
            </w:r>
          </w:p>
          <w:p w14:paraId="7AEA839A" w14:textId="72904D85" w:rsidR="00FE7540" w:rsidRPr="00852E02" w:rsidRDefault="00FE7540" w:rsidP="00005BD0">
            <w:pPr>
              <w:rPr>
                <w:rFonts w:cstheme="minorHAnsi"/>
                <w:sz w:val="22"/>
              </w:rPr>
            </w:pPr>
            <w:r w:rsidRPr="00852E02">
              <w:rPr>
                <w:rFonts w:cstheme="minorHAnsi"/>
                <w:sz w:val="22"/>
              </w:rPr>
              <w:t xml:space="preserve">Health service organisations can refer to Section 3.1.4 </w:t>
            </w:r>
            <w:r w:rsidRPr="00852E02">
              <w:rPr>
                <w:rFonts w:cstheme="minorHAnsi"/>
                <w:i/>
                <w:iCs/>
                <w:sz w:val="22"/>
              </w:rPr>
              <w:t xml:space="preserve">Reprocessing of reusable medical devices </w:t>
            </w:r>
            <w:r w:rsidRPr="00852E02">
              <w:rPr>
                <w:rFonts w:cstheme="minorHAnsi"/>
                <w:sz w:val="22"/>
              </w:rPr>
              <w:t xml:space="preserve">of </w:t>
            </w:r>
            <w:hyperlink r:id="rId49" w:history="1">
              <w:r w:rsidRPr="00852E02">
                <w:rPr>
                  <w:rStyle w:val="Hyperlink"/>
                  <w:rFonts w:cstheme="minorHAnsi"/>
                  <w:sz w:val="22"/>
                </w:rPr>
                <w:t>the Guidelines</w:t>
              </w:r>
            </w:hyperlink>
            <w:r w:rsidRPr="00852E02">
              <w:rPr>
                <w:rFonts w:cstheme="minorHAnsi"/>
                <w:sz w:val="22"/>
              </w:rPr>
              <w:t xml:space="preserve"> on TGA requirement.</w:t>
            </w:r>
          </w:p>
        </w:tc>
      </w:tr>
      <w:tr w:rsidR="00005BD0" w:rsidRPr="00852E02" w14:paraId="258831AE" w14:textId="3D43590A" w:rsidTr="00742B12">
        <w:tc>
          <w:tcPr>
            <w:tcW w:w="617" w:type="pct"/>
            <w:shd w:val="clear" w:color="auto" w:fill="auto"/>
            <w:tcMar>
              <w:top w:w="108" w:type="dxa"/>
              <w:bottom w:w="108" w:type="dxa"/>
            </w:tcMar>
          </w:tcPr>
          <w:p w14:paraId="37B4DBC7" w14:textId="3B031C79" w:rsidR="00005BD0" w:rsidRPr="00852E02" w:rsidRDefault="00005BD0" w:rsidP="00005BD0">
            <w:pPr>
              <w:rPr>
                <w:rFonts w:cstheme="minorHAnsi"/>
                <w:sz w:val="22"/>
              </w:rPr>
            </w:pPr>
            <w:bookmarkStart w:id="22" w:name="_Hlk163818278"/>
            <w:r w:rsidRPr="00852E02">
              <w:rPr>
                <w:rFonts w:cstheme="minorHAnsi"/>
                <w:sz w:val="22"/>
              </w:rPr>
              <w:lastRenderedPageBreak/>
              <w:t>Traceability records</w:t>
            </w:r>
            <w:bookmarkEnd w:id="22"/>
          </w:p>
        </w:tc>
        <w:tc>
          <w:tcPr>
            <w:tcW w:w="976" w:type="pct"/>
            <w:shd w:val="clear" w:color="auto" w:fill="auto"/>
            <w:tcMar>
              <w:top w:w="108" w:type="dxa"/>
              <w:bottom w:w="108" w:type="dxa"/>
            </w:tcMar>
          </w:tcPr>
          <w:p w14:paraId="30603643" w14:textId="08B82278" w:rsidR="00005BD0" w:rsidRPr="00852E02" w:rsidRDefault="00005BD0" w:rsidP="00005BD0">
            <w:pPr>
              <w:rPr>
                <w:rFonts w:cstheme="minorHAnsi"/>
                <w:color w:val="000000"/>
                <w:sz w:val="22"/>
              </w:rPr>
            </w:pPr>
            <w:bookmarkStart w:id="23" w:name="_Hlk163818284"/>
            <w:r w:rsidRPr="00852E02">
              <w:rPr>
                <w:rFonts w:cstheme="minorHAnsi"/>
                <w:color w:val="000000"/>
                <w:sz w:val="22"/>
              </w:rPr>
              <w:t>Lists minimum requirements of traceability systems for high level chemical disinfection process records and sterilising process records.</w:t>
            </w:r>
            <w:bookmarkEnd w:id="23"/>
          </w:p>
        </w:tc>
        <w:tc>
          <w:tcPr>
            <w:tcW w:w="1694" w:type="pct"/>
            <w:shd w:val="clear" w:color="auto" w:fill="auto"/>
            <w:tcMar>
              <w:top w:w="108" w:type="dxa"/>
              <w:bottom w:w="108" w:type="dxa"/>
            </w:tcMar>
          </w:tcPr>
          <w:p w14:paraId="1E862272" w14:textId="69A98314" w:rsidR="00005BD0" w:rsidRPr="00852E02" w:rsidRDefault="00005BD0" w:rsidP="00005BD0">
            <w:pPr>
              <w:rPr>
                <w:rFonts w:cstheme="minorHAnsi"/>
                <w:sz w:val="22"/>
              </w:rPr>
            </w:pPr>
            <w:bookmarkStart w:id="24" w:name="_Hlk163818891"/>
            <w:r w:rsidRPr="00852E02">
              <w:rPr>
                <w:rFonts w:cstheme="minorHAnsi"/>
                <w:sz w:val="22"/>
              </w:rPr>
              <w:t>In addition to the minimum requirements, AS 5369:2023 specifies requirements for traceability labels and paper-based records:</w:t>
            </w:r>
          </w:p>
          <w:p w14:paraId="4AFE1B9E" w14:textId="309D23D3" w:rsidR="00005BD0" w:rsidRPr="00852E02" w:rsidRDefault="00005BD0" w:rsidP="00005BD0">
            <w:pPr>
              <w:pStyle w:val="ListParagraph"/>
              <w:numPr>
                <w:ilvl w:val="0"/>
                <w:numId w:val="40"/>
              </w:numPr>
              <w:rPr>
                <w:rFonts w:cstheme="minorHAnsi"/>
                <w:sz w:val="22"/>
              </w:rPr>
            </w:pPr>
            <w:r w:rsidRPr="00852E02">
              <w:rPr>
                <w:rFonts w:cstheme="minorHAnsi"/>
                <w:sz w:val="22"/>
              </w:rPr>
              <w:t xml:space="preserve">Where labels are present on a reusable or single-use medical or other device, the user should affix these to the individual’s notes/records </w:t>
            </w:r>
          </w:p>
          <w:p w14:paraId="760E816D" w14:textId="372B4687" w:rsidR="00005BD0" w:rsidRPr="00852E02" w:rsidRDefault="00005BD0" w:rsidP="00005BD0">
            <w:pPr>
              <w:pStyle w:val="ListParagraph"/>
              <w:numPr>
                <w:ilvl w:val="0"/>
                <w:numId w:val="40"/>
              </w:numPr>
              <w:rPr>
                <w:rFonts w:cstheme="minorHAnsi"/>
                <w:sz w:val="22"/>
              </w:rPr>
            </w:pPr>
            <w:r w:rsidRPr="00852E02">
              <w:rPr>
                <w:rFonts w:cstheme="minorHAnsi"/>
                <w:sz w:val="22"/>
              </w:rPr>
              <w:t>If paper-based records are kept, they should be prepared and maintained to remain legible for the specified</w:t>
            </w:r>
            <w:r w:rsidR="00F55315">
              <w:rPr>
                <w:rFonts w:cstheme="minorHAnsi"/>
                <w:sz w:val="22"/>
              </w:rPr>
              <w:t xml:space="preserve"> time </w:t>
            </w:r>
            <w:r w:rsidRPr="00852E02">
              <w:rPr>
                <w:rFonts w:cstheme="minorHAnsi"/>
                <w:sz w:val="22"/>
              </w:rPr>
              <w:t>period.</w:t>
            </w:r>
            <w:bookmarkEnd w:id="24"/>
          </w:p>
        </w:tc>
        <w:tc>
          <w:tcPr>
            <w:tcW w:w="1712" w:type="pct"/>
            <w:shd w:val="clear" w:color="auto" w:fill="auto"/>
            <w:tcMar>
              <w:top w:w="108" w:type="dxa"/>
              <w:bottom w:w="108" w:type="dxa"/>
            </w:tcMar>
          </w:tcPr>
          <w:p w14:paraId="0ABDF779" w14:textId="634334FE" w:rsidR="00005BD0" w:rsidRPr="00852E02" w:rsidRDefault="00005BD0" w:rsidP="00005BD0">
            <w:pPr>
              <w:rPr>
                <w:rFonts w:cstheme="minorHAnsi"/>
                <w:sz w:val="22"/>
              </w:rPr>
            </w:pPr>
            <w:r w:rsidRPr="00852E02">
              <w:rPr>
                <w:rFonts w:cstheme="minorHAnsi"/>
                <w:sz w:val="22"/>
              </w:rPr>
              <w:t xml:space="preserve">Health service organisations should review and update their policies, procedures, or protocols on the traceability processes for critical and semi-critical equipment, instruments, and devices </w:t>
            </w:r>
            <w:r w:rsidR="004563AC" w:rsidRPr="00852E02">
              <w:rPr>
                <w:rFonts w:cstheme="minorHAnsi"/>
                <w:sz w:val="22"/>
              </w:rPr>
              <w:t>taking</w:t>
            </w:r>
            <w:r w:rsidRPr="00852E02">
              <w:rPr>
                <w:rFonts w:cstheme="minorHAnsi"/>
                <w:sz w:val="22"/>
              </w:rPr>
              <w:t xml:space="preserve"> the new standard</w:t>
            </w:r>
            <w:r w:rsidR="004563AC" w:rsidRPr="00852E02">
              <w:rPr>
                <w:rFonts w:cstheme="minorHAnsi"/>
                <w:sz w:val="22"/>
              </w:rPr>
              <w:t xml:space="preserve"> into consideration</w:t>
            </w:r>
            <w:r w:rsidRPr="00852E02">
              <w:rPr>
                <w:rFonts w:cstheme="minorHAnsi"/>
                <w:sz w:val="22"/>
              </w:rPr>
              <w:t xml:space="preserve">. </w:t>
            </w:r>
            <w:r w:rsidR="004563AC" w:rsidRPr="00852E02">
              <w:rPr>
                <w:rFonts w:cstheme="minorHAnsi"/>
                <w:sz w:val="22"/>
              </w:rPr>
              <w:t xml:space="preserve">Changes to policies, procedures or protocols should be informed by a risk assessment. </w:t>
            </w:r>
            <w:r w:rsidRPr="00852E02">
              <w:rPr>
                <w:rFonts w:cstheme="minorHAnsi"/>
                <w:sz w:val="22"/>
              </w:rPr>
              <w:t>Staff who are involved in those processes should be informed of any changes.</w:t>
            </w:r>
          </w:p>
          <w:p w14:paraId="4C28CFE0" w14:textId="77777777" w:rsidR="00005BD0" w:rsidRDefault="00005BD0" w:rsidP="00005BD0">
            <w:pPr>
              <w:rPr>
                <w:rFonts w:cstheme="minorHAnsi"/>
                <w:sz w:val="22"/>
              </w:rPr>
            </w:pPr>
            <w:r w:rsidRPr="00852E02">
              <w:rPr>
                <w:rFonts w:cstheme="minorHAnsi"/>
                <w:sz w:val="22"/>
              </w:rPr>
              <w:t xml:space="preserve">Health service organisations should refer to Action 3.17 the </w:t>
            </w:r>
            <w:hyperlink r:id="rId50" w:history="1">
              <w:r w:rsidRPr="00852E02">
                <w:rPr>
                  <w:rStyle w:val="Hyperlink"/>
                  <w:rFonts w:cstheme="minorHAnsi"/>
                  <w:sz w:val="22"/>
                </w:rPr>
                <w:t>Preventing and Controlling Infections Standard</w:t>
              </w:r>
            </w:hyperlink>
            <w:r w:rsidRPr="00852E02">
              <w:rPr>
                <w:rFonts w:cstheme="minorHAnsi"/>
                <w:sz w:val="22"/>
              </w:rPr>
              <w:t xml:space="preserve"> of the </w:t>
            </w:r>
            <w:hyperlink r:id="rId51" w:history="1">
              <w:r w:rsidRPr="00852E02">
                <w:rPr>
                  <w:rStyle w:val="Hyperlink"/>
                  <w:rFonts w:cstheme="minorHAnsi"/>
                  <w:sz w:val="22"/>
                </w:rPr>
                <w:t>NSQHS Standards</w:t>
              </w:r>
            </w:hyperlink>
            <w:r w:rsidRPr="00852E02">
              <w:rPr>
                <w:rFonts w:cstheme="minorHAnsi"/>
                <w:sz w:val="22"/>
              </w:rPr>
              <w:t xml:space="preserve"> for requirements on </w:t>
            </w:r>
            <w:r w:rsidR="006F73C2" w:rsidRPr="00852E02">
              <w:rPr>
                <w:rFonts w:cstheme="minorHAnsi"/>
                <w:sz w:val="22"/>
              </w:rPr>
              <w:t xml:space="preserve">the </w:t>
            </w:r>
            <w:r w:rsidRPr="00852E02">
              <w:rPr>
                <w:rFonts w:cstheme="minorHAnsi"/>
                <w:sz w:val="22"/>
              </w:rPr>
              <w:t>traceability process for critical and semi-critical equipment, instruments and devices.</w:t>
            </w:r>
          </w:p>
          <w:p w14:paraId="5BBBB404" w14:textId="695DC16B" w:rsidR="00BF7575" w:rsidRPr="00852E02" w:rsidRDefault="00BF7575" w:rsidP="00005BD0">
            <w:pPr>
              <w:rPr>
                <w:rFonts w:cstheme="minorHAnsi"/>
                <w:sz w:val="22"/>
              </w:rPr>
            </w:pPr>
          </w:p>
        </w:tc>
      </w:tr>
      <w:tr w:rsidR="00005BD0" w:rsidRPr="00852E02" w14:paraId="12765AFE" w14:textId="4AF5E00F" w:rsidTr="00742B12">
        <w:trPr>
          <w:cnfStyle w:val="000000010000" w:firstRow="0" w:lastRow="0" w:firstColumn="0" w:lastColumn="0" w:oddVBand="0" w:evenVBand="0" w:oddHBand="0" w:evenHBand="1" w:firstRowFirstColumn="0" w:firstRowLastColumn="0" w:lastRowFirstColumn="0" w:lastRowLastColumn="0"/>
        </w:trPr>
        <w:tc>
          <w:tcPr>
            <w:tcW w:w="617" w:type="pct"/>
            <w:tcMar>
              <w:top w:w="108" w:type="dxa"/>
              <w:bottom w:w="108" w:type="dxa"/>
            </w:tcMar>
          </w:tcPr>
          <w:p w14:paraId="4575564F" w14:textId="0168240E" w:rsidR="00005BD0" w:rsidRPr="00852E02" w:rsidRDefault="00005BD0" w:rsidP="00005BD0">
            <w:pPr>
              <w:rPr>
                <w:rFonts w:cstheme="minorHAnsi"/>
                <w:sz w:val="22"/>
              </w:rPr>
            </w:pPr>
            <w:bookmarkStart w:id="25" w:name="_Hlk163818289"/>
            <w:r w:rsidRPr="00852E02">
              <w:rPr>
                <w:rFonts w:cstheme="minorHAnsi"/>
                <w:sz w:val="22"/>
              </w:rPr>
              <w:lastRenderedPageBreak/>
              <w:t>Control of monitoring and measuring equipment</w:t>
            </w:r>
            <w:bookmarkEnd w:id="25"/>
          </w:p>
        </w:tc>
        <w:tc>
          <w:tcPr>
            <w:tcW w:w="976" w:type="pct"/>
            <w:tcMar>
              <w:top w:w="108" w:type="dxa"/>
              <w:bottom w:w="108" w:type="dxa"/>
            </w:tcMar>
          </w:tcPr>
          <w:p w14:paraId="417CE938" w14:textId="0D7D3C5B" w:rsidR="00005BD0" w:rsidRPr="00852E02" w:rsidRDefault="00005BD0" w:rsidP="00005BD0">
            <w:pPr>
              <w:rPr>
                <w:rFonts w:cstheme="minorHAnsi"/>
                <w:color w:val="000000"/>
                <w:sz w:val="22"/>
              </w:rPr>
            </w:pPr>
            <w:bookmarkStart w:id="26" w:name="_Hlk163818300"/>
            <w:r w:rsidRPr="00852E02">
              <w:rPr>
                <w:rFonts w:cstheme="minorHAnsi"/>
                <w:color w:val="000000"/>
                <w:sz w:val="22"/>
              </w:rPr>
              <w:t>Requires periodic calibration checks of all monitoring and measuring equipment by qualified in-house staff or external contractors. Calibration equipment should be certified by a suitable certification body, such as the National Association of Testing Authorities (NATA) in Australia.</w:t>
            </w:r>
            <w:bookmarkEnd w:id="26"/>
          </w:p>
        </w:tc>
        <w:tc>
          <w:tcPr>
            <w:tcW w:w="1694" w:type="pct"/>
            <w:tcMar>
              <w:top w:w="108" w:type="dxa"/>
              <w:bottom w:w="108" w:type="dxa"/>
            </w:tcMar>
          </w:tcPr>
          <w:p w14:paraId="700BDEFC" w14:textId="37657798" w:rsidR="00005BD0" w:rsidRPr="00852E02" w:rsidRDefault="00005BD0" w:rsidP="00005BD0">
            <w:pPr>
              <w:rPr>
                <w:rFonts w:cstheme="minorHAnsi"/>
                <w:sz w:val="22"/>
              </w:rPr>
            </w:pPr>
            <w:bookmarkStart w:id="27" w:name="_Hlk163818919"/>
            <w:r w:rsidRPr="00852E02">
              <w:rPr>
                <w:rFonts w:cstheme="minorHAnsi"/>
                <w:color w:val="000000"/>
                <w:sz w:val="22"/>
              </w:rPr>
              <w:t>Requires periodic calibration checks of all monitoring and measuring equipment by a competent person. M</w:t>
            </w:r>
            <w:r w:rsidRPr="00852E02">
              <w:rPr>
                <w:rFonts w:cstheme="minorHAnsi"/>
                <w:sz w:val="22"/>
              </w:rPr>
              <w:t>onitoring and measuring equipment should be calibrated by a competent person. A certification body, e.g. the NATA, may be used to certify the calibration of the monitoring and measuring equipment.</w:t>
            </w:r>
            <w:bookmarkEnd w:id="27"/>
          </w:p>
        </w:tc>
        <w:tc>
          <w:tcPr>
            <w:tcW w:w="1712" w:type="pct"/>
            <w:tcMar>
              <w:top w:w="108" w:type="dxa"/>
              <w:bottom w:w="108" w:type="dxa"/>
            </w:tcMar>
          </w:tcPr>
          <w:p w14:paraId="16031F07" w14:textId="7ACF1589" w:rsidR="00005BD0" w:rsidRPr="00852E02" w:rsidRDefault="00005BD0" w:rsidP="00005BD0">
            <w:pPr>
              <w:rPr>
                <w:rFonts w:cstheme="minorHAnsi"/>
                <w:sz w:val="22"/>
              </w:rPr>
            </w:pPr>
            <w:r w:rsidRPr="00852E02">
              <w:rPr>
                <w:rFonts w:cstheme="minorHAnsi"/>
                <w:sz w:val="22"/>
              </w:rPr>
              <w:t>Health service organisations should ensure the person, who is involved in monitoring and measuring equipment has acquired the knowledge and skills to perform the tasks through education, training, qualification, experience, or a combination of these.</w:t>
            </w:r>
          </w:p>
          <w:p w14:paraId="7AFB98EE" w14:textId="0C653561" w:rsidR="00005BD0" w:rsidRPr="00852E02" w:rsidRDefault="00005BD0" w:rsidP="00005BD0">
            <w:pPr>
              <w:rPr>
                <w:rFonts w:cstheme="minorHAnsi"/>
                <w:sz w:val="22"/>
              </w:rPr>
            </w:pPr>
            <w:r w:rsidRPr="00852E02">
              <w:rPr>
                <w:rFonts w:cstheme="minorHAnsi"/>
                <w:sz w:val="22"/>
              </w:rPr>
              <w:t>Health service organisations should review and update their policies, procedures, or protocols on the monitoring and measuring equipment processes to ensure compliance with the new standard. Staff who are involved in those processes should be informed of the change.</w:t>
            </w:r>
          </w:p>
          <w:p w14:paraId="55A17AC9" w14:textId="2597DB7D" w:rsidR="00005BD0" w:rsidRPr="00852E02" w:rsidRDefault="00005BD0" w:rsidP="00005BD0">
            <w:pPr>
              <w:rPr>
                <w:rFonts w:cstheme="minorHAnsi"/>
                <w:color w:val="000000"/>
                <w:sz w:val="22"/>
              </w:rPr>
            </w:pPr>
            <w:r w:rsidRPr="00852E02">
              <w:rPr>
                <w:rFonts w:cstheme="minorHAnsi"/>
                <w:sz w:val="22"/>
              </w:rPr>
              <w:t xml:space="preserve">Health service organisations can refer to Section 4.3 </w:t>
            </w:r>
            <w:r w:rsidRPr="00852E02">
              <w:rPr>
                <w:rFonts w:cstheme="minorHAnsi"/>
                <w:i/>
                <w:iCs/>
                <w:sz w:val="22"/>
              </w:rPr>
              <w:t xml:space="preserve">Education and training </w:t>
            </w:r>
            <w:r w:rsidRPr="00852E02">
              <w:rPr>
                <w:rFonts w:cstheme="minorHAnsi"/>
                <w:sz w:val="22"/>
              </w:rPr>
              <w:t xml:space="preserve">of </w:t>
            </w:r>
            <w:hyperlink r:id="rId52" w:history="1">
              <w:r w:rsidRPr="00852E02">
                <w:rPr>
                  <w:rStyle w:val="Hyperlink"/>
                  <w:rFonts w:cstheme="minorHAnsi"/>
                  <w:sz w:val="22"/>
                </w:rPr>
                <w:t>the Guidelines</w:t>
              </w:r>
            </w:hyperlink>
            <w:r w:rsidRPr="00852E02">
              <w:rPr>
                <w:rFonts w:cstheme="minorHAnsi"/>
                <w:sz w:val="22"/>
              </w:rPr>
              <w:t xml:space="preserve"> on education strategies.</w:t>
            </w:r>
          </w:p>
        </w:tc>
      </w:tr>
      <w:tr w:rsidR="00005BD0" w:rsidRPr="00852E02" w14:paraId="7334A503" w14:textId="2EF05AF8" w:rsidTr="00742B12">
        <w:tc>
          <w:tcPr>
            <w:tcW w:w="617" w:type="pct"/>
            <w:shd w:val="clear" w:color="auto" w:fill="auto"/>
            <w:tcMar>
              <w:top w:w="108" w:type="dxa"/>
              <w:bottom w:w="108" w:type="dxa"/>
            </w:tcMar>
          </w:tcPr>
          <w:p w14:paraId="1B1B28F3" w14:textId="133BD540" w:rsidR="00005BD0" w:rsidRPr="00852E02" w:rsidRDefault="00005BD0" w:rsidP="00005BD0">
            <w:pPr>
              <w:rPr>
                <w:rFonts w:cstheme="minorHAnsi"/>
                <w:sz w:val="22"/>
              </w:rPr>
            </w:pPr>
            <w:bookmarkStart w:id="28" w:name="_Hlk163818305"/>
            <w:r w:rsidRPr="00852E02">
              <w:rPr>
                <w:rFonts w:cstheme="minorHAnsi"/>
                <w:sz w:val="22"/>
              </w:rPr>
              <w:t>Reprocessing agent register</w:t>
            </w:r>
            <w:bookmarkEnd w:id="28"/>
          </w:p>
        </w:tc>
        <w:tc>
          <w:tcPr>
            <w:tcW w:w="976" w:type="pct"/>
            <w:shd w:val="clear" w:color="auto" w:fill="auto"/>
            <w:tcMar>
              <w:top w:w="108" w:type="dxa"/>
              <w:bottom w:w="108" w:type="dxa"/>
            </w:tcMar>
          </w:tcPr>
          <w:p w14:paraId="7BFEBF60" w14:textId="4733346D" w:rsidR="00005BD0" w:rsidRPr="00852E02" w:rsidRDefault="00005BD0" w:rsidP="00005BD0">
            <w:pPr>
              <w:rPr>
                <w:rFonts w:cstheme="minorHAnsi"/>
                <w:sz w:val="22"/>
              </w:rPr>
            </w:pPr>
            <w:r w:rsidRPr="00852E02">
              <w:rPr>
                <w:rFonts w:cstheme="minorHAnsi"/>
                <w:sz w:val="22"/>
              </w:rPr>
              <w:t>R</w:t>
            </w:r>
            <w:bookmarkStart w:id="29" w:name="_Hlk163818314"/>
            <w:r w:rsidRPr="00852E02">
              <w:rPr>
                <w:rFonts w:cstheme="minorHAnsi"/>
                <w:sz w:val="22"/>
              </w:rPr>
              <w:t xml:space="preserve">equires cleaning agents, instrument grade chemical disinfectants and liquid chemical sterilising agents that are supplied in Australia and which are intended for use on RMDs be included in the </w:t>
            </w:r>
            <w:hyperlink r:id="rId53" w:history="1">
              <w:r w:rsidRPr="00852E02">
                <w:rPr>
                  <w:rStyle w:val="Hyperlink"/>
                  <w:rFonts w:cstheme="minorHAnsi"/>
                  <w:sz w:val="22"/>
                </w:rPr>
                <w:t>ARTG</w:t>
              </w:r>
            </w:hyperlink>
            <w:r w:rsidRPr="00852E02">
              <w:rPr>
                <w:rFonts w:cstheme="minorHAnsi"/>
                <w:sz w:val="22"/>
              </w:rPr>
              <w:t>.</w:t>
            </w:r>
            <w:bookmarkEnd w:id="29"/>
          </w:p>
        </w:tc>
        <w:tc>
          <w:tcPr>
            <w:tcW w:w="1694" w:type="pct"/>
            <w:shd w:val="clear" w:color="auto" w:fill="auto"/>
            <w:tcMar>
              <w:top w:w="108" w:type="dxa"/>
              <w:bottom w:w="108" w:type="dxa"/>
            </w:tcMar>
          </w:tcPr>
          <w:p w14:paraId="7700C28D" w14:textId="34FC189E" w:rsidR="00005BD0" w:rsidRPr="00852E02" w:rsidRDefault="00005BD0" w:rsidP="00005BD0">
            <w:pPr>
              <w:rPr>
                <w:rFonts w:cstheme="minorHAnsi"/>
                <w:sz w:val="22"/>
              </w:rPr>
            </w:pPr>
            <w:bookmarkStart w:id="30" w:name="_Hlk163818933"/>
            <w:r w:rsidRPr="00852E02">
              <w:rPr>
                <w:rFonts w:cstheme="minorHAnsi"/>
                <w:sz w:val="22"/>
              </w:rPr>
              <w:t xml:space="preserve">Also requires high-level disinfection systems that are supplied in Australia, and which are intended for use on RMDs to be included in the </w:t>
            </w:r>
            <w:hyperlink r:id="rId54" w:history="1">
              <w:r w:rsidR="00FA20D7" w:rsidRPr="00852E02">
                <w:rPr>
                  <w:rStyle w:val="Hyperlink"/>
                  <w:rFonts w:cstheme="minorHAnsi"/>
                  <w:sz w:val="22"/>
                </w:rPr>
                <w:t>ARTG</w:t>
              </w:r>
            </w:hyperlink>
            <w:r w:rsidRPr="00852E02">
              <w:rPr>
                <w:rFonts w:cstheme="minorHAnsi"/>
                <w:sz w:val="22"/>
              </w:rPr>
              <w:t>.</w:t>
            </w:r>
            <w:bookmarkEnd w:id="30"/>
            <w:r w:rsidRPr="00852E02">
              <w:rPr>
                <w:rFonts w:cstheme="minorHAnsi"/>
                <w:sz w:val="22"/>
              </w:rPr>
              <w:t xml:space="preserve"> </w:t>
            </w:r>
          </w:p>
        </w:tc>
        <w:tc>
          <w:tcPr>
            <w:tcW w:w="1712" w:type="pct"/>
            <w:shd w:val="clear" w:color="auto" w:fill="auto"/>
            <w:tcMar>
              <w:top w:w="108" w:type="dxa"/>
              <w:bottom w:w="108" w:type="dxa"/>
            </w:tcMar>
          </w:tcPr>
          <w:p w14:paraId="51FD55EB" w14:textId="4D77E91A" w:rsidR="00005BD0" w:rsidRPr="00852E02" w:rsidRDefault="005D25FF" w:rsidP="00005BD0">
            <w:pPr>
              <w:rPr>
                <w:rFonts w:cstheme="minorHAnsi"/>
                <w:sz w:val="22"/>
              </w:rPr>
            </w:pPr>
            <w:r w:rsidRPr="00852E02">
              <w:rPr>
                <w:rFonts w:cstheme="minorHAnsi"/>
                <w:sz w:val="22"/>
              </w:rPr>
              <w:t xml:space="preserve">Health service organisations should ensure that </w:t>
            </w:r>
            <w:r w:rsidR="00005BD0" w:rsidRPr="00852E02">
              <w:rPr>
                <w:rFonts w:cstheme="minorHAnsi"/>
                <w:sz w:val="22"/>
              </w:rPr>
              <w:t>high-level disinfection system</w:t>
            </w:r>
            <w:r w:rsidRPr="00852E02">
              <w:rPr>
                <w:rFonts w:cstheme="minorHAnsi"/>
                <w:sz w:val="22"/>
              </w:rPr>
              <w:t>s</w:t>
            </w:r>
            <w:r w:rsidR="00005BD0" w:rsidRPr="00852E02">
              <w:rPr>
                <w:rFonts w:cstheme="minorHAnsi"/>
                <w:sz w:val="22"/>
              </w:rPr>
              <w:t xml:space="preserve"> (such as an instrument chemical-disinfection system) used </w:t>
            </w:r>
            <w:r w:rsidRPr="00852E02">
              <w:rPr>
                <w:rFonts w:cstheme="minorHAnsi"/>
                <w:sz w:val="22"/>
              </w:rPr>
              <w:t>for RMDs are</w:t>
            </w:r>
            <w:r w:rsidR="00005BD0" w:rsidRPr="00852E02">
              <w:rPr>
                <w:rFonts w:cstheme="minorHAnsi"/>
                <w:sz w:val="22"/>
              </w:rPr>
              <w:t xml:space="preserve"> </w:t>
            </w:r>
            <w:r w:rsidRPr="00852E02">
              <w:rPr>
                <w:rFonts w:cstheme="minorHAnsi"/>
                <w:sz w:val="22"/>
              </w:rPr>
              <w:t>included</w:t>
            </w:r>
            <w:r w:rsidR="0039355A" w:rsidRPr="00852E02">
              <w:rPr>
                <w:rFonts w:cstheme="minorHAnsi"/>
                <w:sz w:val="22"/>
              </w:rPr>
              <w:t xml:space="preserve"> </w:t>
            </w:r>
            <w:r w:rsidR="00005BD0" w:rsidRPr="00852E02">
              <w:rPr>
                <w:rFonts w:cstheme="minorHAnsi"/>
                <w:sz w:val="22"/>
              </w:rPr>
              <w:t xml:space="preserve">in the </w:t>
            </w:r>
            <w:hyperlink r:id="rId55" w:history="1">
              <w:r w:rsidR="00005BD0" w:rsidRPr="00852E02">
                <w:rPr>
                  <w:rStyle w:val="Hyperlink"/>
                  <w:rFonts w:cstheme="minorHAnsi"/>
                  <w:sz w:val="22"/>
                </w:rPr>
                <w:t>ARTG</w:t>
              </w:r>
            </w:hyperlink>
            <w:r w:rsidR="00005BD0" w:rsidRPr="00852E02">
              <w:rPr>
                <w:rFonts w:cstheme="minorHAnsi"/>
                <w:sz w:val="22"/>
              </w:rPr>
              <w:t>.</w:t>
            </w:r>
          </w:p>
          <w:p w14:paraId="7ED60889" w14:textId="7FF98B37" w:rsidR="00005BD0" w:rsidRPr="00852E02" w:rsidRDefault="00005BD0" w:rsidP="00005BD0">
            <w:pPr>
              <w:rPr>
                <w:rFonts w:cstheme="minorHAnsi"/>
                <w:sz w:val="22"/>
              </w:rPr>
            </w:pPr>
            <w:r w:rsidRPr="00852E02">
              <w:rPr>
                <w:rFonts w:cstheme="minorHAnsi"/>
                <w:sz w:val="22"/>
              </w:rPr>
              <w:t>Health service organisations should review and update their policies, procedures, or protocols on the TGA requirement for high-level disinfection systems to ensure compliance with the new standard. Staff who are involved in those processes should be informed of the change.</w:t>
            </w:r>
          </w:p>
          <w:p w14:paraId="55DEAFCA" w14:textId="57093ED0" w:rsidR="00005BD0" w:rsidRPr="00852E02" w:rsidRDefault="00005BD0" w:rsidP="00005BD0">
            <w:pPr>
              <w:rPr>
                <w:rFonts w:cstheme="minorHAnsi"/>
                <w:sz w:val="22"/>
              </w:rPr>
            </w:pPr>
            <w:r w:rsidRPr="00852E02">
              <w:rPr>
                <w:rFonts w:cstheme="minorHAnsi"/>
                <w:sz w:val="22"/>
              </w:rPr>
              <w:t xml:space="preserve">Health service organisations can refer to Section 3.1.4 </w:t>
            </w:r>
            <w:r w:rsidRPr="00852E02">
              <w:rPr>
                <w:rFonts w:cstheme="minorHAnsi"/>
                <w:i/>
                <w:iCs/>
                <w:sz w:val="22"/>
              </w:rPr>
              <w:t xml:space="preserve">Reprocessing of reusable </w:t>
            </w:r>
            <w:r w:rsidRPr="00852E02">
              <w:rPr>
                <w:rFonts w:cstheme="minorHAnsi"/>
                <w:i/>
                <w:iCs/>
                <w:sz w:val="22"/>
              </w:rPr>
              <w:lastRenderedPageBreak/>
              <w:t xml:space="preserve">medical devices </w:t>
            </w:r>
            <w:r w:rsidRPr="00852E02">
              <w:rPr>
                <w:rFonts w:cstheme="minorHAnsi"/>
                <w:sz w:val="22"/>
              </w:rPr>
              <w:t xml:space="preserve">of </w:t>
            </w:r>
            <w:hyperlink r:id="rId56" w:history="1">
              <w:r w:rsidRPr="00852E02">
                <w:rPr>
                  <w:rStyle w:val="Hyperlink"/>
                  <w:rFonts w:cstheme="minorHAnsi"/>
                  <w:sz w:val="22"/>
                </w:rPr>
                <w:t>the Guidelines</w:t>
              </w:r>
            </w:hyperlink>
            <w:r w:rsidRPr="00852E02">
              <w:rPr>
                <w:rFonts w:cstheme="minorHAnsi"/>
                <w:sz w:val="22"/>
              </w:rPr>
              <w:t xml:space="preserve"> on TGA requirement.</w:t>
            </w:r>
          </w:p>
        </w:tc>
      </w:tr>
      <w:tr w:rsidR="00005BD0" w:rsidRPr="00852E02" w14:paraId="76EE7702" w14:textId="5B0AAE19" w:rsidTr="00742B12">
        <w:trPr>
          <w:cnfStyle w:val="000000010000" w:firstRow="0" w:lastRow="0" w:firstColumn="0" w:lastColumn="0" w:oddVBand="0" w:evenVBand="0" w:oddHBand="0" w:evenHBand="1" w:firstRowFirstColumn="0" w:firstRowLastColumn="0" w:lastRowFirstColumn="0" w:lastRowLastColumn="0"/>
        </w:trPr>
        <w:tc>
          <w:tcPr>
            <w:tcW w:w="617" w:type="pct"/>
            <w:tcMar>
              <w:top w:w="108" w:type="dxa"/>
              <w:bottom w:w="108" w:type="dxa"/>
            </w:tcMar>
          </w:tcPr>
          <w:p w14:paraId="45AB65CA" w14:textId="7970B983" w:rsidR="00005BD0" w:rsidRPr="00852E02" w:rsidRDefault="00005BD0" w:rsidP="00005BD0">
            <w:pPr>
              <w:rPr>
                <w:rFonts w:cstheme="minorHAnsi"/>
                <w:sz w:val="22"/>
              </w:rPr>
            </w:pPr>
            <w:bookmarkStart w:id="31" w:name="_Hlk163818336"/>
            <w:r w:rsidRPr="00852E02">
              <w:rPr>
                <w:rFonts w:cstheme="minorHAnsi"/>
                <w:sz w:val="22"/>
              </w:rPr>
              <w:lastRenderedPageBreak/>
              <w:t xml:space="preserve">Standards for reprocessing equipment </w:t>
            </w:r>
            <w:bookmarkEnd w:id="31"/>
          </w:p>
        </w:tc>
        <w:tc>
          <w:tcPr>
            <w:tcW w:w="976" w:type="pct"/>
            <w:tcMar>
              <w:top w:w="108" w:type="dxa"/>
              <w:bottom w:w="108" w:type="dxa"/>
            </w:tcMar>
          </w:tcPr>
          <w:p w14:paraId="5B6CE068" w14:textId="2C1C2577" w:rsidR="00005BD0" w:rsidRPr="00852E02" w:rsidRDefault="00005BD0" w:rsidP="00005BD0">
            <w:pPr>
              <w:rPr>
                <w:rFonts w:cstheme="minorHAnsi"/>
                <w:sz w:val="22"/>
              </w:rPr>
            </w:pPr>
            <w:bookmarkStart w:id="32" w:name="_Hlk163818343"/>
            <w:r w:rsidRPr="00852E02">
              <w:rPr>
                <w:rFonts w:cstheme="minorHAnsi"/>
                <w:sz w:val="22"/>
              </w:rPr>
              <w:t xml:space="preserve">Lists the applicable </w:t>
            </w:r>
            <w:r w:rsidR="00FA20D7" w:rsidRPr="00852E02">
              <w:rPr>
                <w:rFonts w:cstheme="minorHAnsi"/>
                <w:sz w:val="22"/>
              </w:rPr>
              <w:t>s</w:t>
            </w:r>
            <w:r w:rsidRPr="00852E02">
              <w:rPr>
                <w:rFonts w:cstheme="minorHAnsi"/>
                <w:sz w:val="22"/>
              </w:rPr>
              <w:t xml:space="preserve">tandards for washer-disinfectors, ultrasonic cleaners, drying cabinets, heat sealers, steam sterilisers, dry heat sterilisers, </w:t>
            </w:r>
            <w:r w:rsidR="00437C1A" w:rsidRPr="00852E02">
              <w:rPr>
                <w:rFonts w:cstheme="minorHAnsi"/>
                <w:sz w:val="22"/>
              </w:rPr>
              <w:t>e</w:t>
            </w:r>
            <w:r w:rsidRPr="00852E02">
              <w:rPr>
                <w:rFonts w:cstheme="minorHAnsi"/>
                <w:sz w:val="22"/>
              </w:rPr>
              <w:t>thylene oxide sterilisers, steam/formaldehyde sterilisers, aeration cabinets, controlled environment storage cabinet for processed thermolabile endoscopes, and biological indicator incubators.</w:t>
            </w:r>
            <w:bookmarkEnd w:id="32"/>
          </w:p>
        </w:tc>
        <w:tc>
          <w:tcPr>
            <w:tcW w:w="1694" w:type="pct"/>
            <w:tcMar>
              <w:top w:w="108" w:type="dxa"/>
              <w:bottom w:w="108" w:type="dxa"/>
            </w:tcMar>
          </w:tcPr>
          <w:p w14:paraId="7AE9D071" w14:textId="71049BE0" w:rsidR="00005BD0" w:rsidRPr="00852E02" w:rsidRDefault="00005BD0" w:rsidP="00005BD0">
            <w:pPr>
              <w:rPr>
                <w:rFonts w:cstheme="minorHAnsi"/>
                <w:sz w:val="22"/>
              </w:rPr>
            </w:pPr>
            <w:bookmarkStart w:id="33" w:name="_Hlk163818958"/>
            <w:r w:rsidRPr="00852E02">
              <w:rPr>
                <w:rFonts w:cstheme="minorHAnsi"/>
                <w:sz w:val="22"/>
              </w:rPr>
              <w:t xml:space="preserve">Includes the addition of low-temperature hydrogen peroxide sterilisers and their applicable international </w:t>
            </w:r>
            <w:r w:rsidR="00FA20D7" w:rsidRPr="00852E02">
              <w:rPr>
                <w:rFonts w:cstheme="minorHAnsi"/>
                <w:sz w:val="22"/>
              </w:rPr>
              <w:t>s</w:t>
            </w:r>
            <w:r w:rsidRPr="00852E02">
              <w:rPr>
                <w:rFonts w:cstheme="minorHAnsi"/>
                <w:sz w:val="22"/>
              </w:rPr>
              <w:t xml:space="preserve">tandards to the list of reprocessing equipment. </w:t>
            </w:r>
            <w:bookmarkEnd w:id="33"/>
          </w:p>
        </w:tc>
        <w:tc>
          <w:tcPr>
            <w:tcW w:w="1712" w:type="pct"/>
            <w:tcMar>
              <w:top w:w="108" w:type="dxa"/>
              <w:bottom w:w="108" w:type="dxa"/>
            </w:tcMar>
          </w:tcPr>
          <w:p w14:paraId="60CBEDFF" w14:textId="12B3380F" w:rsidR="00005BD0" w:rsidRPr="00852E02" w:rsidRDefault="00005BD0" w:rsidP="00005BD0">
            <w:pPr>
              <w:rPr>
                <w:rFonts w:cstheme="minorHAnsi"/>
                <w:sz w:val="22"/>
              </w:rPr>
            </w:pPr>
            <w:r w:rsidRPr="00852E02">
              <w:rPr>
                <w:rFonts w:cstheme="minorHAnsi"/>
                <w:sz w:val="22"/>
              </w:rPr>
              <w:t xml:space="preserve">When low-temperature hydrogen peroxide steriliser is used, health service organisations should </w:t>
            </w:r>
            <w:r w:rsidR="00D259DC" w:rsidRPr="00852E02">
              <w:rPr>
                <w:rFonts w:cstheme="minorHAnsi"/>
                <w:sz w:val="22"/>
              </w:rPr>
              <w:t>follow manufacture</w:t>
            </w:r>
            <w:r w:rsidR="00A80BEF" w:rsidRPr="00852E02">
              <w:rPr>
                <w:rFonts w:cstheme="minorHAnsi"/>
                <w:sz w:val="22"/>
              </w:rPr>
              <w:t>r</w:t>
            </w:r>
            <w:r w:rsidR="00D259DC" w:rsidRPr="00852E02">
              <w:rPr>
                <w:rFonts w:cstheme="minorHAnsi"/>
                <w:sz w:val="22"/>
              </w:rPr>
              <w:t>s</w:t>
            </w:r>
            <w:r w:rsidR="00A80BEF" w:rsidRPr="00852E02">
              <w:rPr>
                <w:rFonts w:cstheme="minorHAnsi"/>
                <w:sz w:val="22"/>
              </w:rPr>
              <w:t>’</w:t>
            </w:r>
            <w:r w:rsidR="00D259DC" w:rsidRPr="00852E02">
              <w:rPr>
                <w:rFonts w:cstheme="minorHAnsi"/>
                <w:sz w:val="22"/>
              </w:rPr>
              <w:t xml:space="preserve"> </w:t>
            </w:r>
            <w:r w:rsidR="00852E02" w:rsidRPr="00852E02">
              <w:rPr>
                <w:rFonts w:cstheme="minorHAnsi"/>
                <w:sz w:val="22"/>
              </w:rPr>
              <w:t>guidelines</w:t>
            </w:r>
            <w:r w:rsidR="00D259DC" w:rsidRPr="00852E02">
              <w:rPr>
                <w:rFonts w:cstheme="minorHAnsi"/>
                <w:sz w:val="22"/>
              </w:rPr>
              <w:t xml:space="preserve"> and </w:t>
            </w:r>
            <w:r w:rsidR="00C61A54" w:rsidRPr="00852E02">
              <w:rPr>
                <w:rFonts w:cstheme="minorHAnsi"/>
                <w:sz w:val="22"/>
              </w:rPr>
              <w:t xml:space="preserve">consider relevant </w:t>
            </w:r>
            <w:r w:rsidR="00FA20D7" w:rsidRPr="00852E02">
              <w:rPr>
                <w:rFonts w:cstheme="minorHAnsi"/>
                <w:sz w:val="22"/>
              </w:rPr>
              <w:t>s</w:t>
            </w:r>
            <w:r w:rsidR="00C61A54" w:rsidRPr="00852E02">
              <w:rPr>
                <w:rFonts w:cstheme="minorHAnsi"/>
                <w:sz w:val="22"/>
              </w:rPr>
              <w:t>tandards in development of</w:t>
            </w:r>
            <w:r w:rsidRPr="00852E02">
              <w:rPr>
                <w:rFonts w:cstheme="minorHAnsi"/>
                <w:sz w:val="22"/>
              </w:rPr>
              <w:t xml:space="preserve"> local procedures or protocols</w:t>
            </w:r>
            <w:r w:rsidR="00C61A54" w:rsidRPr="00852E02">
              <w:rPr>
                <w:rFonts w:cstheme="minorHAnsi"/>
                <w:sz w:val="22"/>
              </w:rPr>
              <w:t>, informed by a risk assessment</w:t>
            </w:r>
            <w:r w:rsidRPr="00852E02">
              <w:rPr>
                <w:rFonts w:cstheme="minorHAnsi"/>
                <w:sz w:val="22"/>
              </w:rPr>
              <w:t xml:space="preserve">. Staff who are involved in using </w:t>
            </w:r>
            <w:r w:rsidR="00C61A54" w:rsidRPr="00852E02">
              <w:rPr>
                <w:rFonts w:cstheme="minorHAnsi"/>
                <w:sz w:val="22"/>
              </w:rPr>
              <w:t xml:space="preserve">this </w:t>
            </w:r>
            <w:r w:rsidR="00A30CBB" w:rsidRPr="00852E02">
              <w:rPr>
                <w:rFonts w:cstheme="minorHAnsi"/>
                <w:sz w:val="22"/>
              </w:rPr>
              <w:t>equipment</w:t>
            </w:r>
            <w:r w:rsidR="00C61A54" w:rsidRPr="00852E02">
              <w:rPr>
                <w:rFonts w:cstheme="minorHAnsi"/>
                <w:sz w:val="22"/>
              </w:rPr>
              <w:t xml:space="preserve"> </w:t>
            </w:r>
            <w:r w:rsidRPr="00852E02">
              <w:rPr>
                <w:rFonts w:cstheme="minorHAnsi"/>
                <w:sz w:val="22"/>
              </w:rPr>
              <w:t xml:space="preserve">should be informed of and comply with the </w:t>
            </w:r>
            <w:r w:rsidR="00C61A54" w:rsidRPr="00852E02">
              <w:rPr>
                <w:rFonts w:cstheme="minorHAnsi"/>
                <w:sz w:val="22"/>
              </w:rPr>
              <w:t xml:space="preserve">health service organisation’s </w:t>
            </w:r>
            <w:r w:rsidRPr="00852E02">
              <w:rPr>
                <w:rFonts w:cstheme="minorHAnsi"/>
                <w:sz w:val="22"/>
              </w:rPr>
              <w:t xml:space="preserve">requirements </w:t>
            </w:r>
            <w:r w:rsidR="00C61A54" w:rsidRPr="00852E02">
              <w:rPr>
                <w:rFonts w:cstheme="minorHAnsi"/>
                <w:sz w:val="22"/>
              </w:rPr>
              <w:t>relevant to</w:t>
            </w:r>
            <w:r w:rsidRPr="00852E02">
              <w:rPr>
                <w:rFonts w:cstheme="minorHAnsi"/>
                <w:sz w:val="22"/>
              </w:rPr>
              <w:t xml:space="preserve"> applicable </w:t>
            </w:r>
            <w:r w:rsidR="00FA20D7" w:rsidRPr="00852E02">
              <w:rPr>
                <w:rFonts w:cstheme="minorHAnsi"/>
                <w:sz w:val="22"/>
              </w:rPr>
              <w:t>s</w:t>
            </w:r>
            <w:r w:rsidRPr="00852E02">
              <w:rPr>
                <w:rFonts w:cstheme="minorHAnsi"/>
                <w:sz w:val="22"/>
              </w:rPr>
              <w:t xml:space="preserve">tandards. </w:t>
            </w:r>
          </w:p>
          <w:p w14:paraId="46AF023E" w14:textId="4D126B89" w:rsidR="00D259DC" w:rsidRPr="00852E02" w:rsidRDefault="00D259DC" w:rsidP="00D259DC">
            <w:pPr>
              <w:rPr>
                <w:rFonts w:cstheme="minorHAnsi"/>
                <w:sz w:val="22"/>
              </w:rPr>
            </w:pPr>
            <w:r w:rsidRPr="00852E02">
              <w:rPr>
                <w:rFonts w:cstheme="minorHAnsi"/>
                <w:sz w:val="22"/>
              </w:rPr>
              <w:t xml:space="preserve">When health service organisations are reviewing and planning to upgrade obsolete reprocessing equipment, they should compliance with these </w:t>
            </w:r>
            <w:r w:rsidR="00FA20D7" w:rsidRPr="00852E02">
              <w:rPr>
                <w:rFonts w:cstheme="minorHAnsi"/>
                <w:sz w:val="22"/>
              </w:rPr>
              <w:t>s</w:t>
            </w:r>
            <w:r w:rsidRPr="00852E02">
              <w:rPr>
                <w:rFonts w:cstheme="minorHAnsi"/>
                <w:sz w:val="22"/>
              </w:rPr>
              <w:t>tandards.</w:t>
            </w:r>
          </w:p>
          <w:p w14:paraId="43C5ED7E" w14:textId="3DD2D734" w:rsidR="00005BD0" w:rsidRPr="00852E02" w:rsidRDefault="00005BD0" w:rsidP="00005BD0">
            <w:pPr>
              <w:rPr>
                <w:rFonts w:cstheme="minorHAnsi"/>
                <w:sz w:val="22"/>
              </w:rPr>
            </w:pPr>
            <w:r w:rsidRPr="00852E02">
              <w:rPr>
                <w:rFonts w:cstheme="minorHAnsi"/>
                <w:sz w:val="22"/>
              </w:rPr>
              <w:t>Health service organisations should have processes to meet Action 3.17</w:t>
            </w:r>
            <w:r w:rsidR="005D25FF" w:rsidRPr="00852E02">
              <w:rPr>
                <w:rFonts w:cstheme="minorHAnsi"/>
                <w:sz w:val="22"/>
              </w:rPr>
              <w:t>a</w:t>
            </w:r>
            <w:r w:rsidRPr="00852E02">
              <w:rPr>
                <w:rFonts w:cstheme="minorHAnsi"/>
                <w:sz w:val="22"/>
              </w:rPr>
              <w:t xml:space="preserve"> of the </w:t>
            </w:r>
            <w:hyperlink r:id="rId57" w:history="1">
              <w:r w:rsidRPr="00852E02">
                <w:rPr>
                  <w:rStyle w:val="Hyperlink"/>
                  <w:rFonts w:cstheme="minorHAnsi"/>
                  <w:sz w:val="22"/>
                </w:rPr>
                <w:t>Preventing and Controlling Infections Standard</w:t>
              </w:r>
            </w:hyperlink>
            <w:r w:rsidR="00FA20D7" w:rsidRPr="00852E02">
              <w:rPr>
                <w:rFonts w:cstheme="minorHAnsi"/>
                <w:sz w:val="22"/>
              </w:rPr>
              <w:t xml:space="preserve"> which requires reprocessing are consistent with relevant national and international standards, in conjunction with manufacturers’ guidelines.</w:t>
            </w:r>
          </w:p>
        </w:tc>
      </w:tr>
      <w:tr w:rsidR="00005BD0" w:rsidRPr="00852E02" w14:paraId="75F28011" w14:textId="1B34D0A5" w:rsidTr="00742B12">
        <w:tc>
          <w:tcPr>
            <w:tcW w:w="617" w:type="pct"/>
            <w:shd w:val="clear" w:color="auto" w:fill="auto"/>
            <w:tcMar>
              <w:top w:w="108" w:type="dxa"/>
              <w:bottom w:w="108" w:type="dxa"/>
            </w:tcMar>
          </w:tcPr>
          <w:p w14:paraId="58ABE320" w14:textId="7489C3F2" w:rsidR="00005BD0" w:rsidRPr="00852E02" w:rsidRDefault="00005BD0" w:rsidP="00005BD0">
            <w:pPr>
              <w:rPr>
                <w:rFonts w:cstheme="minorHAnsi"/>
                <w:sz w:val="22"/>
              </w:rPr>
            </w:pPr>
            <w:bookmarkStart w:id="34" w:name="_Hlk163818351"/>
            <w:r w:rsidRPr="00852E02">
              <w:rPr>
                <w:rFonts w:cstheme="minorHAnsi"/>
                <w:sz w:val="22"/>
              </w:rPr>
              <w:t>Product families</w:t>
            </w:r>
            <w:bookmarkEnd w:id="34"/>
          </w:p>
        </w:tc>
        <w:tc>
          <w:tcPr>
            <w:tcW w:w="976" w:type="pct"/>
            <w:shd w:val="clear" w:color="auto" w:fill="auto"/>
            <w:tcMar>
              <w:top w:w="108" w:type="dxa"/>
              <w:bottom w:w="108" w:type="dxa"/>
            </w:tcMar>
          </w:tcPr>
          <w:p w14:paraId="5535333E" w14:textId="32EFA297" w:rsidR="00005BD0" w:rsidRPr="00852E02" w:rsidRDefault="00005BD0" w:rsidP="00005BD0">
            <w:pPr>
              <w:rPr>
                <w:rFonts w:cstheme="minorHAnsi"/>
                <w:sz w:val="22"/>
              </w:rPr>
            </w:pPr>
            <w:bookmarkStart w:id="35" w:name="_Hlk163818356"/>
            <w:r w:rsidRPr="00852E02">
              <w:rPr>
                <w:rFonts w:cstheme="minorHAnsi"/>
                <w:sz w:val="22"/>
              </w:rPr>
              <w:t>Requires health service organisations to consider and document the classification and method of reprocessing an RMD.</w:t>
            </w:r>
            <w:bookmarkEnd w:id="35"/>
          </w:p>
        </w:tc>
        <w:tc>
          <w:tcPr>
            <w:tcW w:w="1694" w:type="pct"/>
            <w:shd w:val="clear" w:color="auto" w:fill="auto"/>
            <w:tcMar>
              <w:top w:w="108" w:type="dxa"/>
              <w:bottom w:w="108" w:type="dxa"/>
            </w:tcMar>
          </w:tcPr>
          <w:p w14:paraId="74FBAB96" w14:textId="7FEFA903" w:rsidR="00005BD0" w:rsidRPr="00852E02" w:rsidRDefault="00005BD0" w:rsidP="00005BD0">
            <w:pPr>
              <w:rPr>
                <w:rFonts w:cstheme="minorHAnsi"/>
                <w:sz w:val="22"/>
              </w:rPr>
            </w:pPr>
            <w:bookmarkStart w:id="36" w:name="_Hlk163818966"/>
            <w:r w:rsidRPr="00852E02">
              <w:rPr>
                <w:rFonts w:cstheme="minorHAnsi"/>
                <w:sz w:val="22"/>
              </w:rPr>
              <w:t xml:space="preserve">Provides additional guidance and a flowchart to assist with assigning RMDs and other devices to product families based on the intended use of the device, the materials of </w:t>
            </w:r>
            <w:r w:rsidR="009D0864" w:rsidRPr="00852E02">
              <w:rPr>
                <w:rFonts w:cstheme="minorHAnsi"/>
                <w:sz w:val="22"/>
              </w:rPr>
              <w:t>construction</w:t>
            </w:r>
            <w:r w:rsidRPr="00852E02">
              <w:rPr>
                <w:rFonts w:cstheme="minorHAnsi"/>
                <w:sz w:val="22"/>
              </w:rPr>
              <w:t>, design of, physical characteristics and packaging of the device.</w:t>
            </w:r>
            <w:bookmarkEnd w:id="36"/>
          </w:p>
        </w:tc>
        <w:tc>
          <w:tcPr>
            <w:tcW w:w="1712" w:type="pct"/>
            <w:shd w:val="clear" w:color="auto" w:fill="auto"/>
            <w:tcMar>
              <w:top w:w="108" w:type="dxa"/>
              <w:bottom w:w="108" w:type="dxa"/>
            </w:tcMar>
          </w:tcPr>
          <w:p w14:paraId="5435038F" w14:textId="44216270" w:rsidR="00005BD0" w:rsidRPr="00852E02" w:rsidRDefault="00005BD0" w:rsidP="00005BD0">
            <w:pPr>
              <w:rPr>
                <w:rFonts w:cstheme="minorHAnsi"/>
                <w:sz w:val="22"/>
              </w:rPr>
            </w:pPr>
            <w:r w:rsidRPr="00852E02">
              <w:rPr>
                <w:rFonts w:cstheme="minorHAnsi"/>
                <w:sz w:val="22"/>
              </w:rPr>
              <w:t xml:space="preserve">Health service organisation should </w:t>
            </w:r>
            <w:r w:rsidR="00D259DC" w:rsidRPr="00852E02">
              <w:rPr>
                <w:rFonts w:cstheme="minorHAnsi"/>
                <w:sz w:val="22"/>
              </w:rPr>
              <w:t>consider</w:t>
            </w:r>
            <w:r w:rsidRPr="00852E02">
              <w:rPr>
                <w:rFonts w:cstheme="minorHAnsi"/>
                <w:sz w:val="22"/>
              </w:rPr>
              <w:t xml:space="preserve"> the product family categorisation methods as specified in Appendix A.5.2</w:t>
            </w:r>
            <w:r w:rsidRPr="00852E02">
              <w:rPr>
                <w:rFonts w:cstheme="minorHAnsi"/>
                <w:i/>
                <w:iCs/>
                <w:sz w:val="22"/>
              </w:rPr>
              <w:t xml:space="preserve"> Product families</w:t>
            </w:r>
            <w:r w:rsidRPr="00852E02">
              <w:rPr>
                <w:rFonts w:cstheme="minorHAnsi"/>
                <w:sz w:val="22"/>
              </w:rPr>
              <w:t xml:space="preserve"> of AS 5369:2023 </w:t>
            </w:r>
            <w:r w:rsidR="00437C1A" w:rsidRPr="00852E02">
              <w:rPr>
                <w:rFonts w:cstheme="minorHAnsi"/>
                <w:sz w:val="22"/>
              </w:rPr>
              <w:t>for</w:t>
            </w:r>
            <w:r w:rsidRPr="00852E02">
              <w:rPr>
                <w:rFonts w:cstheme="minorHAnsi"/>
                <w:sz w:val="22"/>
              </w:rPr>
              <w:t xml:space="preserve"> local procedures or protocols.</w:t>
            </w:r>
          </w:p>
        </w:tc>
      </w:tr>
      <w:tr w:rsidR="00005BD0" w:rsidRPr="00852E02" w14:paraId="51F43562" w14:textId="10D678F1" w:rsidTr="00742B12">
        <w:trPr>
          <w:cnfStyle w:val="000000010000" w:firstRow="0" w:lastRow="0" w:firstColumn="0" w:lastColumn="0" w:oddVBand="0" w:evenVBand="0" w:oddHBand="0" w:evenHBand="1" w:firstRowFirstColumn="0" w:firstRowLastColumn="0" w:lastRowFirstColumn="0" w:lastRowLastColumn="0"/>
        </w:trPr>
        <w:tc>
          <w:tcPr>
            <w:tcW w:w="617" w:type="pct"/>
            <w:tcMar>
              <w:top w:w="108" w:type="dxa"/>
              <w:bottom w:w="108" w:type="dxa"/>
            </w:tcMar>
          </w:tcPr>
          <w:p w14:paraId="21297528" w14:textId="4B1B9413" w:rsidR="00005BD0" w:rsidRPr="00852E02" w:rsidRDefault="00005BD0" w:rsidP="00005BD0">
            <w:pPr>
              <w:rPr>
                <w:rFonts w:cstheme="minorHAnsi"/>
                <w:sz w:val="22"/>
              </w:rPr>
            </w:pPr>
            <w:bookmarkStart w:id="37" w:name="_Hlk163818361"/>
            <w:r w:rsidRPr="00852E02">
              <w:rPr>
                <w:rFonts w:cstheme="minorHAnsi"/>
                <w:sz w:val="22"/>
              </w:rPr>
              <w:lastRenderedPageBreak/>
              <w:t>Reprocessing environment and facility design</w:t>
            </w:r>
          </w:p>
          <w:bookmarkEnd w:id="37"/>
          <w:p w14:paraId="6806A203" w14:textId="70B264E8" w:rsidR="00005BD0" w:rsidRPr="00852E02" w:rsidRDefault="00005BD0" w:rsidP="00005BD0">
            <w:pPr>
              <w:rPr>
                <w:rFonts w:cstheme="minorHAnsi"/>
                <w:sz w:val="22"/>
              </w:rPr>
            </w:pPr>
          </w:p>
        </w:tc>
        <w:tc>
          <w:tcPr>
            <w:tcW w:w="976" w:type="pct"/>
            <w:tcMar>
              <w:top w:w="108" w:type="dxa"/>
              <w:bottom w:w="108" w:type="dxa"/>
            </w:tcMar>
          </w:tcPr>
          <w:p w14:paraId="0F772CE6" w14:textId="77777777" w:rsidR="00005BD0" w:rsidRPr="00852E02" w:rsidRDefault="00005BD0" w:rsidP="00005BD0">
            <w:pPr>
              <w:rPr>
                <w:rFonts w:cstheme="minorHAnsi"/>
                <w:sz w:val="22"/>
              </w:rPr>
            </w:pPr>
            <w:bookmarkStart w:id="38" w:name="_Hlk163818367"/>
            <w:r w:rsidRPr="00852E02">
              <w:rPr>
                <w:rFonts w:cstheme="minorHAnsi"/>
                <w:sz w:val="22"/>
              </w:rPr>
              <w:t xml:space="preserve">Includes requirements for environmental control in areas that can impact the bioburden of an RMD, e.g. control of temperature, humidity, traffic flow, and reprocessing, ventilation and air flow.  </w:t>
            </w:r>
            <w:bookmarkEnd w:id="38"/>
          </w:p>
          <w:p w14:paraId="618246B2" w14:textId="6A8F2F4E" w:rsidR="00005BD0" w:rsidRPr="00852E02" w:rsidRDefault="00005BD0" w:rsidP="00005BD0">
            <w:pPr>
              <w:rPr>
                <w:rFonts w:cstheme="minorHAnsi"/>
                <w:sz w:val="22"/>
              </w:rPr>
            </w:pPr>
            <w:bookmarkStart w:id="39" w:name="_Hlk163818378"/>
            <w:r w:rsidRPr="00852E02">
              <w:rPr>
                <w:rFonts w:cstheme="minorHAnsi"/>
                <w:sz w:val="22"/>
              </w:rPr>
              <w:t>Includes requirements on facility design that facilitates a unidirectional workflow from dirty to clean and minimises the risk from cross contamination of a cleaned, disinfected</w:t>
            </w:r>
            <w:r w:rsidR="004B6D36">
              <w:rPr>
                <w:rFonts w:cstheme="minorHAnsi"/>
                <w:sz w:val="22"/>
              </w:rPr>
              <w:t>,</w:t>
            </w:r>
            <w:r w:rsidRPr="00852E02">
              <w:rPr>
                <w:rFonts w:cstheme="minorHAnsi"/>
                <w:sz w:val="22"/>
              </w:rPr>
              <w:t xml:space="preserve"> and sterilised RMD.</w:t>
            </w:r>
            <w:bookmarkEnd w:id="39"/>
          </w:p>
        </w:tc>
        <w:tc>
          <w:tcPr>
            <w:tcW w:w="1694" w:type="pct"/>
            <w:tcMar>
              <w:top w:w="108" w:type="dxa"/>
              <w:bottom w:w="108" w:type="dxa"/>
            </w:tcMar>
          </w:tcPr>
          <w:p w14:paraId="06CD876A" w14:textId="106FD590" w:rsidR="00005BD0" w:rsidRPr="00852E02" w:rsidRDefault="00005BD0" w:rsidP="00005BD0">
            <w:pPr>
              <w:rPr>
                <w:rFonts w:cstheme="minorHAnsi"/>
                <w:sz w:val="22"/>
              </w:rPr>
            </w:pPr>
            <w:bookmarkStart w:id="40" w:name="_Hlk163818976"/>
            <w:r w:rsidRPr="00852E02">
              <w:rPr>
                <w:rFonts w:cstheme="minorHAnsi"/>
                <w:sz w:val="22"/>
              </w:rPr>
              <w:t>Provides additional information on the requirements on reprocessing environment and facility design:</w:t>
            </w:r>
          </w:p>
          <w:p w14:paraId="15D0A6D5" w14:textId="49C03CE7" w:rsidR="00005BD0" w:rsidRPr="00852E02" w:rsidRDefault="00005BD0" w:rsidP="00005BD0">
            <w:pPr>
              <w:pStyle w:val="ListParagraph"/>
              <w:numPr>
                <w:ilvl w:val="0"/>
                <w:numId w:val="36"/>
              </w:numPr>
              <w:rPr>
                <w:rFonts w:cstheme="minorHAnsi"/>
                <w:sz w:val="22"/>
              </w:rPr>
            </w:pPr>
            <w:r w:rsidRPr="00852E02">
              <w:rPr>
                <w:rFonts w:cstheme="minorHAnsi"/>
                <w:sz w:val="22"/>
              </w:rPr>
              <w:t>Where reprocessing of RMDs occurs at the point of use, a dedicated area or room for reprocessing of RMDs shall be provided that is separate to the patient/clinical treatment area or room. If patient care and reprocessing occur in the same room, they should not take place simultaneously. If these activities are undertaken simultaneously, a risk assessment shall be undertaken to ensure this is safe</w:t>
            </w:r>
          </w:p>
          <w:p w14:paraId="12D90404" w14:textId="77777777" w:rsidR="00005BD0" w:rsidRPr="00852E02" w:rsidRDefault="00005BD0" w:rsidP="00005BD0">
            <w:pPr>
              <w:pStyle w:val="ListParagraph"/>
              <w:numPr>
                <w:ilvl w:val="0"/>
                <w:numId w:val="36"/>
              </w:numPr>
              <w:rPr>
                <w:rFonts w:cstheme="minorHAnsi"/>
                <w:sz w:val="22"/>
              </w:rPr>
            </w:pPr>
            <w:r w:rsidRPr="00852E02">
              <w:rPr>
                <w:rFonts w:cstheme="minorHAnsi"/>
                <w:color w:val="000000"/>
                <w:sz w:val="22"/>
              </w:rPr>
              <w:t>The point of use reprocessing area/room shall meet the requirements for environmental control, effective segregation of clean and dirty activities, unidirectional workflows and facility fixtures and finishes. All other requirements of this document apply to point of use reprocessing</w:t>
            </w:r>
          </w:p>
          <w:p w14:paraId="2A7BB6D1" w14:textId="77777777" w:rsidR="00005BD0" w:rsidRPr="00852E02" w:rsidRDefault="00005BD0" w:rsidP="00005BD0">
            <w:pPr>
              <w:pStyle w:val="ListParagraph"/>
              <w:numPr>
                <w:ilvl w:val="0"/>
                <w:numId w:val="36"/>
              </w:numPr>
              <w:rPr>
                <w:rFonts w:cstheme="minorHAnsi"/>
                <w:color w:val="000000"/>
                <w:sz w:val="22"/>
              </w:rPr>
            </w:pPr>
            <w:r w:rsidRPr="00852E02">
              <w:rPr>
                <w:rFonts w:cstheme="minorHAnsi"/>
                <w:color w:val="000000"/>
                <w:sz w:val="22"/>
              </w:rPr>
              <w:t>A process map or flow diagram shall be developed and followed to ensure the risks for cross contamination, including airflows, are effectively managed in accordance with the risk assessment</w:t>
            </w:r>
          </w:p>
          <w:p w14:paraId="5DDF134C" w14:textId="275A8FD7" w:rsidR="00005BD0" w:rsidRPr="00852E02" w:rsidRDefault="00005BD0" w:rsidP="00005BD0">
            <w:pPr>
              <w:pStyle w:val="ListParagraph"/>
              <w:numPr>
                <w:ilvl w:val="0"/>
                <w:numId w:val="36"/>
              </w:numPr>
              <w:rPr>
                <w:rFonts w:cstheme="minorHAnsi"/>
                <w:sz w:val="22"/>
              </w:rPr>
            </w:pPr>
            <w:r w:rsidRPr="00852E02">
              <w:rPr>
                <w:rFonts w:cstheme="minorHAnsi"/>
                <w:sz w:val="22"/>
              </w:rPr>
              <w:t xml:space="preserve">Where reprocessing equipment lacks pass-through capability, effective segregation of clean and dirty activities shall be achieved through adherence to unidirectional workflows from dirty to </w:t>
            </w:r>
            <w:r w:rsidRPr="00852E02">
              <w:rPr>
                <w:rFonts w:cstheme="minorHAnsi"/>
                <w:sz w:val="22"/>
              </w:rPr>
              <w:lastRenderedPageBreak/>
              <w:t>clean activities. Segregation of the cleaning areas from the other reprocessing areas is integral in the redevelopment of a reprocessing facility to meet the requirements of this document.</w:t>
            </w:r>
            <w:bookmarkEnd w:id="40"/>
          </w:p>
        </w:tc>
        <w:tc>
          <w:tcPr>
            <w:tcW w:w="1712" w:type="pct"/>
            <w:tcMar>
              <w:top w:w="108" w:type="dxa"/>
              <w:bottom w:w="108" w:type="dxa"/>
            </w:tcMar>
          </w:tcPr>
          <w:p w14:paraId="75401A28" w14:textId="306640CF" w:rsidR="00005BD0" w:rsidRPr="00852E02" w:rsidRDefault="00005BD0" w:rsidP="00005BD0">
            <w:pPr>
              <w:rPr>
                <w:rFonts w:cstheme="minorHAnsi"/>
                <w:sz w:val="22"/>
              </w:rPr>
            </w:pPr>
            <w:r w:rsidRPr="00852E02">
              <w:rPr>
                <w:rFonts w:cstheme="minorHAnsi"/>
                <w:sz w:val="22"/>
              </w:rPr>
              <w:lastRenderedPageBreak/>
              <w:t xml:space="preserve">Health service organisations should conduct a gap analysis using a risk-based approach </w:t>
            </w:r>
            <w:r w:rsidR="00C61A54" w:rsidRPr="00852E02">
              <w:rPr>
                <w:rFonts w:cstheme="minorHAnsi"/>
                <w:sz w:val="22"/>
              </w:rPr>
              <w:t>for</w:t>
            </w:r>
            <w:r w:rsidRPr="00852E02">
              <w:rPr>
                <w:rFonts w:cstheme="minorHAnsi"/>
                <w:sz w:val="22"/>
              </w:rPr>
              <w:t xml:space="preserve"> their reprocessing environment to determine what changes </w:t>
            </w:r>
            <w:r w:rsidR="00C61A54" w:rsidRPr="00852E02">
              <w:rPr>
                <w:rFonts w:cstheme="minorHAnsi"/>
                <w:sz w:val="22"/>
              </w:rPr>
              <w:t xml:space="preserve">would be </w:t>
            </w:r>
            <w:r w:rsidRPr="00852E02">
              <w:rPr>
                <w:rFonts w:cstheme="minorHAnsi"/>
                <w:sz w:val="22"/>
              </w:rPr>
              <w:t xml:space="preserve">necessary to align with the new requirements. </w:t>
            </w:r>
          </w:p>
          <w:p w14:paraId="3F464FB3" w14:textId="4FCA3961" w:rsidR="00005BD0" w:rsidRPr="00852E02" w:rsidRDefault="00005BD0" w:rsidP="00005BD0">
            <w:pPr>
              <w:rPr>
                <w:rFonts w:cstheme="minorHAnsi"/>
                <w:sz w:val="22"/>
              </w:rPr>
            </w:pPr>
            <w:r w:rsidRPr="00852E02">
              <w:rPr>
                <w:rFonts w:cstheme="minorHAnsi"/>
                <w:sz w:val="22"/>
              </w:rPr>
              <w:t xml:space="preserve">Health service organisation should update or develop an asset management plan for future redevelopment or upgrade to their sterilisation service to </w:t>
            </w:r>
            <w:r w:rsidR="00C61A54" w:rsidRPr="00852E02">
              <w:rPr>
                <w:rFonts w:cstheme="minorHAnsi"/>
                <w:sz w:val="22"/>
              </w:rPr>
              <w:t xml:space="preserve">working </w:t>
            </w:r>
            <w:r w:rsidR="00A30CBB" w:rsidRPr="00852E02">
              <w:rPr>
                <w:rFonts w:cstheme="minorHAnsi"/>
                <w:sz w:val="22"/>
              </w:rPr>
              <w:t>toward meeting</w:t>
            </w:r>
            <w:r w:rsidRPr="00852E02">
              <w:rPr>
                <w:rFonts w:cstheme="minorHAnsi"/>
                <w:sz w:val="22"/>
              </w:rPr>
              <w:t xml:space="preserve"> the requirements of the new standard.</w:t>
            </w:r>
          </w:p>
          <w:p w14:paraId="7FF047EA" w14:textId="2F52040B" w:rsidR="00005BD0" w:rsidRPr="00852E02" w:rsidRDefault="00005BD0" w:rsidP="00005BD0">
            <w:pPr>
              <w:rPr>
                <w:rFonts w:cstheme="minorHAnsi"/>
                <w:sz w:val="22"/>
              </w:rPr>
            </w:pPr>
            <w:r w:rsidRPr="00852E02">
              <w:rPr>
                <w:rFonts w:cstheme="minorHAnsi"/>
                <w:sz w:val="22"/>
              </w:rPr>
              <w:t xml:space="preserve">When a health service organisation commences occupation of a new build, the new facility must be compliant with the new standard and the </w:t>
            </w:r>
            <w:hyperlink r:id="rId58" w:history="1">
              <w:r w:rsidRPr="00852E02">
                <w:rPr>
                  <w:rStyle w:val="Hyperlink"/>
                  <w:rFonts w:cstheme="minorHAnsi"/>
                  <w:sz w:val="22"/>
                </w:rPr>
                <w:t>Australasian Health Facility Guidelines</w:t>
              </w:r>
            </w:hyperlink>
            <w:r w:rsidRPr="00852E02">
              <w:rPr>
                <w:rFonts w:cstheme="minorHAnsi"/>
                <w:sz w:val="22"/>
              </w:rPr>
              <w:t xml:space="preserve"> (AusHFG).</w:t>
            </w:r>
          </w:p>
          <w:p w14:paraId="10030C52" w14:textId="22142D7A" w:rsidR="00005BD0" w:rsidRPr="00852E02" w:rsidRDefault="00005BD0" w:rsidP="00005BD0">
            <w:pPr>
              <w:rPr>
                <w:rFonts w:cstheme="minorHAnsi"/>
                <w:sz w:val="22"/>
              </w:rPr>
            </w:pPr>
            <w:r w:rsidRPr="00852E02">
              <w:rPr>
                <w:rFonts w:cstheme="minorHAnsi"/>
                <w:sz w:val="22"/>
              </w:rPr>
              <w:t>Health service organisations should review and update their policies, procedures, or protocols on the reprocessing environment and facility design to ensure compliance with the new standard. Staff who are involved in those processes should be informed of the change.</w:t>
            </w:r>
          </w:p>
          <w:p w14:paraId="0EEA6FEC" w14:textId="7B44AE18" w:rsidR="00005BD0" w:rsidRPr="00852E02" w:rsidRDefault="00005BD0" w:rsidP="00005BD0">
            <w:pPr>
              <w:rPr>
                <w:rFonts w:cstheme="minorHAnsi"/>
                <w:sz w:val="22"/>
              </w:rPr>
            </w:pPr>
            <w:r w:rsidRPr="00852E02">
              <w:rPr>
                <w:rFonts w:cstheme="minorHAnsi"/>
                <w:sz w:val="22"/>
              </w:rPr>
              <w:t xml:space="preserve">Health service organisations should refer to the </w:t>
            </w:r>
            <w:hyperlink r:id="rId59" w:history="1">
              <w:r w:rsidRPr="00852E02">
                <w:rPr>
                  <w:rStyle w:val="Hyperlink"/>
                  <w:rFonts w:cstheme="minorHAnsi"/>
                  <w:sz w:val="22"/>
                </w:rPr>
                <w:t>Preventing and Controlling Infections Standard</w:t>
              </w:r>
            </w:hyperlink>
            <w:r w:rsidRPr="00852E02">
              <w:rPr>
                <w:rFonts w:cstheme="minorHAnsi"/>
                <w:sz w:val="22"/>
              </w:rPr>
              <w:t xml:space="preserve"> of the </w:t>
            </w:r>
            <w:hyperlink r:id="rId60" w:history="1">
              <w:r w:rsidRPr="00852E02">
                <w:rPr>
                  <w:rStyle w:val="Hyperlink"/>
                  <w:rFonts w:cstheme="minorHAnsi"/>
                  <w:sz w:val="22"/>
                </w:rPr>
                <w:t>NSQHS Standards</w:t>
              </w:r>
            </w:hyperlink>
            <w:r w:rsidRPr="00852E02">
              <w:rPr>
                <w:rFonts w:cstheme="minorHAnsi"/>
                <w:sz w:val="22"/>
              </w:rPr>
              <w:t xml:space="preserve"> for relevant actions </w:t>
            </w:r>
            <w:r w:rsidR="00BA5E00" w:rsidRPr="00852E02">
              <w:rPr>
                <w:rFonts w:cstheme="minorHAnsi"/>
                <w:sz w:val="22"/>
              </w:rPr>
              <w:t>related</w:t>
            </w:r>
            <w:r w:rsidRPr="00852E02">
              <w:rPr>
                <w:rFonts w:cstheme="minorHAnsi"/>
                <w:sz w:val="22"/>
              </w:rPr>
              <w:t xml:space="preserve"> to environmental control and facility design. </w:t>
            </w:r>
          </w:p>
        </w:tc>
      </w:tr>
      <w:tr w:rsidR="00005BD0" w:rsidRPr="00852E02" w14:paraId="608B2112" w14:textId="57009364" w:rsidTr="00742B12">
        <w:tc>
          <w:tcPr>
            <w:tcW w:w="617" w:type="pct"/>
            <w:shd w:val="clear" w:color="auto" w:fill="auto"/>
            <w:tcMar>
              <w:top w:w="108" w:type="dxa"/>
              <w:bottom w:w="108" w:type="dxa"/>
            </w:tcMar>
          </w:tcPr>
          <w:p w14:paraId="04375972" w14:textId="2E11541F" w:rsidR="00005BD0" w:rsidRPr="00852E02" w:rsidRDefault="00005BD0" w:rsidP="00005BD0">
            <w:pPr>
              <w:rPr>
                <w:rFonts w:cstheme="minorHAnsi"/>
                <w:sz w:val="22"/>
              </w:rPr>
            </w:pPr>
            <w:bookmarkStart w:id="41" w:name="_Hlk163818385"/>
            <w:r w:rsidRPr="00852E02">
              <w:rPr>
                <w:rFonts w:cstheme="minorHAnsi"/>
                <w:sz w:val="22"/>
              </w:rPr>
              <w:t>RMD/other device cleaning sinks</w:t>
            </w:r>
            <w:bookmarkEnd w:id="41"/>
          </w:p>
        </w:tc>
        <w:tc>
          <w:tcPr>
            <w:tcW w:w="976" w:type="pct"/>
            <w:shd w:val="clear" w:color="auto" w:fill="auto"/>
            <w:tcMar>
              <w:top w:w="108" w:type="dxa"/>
              <w:bottom w:w="108" w:type="dxa"/>
            </w:tcMar>
          </w:tcPr>
          <w:p w14:paraId="5A6F12CD" w14:textId="51D98958" w:rsidR="00005BD0" w:rsidRPr="00852E02" w:rsidRDefault="00005BD0" w:rsidP="00005BD0">
            <w:pPr>
              <w:rPr>
                <w:rFonts w:cstheme="minorHAnsi"/>
                <w:sz w:val="22"/>
              </w:rPr>
            </w:pPr>
            <w:bookmarkStart w:id="42" w:name="_Hlk163818390"/>
            <w:r w:rsidRPr="00852E02">
              <w:rPr>
                <w:rFonts w:cstheme="minorHAnsi"/>
                <w:sz w:val="22"/>
              </w:rPr>
              <w:t>Includes requirements on sink workstations that can provide sufficient bench space to facilitate a unidirectional workflow and minimise the risk of cross contamination.</w:t>
            </w:r>
            <w:bookmarkEnd w:id="42"/>
          </w:p>
        </w:tc>
        <w:tc>
          <w:tcPr>
            <w:tcW w:w="1694" w:type="pct"/>
            <w:shd w:val="clear" w:color="auto" w:fill="auto"/>
            <w:tcMar>
              <w:top w:w="108" w:type="dxa"/>
              <w:bottom w:w="108" w:type="dxa"/>
            </w:tcMar>
          </w:tcPr>
          <w:p w14:paraId="61D3E0D0" w14:textId="37C53F51" w:rsidR="00005BD0" w:rsidRPr="00852E02" w:rsidRDefault="00005BD0" w:rsidP="00005BD0">
            <w:pPr>
              <w:rPr>
                <w:rFonts w:cstheme="minorHAnsi"/>
                <w:color w:val="000000"/>
                <w:sz w:val="22"/>
              </w:rPr>
            </w:pPr>
            <w:bookmarkStart w:id="43" w:name="_Hlk163819028"/>
            <w:r w:rsidRPr="00852E02">
              <w:rPr>
                <w:rFonts w:cstheme="minorHAnsi"/>
                <w:sz w:val="22"/>
              </w:rPr>
              <w:t>Provides additional information on the requirements on RMDs and other devices cleaning sinks:</w:t>
            </w:r>
          </w:p>
          <w:p w14:paraId="723118A3" w14:textId="4C91753C" w:rsidR="00005BD0" w:rsidRPr="00852E02" w:rsidRDefault="00005BD0" w:rsidP="00005BD0">
            <w:pPr>
              <w:pStyle w:val="ListParagraph"/>
              <w:numPr>
                <w:ilvl w:val="0"/>
                <w:numId w:val="38"/>
              </w:numPr>
              <w:rPr>
                <w:rFonts w:cstheme="minorHAnsi"/>
                <w:sz w:val="22"/>
              </w:rPr>
            </w:pPr>
            <w:r w:rsidRPr="00852E02">
              <w:rPr>
                <w:rFonts w:cstheme="minorHAnsi"/>
                <w:sz w:val="22"/>
              </w:rPr>
              <w:t>Facilities to enable water or air flushing of a lumened RMD/other device shall be provided, including water flushing of a lumened RMD/other device, on the dirty side of the sink; and air flushing, on the clean side of the sink.</w:t>
            </w:r>
            <w:bookmarkEnd w:id="43"/>
          </w:p>
        </w:tc>
        <w:tc>
          <w:tcPr>
            <w:tcW w:w="1712" w:type="pct"/>
            <w:shd w:val="clear" w:color="auto" w:fill="auto"/>
            <w:tcMar>
              <w:top w:w="108" w:type="dxa"/>
              <w:bottom w:w="108" w:type="dxa"/>
            </w:tcMar>
          </w:tcPr>
          <w:p w14:paraId="3715C905" w14:textId="7FC3F999" w:rsidR="00005BD0" w:rsidRPr="00852E02" w:rsidRDefault="00005BD0" w:rsidP="00005BD0">
            <w:pPr>
              <w:rPr>
                <w:rFonts w:cstheme="minorHAnsi"/>
                <w:sz w:val="22"/>
              </w:rPr>
            </w:pPr>
            <w:r w:rsidRPr="00852E02">
              <w:rPr>
                <w:rFonts w:cstheme="minorHAnsi"/>
                <w:sz w:val="22"/>
              </w:rPr>
              <w:t xml:space="preserve">Health service organisations should review and update their policies, procedures, or protocols on the sink workstations </w:t>
            </w:r>
            <w:r w:rsidR="00CB7B59" w:rsidRPr="00852E02">
              <w:rPr>
                <w:rFonts w:cstheme="minorHAnsi"/>
                <w:sz w:val="22"/>
              </w:rPr>
              <w:t xml:space="preserve">by conducting gap analysis with a risk-based approach </w:t>
            </w:r>
            <w:r w:rsidRPr="00852E02">
              <w:rPr>
                <w:rFonts w:cstheme="minorHAnsi"/>
                <w:sz w:val="22"/>
              </w:rPr>
              <w:t xml:space="preserve">to ensure </w:t>
            </w:r>
            <w:r w:rsidR="00673D60" w:rsidRPr="00852E02">
              <w:rPr>
                <w:rFonts w:cstheme="minorHAnsi"/>
                <w:sz w:val="22"/>
              </w:rPr>
              <w:t xml:space="preserve">they are working toward </w:t>
            </w:r>
            <w:r w:rsidR="00F821BA" w:rsidRPr="00852E02">
              <w:rPr>
                <w:rFonts w:cstheme="minorHAnsi"/>
                <w:sz w:val="22"/>
              </w:rPr>
              <w:t>meeting the</w:t>
            </w:r>
            <w:r w:rsidRPr="00852E02">
              <w:rPr>
                <w:rFonts w:cstheme="minorHAnsi"/>
                <w:sz w:val="22"/>
              </w:rPr>
              <w:t xml:space="preserve"> new standard. Staff who are involved in those processes should be informed of any changes.</w:t>
            </w:r>
          </w:p>
          <w:p w14:paraId="4C23445C" w14:textId="78ED285D" w:rsidR="00005BD0" w:rsidRPr="00852E02" w:rsidRDefault="00005BD0" w:rsidP="00005BD0">
            <w:pPr>
              <w:rPr>
                <w:rFonts w:cstheme="minorHAnsi"/>
                <w:sz w:val="22"/>
              </w:rPr>
            </w:pPr>
            <w:r w:rsidRPr="00852E02">
              <w:rPr>
                <w:rFonts w:cstheme="minorHAnsi"/>
                <w:sz w:val="22"/>
              </w:rPr>
              <w:t xml:space="preserve">Health service organisations should refer to the </w:t>
            </w:r>
            <w:hyperlink r:id="rId61" w:history="1">
              <w:r w:rsidRPr="00852E02">
                <w:rPr>
                  <w:rStyle w:val="Hyperlink"/>
                  <w:rFonts w:cstheme="minorHAnsi"/>
                  <w:sz w:val="22"/>
                </w:rPr>
                <w:t>AusHFG</w:t>
              </w:r>
            </w:hyperlink>
            <w:r w:rsidRPr="00852E02">
              <w:rPr>
                <w:rFonts w:cstheme="minorHAnsi"/>
                <w:sz w:val="22"/>
              </w:rPr>
              <w:t xml:space="preserve"> for cleaning sink requirements. </w:t>
            </w:r>
          </w:p>
        </w:tc>
      </w:tr>
      <w:tr w:rsidR="00005BD0" w:rsidRPr="00852E02" w14:paraId="62AE82E4" w14:textId="00025FE2" w:rsidTr="00742B12">
        <w:trPr>
          <w:cnfStyle w:val="000000010000" w:firstRow="0" w:lastRow="0" w:firstColumn="0" w:lastColumn="0" w:oddVBand="0" w:evenVBand="0" w:oddHBand="0" w:evenHBand="1" w:firstRowFirstColumn="0" w:firstRowLastColumn="0" w:lastRowFirstColumn="0" w:lastRowLastColumn="0"/>
        </w:trPr>
        <w:tc>
          <w:tcPr>
            <w:tcW w:w="617" w:type="pct"/>
            <w:tcMar>
              <w:top w:w="108" w:type="dxa"/>
              <w:bottom w:w="108" w:type="dxa"/>
            </w:tcMar>
          </w:tcPr>
          <w:p w14:paraId="7A87A68D" w14:textId="369882C3" w:rsidR="00005BD0" w:rsidRPr="00852E02" w:rsidRDefault="00005BD0" w:rsidP="00005BD0">
            <w:pPr>
              <w:rPr>
                <w:rFonts w:cstheme="minorHAnsi"/>
                <w:sz w:val="22"/>
              </w:rPr>
            </w:pPr>
            <w:bookmarkStart w:id="44" w:name="_Hlk163818398"/>
            <w:r w:rsidRPr="00852E02">
              <w:rPr>
                <w:rFonts w:cstheme="minorHAnsi"/>
                <w:sz w:val="22"/>
              </w:rPr>
              <w:t xml:space="preserve">Hand </w:t>
            </w:r>
            <w:r w:rsidR="00F80611" w:rsidRPr="00852E02">
              <w:rPr>
                <w:rFonts w:cstheme="minorHAnsi"/>
                <w:sz w:val="22"/>
              </w:rPr>
              <w:t>h</w:t>
            </w:r>
            <w:r w:rsidRPr="00852E02">
              <w:rPr>
                <w:rFonts w:cstheme="minorHAnsi"/>
                <w:sz w:val="22"/>
              </w:rPr>
              <w:t>ygiene</w:t>
            </w:r>
            <w:bookmarkEnd w:id="44"/>
          </w:p>
        </w:tc>
        <w:tc>
          <w:tcPr>
            <w:tcW w:w="976" w:type="pct"/>
            <w:tcMar>
              <w:top w:w="108" w:type="dxa"/>
              <w:bottom w:w="108" w:type="dxa"/>
            </w:tcMar>
          </w:tcPr>
          <w:p w14:paraId="410D7485" w14:textId="1621BD52" w:rsidR="00005BD0" w:rsidRPr="00852E02" w:rsidRDefault="00005BD0" w:rsidP="00005BD0">
            <w:pPr>
              <w:rPr>
                <w:rFonts w:cstheme="minorHAnsi"/>
                <w:sz w:val="22"/>
              </w:rPr>
            </w:pPr>
            <w:bookmarkStart w:id="45" w:name="_Hlk163818402"/>
            <w:r w:rsidRPr="00852E02">
              <w:rPr>
                <w:rFonts w:cstheme="minorHAnsi"/>
                <w:sz w:val="22"/>
              </w:rPr>
              <w:t>Includes requirements on sufficient hand hygiene facilities available and accessible in all work areas.</w:t>
            </w:r>
            <w:bookmarkEnd w:id="45"/>
          </w:p>
        </w:tc>
        <w:tc>
          <w:tcPr>
            <w:tcW w:w="1694" w:type="pct"/>
            <w:tcMar>
              <w:top w:w="108" w:type="dxa"/>
              <w:bottom w:w="108" w:type="dxa"/>
            </w:tcMar>
          </w:tcPr>
          <w:p w14:paraId="52960665" w14:textId="5BE1B0B8" w:rsidR="00005BD0" w:rsidRPr="00852E02" w:rsidRDefault="00005BD0" w:rsidP="00005BD0">
            <w:pPr>
              <w:rPr>
                <w:rFonts w:cstheme="minorHAnsi"/>
                <w:sz w:val="22"/>
              </w:rPr>
            </w:pPr>
            <w:bookmarkStart w:id="46" w:name="_Hlk163819044"/>
            <w:r w:rsidRPr="00852E02">
              <w:rPr>
                <w:rFonts w:cstheme="minorHAnsi"/>
                <w:sz w:val="22"/>
              </w:rPr>
              <w:t>Provides additional information on the requirements on hand hygiene basins:</w:t>
            </w:r>
          </w:p>
          <w:p w14:paraId="7256DFF2" w14:textId="77777777" w:rsidR="00FA20D7" w:rsidRPr="00852E02" w:rsidRDefault="00005BD0" w:rsidP="00005BD0">
            <w:pPr>
              <w:pStyle w:val="ListParagraph"/>
              <w:numPr>
                <w:ilvl w:val="0"/>
                <w:numId w:val="39"/>
              </w:numPr>
              <w:rPr>
                <w:rFonts w:cstheme="minorHAnsi"/>
                <w:sz w:val="22"/>
              </w:rPr>
            </w:pPr>
            <w:r w:rsidRPr="00852E02">
              <w:rPr>
                <w:rFonts w:cstheme="minorHAnsi"/>
                <w:sz w:val="22"/>
              </w:rPr>
              <w:t>Hand hygiene basins should not be located in clean work areas because such basins can be a source of contamination</w:t>
            </w:r>
          </w:p>
          <w:p w14:paraId="3C3BF18D" w14:textId="530966F9" w:rsidR="00005BD0" w:rsidRPr="00852E02" w:rsidRDefault="00005BD0" w:rsidP="00005BD0">
            <w:pPr>
              <w:pStyle w:val="ListParagraph"/>
              <w:numPr>
                <w:ilvl w:val="0"/>
                <w:numId w:val="39"/>
              </w:numPr>
              <w:rPr>
                <w:rFonts w:cstheme="minorHAnsi"/>
                <w:sz w:val="22"/>
              </w:rPr>
            </w:pPr>
            <w:r w:rsidRPr="00852E02">
              <w:rPr>
                <w:rFonts w:cstheme="minorHAnsi"/>
                <w:sz w:val="22"/>
              </w:rPr>
              <w:t>Hand hygiene basins should be located in an anteroom or corridor accessible from the clean work areas and should be used prior to entry to the clean work areas and if hands become visibly soiled.</w:t>
            </w:r>
            <w:bookmarkEnd w:id="46"/>
          </w:p>
        </w:tc>
        <w:tc>
          <w:tcPr>
            <w:tcW w:w="1712" w:type="pct"/>
            <w:tcMar>
              <w:top w:w="108" w:type="dxa"/>
              <w:bottom w:w="108" w:type="dxa"/>
            </w:tcMar>
          </w:tcPr>
          <w:p w14:paraId="0307ADA6" w14:textId="7D78298C" w:rsidR="00005BD0" w:rsidRPr="00852E02" w:rsidRDefault="00005BD0" w:rsidP="00005BD0">
            <w:pPr>
              <w:rPr>
                <w:rFonts w:cstheme="minorHAnsi"/>
                <w:sz w:val="22"/>
              </w:rPr>
            </w:pPr>
            <w:r w:rsidRPr="00852E02">
              <w:rPr>
                <w:rFonts w:cstheme="minorHAnsi"/>
                <w:sz w:val="22"/>
              </w:rPr>
              <w:t xml:space="preserve">Health service organisations should conduct a gap analysis using a risk-based approach on their hand hygiene facilities to determine what changes are necessary to align with the new requirements on hand hygiene basins.  </w:t>
            </w:r>
          </w:p>
          <w:p w14:paraId="5C3303A5" w14:textId="77777777" w:rsidR="00D259DC" w:rsidRPr="00852E02" w:rsidRDefault="00005BD0" w:rsidP="00005BD0">
            <w:pPr>
              <w:rPr>
                <w:rFonts w:cstheme="minorHAnsi"/>
                <w:sz w:val="22"/>
              </w:rPr>
            </w:pPr>
            <w:r w:rsidRPr="00852E02">
              <w:rPr>
                <w:rFonts w:cstheme="minorHAnsi"/>
                <w:sz w:val="22"/>
              </w:rPr>
              <w:t xml:space="preserve">If hand hygiene basin is located in clean work areas, health service organisations should consider </w:t>
            </w:r>
            <w:r w:rsidR="00673D60" w:rsidRPr="00852E02">
              <w:rPr>
                <w:rFonts w:cstheme="minorHAnsi"/>
                <w:sz w:val="22"/>
              </w:rPr>
              <w:t xml:space="preserve">strategies for mitigating contamination risks from </w:t>
            </w:r>
            <w:r w:rsidRPr="00852E02">
              <w:rPr>
                <w:rFonts w:cstheme="minorHAnsi"/>
                <w:sz w:val="22"/>
              </w:rPr>
              <w:t>the basin</w:t>
            </w:r>
            <w:r w:rsidR="00673D60" w:rsidRPr="00852E02">
              <w:rPr>
                <w:rFonts w:cstheme="minorHAnsi"/>
                <w:sz w:val="22"/>
              </w:rPr>
              <w:t xml:space="preserve">, and opportunities for </w:t>
            </w:r>
            <w:r w:rsidRPr="00852E02">
              <w:rPr>
                <w:rFonts w:cstheme="minorHAnsi"/>
                <w:sz w:val="22"/>
              </w:rPr>
              <w:t>using alternative hand hygiene facilities</w:t>
            </w:r>
            <w:r w:rsidR="00673D60" w:rsidRPr="00852E02">
              <w:rPr>
                <w:rFonts w:cstheme="minorHAnsi"/>
                <w:sz w:val="22"/>
              </w:rPr>
              <w:t xml:space="preserve">. For example, placing </w:t>
            </w:r>
            <w:r w:rsidRPr="00852E02">
              <w:rPr>
                <w:rFonts w:cstheme="minorHAnsi"/>
                <w:sz w:val="22"/>
              </w:rPr>
              <w:t xml:space="preserve"> </w:t>
            </w:r>
            <w:hyperlink r:id="rId62" w:history="1">
              <w:r w:rsidRPr="00852E02">
                <w:rPr>
                  <w:rStyle w:val="Hyperlink"/>
                  <w:rFonts w:cstheme="minorHAnsi"/>
                  <w:sz w:val="22"/>
                </w:rPr>
                <w:t>alcohol-based hand rubs</w:t>
              </w:r>
            </w:hyperlink>
            <w:r w:rsidRPr="00852E02">
              <w:rPr>
                <w:rFonts w:cstheme="minorHAnsi"/>
                <w:sz w:val="22"/>
              </w:rPr>
              <w:t xml:space="preserve"> in the clean work areas. </w:t>
            </w:r>
          </w:p>
          <w:p w14:paraId="6B11D058" w14:textId="24BF5BD7" w:rsidR="00005BD0" w:rsidRPr="00852E02" w:rsidRDefault="00005BD0" w:rsidP="00005BD0">
            <w:pPr>
              <w:rPr>
                <w:rFonts w:cstheme="minorHAnsi"/>
                <w:sz w:val="22"/>
              </w:rPr>
            </w:pPr>
            <w:r w:rsidRPr="00852E02">
              <w:rPr>
                <w:rFonts w:cstheme="minorHAnsi"/>
                <w:sz w:val="22"/>
              </w:rPr>
              <w:lastRenderedPageBreak/>
              <w:t>Health service organisation should update or develop an asset management plan for future redevelopment or upgrade to their sterilisation service to ensure that the health service organisation can meet these requirements of the new standard.</w:t>
            </w:r>
          </w:p>
          <w:p w14:paraId="2A107626" w14:textId="77777777" w:rsidR="00005BD0" w:rsidRPr="00852E02" w:rsidRDefault="00005BD0" w:rsidP="00005BD0">
            <w:pPr>
              <w:rPr>
                <w:rFonts w:cstheme="minorHAnsi"/>
                <w:sz w:val="22"/>
              </w:rPr>
            </w:pPr>
            <w:r w:rsidRPr="00852E02">
              <w:rPr>
                <w:rFonts w:cstheme="minorHAnsi"/>
                <w:sz w:val="22"/>
              </w:rPr>
              <w:t xml:space="preserve">Health service organisations should refer to the </w:t>
            </w:r>
            <w:hyperlink r:id="rId63" w:history="1">
              <w:r w:rsidRPr="00852E02">
                <w:rPr>
                  <w:rStyle w:val="Hyperlink"/>
                  <w:rFonts w:cstheme="minorHAnsi"/>
                  <w:sz w:val="22"/>
                </w:rPr>
                <w:t>AusHFG, Part D</w:t>
              </w:r>
            </w:hyperlink>
            <w:r w:rsidRPr="00852E02">
              <w:rPr>
                <w:rFonts w:cstheme="minorHAnsi"/>
                <w:sz w:val="22"/>
              </w:rPr>
              <w:t xml:space="preserve"> for hand hygiene requirements. </w:t>
            </w:r>
          </w:p>
          <w:p w14:paraId="76250823" w14:textId="1D2AF3E1" w:rsidR="00005BD0" w:rsidRPr="00852E02" w:rsidRDefault="00005BD0" w:rsidP="00005BD0">
            <w:pPr>
              <w:rPr>
                <w:rFonts w:cstheme="minorHAnsi"/>
                <w:sz w:val="22"/>
              </w:rPr>
            </w:pPr>
            <w:r w:rsidRPr="00852E02">
              <w:rPr>
                <w:rFonts w:cstheme="minorHAnsi"/>
                <w:sz w:val="22"/>
              </w:rPr>
              <w:t xml:space="preserve">Health service organisations should refer to the </w:t>
            </w:r>
            <w:hyperlink r:id="rId64" w:history="1">
              <w:r w:rsidRPr="00852E02">
                <w:rPr>
                  <w:rStyle w:val="Hyperlink"/>
                  <w:rFonts w:cstheme="minorHAnsi"/>
                  <w:sz w:val="22"/>
                </w:rPr>
                <w:t>Preventing and Controlling Infections Standard</w:t>
              </w:r>
            </w:hyperlink>
            <w:r w:rsidRPr="00852E02">
              <w:rPr>
                <w:rFonts w:cstheme="minorHAnsi"/>
                <w:sz w:val="22"/>
              </w:rPr>
              <w:t xml:space="preserve"> of the </w:t>
            </w:r>
            <w:hyperlink r:id="rId65" w:history="1">
              <w:r w:rsidRPr="00852E02">
                <w:rPr>
                  <w:rStyle w:val="Hyperlink"/>
                  <w:rFonts w:cstheme="minorHAnsi"/>
                  <w:sz w:val="22"/>
                </w:rPr>
                <w:t>NSQHS Standards</w:t>
              </w:r>
            </w:hyperlink>
            <w:r w:rsidRPr="00852E02">
              <w:rPr>
                <w:rFonts w:cstheme="minorHAnsi"/>
                <w:sz w:val="22"/>
              </w:rPr>
              <w:t xml:space="preserve"> for relevant actions relate</w:t>
            </w:r>
            <w:r w:rsidR="00BA5E00" w:rsidRPr="00852E02">
              <w:rPr>
                <w:rFonts w:cstheme="minorHAnsi"/>
                <w:sz w:val="22"/>
              </w:rPr>
              <w:t>d</w:t>
            </w:r>
            <w:r w:rsidRPr="00852E02">
              <w:rPr>
                <w:rFonts w:cstheme="minorHAnsi"/>
                <w:sz w:val="22"/>
              </w:rPr>
              <w:t xml:space="preserve"> to hand hygiene.</w:t>
            </w:r>
          </w:p>
        </w:tc>
      </w:tr>
      <w:tr w:rsidR="00005BD0" w:rsidRPr="00852E02" w14:paraId="45E50D02" w14:textId="05B618E9" w:rsidTr="00742B12">
        <w:tc>
          <w:tcPr>
            <w:tcW w:w="617" w:type="pct"/>
            <w:shd w:val="clear" w:color="auto" w:fill="auto"/>
            <w:tcMar>
              <w:top w:w="108" w:type="dxa"/>
              <w:bottom w:w="108" w:type="dxa"/>
            </w:tcMar>
          </w:tcPr>
          <w:p w14:paraId="2AA565E7" w14:textId="2736240C" w:rsidR="00005BD0" w:rsidRPr="00852E02" w:rsidRDefault="00005BD0" w:rsidP="00005BD0">
            <w:pPr>
              <w:rPr>
                <w:rFonts w:cstheme="minorHAnsi"/>
                <w:sz w:val="22"/>
              </w:rPr>
            </w:pPr>
            <w:bookmarkStart w:id="47" w:name="_Hlk163818409"/>
            <w:r w:rsidRPr="00852E02">
              <w:rPr>
                <w:rFonts w:cstheme="minorHAnsi"/>
                <w:sz w:val="22"/>
              </w:rPr>
              <w:lastRenderedPageBreak/>
              <w:t>Ventilation</w:t>
            </w:r>
            <w:bookmarkEnd w:id="47"/>
          </w:p>
        </w:tc>
        <w:tc>
          <w:tcPr>
            <w:tcW w:w="976" w:type="pct"/>
            <w:shd w:val="clear" w:color="auto" w:fill="auto"/>
            <w:tcMar>
              <w:top w:w="108" w:type="dxa"/>
              <w:bottom w:w="108" w:type="dxa"/>
            </w:tcMar>
          </w:tcPr>
          <w:p w14:paraId="26432A42" w14:textId="7562E276" w:rsidR="00005BD0" w:rsidRPr="00852E02" w:rsidRDefault="00005BD0" w:rsidP="00005BD0">
            <w:pPr>
              <w:rPr>
                <w:rFonts w:cstheme="minorHAnsi"/>
                <w:sz w:val="22"/>
              </w:rPr>
            </w:pPr>
            <w:bookmarkStart w:id="48" w:name="_Hlk163818415"/>
            <w:r w:rsidRPr="00852E02">
              <w:rPr>
                <w:rFonts w:cstheme="minorHAnsi"/>
                <w:sz w:val="22"/>
              </w:rPr>
              <w:t>Requires health service organisations to ensure ventilation systems for reprocessing areas conform to AS 1668.2.</w:t>
            </w:r>
            <w:bookmarkEnd w:id="48"/>
          </w:p>
        </w:tc>
        <w:tc>
          <w:tcPr>
            <w:tcW w:w="1694" w:type="pct"/>
            <w:shd w:val="clear" w:color="auto" w:fill="auto"/>
            <w:tcMar>
              <w:top w:w="108" w:type="dxa"/>
              <w:bottom w:w="108" w:type="dxa"/>
            </w:tcMar>
          </w:tcPr>
          <w:p w14:paraId="5B4C7B01" w14:textId="478367C7" w:rsidR="00005BD0" w:rsidRPr="00852E02" w:rsidRDefault="00F80611" w:rsidP="00005BD0">
            <w:pPr>
              <w:rPr>
                <w:rFonts w:cstheme="minorHAnsi"/>
                <w:sz w:val="22"/>
              </w:rPr>
            </w:pPr>
            <w:bookmarkStart w:id="49" w:name="_Hlk163819053"/>
            <w:r w:rsidRPr="00852E02">
              <w:rPr>
                <w:rFonts w:cstheme="minorHAnsi"/>
                <w:sz w:val="22"/>
              </w:rPr>
              <w:t>Emphasis</w:t>
            </w:r>
            <w:r w:rsidR="00A42501" w:rsidRPr="00852E02">
              <w:rPr>
                <w:rFonts w:cstheme="minorHAnsi"/>
                <w:sz w:val="22"/>
              </w:rPr>
              <w:t>es</w:t>
            </w:r>
            <w:r w:rsidRPr="00852E02">
              <w:rPr>
                <w:rFonts w:cstheme="minorHAnsi"/>
                <w:sz w:val="22"/>
              </w:rPr>
              <w:t xml:space="preserve"> </w:t>
            </w:r>
            <w:r w:rsidR="009D0864" w:rsidRPr="00852E02">
              <w:rPr>
                <w:rFonts w:cstheme="minorHAnsi"/>
                <w:sz w:val="22"/>
              </w:rPr>
              <w:t xml:space="preserve">on </w:t>
            </w:r>
            <w:r w:rsidR="00005BD0" w:rsidRPr="00852E02">
              <w:rPr>
                <w:rFonts w:cstheme="minorHAnsi"/>
                <w:sz w:val="22"/>
              </w:rPr>
              <w:t xml:space="preserve">a risk-based approach in determining the design and operation of ventilation systems. </w:t>
            </w:r>
          </w:p>
          <w:p w14:paraId="79B8E98F" w14:textId="2BD387FA" w:rsidR="00005BD0" w:rsidRPr="00852E02" w:rsidRDefault="00005BD0" w:rsidP="00005BD0">
            <w:pPr>
              <w:rPr>
                <w:rFonts w:cstheme="minorHAnsi"/>
                <w:sz w:val="22"/>
              </w:rPr>
            </w:pPr>
            <w:r w:rsidRPr="00852E02">
              <w:rPr>
                <w:rFonts w:cstheme="minorHAnsi"/>
                <w:sz w:val="22"/>
              </w:rPr>
              <w:t xml:space="preserve">Includes additional information on ventilation systems for dirty, clean, and specified purpose areas (e.g. sterile storeroom). </w:t>
            </w:r>
            <w:bookmarkEnd w:id="49"/>
          </w:p>
        </w:tc>
        <w:tc>
          <w:tcPr>
            <w:tcW w:w="1712" w:type="pct"/>
            <w:shd w:val="clear" w:color="auto" w:fill="auto"/>
            <w:tcMar>
              <w:top w:w="108" w:type="dxa"/>
              <w:bottom w:w="108" w:type="dxa"/>
            </w:tcMar>
          </w:tcPr>
          <w:p w14:paraId="5A4E59A2" w14:textId="4609F25F" w:rsidR="00D259DC" w:rsidRPr="00852E02" w:rsidRDefault="00D259DC" w:rsidP="00D259DC">
            <w:pPr>
              <w:rPr>
                <w:rFonts w:cstheme="minorHAnsi"/>
                <w:sz w:val="22"/>
              </w:rPr>
            </w:pPr>
            <w:r w:rsidRPr="00852E02">
              <w:rPr>
                <w:rFonts w:cstheme="minorHAnsi"/>
                <w:sz w:val="22"/>
              </w:rPr>
              <w:t xml:space="preserve">Health service organisations should conduct a gap analysis using a risk-based approach on their ventilation requirements. For operating theatres and </w:t>
            </w:r>
            <w:r w:rsidR="009D0864" w:rsidRPr="00852E02">
              <w:rPr>
                <w:rFonts w:cstheme="minorHAnsi"/>
                <w:sz w:val="22"/>
              </w:rPr>
              <w:t>adjoining</w:t>
            </w:r>
            <w:r w:rsidRPr="00852E02">
              <w:rPr>
                <w:rFonts w:cstheme="minorHAnsi"/>
                <w:sz w:val="22"/>
              </w:rPr>
              <w:t xml:space="preserve"> stores, health service organisations should work towards complying with AS1668.2</w:t>
            </w:r>
            <w:r w:rsidR="00752461" w:rsidRPr="00852E02">
              <w:rPr>
                <w:rFonts w:cstheme="minorHAnsi"/>
                <w:sz w:val="22"/>
              </w:rPr>
              <w:t xml:space="preserve"> </w:t>
            </w:r>
            <w:r w:rsidR="00752461" w:rsidRPr="00852E02">
              <w:rPr>
                <w:rFonts w:cstheme="minorHAnsi"/>
                <w:i/>
                <w:iCs/>
                <w:sz w:val="22"/>
              </w:rPr>
              <w:t>The use of ventilation and airconditioning in buildings, Part 2: Mechanical ventilation in buildings</w:t>
            </w:r>
            <w:r w:rsidRPr="00852E02">
              <w:rPr>
                <w:rFonts w:cstheme="minorHAnsi"/>
                <w:sz w:val="22"/>
              </w:rPr>
              <w:t>.</w:t>
            </w:r>
          </w:p>
          <w:p w14:paraId="1C661113" w14:textId="42B40290" w:rsidR="00D259DC" w:rsidRPr="00852E02" w:rsidRDefault="00D259DC" w:rsidP="00D259DC">
            <w:pPr>
              <w:rPr>
                <w:rFonts w:cstheme="minorHAnsi"/>
                <w:sz w:val="22"/>
              </w:rPr>
            </w:pPr>
            <w:r w:rsidRPr="00852E02">
              <w:rPr>
                <w:rFonts w:cstheme="minorHAnsi"/>
                <w:sz w:val="22"/>
              </w:rPr>
              <w:t>For other reprocessing and storage areas, health service organisations should conduct a gap analysis using a risk-based approach and consider the guidance in the Appendix A.5.6.15</w:t>
            </w:r>
            <w:r w:rsidRPr="00852E02">
              <w:rPr>
                <w:rFonts w:cstheme="minorHAnsi"/>
                <w:i/>
                <w:iCs/>
                <w:sz w:val="22"/>
              </w:rPr>
              <w:t xml:space="preserve"> Ventilation</w:t>
            </w:r>
            <w:r w:rsidRPr="00852E02">
              <w:rPr>
                <w:rFonts w:cstheme="minorHAnsi"/>
                <w:sz w:val="22"/>
              </w:rPr>
              <w:t xml:space="preserve"> of AS 5369:2023 when determining changes to their ventilation system. </w:t>
            </w:r>
          </w:p>
          <w:p w14:paraId="6A5B52EF" w14:textId="6D96C2C6" w:rsidR="00005BD0" w:rsidRPr="00852E02" w:rsidRDefault="00005BD0" w:rsidP="00005BD0">
            <w:pPr>
              <w:rPr>
                <w:rFonts w:cstheme="minorHAnsi"/>
                <w:sz w:val="22"/>
              </w:rPr>
            </w:pPr>
            <w:r w:rsidRPr="00852E02">
              <w:rPr>
                <w:rFonts w:cstheme="minorHAnsi"/>
                <w:sz w:val="22"/>
              </w:rPr>
              <w:t>Health service organisation</w:t>
            </w:r>
            <w:r w:rsidR="009D0864" w:rsidRPr="00852E02">
              <w:rPr>
                <w:rFonts w:cstheme="minorHAnsi"/>
                <w:sz w:val="22"/>
              </w:rPr>
              <w:t>s</w:t>
            </w:r>
            <w:r w:rsidRPr="00852E02">
              <w:rPr>
                <w:rFonts w:cstheme="minorHAnsi"/>
                <w:sz w:val="22"/>
              </w:rPr>
              <w:t xml:space="preserve"> should update or develop an asset management plan for future </w:t>
            </w:r>
            <w:r w:rsidRPr="00852E02">
              <w:rPr>
                <w:rFonts w:cstheme="minorHAnsi"/>
                <w:sz w:val="22"/>
              </w:rPr>
              <w:lastRenderedPageBreak/>
              <w:t>redevelopment or upgrade to their sterilisation service to ensure that the health service organisation can meet the requirements of the new standard.</w:t>
            </w:r>
          </w:p>
          <w:p w14:paraId="35E65D2A" w14:textId="7962463B" w:rsidR="00005BD0" w:rsidRPr="00852E02" w:rsidRDefault="00005BD0" w:rsidP="00F80611">
            <w:pPr>
              <w:rPr>
                <w:rFonts w:cstheme="minorHAnsi"/>
                <w:sz w:val="22"/>
              </w:rPr>
            </w:pPr>
            <w:r w:rsidRPr="00852E02">
              <w:rPr>
                <w:rFonts w:cstheme="minorHAnsi"/>
                <w:sz w:val="22"/>
              </w:rPr>
              <w:t xml:space="preserve">Health service organisations should refer to the </w:t>
            </w:r>
            <w:hyperlink r:id="rId66" w:history="1">
              <w:r w:rsidR="00A42501" w:rsidRPr="00852E02">
                <w:rPr>
                  <w:rStyle w:val="Hyperlink"/>
                  <w:rFonts w:cstheme="minorHAnsi"/>
                  <w:sz w:val="22"/>
                </w:rPr>
                <w:t>AusHFG</w:t>
              </w:r>
            </w:hyperlink>
            <w:r w:rsidR="00A42501" w:rsidRPr="00852E02">
              <w:rPr>
                <w:rFonts w:cstheme="minorHAnsi"/>
                <w:sz w:val="22"/>
              </w:rPr>
              <w:t xml:space="preserve"> </w:t>
            </w:r>
            <w:r w:rsidRPr="00852E02">
              <w:rPr>
                <w:rFonts w:cstheme="minorHAnsi"/>
                <w:sz w:val="22"/>
              </w:rPr>
              <w:t>for guidance on ventilation system</w:t>
            </w:r>
            <w:r w:rsidR="00F80611" w:rsidRPr="00852E02">
              <w:rPr>
                <w:rFonts w:cstheme="minorHAnsi"/>
                <w:sz w:val="22"/>
              </w:rPr>
              <w:t xml:space="preserve"> and the</w:t>
            </w:r>
            <w:r w:rsidRPr="00852E02">
              <w:rPr>
                <w:rFonts w:cstheme="minorHAnsi"/>
                <w:sz w:val="22"/>
              </w:rPr>
              <w:t xml:space="preserve"> guidance on </w:t>
            </w:r>
            <w:hyperlink r:id="rId67" w:history="1">
              <w:r w:rsidRPr="00852E02">
                <w:rPr>
                  <w:rStyle w:val="Hyperlink"/>
                  <w:rFonts w:cstheme="minorHAnsi"/>
                  <w:i/>
                  <w:iCs/>
                  <w:sz w:val="22"/>
                </w:rPr>
                <w:t>Optimising ventilation for infection prevention and control in healthcare settings</w:t>
              </w:r>
            </w:hyperlink>
            <w:r w:rsidRPr="00852E02">
              <w:rPr>
                <w:rFonts w:cstheme="minorHAnsi"/>
                <w:sz w:val="22"/>
              </w:rPr>
              <w:t>.</w:t>
            </w:r>
          </w:p>
        </w:tc>
      </w:tr>
      <w:tr w:rsidR="00005BD0" w:rsidRPr="00852E02" w14:paraId="58EF8877" w14:textId="6190E8C6" w:rsidTr="00742B12">
        <w:trPr>
          <w:cnfStyle w:val="000000010000" w:firstRow="0" w:lastRow="0" w:firstColumn="0" w:lastColumn="0" w:oddVBand="0" w:evenVBand="0" w:oddHBand="0" w:evenHBand="1" w:firstRowFirstColumn="0" w:firstRowLastColumn="0" w:lastRowFirstColumn="0" w:lastRowLastColumn="0"/>
        </w:trPr>
        <w:tc>
          <w:tcPr>
            <w:tcW w:w="617" w:type="pct"/>
            <w:tcBorders>
              <w:bottom w:val="single" w:sz="4" w:space="0" w:color="1178A0" w:themeColor="background2"/>
            </w:tcBorders>
            <w:tcMar>
              <w:top w:w="108" w:type="dxa"/>
              <w:bottom w:w="108" w:type="dxa"/>
            </w:tcMar>
          </w:tcPr>
          <w:p w14:paraId="16D8A7F6" w14:textId="6311B1E1" w:rsidR="00005BD0" w:rsidRPr="00852E02" w:rsidRDefault="00005BD0" w:rsidP="00005BD0">
            <w:pPr>
              <w:rPr>
                <w:rFonts w:cstheme="minorHAnsi"/>
                <w:sz w:val="22"/>
              </w:rPr>
            </w:pPr>
            <w:bookmarkStart w:id="50" w:name="_Hlk163818423"/>
            <w:r w:rsidRPr="00852E02">
              <w:rPr>
                <w:rFonts w:cstheme="minorHAnsi"/>
                <w:sz w:val="22"/>
              </w:rPr>
              <w:lastRenderedPageBreak/>
              <w:t>Pre-treatment</w:t>
            </w:r>
            <w:bookmarkEnd w:id="50"/>
          </w:p>
        </w:tc>
        <w:tc>
          <w:tcPr>
            <w:tcW w:w="976" w:type="pct"/>
            <w:tcBorders>
              <w:bottom w:val="single" w:sz="4" w:space="0" w:color="1178A0" w:themeColor="background2"/>
            </w:tcBorders>
            <w:tcMar>
              <w:top w:w="108" w:type="dxa"/>
              <w:bottom w:w="108" w:type="dxa"/>
            </w:tcMar>
          </w:tcPr>
          <w:p w14:paraId="10B0370D" w14:textId="0DA07737" w:rsidR="00005BD0" w:rsidRPr="00852E02" w:rsidRDefault="00005BD0" w:rsidP="00005BD0">
            <w:pPr>
              <w:rPr>
                <w:rFonts w:cstheme="minorHAnsi"/>
                <w:sz w:val="22"/>
              </w:rPr>
            </w:pPr>
            <w:bookmarkStart w:id="51" w:name="_Hlk163818428"/>
            <w:r w:rsidRPr="00852E02">
              <w:rPr>
                <w:rFonts w:cstheme="minorHAnsi"/>
                <w:sz w:val="22"/>
              </w:rPr>
              <w:t xml:space="preserve">Requires the initial pre-treatment of a used RMD to be performed at the point of use. </w:t>
            </w:r>
            <w:bookmarkEnd w:id="51"/>
          </w:p>
        </w:tc>
        <w:tc>
          <w:tcPr>
            <w:tcW w:w="1694" w:type="pct"/>
            <w:tcBorders>
              <w:bottom w:val="single" w:sz="4" w:space="0" w:color="1178A0" w:themeColor="background2"/>
            </w:tcBorders>
            <w:tcMar>
              <w:top w:w="108" w:type="dxa"/>
              <w:bottom w:w="108" w:type="dxa"/>
            </w:tcMar>
          </w:tcPr>
          <w:p w14:paraId="519245CF" w14:textId="22D1C8BB" w:rsidR="00005BD0" w:rsidRPr="00852E02" w:rsidRDefault="00005BD0" w:rsidP="00005BD0">
            <w:pPr>
              <w:rPr>
                <w:rFonts w:cstheme="minorHAnsi"/>
                <w:sz w:val="22"/>
              </w:rPr>
            </w:pPr>
            <w:bookmarkStart w:id="52" w:name="_Hlk163819065"/>
            <w:r w:rsidRPr="00852E02">
              <w:rPr>
                <w:rFonts w:cstheme="minorHAnsi"/>
                <w:sz w:val="22"/>
              </w:rPr>
              <w:t xml:space="preserve">Adds information on single-use attachments and accessories to RMD/other devices: </w:t>
            </w:r>
          </w:p>
          <w:p w14:paraId="1C7F5C47" w14:textId="650E7D5B" w:rsidR="00005BD0" w:rsidRPr="00852E02" w:rsidRDefault="00005BD0" w:rsidP="00005BD0">
            <w:pPr>
              <w:pStyle w:val="ListParagraph"/>
              <w:numPr>
                <w:ilvl w:val="0"/>
                <w:numId w:val="39"/>
              </w:numPr>
              <w:rPr>
                <w:rFonts w:cstheme="minorHAnsi"/>
                <w:sz w:val="22"/>
              </w:rPr>
            </w:pPr>
            <w:r w:rsidRPr="00852E02">
              <w:rPr>
                <w:rFonts w:cstheme="minorHAnsi"/>
                <w:sz w:val="22"/>
              </w:rPr>
              <w:t xml:space="preserve">Before transport to the reprocessing area, single-use attachments and accessories should be removed at the point of use as part of the pre-treatment process </w:t>
            </w:r>
          </w:p>
          <w:p w14:paraId="533CA76B" w14:textId="61A1EFF4" w:rsidR="00005BD0" w:rsidRPr="00852E02" w:rsidRDefault="00005BD0" w:rsidP="00005BD0">
            <w:pPr>
              <w:pStyle w:val="ListParagraph"/>
              <w:numPr>
                <w:ilvl w:val="0"/>
                <w:numId w:val="39"/>
              </w:numPr>
              <w:rPr>
                <w:rFonts w:cstheme="minorHAnsi"/>
                <w:sz w:val="22"/>
              </w:rPr>
            </w:pPr>
            <w:r w:rsidRPr="00852E02">
              <w:rPr>
                <w:rFonts w:cstheme="minorHAnsi"/>
                <w:sz w:val="22"/>
              </w:rPr>
              <w:t xml:space="preserve">Single-use sharps, such as scalpel blades should be safely discarded.   </w:t>
            </w:r>
            <w:bookmarkEnd w:id="52"/>
          </w:p>
        </w:tc>
        <w:tc>
          <w:tcPr>
            <w:tcW w:w="1712" w:type="pct"/>
            <w:tcBorders>
              <w:bottom w:val="single" w:sz="4" w:space="0" w:color="1178A0" w:themeColor="background2"/>
            </w:tcBorders>
            <w:tcMar>
              <w:top w:w="108" w:type="dxa"/>
              <w:bottom w:w="108" w:type="dxa"/>
            </w:tcMar>
          </w:tcPr>
          <w:p w14:paraId="39DF956C" w14:textId="70F24843" w:rsidR="00005BD0" w:rsidRPr="00852E02" w:rsidRDefault="00005BD0" w:rsidP="00005BD0">
            <w:pPr>
              <w:rPr>
                <w:rFonts w:cstheme="minorHAnsi"/>
                <w:sz w:val="22"/>
              </w:rPr>
            </w:pPr>
            <w:r w:rsidRPr="00852E02">
              <w:rPr>
                <w:rFonts w:cstheme="minorHAnsi"/>
                <w:sz w:val="22"/>
              </w:rPr>
              <w:t>Health service organisations should review and update their policies, procedures, or protocols on the pre-treatment processes of a used RMD/other device to ensure compliance with the new standard. Staff who are involved in those processes should be informed of any changes.</w:t>
            </w:r>
          </w:p>
          <w:p w14:paraId="1F45E6D9" w14:textId="027DCB10" w:rsidR="00005BD0" w:rsidRPr="00852E02" w:rsidRDefault="00005BD0" w:rsidP="00005BD0">
            <w:pPr>
              <w:rPr>
                <w:rFonts w:cstheme="minorHAnsi"/>
                <w:sz w:val="22"/>
              </w:rPr>
            </w:pPr>
            <w:r w:rsidRPr="00852E02">
              <w:rPr>
                <w:rFonts w:cstheme="minorHAnsi"/>
                <w:sz w:val="22"/>
              </w:rPr>
              <w:t xml:space="preserve">Health service organisations should include </w:t>
            </w:r>
            <w:r w:rsidR="00F80611" w:rsidRPr="00852E02">
              <w:rPr>
                <w:rFonts w:cstheme="minorHAnsi"/>
                <w:sz w:val="22"/>
              </w:rPr>
              <w:t>updated</w:t>
            </w:r>
            <w:r w:rsidRPr="00852E02">
              <w:rPr>
                <w:rFonts w:cstheme="minorHAnsi"/>
                <w:sz w:val="22"/>
              </w:rPr>
              <w:t xml:space="preserve"> processes as part of induction training for new staff and keeping the relevant training records. </w:t>
            </w:r>
          </w:p>
          <w:p w14:paraId="57B5E627" w14:textId="77777777" w:rsidR="00005BD0" w:rsidRPr="00852E02" w:rsidRDefault="00005BD0" w:rsidP="00005BD0">
            <w:pPr>
              <w:rPr>
                <w:rFonts w:cstheme="minorHAnsi"/>
                <w:sz w:val="22"/>
              </w:rPr>
            </w:pPr>
            <w:r w:rsidRPr="00852E02">
              <w:rPr>
                <w:rFonts w:cstheme="minorHAnsi"/>
                <w:sz w:val="22"/>
              </w:rPr>
              <w:t xml:space="preserve">Health service organisations should refer to the </w:t>
            </w:r>
            <w:hyperlink r:id="rId68" w:history="1">
              <w:r w:rsidRPr="00852E02">
                <w:rPr>
                  <w:rStyle w:val="Hyperlink"/>
                  <w:rFonts w:cstheme="minorHAnsi"/>
                  <w:sz w:val="22"/>
                </w:rPr>
                <w:t>Clinical Governance Standard</w:t>
              </w:r>
            </w:hyperlink>
            <w:r w:rsidRPr="00852E02">
              <w:rPr>
                <w:rFonts w:cstheme="minorHAnsi"/>
                <w:sz w:val="22"/>
              </w:rPr>
              <w:t xml:space="preserve"> and the </w:t>
            </w:r>
            <w:hyperlink r:id="rId69" w:history="1">
              <w:r w:rsidRPr="00852E02">
                <w:rPr>
                  <w:rStyle w:val="Hyperlink"/>
                  <w:rFonts w:cstheme="minorHAnsi"/>
                  <w:sz w:val="22"/>
                </w:rPr>
                <w:t>Preventing and Controlling Infections Standard</w:t>
              </w:r>
            </w:hyperlink>
            <w:r w:rsidRPr="00852E02">
              <w:rPr>
                <w:rFonts w:cstheme="minorHAnsi"/>
                <w:sz w:val="22"/>
              </w:rPr>
              <w:t xml:space="preserve"> of the </w:t>
            </w:r>
            <w:hyperlink r:id="rId70" w:history="1">
              <w:r w:rsidRPr="00852E02">
                <w:rPr>
                  <w:rStyle w:val="Hyperlink"/>
                  <w:rFonts w:cstheme="minorHAnsi"/>
                  <w:sz w:val="22"/>
                </w:rPr>
                <w:t>NSQHS Standards</w:t>
              </w:r>
            </w:hyperlink>
            <w:r w:rsidRPr="00852E02">
              <w:rPr>
                <w:rFonts w:cstheme="minorHAnsi"/>
                <w:sz w:val="22"/>
              </w:rPr>
              <w:t xml:space="preserve"> for relevant actions that relate to staff training. </w:t>
            </w:r>
          </w:p>
          <w:p w14:paraId="0F3EEFF0" w14:textId="47B87E2F" w:rsidR="00005BD0" w:rsidRPr="00852E02" w:rsidRDefault="00005BD0" w:rsidP="00005BD0">
            <w:pPr>
              <w:rPr>
                <w:rFonts w:cstheme="minorHAnsi"/>
                <w:sz w:val="22"/>
              </w:rPr>
            </w:pPr>
            <w:r w:rsidRPr="00852E02">
              <w:rPr>
                <w:rFonts w:cstheme="minorHAnsi"/>
                <w:sz w:val="22"/>
              </w:rPr>
              <w:t xml:space="preserve">Health service organisations can refer to Section 4.3 </w:t>
            </w:r>
            <w:r w:rsidRPr="00852E02">
              <w:rPr>
                <w:rFonts w:cstheme="minorHAnsi"/>
                <w:i/>
                <w:iCs/>
                <w:sz w:val="22"/>
              </w:rPr>
              <w:t xml:space="preserve">Education and training </w:t>
            </w:r>
            <w:r w:rsidRPr="00852E02">
              <w:rPr>
                <w:rFonts w:cstheme="minorHAnsi"/>
                <w:sz w:val="22"/>
              </w:rPr>
              <w:t xml:space="preserve">of </w:t>
            </w:r>
            <w:hyperlink r:id="rId71" w:history="1">
              <w:r w:rsidRPr="00852E02">
                <w:rPr>
                  <w:rStyle w:val="Hyperlink"/>
                  <w:rFonts w:cstheme="minorHAnsi"/>
                  <w:sz w:val="22"/>
                </w:rPr>
                <w:t>the Guidelines</w:t>
              </w:r>
            </w:hyperlink>
            <w:r w:rsidRPr="00852E02">
              <w:rPr>
                <w:rFonts w:cstheme="minorHAnsi"/>
                <w:sz w:val="22"/>
              </w:rPr>
              <w:t xml:space="preserve"> for education strategies.</w:t>
            </w:r>
          </w:p>
        </w:tc>
      </w:tr>
      <w:tr w:rsidR="00005BD0" w:rsidRPr="00852E02" w14:paraId="5AF092BA" w14:textId="7C879543" w:rsidTr="00742B12">
        <w:tc>
          <w:tcPr>
            <w:tcW w:w="617" w:type="pct"/>
            <w:shd w:val="clear" w:color="auto" w:fill="auto"/>
            <w:tcMar>
              <w:top w:w="108" w:type="dxa"/>
              <w:bottom w:w="108" w:type="dxa"/>
            </w:tcMar>
          </w:tcPr>
          <w:p w14:paraId="7B4CF21A" w14:textId="38E1F68E" w:rsidR="00005BD0" w:rsidRPr="00852E02" w:rsidRDefault="00005BD0" w:rsidP="00005BD0">
            <w:pPr>
              <w:rPr>
                <w:rFonts w:cstheme="minorHAnsi"/>
                <w:sz w:val="22"/>
              </w:rPr>
            </w:pPr>
            <w:bookmarkStart w:id="53" w:name="_Hlk163818434"/>
            <w:r w:rsidRPr="00852E02">
              <w:rPr>
                <w:rFonts w:cstheme="minorHAnsi"/>
                <w:sz w:val="22"/>
              </w:rPr>
              <w:lastRenderedPageBreak/>
              <w:t>Non-heat-labile semi-critical RMD/other device</w:t>
            </w:r>
            <w:bookmarkEnd w:id="53"/>
          </w:p>
        </w:tc>
        <w:tc>
          <w:tcPr>
            <w:tcW w:w="976" w:type="pct"/>
            <w:shd w:val="clear" w:color="auto" w:fill="auto"/>
            <w:tcMar>
              <w:top w:w="108" w:type="dxa"/>
              <w:bottom w:w="108" w:type="dxa"/>
            </w:tcMar>
          </w:tcPr>
          <w:p w14:paraId="51F0D784" w14:textId="08AEBE01" w:rsidR="00005BD0" w:rsidRPr="00852E02" w:rsidRDefault="00005BD0" w:rsidP="00005BD0">
            <w:pPr>
              <w:rPr>
                <w:rFonts w:cstheme="minorHAnsi"/>
                <w:sz w:val="22"/>
              </w:rPr>
            </w:pPr>
            <w:bookmarkStart w:id="54" w:name="_Hlk163818440"/>
            <w:r w:rsidRPr="00852E02">
              <w:rPr>
                <w:rFonts w:cstheme="minorHAnsi"/>
                <w:sz w:val="22"/>
              </w:rPr>
              <w:t>Requires a semi-critical RMD that cannot withstand moist heat or low temperature sterilisation to undergo thermal or chemical disinfection in accordance with a documented procedure.</w:t>
            </w:r>
            <w:bookmarkEnd w:id="54"/>
          </w:p>
        </w:tc>
        <w:tc>
          <w:tcPr>
            <w:tcW w:w="1694" w:type="pct"/>
            <w:shd w:val="clear" w:color="auto" w:fill="auto"/>
            <w:tcMar>
              <w:top w:w="108" w:type="dxa"/>
              <w:bottom w:w="108" w:type="dxa"/>
            </w:tcMar>
          </w:tcPr>
          <w:p w14:paraId="6A190325" w14:textId="32BBDC9E" w:rsidR="00005BD0" w:rsidRPr="00852E02" w:rsidRDefault="00005BD0" w:rsidP="00005BD0">
            <w:pPr>
              <w:rPr>
                <w:rFonts w:cstheme="minorHAnsi"/>
                <w:sz w:val="22"/>
              </w:rPr>
            </w:pPr>
            <w:bookmarkStart w:id="55" w:name="_Hlk163819076"/>
            <w:r w:rsidRPr="00852E02">
              <w:rPr>
                <w:rFonts w:cstheme="minorHAnsi"/>
                <w:sz w:val="22"/>
              </w:rPr>
              <w:t>Requires a semi-critical RMD that cannot withstand moist heat sterilisation to undergo low temperature sterilisation, thermal disinfection, or high-level disinfection process in accordance with a documented procedure.</w:t>
            </w:r>
          </w:p>
          <w:bookmarkEnd w:id="55"/>
          <w:p w14:paraId="1F88B766" w14:textId="50E8F50D" w:rsidR="00005BD0" w:rsidRPr="00852E02" w:rsidRDefault="00005BD0" w:rsidP="00005BD0">
            <w:pPr>
              <w:rPr>
                <w:rFonts w:cstheme="minorHAnsi"/>
                <w:sz w:val="22"/>
              </w:rPr>
            </w:pPr>
          </w:p>
        </w:tc>
        <w:tc>
          <w:tcPr>
            <w:tcW w:w="1712" w:type="pct"/>
            <w:shd w:val="clear" w:color="auto" w:fill="auto"/>
            <w:tcMar>
              <w:top w:w="108" w:type="dxa"/>
              <w:bottom w:w="108" w:type="dxa"/>
            </w:tcMar>
          </w:tcPr>
          <w:p w14:paraId="78762BB0" w14:textId="6CB17F66" w:rsidR="00005BD0" w:rsidRPr="00852E02" w:rsidRDefault="00005BD0" w:rsidP="00005BD0">
            <w:pPr>
              <w:rPr>
                <w:rFonts w:cstheme="minorHAnsi"/>
                <w:sz w:val="22"/>
              </w:rPr>
            </w:pPr>
            <w:bookmarkStart w:id="56" w:name="_Hlk165462879"/>
            <w:r w:rsidRPr="00852E02">
              <w:rPr>
                <w:rFonts w:cstheme="minorHAnsi"/>
                <w:sz w:val="22"/>
              </w:rPr>
              <w:t xml:space="preserve">Health service organisations should review and update their policies, procedures, or protocols to ensure </w:t>
            </w:r>
            <w:r w:rsidR="009D0864" w:rsidRPr="00852E02">
              <w:rPr>
                <w:rFonts w:cstheme="minorHAnsi"/>
                <w:sz w:val="22"/>
              </w:rPr>
              <w:t xml:space="preserve">any </w:t>
            </w:r>
            <w:r w:rsidRPr="00852E02">
              <w:rPr>
                <w:rFonts w:cstheme="minorHAnsi"/>
                <w:sz w:val="22"/>
              </w:rPr>
              <w:t>semi-critical RMD/other device that cannot withstand moist heat sterilisation undergo disinfection processes according to the new standard. Staff who are involved in those processes should be informed of the change.</w:t>
            </w:r>
            <w:bookmarkEnd w:id="56"/>
          </w:p>
        </w:tc>
      </w:tr>
      <w:tr w:rsidR="00005BD0" w:rsidRPr="00852E02" w14:paraId="5E771369" w14:textId="687704FB" w:rsidTr="00742B12">
        <w:trPr>
          <w:cnfStyle w:val="000000010000" w:firstRow="0" w:lastRow="0" w:firstColumn="0" w:lastColumn="0" w:oddVBand="0" w:evenVBand="0" w:oddHBand="0" w:evenHBand="1" w:firstRowFirstColumn="0" w:firstRowLastColumn="0" w:lastRowFirstColumn="0" w:lastRowLastColumn="0"/>
        </w:trPr>
        <w:tc>
          <w:tcPr>
            <w:tcW w:w="617" w:type="pct"/>
            <w:tcMar>
              <w:top w:w="108" w:type="dxa"/>
              <w:bottom w:w="108" w:type="dxa"/>
            </w:tcMar>
          </w:tcPr>
          <w:p w14:paraId="7ABCFE6D" w14:textId="4FBC7C0D" w:rsidR="00005BD0" w:rsidRPr="00852E02" w:rsidRDefault="00005BD0" w:rsidP="00005BD0">
            <w:pPr>
              <w:rPr>
                <w:rFonts w:cstheme="minorHAnsi"/>
                <w:sz w:val="22"/>
              </w:rPr>
            </w:pPr>
            <w:bookmarkStart w:id="57" w:name="_Hlk163818447"/>
            <w:r w:rsidRPr="00852E02">
              <w:rPr>
                <w:rFonts w:cstheme="minorHAnsi"/>
                <w:sz w:val="22"/>
              </w:rPr>
              <w:t>Sterilisation process definition</w:t>
            </w:r>
            <w:bookmarkEnd w:id="57"/>
          </w:p>
        </w:tc>
        <w:tc>
          <w:tcPr>
            <w:tcW w:w="976" w:type="pct"/>
            <w:tcMar>
              <w:top w:w="108" w:type="dxa"/>
              <w:bottom w:w="108" w:type="dxa"/>
            </w:tcMar>
          </w:tcPr>
          <w:p w14:paraId="3F79A192" w14:textId="7221A581" w:rsidR="00005BD0" w:rsidRPr="00852E02" w:rsidRDefault="00005BD0" w:rsidP="00005BD0">
            <w:pPr>
              <w:rPr>
                <w:rFonts w:cstheme="minorHAnsi"/>
                <w:sz w:val="22"/>
              </w:rPr>
            </w:pPr>
            <w:bookmarkStart w:id="58" w:name="_Hlk163818453"/>
            <w:r w:rsidRPr="00852E02">
              <w:rPr>
                <w:rFonts w:cstheme="minorHAnsi"/>
                <w:sz w:val="22"/>
              </w:rPr>
              <w:t>No information on extended sterilisation cycle.</w:t>
            </w:r>
            <w:bookmarkEnd w:id="58"/>
          </w:p>
        </w:tc>
        <w:tc>
          <w:tcPr>
            <w:tcW w:w="1694" w:type="pct"/>
            <w:tcMar>
              <w:top w:w="108" w:type="dxa"/>
              <w:bottom w:w="108" w:type="dxa"/>
            </w:tcMar>
          </w:tcPr>
          <w:p w14:paraId="38382F30" w14:textId="4EFE6F21" w:rsidR="00005BD0" w:rsidRPr="00852E02" w:rsidRDefault="00005BD0" w:rsidP="00005BD0">
            <w:pPr>
              <w:rPr>
                <w:rFonts w:cstheme="minorHAnsi"/>
                <w:sz w:val="22"/>
              </w:rPr>
            </w:pPr>
            <w:bookmarkStart w:id="59" w:name="_Hlk163819086"/>
            <w:r w:rsidRPr="00852E02">
              <w:rPr>
                <w:rFonts w:cstheme="minorHAnsi"/>
                <w:sz w:val="22"/>
              </w:rPr>
              <w:t xml:space="preserve">Provides additional guidance on the extended sterilisation cycle that has been validated for some RMDs and other devices for reprocessing before </w:t>
            </w:r>
            <w:r w:rsidR="009C5D9C" w:rsidRPr="00852E02">
              <w:rPr>
                <w:rFonts w:cstheme="minorHAnsi"/>
                <w:sz w:val="22"/>
              </w:rPr>
              <w:t>their</w:t>
            </w:r>
            <w:r w:rsidRPr="00852E02">
              <w:rPr>
                <w:rFonts w:cstheme="minorHAnsi"/>
                <w:sz w:val="22"/>
              </w:rPr>
              <w:t xml:space="preserve"> supply. </w:t>
            </w:r>
            <w:bookmarkEnd w:id="59"/>
          </w:p>
        </w:tc>
        <w:tc>
          <w:tcPr>
            <w:tcW w:w="1712" w:type="pct"/>
            <w:tcMar>
              <w:top w:w="108" w:type="dxa"/>
              <w:bottom w:w="108" w:type="dxa"/>
            </w:tcMar>
          </w:tcPr>
          <w:p w14:paraId="2BD67CF5" w14:textId="554005FC" w:rsidR="00005BD0" w:rsidRPr="00852E02" w:rsidRDefault="00005BD0" w:rsidP="00005BD0">
            <w:pPr>
              <w:rPr>
                <w:rFonts w:cstheme="minorHAnsi"/>
                <w:sz w:val="22"/>
              </w:rPr>
            </w:pPr>
            <w:r w:rsidRPr="00852E02">
              <w:rPr>
                <w:rFonts w:cstheme="minorHAnsi"/>
                <w:sz w:val="22"/>
              </w:rPr>
              <w:t xml:space="preserve">Health service organisations should keep a register to identify and record any RMDs and other devices that require extended sterilisation cycle, </w:t>
            </w:r>
            <w:r w:rsidR="00F80611" w:rsidRPr="00852E02">
              <w:rPr>
                <w:rFonts w:cstheme="minorHAnsi"/>
                <w:sz w:val="22"/>
              </w:rPr>
              <w:t xml:space="preserve">and </w:t>
            </w:r>
            <w:r w:rsidRPr="00852E02">
              <w:rPr>
                <w:rFonts w:cstheme="minorHAnsi"/>
                <w:sz w:val="22"/>
              </w:rPr>
              <w:t xml:space="preserve">circumstances to use extended sterilisation cycle. </w:t>
            </w:r>
          </w:p>
          <w:p w14:paraId="486F0D2D" w14:textId="46AEC3E7" w:rsidR="00005BD0" w:rsidRPr="00852E02" w:rsidRDefault="00005BD0" w:rsidP="00005BD0">
            <w:pPr>
              <w:rPr>
                <w:rFonts w:cstheme="minorHAnsi"/>
                <w:sz w:val="22"/>
              </w:rPr>
            </w:pPr>
            <w:r w:rsidRPr="00852E02">
              <w:rPr>
                <w:rFonts w:cstheme="minorHAnsi"/>
                <w:sz w:val="22"/>
              </w:rPr>
              <w:t>Health service organisations should review and update their policies, procedures, or protocols on the extended sterilisation cycle for RMD/other devices to ensure compliance with the new standard. Staff who are involved in those processes should be informed of any changes.</w:t>
            </w:r>
          </w:p>
          <w:p w14:paraId="048AF6BC" w14:textId="4BEEB507" w:rsidR="00005BD0" w:rsidRPr="00852E02" w:rsidRDefault="00005BD0" w:rsidP="00005BD0">
            <w:pPr>
              <w:rPr>
                <w:rFonts w:cstheme="minorHAnsi"/>
                <w:sz w:val="22"/>
              </w:rPr>
            </w:pPr>
            <w:r w:rsidRPr="00852E02">
              <w:rPr>
                <w:rFonts w:cstheme="minorHAnsi"/>
                <w:sz w:val="22"/>
              </w:rPr>
              <w:t xml:space="preserve">Health service organisations should include </w:t>
            </w:r>
            <w:r w:rsidR="00A151BA" w:rsidRPr="00852E02">
              <w:rPr>
                <w:rFonts w:cstheme="minorHAnsi"/>
                <w:sz w:val="22"/>
              </w:rPr>
              <w:t xml:space="preserve">updated </w:t>
            </w:r>
            <w:r w:rsidRPr="00852E02">
              <w:rPr>
                <w:rFonts w:cstheme="minorHAnsi"/>
                <w:sz w:val="22"/>
              </w:rPr>
              <w:t xml:space="preserve">processes in induction training for relevant new staff and keeping the relevant training records. </w:t>
            </w:r>
          </w:p>
          <w:p w14:paraId="62283E72" w14:textId="77777777" w:rsidR="00005BD0" w:rsidRPr="00852E02" w:rsidRDefault="00005BD0" w:rsidP="00005BD0">
            <w:pPr>
              <w:rPr>
                <w:rFonts w:cstheme="minorHAnsi"/>
                <w:sz w:val="22"/>
              </w:rPr>
            </w:pPr>
            <w:r w:rsidRPr="00852E02">
              <w:rPr>
                <w:rFonts w:cstheme="minorHAnsi"/>
                <w:sz w:val="22"/>
              </w:rPr>
              <w:t xml:space="preserve">Health service organisations should refer to the </w:t>
            </w:r>
            <w:hyperlink r:id="rId72" w:history="1">
              <w:r w:rsidRPr="00852E02">
                <w:rPr>
                  <w:rStyle w:val="Hyperlink"/>
                  <w:rFonts w:cstheme="minorHAnsi"/>
                  <w:sz w:val="22"/>
                </w:rPr>
                <w:t>Clinical Governance Standard</w:t>
              </w:r>
            </w:hyperlink>
            <w:r w:rsidRPr="00852E02">
              <w:rPr>
                <w:rFonts w:cstheme="minorHAnsi"/>
                <w:sz w:val="22"/>
              </w:rPr>
              <w:t xml:space="preserve"> and the </w:t>
            </w:r>
            <w:hyperlink r:id="rId73" w:history="1">
              <w:r w:rsidRPr="00852E02">
                <w:rPr>
                  <w:rStyle w:val="Hyperlink"/>
                  <w:rFonts w:cstheme="minorHAnsi"/>
                  <w:sz w:val="22"/>
                </w:rPr>
                <w:t xml:space="preserve">Preventing and Controlling Infections </w:t>
              </w:r>
              <w:r w:rsidRPr="00852E02">
                <w:rPr>
                  <w:rStyle w:val="Hyperlink"/>
                  <w:rFonts w:cstheme="minorHAnsi"/>
                  <w:sz w:val="22"/>
                </w:rPr>
                <w:lastRenderedPageBreak/>
                <w:t>Standard</w:t>
              </w:r>
            </w:hyperlink>
            <w:r w:rsidRPr="00852E02">
              <w:rPr>
                <w:rFonts w:cstheme="minorHAnsi"/>
                <w:sz w:val="22"/>
              </w:rPr>
              <w:t xml:space="preserve"> of the </w:t>
            </w:r>
            <w:hyperlink r:id="rId74" w:history="1">
              <w:r w:rsidRPr="00852E02">
                <w:rPr>
                  <w:rStyle w:val="Hyperlink"/>
                  <w:rFonts w:cstheme="minorHAnsi"/>
                  <w:sz w:val="22"/>
                </w:rPr>
                <w:t>NSQHS Standards</w:t>
              </w:r>
            </w:hyperlink>
            <w:r w:rsidRPr="00852E02">
              <w:rPr>
                <w:rFonts w:cstheme="minorHAnsi"/>
                <w:sz w:val="22"/>
              </w:rPr>
              <w:t xml:space="preserve"> for relevant actions that relate to staff training. </w:t>
            </w:r>
          </w:p>
          <w:p w14:paraId="39070FBD" w14:textId="32B81FAF" w:rsidR="00005BD0" w:rsidRPr="00852E02" w:rsidRDefault="00005BD0" w:rsidP="00005BD0">
            <w:pPr>
              <w:rPr>
                <w:rFonts w:cstheme="minorHAnsi"/>
                <w:sz w:val="22"/>
              </w:rPr>
            </w:pPr>
            <w:r w:rsidRPr="00852E02">
              <w:rPr>
                <w:rFonts w:cstheme="minorHAnsi"/>
                <w:sz w:val="22"/>
              </w:rPr>
              <w:t xml:space="preserve">Health service organisations can refer to Section 4.3 </w:t>
            </w:r>
            <w:r w:rsidRPr="00852E02">
              <w:rPr>
                <w:rFonts w:cstheme="minorHAnsi"/>
                <w:i/>
                <w:iCs/>
                <w:sz w:val="22"/>
              </w:rPr>
              <w:t xml:space="preserve">Education and training </w:t>
            </w:r>
            <w:r w:rsidRPr="00852E02">
              <w:rPr>
                <w:rFonts w:cstheme="minorHAnsi"/>
                <w:sz w:val="22"/>
              </w:rPr>
              <w:t xml:space="preserve">of </w:t>
            </w:r>
            <w:hyperlink r:id="rId75" w:history="1">
              <w:r w:rsidRPr="00852E02">
                <w:rPr>
                  <w:rStyle w:val="Hyperlink"/>
                  <w:rFonts w:cstheme="minorHAnsi"/>
                  <w:sz w:val="22"/>
                </w:rPr>
                <w:t>the Guidelines</w:t>
              </w:r>
            </w:hyperlink>
            <w:r w:rsidRPr="00852E02">
              <w:rPr>
                <w:rFonts w:cstheme="minorHAnsi"/>
                <w:sz w:val="22"/>
              </w:rPr>
              <w:t xml:space="preserve"> on education strategies.</w:t>
            </w:r>
          </w:p>
        </w:tc>
      </w:tr>
      <w:tr w:rsidR="007C2878" w:rsidRPr="00852E02" w14:paraId="64A7AA95" w14:textId="77777777" w:rsidTr="00742B12">
        <w:tc>
          <w:tcPr>
            <w:tcW w:w="617" w:type="pct"/>
            <w:tcMar>
              <w:top w:w="108" w:type="dxa"/>
              <w:bottom w:w="108" w:type="dxa"/>
            </w:tcMar>
          </w:tcPr>
          <w:p w14:paraId="331F8F19" w14:textId="2172E13F" w:rsidR="007C2878" w:rsidRPr="00852E02" w:rsidRDefault="007C2878" w:rsidP="007C2878">
            <w:pPr>
              <w:rPr>
                <w:rFonts w:cstheme="minorHAnsi"/>
                <w:sz w:val="22"/>
              </w:rPr>
            </w:pPr>
            <w:r w:rsidRPr="00852E02">
              <w:rPr>
                <w:rFonts w:cstheme="minorHAnsi"/>
                <w:sz w:val="22"/>
              </w:rPr>
              <w:lastRenderedPageBreak/>
              <w:t xml:space="preserve">Water quality </w:t>
            </w:r>
          </w:p>
        </w:tc>
        <w:tc>
          <w:tcPr>
            <w:tcW w:w="976" w:type="pct"/>
            <w:tcMar>
              <w:top w:w="108" w:type="dxa"/>
              <w:bottom w:w="108" w:type="dxa"/>
            </w:tcMar>
          </w:tcPr>
          <w:p w14:paraId="1EF8B584" w14:textId="33FED7CE" w:rsidR="007C2878" w:rsidRPr="00852E02" w:rsidRDefault="007C2878" w:rsidP="007C2878">
            <w:pPr>
              <w:rPr>
                <w:rFonts w:cstheme="minorHAnsi"/>
                <w:sz w:val="22"/>
              </w:rPr>
            </w:pPr>
            <w:r w:rsidRPr="00852E02">
              <w:rPr>
                <w:rFonts w:cstheme="minorHAnsi"/>
                <w:sz w:val="22"/>
              </w:rPr>
              <w:t xml:space="preserve">Sets the water quality requirements for pre-cleaning, cleaning, and rinse before the final rinse, and final rinse water used for </w:t>
            </w:r>
            <w:r w:rsidR="00A151BA" w:rsidRPr="00852E02">
              <w:rPr>
                <w:rFonts w:cstheme="minorHAnsi"/>
                <w:sz w:val="22"/>
              </w:rPr>
              <w:t>re</w:t>
            </w:r>
            <w:r w:rsidRPr="00852E02">
              <w:rPr>
                <w:rFonts w:cstheme="minorHAnsi"/>
                <w:sz w:val="22"/>
              </w:rPr>
              <w:t>processing RMDs/other devices.</w:t>
            </w:r>
          </w:p>
          <w:p w14:paraId="5CC17584" w14:textId="4E1BE3A3" w:rsidR="007C2878" w:rsidRPr="00852E02" w:rsidRDefault="007C2878" w:rsidP="007C2878">
            <w:pPr>
              <w:rPr>
                <w:rFonts w:cstheme="minorHAnsi"/>
                <w:sz w:val="22"/>
              </w:rPr>
            </w:pPr>
          </w:p>
        </w:tc>
        <w:tc>
          <w:tcPr>
            <w:tcW w:w="1694" w:type="pct"/>
            <w:tcMar>
              <w:top w:w="108" w:type="dxa"/>
              <w:bottom w:w="108" w:type="dxa"/>
            </w:tcMar>
          </w:tcPr>
          <w:p w14:paraId="0FE1F4A7" w14:textId="7BD9D5E6" w:rsidR="007C2878" w:rsidRPr="00852E02" w:rsidRDefault="007C2878" w:rsidP="007C2878">
            <w:pPr>
              <w:rPr>
                <w:rFonts w:cstheme="minorHAnsi"/>
                <w:sz w:val="22"/>
              </w:rPr>
            </w:pPr>
            <w:r w:rsidRPr="00852E02">
              <w:rPr>
                <w:rFonts w:cstheme="minorHAnsi"/>
                <w:sz w:val="22"/>
              </w:rPr>
              <w:t>No change.</w:t>
            </w:r>
          </w:p>
          <w:p w14:paraId="04C63514" w14:textId="77777777" w:rsidR="007C2878" w:rsidRPr="00852E02" w:rsidRDefault="007C2878" w:rsidP="007C2878">
            <w:pPr>
              <w:rPr>
                <w:rFonts w:cstheme="minorHAnsi"/>
                <w:sz w:val="22"/>
              </w:rPr>
            </w:pPr>
          </w:p>
        </w:tc>
        <w:tc>
          <w:tcPr>
            <w:tcW w:w="1712" w:type="pct"/>
            <w:tcMar>
              <w:top w:w="108" w:type="dxa"/>
              <w:bottom w:w="108" w:type="dxa"/>
            </w:tcMar>
          </w:tcPr>
          <w:p w14:paraId="152ACD64" w14:textId="77777777" w:rsidR="008B5AAF" w:rsidRPr="00852E02" w:rsidRDefault="007C2878" w:rsidP="008B5AAF">
            <w:pPr>
              <w:rPr>
                <w:rFonts w:cstheme="minorHAnsi"/>
                <w:sz w:val="22"/>
              </w:rPr>
            </w:pPr>
            <w:r w:rsidRPr="00852E02">
              <w:rPr>
                <w:rFonts w:cstheme="minorHAnsi"/>
                <w:sz w:val="22"/>
              </w:rPr>
              <w:t xml:space="preserve">Health service organisations should </w:t>
            </w:r>
            <w:r w:rsidR="008B5AAF" w:rsidRPr="00852E02">
              <w:rPr>
                <w:rFonts w:cstheme="minorHAnsi"/>
                <w:sz w:val="22"/>
              </w:rPr>
              <w:t xml:space="preserve">consider the requirements of 7.2.3.1 </w:t>
            </w:r>
            <w:r w:rsidR="008B5AAF" w:rsidRPr="00852E02">
              <w:rPr>
                <w:rFonts w:cstheme="minorHAnsi"/>
                <w:i/>
                <w:iCs/>
                <w:sz w:val="22"/>
              </w:rPr>
              <w:t>Water quality</w:t>
            </w:r>
            <w:r w:rsidR="008B5AAF" w:rsidRPr="00852E02">
              <w:rPr>
                <w:rFonts w:cstheme="minorHAnsi"/>
                <w:sz w:val="22"/>
              </w:rPr>
              <w:t xml:space="preserve"> of AS 5369:2023 and use a risk-based approach when conducing a gap analysis on their water quality for processing RMDs/other devices to determine what changes may be necessary. </w:t>
            </w:r>
          </w:p>
          <w:p w14:paraId="6050E37F" w14:textId="007A624F" w:rsidR="0007037D" w:rsidRPr="00852E02" w:rsidRDefault="007C2878" w:rsidP="00852E02">
            <w:pPr>
              <w:rPr>
                <w:rFonts w:cstheme="minorHAnsi"/>
                <w:sz w:val="22"/>
              </w:rPr>
            </w:pPr>
            <w:r w:rsidRPr="00852E02">
              <w:rPr>
                <w:rFonts w:cstheme="minorHAnsi"/>
                <w:sz w:val="22"/>
              </w:rPr>
              <w:t xml:space="preserve">Health service organisations should assess their local water conditions, reprocessing methods, types of RMDs/other devices being processed, and equipment replacement needs when deciding on the most suitable water treatment options. </w:t>
            </w:r>
          </w:p>
          <w:p w14:paraId="42EEF7DD" w14:textId="52A9C716" w:rsidR="007C2878" w:rsidRPr="00852E02" w:rsidRDefault="007C2878" w:rsidP="007C2878">
            <w:pPr>
              <w:rPr>
                <w:rFonts w:cstheme="minorHAnsi"/>
                <w:sz w:val="22"/>
              </w:rPr>
            </w:pPr>
            <w:r w:rsidRPr="00852E02">
              <w:rPr>
                <w:rFonts w:cstheme="minorHAnsi"/>
                <w:sz w:val="22"/>
              </w:rPr>
              <w:t>Health service organisations should update or develop an asset management plan for future redevelopment or upgrade to their sterilisation service to ensure that the health service organisations can meet the requirements of the new standard.</w:t>
            </w:r>
          </w:p>
        </w:tc>
      </w:tr>
      <w:tr w:rsidR="00005BD0" w:rsidRPr="00852E02" w14:paraId="4E9769E1" w14:textId="152C01B8" w:rsidTr="00742B12">
        <w:trPr>
          <w:cnfStyle w:val="000000010000" w:firstRow="0" w:lastRow="0" w:firstColumn="0" w:lastColumn="0" w:oddVBand="0" w:evenVBand="0" w:oddHBand="0" w:evenHBand="1" w:firstRowFirstColumn="0" w:firstRowLastColumn="0" w:lastRowFirstColumn="0" w:lastRowLastColumn="0"/>
        </w:trPr>
        <w:tc>
          <w:tcPr>
            <w:tcW w:w="617" w:type="pct"/>
            <w:tcMar>
              <w:top w:w="108" w:type="dxa"/>
              <w:bottom w:w="108" w:type="dxa"/>
            </w:tcMar>
          </w:tcPr>
          <w:p w14:paraId="50EED1C5" w14:textId="2675ABC6" w:rsidR="00005BD0" w:rsidRPr="00852E02" w:rsidRDefault="00005BD0" w:rsidP="00005BD0">
            <w:pPr>
              <w:rPr>
                <w:rFonts w:cstheme="minorHAnsi"/>
                <w:sz w:val="22"/>
              </w:rPr>
            </w:pPr>
            <w:bookmarkStart w:id="60" w:name="_Hlk163818492"/>
            <w:r w:rsidRPr="00852E02">
              <w:rPr>
                <w:rFonts w:cstheme="minorHAnsi"/>
                <w:sz w:val="22"/>
              </w:rPr>
              <w:t xml:space="preserve">Handling, transport, and storage of released reprocessed </w:t>
            </w:r>
            <w:r w:rsidRPr="00852E02">
              <w:rPr>
                <w:rFonts w:cstheme="minorHAnsi"/>
                <w:sz w:val="22"/>
              </w:rPr>
              <w:lastRenderedPageBreak/>
              <w:t>RMDs/other devices</w:t>
            </w:r>
            <w:bookmarkEnd w:id="60"/>
          </w:p>
        </w:tc>
        <w:tc>
          <w:tcPr>
            <w:tcW w:w="976" w:type="pct"/>
            <w:tcMar>
              <w:top w:w="108" w:type="dxa"/>
              <w:bottom w:w="108" w:type="dxa"/>
            </w:tcMar>
          </w:tcPr>
          <w:p w14:paraId="74F262E2" w14:textId="0B4B872D" w:rsidR="00005BD0" w:rsidRPr="00852E02" w:rsidRDefault="00005BD0" w:rsidP="00005BD0">
            <w:pPr>
              <w:rPr>
                <w:rFonts w:cstheme="minorHAnsi"/>
                <w:sz w:val="22"/>
              </w:rPr>
            </w:pPr>
            <w:bookmarkStart w:id="61" w:name="_Hlk163818497"/>
            <w:r w:rsidRPr="00852E02">
              <w:rPr>
                <w:rFonts w:cstheme="minorHAnsi"/>
                <w:sz w:val="22"/>
              </w:rPr>
              <w:lastRenderedPageBreak/>
              <w:t xml:space="preserve">Requires a reprocessed critical/semi-critical RMD to be handled, transported, and stored in a manner that </w:t>
            </w:r>
            <w:r w:rsidRPr="00852E02">
              <w:rPr>
                <w:rFonts w:cstheme="minorHAnsi"/>
                <w:sz w:val="22"/>
              </w:rPr>
              <w:lastRenderedPageBreak/>
              <w:t xml:space="preserve">prevents and minimises the risk of contamination. </w:t>
            </w:r>
            <w:bookmarkEnd w:id="61"/>
          </w:p>
        </w:tc>
        <w:tc>
          <w:tcPr>
            <w:tcW w:w="1694" w:type="pct"/>
            <w:tcMar>
              <w:top w:w="108" w:type="dxa"/>
              <w:bottom w:w="108" w:type="dxa"/>
            </w:tcMar>
          </w:tcPr>
          <w:p w14:paraId="11C85CA9" w14:textId="5B061AD0" w:rsidR="00005BD0" w:rsidRPr="00852E02" w:rsidRDefault="00005BD0" w:rsidP="00005BD0">
            <w:pPr>
              <w:rPr>
                <w:rFonts w:cstheme="minorHAnsi"/>
                <w:sz w:val="22"/>
              </w:rPr>
            </w:pPr>
            <w:bookmarkStart w:id="62" w:name="_Hlk163819105"/>
            <w:r w:rsidRPr="00852E02">
              <w:rPr>
                <w:rFonts w:cstheme="minorHAnsi"/>
                <w:sz w:val="22"/>
              </w:rPr>
              <w:lastRenderedPageBreak/>
              <w:t>Requires health service organisation</w:t>
            </w:r>
            <w:r w:rsidR="00A14067" w:rsidRPr="00852E02">
              <w:rPr>
                <w:rFonts w:cstheme="minorHAnsi"/>
                <w:sz w:val="22"/>
              </w:rPr>
              <w:t>s</w:t>
            </w:r>
            <w:r w:rsidRPr="00852E02">
              <w:rPr>
                <w:rFonts w:cstheme="minorHAnsi"/>
                <w:sz w:val="22"/>
              </w:rPr>
              <w:t xml:space="preserve"> to conduct a risk assessment and document the conditions for non-conformance of RMDs and other devices due to transport when RMDs </w:t>
            </w:r>
            <w:r w:rsidRPr="00852E02">
              <w:rPr>
                <w:rFonts w:cstheme="minorHAnsi"/>
                <w:sz w:val="22"/>
              </w:rPr>
              <w:lastRenderedPageBreak/>
              <w:t>and other devices are transported between sites.</w:t>
            </w:r>
            <w:bookmarkEnd w:id="62"/>
          </w:p>
        </w:tc>
        <w:tc>
          <w:tcPr>
            <w:tcW w:w="1712" w:type="pct"/>
            <w:tcMar>
              <w:top w:w="108" w:type="dxa"/>
              <w:bottom w:w="108" w:type="dxa"/>
            </w:tcMar>
          </w:tcPr>
          <w:p w14:paraId="521BCEBC" w14:textId="52EA4E2F" w:rsidR="00005BD0" w:rsidRPr="00852E02" w:rsidRDefault="00005BD0" w:rsidP="00005BD0">
            <w:pPr>
              <w:rPr>
                <w:rFonts w:cstheme="minorHAnsi"/>
                <w:sz w:val="22"/>
              </w:rPr>
            </w:pPr>
            <w:r w:rsidRPr="00852E02">
              <w:rPr>
                <w:rFonts w:cstheme="minorHAnsi"/>
                <w:sz w:val="22"/>
              </w:rPr>
              <w:lastRenderedPageBreak/>
              <w:t xml:space="preserve">Health service organisations should review and update their policies, procedures, or protocols on handling, transporting, and storing reprocessed critical/semi-critical RMDs and other devices to align with the </w:t>
            </w:r>
            <w:r w:rsidR="00A42501" w:rsidRPr="00852E02">
              <w:rPr>
                <w:rFonts w:cstheme="minorHAnsi"/>
                <w:sz w:val="22"/>
              </w:rPr>
              <w:t>recommendations</w:t>
            </w:r>
            <w:r w:rsidRPr="00852E02">
              <w:rPr>
                <w:rFonts w:cstheme="minorHAnsi"/>
                <w:sz w:val="22"/>
              </w:rPr>
              <w:t xml:space="preserve"> as specified in Appendix </w:t>
            </w:r>
            <w:r w:rsidRPr="00852E02">
              <w:rPr>
                <w:rFonts w:cstheme="minorHAnsi"/>
                <w:sz w:val="22"/>
              </w:rPr>
              <w:lastRenderedPageBreak/>
              <w:t>A.9.5</w:t>
            </w:r>
            <w:r w:rsidR="00A42501" w:rsidRPr="00852E02">
              <w:rPr>
                <w:rFonts w:cstheme="minorHAnsi"/>
                <w:sz w:val="22"/>
              </w:rPr>
              <w:t xml:space="preserve"> </w:t>
            </w:r>
            <w:r w:rsidR="00A42501" w:rsidRPr="00852E02">
              <w:rPr>
                <w:rFonts w:cstheme="minorHAnsi"/>
                <w:i/>
                <w:iCs/>
                <w:sz w:val="22"/>
              </w:rPr>
              <w:t>Handling, transport and storage of released reprocessed RMDs/other devices</w:t>
            </w:r>
            <w:r w:rsidRPr="00852E02">
              <w:rPr>
                <w:rFonts w:cstheme="minorHAnsi"/>
                <w:i/>
                <w:iCs/>
                <w:sz w:val="22"/>
              </w:rPr>
              <w:t xml:space="preserve"> </w:t>
            </w:r>
            <w:r w:rsidRPr="00852E02">
              <w:rPr>
                <w:rFonts w:cstheme="minorHAnsi"/>
                <w:sz w:val="22"/>
              </w:rPr>
              <w:t>of</w:t>
            </w:r>
            <w:r w:rsidRPr="00852E02">
              <w:rPr>
                <w:rFonts w:cstheme="minorHAnsi"/>
                <w:i/>
                <w:iCs/>
                <w:sz w:val="22"/>
              </w:rPr>
              <w:t xml:space="preserve"> </w:t>
            </w:r>
            <w:r w:rsidRPr="00852E02">
              <w:rPr>
                <w:rFonts w:cstheme="minorHAnsi"/>
                <w:sz w:val="22"/>
              </w:rPr>
              <w:t>AS 5369:2023. Staff who are involved in those processes should be informed of the change.</w:t>
            </w:r>
          </w:p>
          <w:p w14:paraId="6A564B22" w14:textId="0229D63D" w:rsidR="00005BD0" w:rsidRPr="00852E02" w:rsidRDefault="00005BD0" w:rsidP="00005BD0">
            <w:pPr>
              <w:rPr>
                <w:rFonts w:cstheme="minorHAnsi"/>
                <w:sz w:val="22"/>
              </w:rPr>
            </w:pPr>
            <w:r w:rsidRPr="00852E02">
              <w:rPr>
                <w:rFonts w:cstheme="minorHAnsi"/>
                <w:sz w:val="22"/>
              </w:rPr>
              <w:t xml:space="preserve">Health service organisations consider adding those processes as part of induction training for relevant new staff and keeping the relevant training records. </w:t>
            </w:r>
          </w:p>
          <w:p w14:paraId="0C987235" w14:textId="7E4F2BBA" w:rsidR="00005BD0" w:rsidRPr="00852E02" w:rsidRDefault="00005BD0" w:rsidP="00005BD0">
            <w:pPr>
              <w:rPr>
                <w:rFonts w:cstheme="minorHAnsi"/>
                <w:sz w:val="22"/>
              </w:rPr>
            </w:pPr>
            <w:r w:rsidRPr="00852E02">
              <w:rPr>
                <w:rFonts w:cstheme="minorHAnsi"/>
                <w:sz w:val="22"/>
              </w:rPr>
              <w:t xml:space="preserve">Health service organisations can refer to Section 3.1.4 </w:t>
            </w:r>
            <w:r w:rsidRPr="00852E02">
              <w:rPr>
                <w:rFonts w:cstheme="minorHAnsi"/>
                <w:i/>
                <w:iCs/>
                <w:sz w:val="22"/>
              </w:rPr>
              <w:t xml:space="preserve">Reprocessing of reusable medical devices </w:t>
            </w:r>
            <w:r w:rsidRPr="00852E02">
              <w:rPr>
                <w:rFonts w:cstheme="minorHAnsi"/>
                <w:sz w:val="22"/>
              </w:rPr>
              <w:t>and</w:t>
            </w:r>
            <w:r w:rsidRPr="00852E02">
              <w:rPr>
                <w:rFonts w:cstheme="minorHAnsi"/>
                <w:i/>
                <w:iCs/>
                <w:sz w:val="22"/>
              </w:rPr>
              <w:t xml:space="preserve"> </w:t>
            </w:r>
            <w:r w:rsidRPr="00852E02">
              <w:rPr>
                <w:rFonts w:cstheme="minorHAnsi"/>
                <w:sz w:val="22"/>
              </w:rPr>
              <w:t xml:space="preserve">Section 4.3 </w:t>
            </w:r>
            <w:r w:rsidRPr="00852E02">
              <w:rPr>
                <w:rFonts w:cstheme="minorHAnsi"/>
                <w:i/>
                <w:iCs/>
                <w:sz w:val="22"/>
              </w:rPr>
              <w:t xml:space="preserve">Education and training </w:t>
            </w:r>
            <w:r w:rsidRPr="00852E02">
              <w:rPr>
                <w:rFonts w:cstheme="minorHAnsi"/>
                <w:sz w:val="22"/>
              </w:rPr>
              <w:t xml:space="preserve">of </w:t>
            </w:r>
            <w:hyperlink r:id="rId76" w:history="1">
              <w:r w:rsidRPr="00852E02">
                <w:rPr>
                  <w:rStyle w:val="Hyperlink"/>
                  <w:rFonts w:cstheme="minorHAnsi"/>
                  <w:sz w:val="22"/>
                </w:rPr>
                <w:t>the Guidelines</w:t>
              </w:r>
            </w:hyperlink>
            <w:r w:rsidRPr="00852E02">
              <w:rPr>
                <w:rFonts w:cstheme="minorHAnsi"/>
                <w:sz w:val="22"/>
              </w:rPr>
              <w:t xml:space="preserve"> on storage and maintenance and education strategies.</w:t>
            </w:r>
          </w:p>
          <w:p w14:paraId="544AA784" w14:textId="561BDAE1" w:rsidR="00A151BA" w:rsidRPr="00852E02" w:rsidRDefault="00A151BA" w:rsidP="00005BD0">
            <w:pPr>
              <w:rPr>
                <w:rFonts w:cstheme="minorHAnsi"/>
                <w:sz w:val="22"/>
              </w:rPr>
            </w:pPr>
            <w:r w:rsidRPr="00852E02">
              <w:rPr>
                <w:rFonts w:cstheme="minorHAnsi"/>
                <w:sz w:val="22"/>
              </w:rPr>
              <w:t xml:space="preserve">Health service organisations should refer to the </w:t>
            </w:r>
            <w:hyperlink r:id="rId77" w:history="1">
              <w:r w:rsidR="00A42501" w:rsidRPr="00852E02">
                <w:rPr>
                  <w:rStyle w:val="Hyperlink"/>
                  <w:rFonts w:cstheme="minorHAnsi"/>
                  <w:sz w:val="22"/>
                </w:rPr>
                <w:t>AusHFG</w:t>
              </w:r>
            </w:hyperlink>
            <w:r w:rsidR="00A42501" w:rsidRPr="00852E02">
              <w:rPr>
                <w:rStyle w:val="Hyperlink"/>
                <w:rFonts w:cstheme="minorHAnsi"/>
                <w:sz w:val="22"/>
              </w:rPr>
              <w:t xml:space="preserve"> </w:t>
            </w:r>
            <w:r w:rsidRPr="00852E02">
              <w:rPr>
                <w:rFonts w:cstheme="minorHAnsi"/>
                <w:sz w:val="22"/>
              </w:rPr>
              <w:t>for guidance on stock storage.</w:t>
            </w:r>
          </w:p>
        </w:tc>
      </w:tr>
    </w:tbl>
    <w:p w14:paraId="53FA97C1" w14:textId="77777777" w:rsidR="00CE2EED" w:rsidRPr="00C87339" w:rsidRDefault="00CE2EED" w:rsidP="00CE2EED">
      <w:pPr>
        <w:pStyle w:val="Heading2"/>
      </w:pPr>
      <w:bookmarkStart w:id="63" w:name="_Toc146530202"/>
      <w:bookmarkStart w:id="64" w:name="_Toc174010264"/>
      <w:r w:rsidRPr="00C87339">
        <w:lastRenderedPageBreak/>
        <w:t>More information</w:t>
      </w:r>
      <w:bookmarkEnd w:id="63"/>
      <w:bookmarkEnd w:id="64"/>
    </w:p>
    <w:p w14:paraId="4F9C98A2" w14:textId="77777777" w:rsidR="00CE2EED" w:rsidRDefault="00CE2EED" w:rsidP="00CE2EED">
      <w:r>
        <w:t xml:space="preserve">For more information on the NSQHS Standards, please visit: </w:t>
      </w:r>
      <w:hyperlink r:id="rId78" w:history="1">
        <w:r w:rsidRPr="00887198">
          <w:rPr>
            <w:rStyle w:val="Hyperlink"/>
          </w:rPr>
          <w:t>https://www.safetyandquality.gov.au/standards/nsqhs-standards</w:t>
        </w:r>
      </w:hyperlink>
      <w:r>
        <w:t xml:space="preserve"> </w:t>
      </w:r>
    </w:p>
    <w:p w14:paraId="459870AB" w14:textId="77777777" w:rsidR="00CE2EED" w:rsidRPr="00550FDF" w:rsidRDefault="00CE2EED" w:rsidP="00CE2EED">
      <w:r>
        <w:t xml:space="preserve">For further enquiries contact </w:t>
      </w:r>
      <w:hyperlink r:id="rId79" w:history="1">
        <w:r w:rsidRPr="00887198">
          <w:rPr>
            <w:rStyle w:val="Hyperlink"/>
          </w:rPr>
          <w:t>AdviceCentre@safetyandquality.gov.au</w:t>
        </w:r>
      </w:hyperlink>
      <w:r>
        <w:t xml:space="preserve"> </w:t>
      </w:r>
    </w:p>
    <w:p w14:paraId="04272698" w14:textId="77777777" w:rsidR="00CE2EED" w:rsidRPr="00EA0B96" w:rsidRDefault="005949D6" w:rsidP="00CE2EED">
      <w:pPr>
        <w:pStyle w:val="SandQwebaddress"/>
        <w:rPr>
          <w:b/>
          <w:bCs/>
          <w:color w:val="005370"/>
          <w:sz w:val="26"/>
          <w:szCs w:val="26"/>
        </w:rPr>
      </w:pPr>
      <w:hyperlink r:id="rId80" w:history="1">
        <w:r w:rsidR="00CE2EED" w:rsidRPr="000811F9">
          <w:rPr>
            <w:rStyle w:val="Hyperlink"/>
            <w:b/>
            <w:bCs/>
            <w:sz w:val="26"/>
            <w:szCs w:val="26"/>
            <w:u w:val="none"/>
          </w:rPr>
          <w:t>safetyandquality.gov.au</w:t>
        </w:r>
      </w:hyperlink>
    </w:p>
    <w:p w14:paraId="6D0039DB" w14:textId="77777777" w:rsidR="00CE2EED" w:rsidRPr="00F22513" w:rsidRDefault="00CE2EED" w:rsidP="00CE2EED">
      <w:pPr>
        <w:pStyle w:val="FootnoteText"/>
        <w:tabs>
          <w:tab w:val="right" w:pos="8931"/>
        </w:tabs>
        <w:spacing w:after="0"/>
        <w:rPr>
          <w:rFonts w:eastAsia="MS Gothic"/>
          <w:color w:val="FF00FF"/>
        </w:rPr>
      </w:pPr>
      <w:r>
        <w:rPr>
          <w:noProof/>
        </w:rPr>
        <w:drawing>
          <wp:anchor distT="0" distB="0" distL="114300" distR="114300" simplePos="0" relativeHeight="251659264" behindDoc="0" locked="0" layoutInCell="1" allowOverlap="1" wp14:anchorId="3CB87FF1" wp14:editId="0D112449">
            <wp:simplePos x="0" y="0"/>
            <wp:positionH relativeFrom="column">
              <wp:posOffset>0</wp:posOffset>
            </wp:positionH>
            <wp:positionV relativeFrom="paragraph">
              <wp:posOffset>34290</wp:posOffset>
            </wp:positionV>
            <wp:extent cx="840105" cy="297815"/>
            <wp:effectExtent l="0" t="0" r="0" b="0"/>
            <wp:wrapSquare wrapText="bothSides"/>
            <wp:docPr id="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a:extLst>
                        <a:ext uri="{C183D7F6-B498-43B3-948B-1728B52AA6E4}">
                          <adec:decorative xmlns:adec="http://schemas.microsoft.com/office/drawing/2017/decorative" val="1"/>
                        </a:ext>
                      </a:extLst>
                    </pic:cNvPr>
                    <pic:cNvPicPr>
                      <a:picLocks/>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B96">
        <w:rPr>
          <w:rStyle w:val="Roman"/>
          <w:rFonts w:eastAsia="MS Gothic"/>
        </w:rPr>
        <w:t xml:space="preserve">© Australian Commission on Safety </w:t>
      </w:r>
      <w:r w:rsidRPr="00EA0B96">
        <w:rPr>
          <w:rStyle w:val="Roman"/>
          <w:rFonts w:eastAsia="MS Gothic"/>
        </w:rPr>
        <w:br/>
        <w:t>and Quality in Health Car</w:t>
      </w:r>
      <w:r w:rsidRPr="00DA2488">
        <w:rPr>
          <w:rStyle w:val="Roman"/>
          <w:rFonts w:eastAsia="MS Gothic"/>
        </w:rPr>
        <w:t>e 202</w:t>
      </w:r>
      <w:r>
        <w:rPr>
          <w:rStyle w:val="Roman"/>
          <w:rFonts w:eastAsia="MS Gothic"/>
        </w:rPr>
        <w:t>4</w:t>
      </w:r>
      <w:r w:rsidRPr="00DA2488" w:rsidDel="00174535">
        <w:rPr>
          <w:rStyle w:val="Roman"/>
          <w:rFonts w:eastAsia="MS Gothic"/>
        </w:rPr>
        <w:t xml:space="preserve"> </w:t>
      </w:r>
    </w:p>
    <w:p w14:paraId="3ACFE114" w14:textId="77777777" w:rsidR="00CE2EED" w:rsidRPr="00241E7A" w:rsidRDefault="00CE2EED" w:rsidP="00962EDE"/>
    <w:sectPr w:rsidR="00CE2EED" w:rsidRPr="00241E7A" w:rsidSect="008E7AD3">
      <w:footnotePr>
        <w:numFmt w:val="chicago"/>
      </w:footnotePr>
      <w:pgSz w:w="16840" w:h="11900" w:orient="landscape"/>
      <w:pgMar w:top="1134" w:right="1735" w:bottom="1134" w:left="1440"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27FA9" w14:textId="77777777" w:rsidR="00C77230" w:rsidRDefault="00C77230" w:rsidP="000B0274">
      <w:r>
        <w:separator/>
      </w:r>
    </w:p>
    <w:p w14:paraId="2E883B08" w14:textId="77777777" w:rsidR="00C77230" w:rsidRDefault="00C77230"/>
    <w:p w14:paraId="3B4D7B10" w14:textId="77777777" w:rsidR="00C77230" w:rsidRDefault="00C77230"/>
    <w:p w14:paraId="2676E540" w14:textId="77777777" w:rsidR="00C77230" w:rsidRDefault="00C77230"/>
    <w:p w14:paraId="3A458E89" w14:textId="77777777" w:rsidR="00C77230" w:rsidRDefault="00C77230"/>
  </w:endnote>
  <w:endnote w:type="continuationSeparator" w:id="0">
    <w:p w14:paraId="738AD677" w14:textId="77777777" w:rsidR="00C77230" w:rsidRDefault="00C77230" w:rsidP="000B0274">
      <w:r>
        <w:continuationSeparator/>
      </w:r>
    </w:p>
    <w:p w14:paraId="30529921" w14:textId="77777777" w:rsidR="00C77230" w:rsidRDefault="00C77230"/>
    <w:p w14:paraId="6BC9513D" w14:textId="77777777" w:rsidR="00C77230" w:rsidRDefault="00C77230"/>
    <w:p w14:paraId="253E9197" w14:textId="77777777" w:rsidR="00C77230" w:rsidRDefault="00C77230"/>
    <w:p w14:paraId="6C640E37" w14:textId="77777777" w:rsidR="00C77230" w:rsidRDefault="00C772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Arial (Body)">
    <w:altName w:val="Arial"/>
    <w:charset w:val="00"/>
    <w:family w:val="roman"/>
    <w:pitch w:val="default"/>
  </w:font>
  <w:font w:name="Gotham Medium">
    <w:panose1 w:val="00000000000000000000"/>
    <w:charset w:val="00"/>
    <w:family w:val="auto"/>
    <w:notTrueType/>
    <w:pitch w:val="variable"/>
    <w:sig w:usb0="A100007F" w:usb1="4000005B" w:usb2="00000000" w:usb3="00000000" w:csb0="0000009B" w:csb1="00000000"/>
  </w:font>
  <w:font w:name="Lucida Grande">
    <w:altName w:val="Arial"/>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5267E" w14:textId="77777777" w:rsidR="00FE7540" w:rsidRDefault="00FE7540" w:rsidP="00D84622">
    <w:pPr>
      <w:pStyle w:val="Footer"/>
    </w:pPr>
  </w:p>
  <w:p w14:paraId="6CC28B8F" w14:textId="77777777" w:rsidR="00FE7540" w:rsidRDefault="00FE7540"/>
  <w:p w14:paraId="7E70DA57" w14:textId="77777777" w:rsidR="00FE7540" w:rsidRDefault="00FE7540"/>
  <w:p w14:paraId="4A75434D" w14:textId="77777777" w:rsidR="00FE7540" w:rsidRDefault="00FE75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9272F" w14:textId="77777777" w:rsidR="004120CA" w:rsidRDefault="004120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03B8A" w14:textId="10FE94FB" w:rsidR="002E4B35" w:rsidRDefault="00F125AA" w:rsidP="0007037D">
    <w:pPr>
      <w:pStyle w:val="Footer"/>
      <w:tabs>
        <w:tab w:val="clear" w:pos="9638"/>
        <w:tab w:val="right" w:pos="13467"/>
      </w:tabs>
    </w:pPr>
    <w:r w:rsidRPr="001D221F">
      <w:t>Transitioning from AS/NZS 4187:2014 to AS 5369:2023</w:t>
    </w:r>
    <w:r w:rsidR="002E4B35" w:rsidRPr="00D84622">
      <w:tab/>
    </w:r>
    <w:r w:rsidR="002E4B35" w:rsidRPr="00D84622">
      <w:fldChar w:fldCharType="begin"/>
    </w:r>
    <w:r w:rsidR="002E4B35" w:rsidRPr="00D84622">
      <w:instrText xml:space="preserve"> PAGE   \* MERGEFORMAT </w:instrText>
    </w:r>
    <w:r w:rsidR="002E4B35" w:rsidRPr="00D84622">
      <w:fldChar w:fldCharType="separate"/>
    </w:r>
    <w:r w:rsidR="002E4B35" w:rsidRPr="00D84622">
      <w:t>4</w:t>
    </w:r>
    <w:r w:rsidR="002E4B35" w:rsidRPr="00D84622">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F533D" w14:textId="5913F111" w:rsidR="006D4CD4" w:rsidRPr="006D4CD4" w:rsidRDefault="001D221F" w:rsidP="006D4CD4">
    <w:pPr>
      <w:pStyle w:val="Footer"/>
    </w:pPr>
    <w:r w:rsidRPr="001D221F">
      <w:t>Transitioning from AS/NZS 4187:2014 to AS 5369:2023</w:t>
    </w:r>
    <w:r w:rsidR="006D4CD4" w:rsidRPr="00D84622">
      <w:tab/>
    </w:r>
    <w:r w:rsidR="006D4CD4" w:rsidRPr="00D84622">
      <w:fldChar w:fldCharType="begin"/>
    </w:r>
    <w:r w:rsidR="006D4CD4" w:rsidRPr="00D84622">
      <w:instrText xml:space="preserve"> PAGE   \* MERGEFORMAT </w:instrText>
    </w:r>
    <w:r w:rsidR="006D4CD4" w:rsidRPr="00D84622">
      <w:fldChar w:fldCharType="separate"/>
    </w:r>
    <w:r w:rsidR="006D4CD4">
      <w:t>2</w:t>
    </w:r>
    <w:r w:rsidR="006D4CD4" w:rsidRPr="00D8462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B3013" w14:textId="77777777" w:rsidR="00C77230" w:rsidRDefault="00C77230" w:rsidP="000B0274">
      <w:r>
        <w:separator/>
      </w:r>
    </w:p>
    <w:p w14:paraId="4AC02DD5" w14:textId="77777777" w:rsidR="00C77230" w:rsidRDefault="00C77230"/>
    <w:p w14:paraId="49AB118E" w14:textId="77777777" w:rsidR="00C77230" w:rsidRDefault="00C77230"/>
    <w:p w14:paraId="42CD51DF" w14:textId="77777777" w:rsidR="00C77230" w:rsidRDefault="00C77230"/>
    <w:p w14:paraId="59CAB752" w14:textId="77777777" w:rsidR="00C77230" w:rsidRDefault="00C77230"/>
  </w:footnote>
  <w:footnote w:type="continuationSeparator" w:id="0">
    <w:p w14:paraId="6102550E" w14:textId="77777777" w:rsidR="00C77230" w:rsidRDefault="00C77230" w:rsidP="000B0274">
      <w:r>
        <w:continuationSeparator/>
      </w:r>
    </w:p>
    <w:p w14:paraId="3185E3A9" w14:textId="77777777" w:rsidR="00C77230" w:rsidRDefault="00C77230"/>
    <w:p w14:paraId="787BA19C" w14:textId="77777777" w:rsidR="00C77230" w:rsidRDefault="00C77230"/>
    <w:p w14:paraId="39F3C7FF" w14:textId="77777777" w:rsidR="00C77230" w:rsidRDefault="00C77230"/>
    <w:p w14:paraId="584C51E2" w14:textId="77777777" w:rsidR="00C77230" w:rsidRDefault="00C772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6912E" w14:textId="77777777" w:rsidR="00FE7540" w:rsidRDefault="00FE7540"/>
  <w:p w14:paraId="2D3C4B2F" w14:textId="77777777" w:rsidR="00FE7540" w:rsidRDefault="00FE7540"/>
  <w:p w14:paraId="7D1D09C3" w14:textId="77777777" w:rsidR="00FE7540" w:rsidRDefault="00FE7540"/>
  <w:p w14:paraId="5E0C66D0" w14:textId="77777777" w:rsidR="00FE7540" w:rsidRDefault="00FE754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54847" w14:textId="64DCFC0E" w:rsidR="00FE7540" w:rsidRPr="002E4B35" w:rsidRDefault="009759DA" w:rsidP="002E4B35">
    <w:pPr>
      <w:tabs>
        <w:tab w:val="left" w:pos="7062"/>
        <w:tab w:val="right" w:pos="9638"/>
      </w:tabs>
      <w:spacing w:before="0"/>
      <w:ind w:left="-142"/>
    </w:pPr>
    <w:r>
      <w:rPr>
        <w:noProof/>
      </w:rPr>
      <w:drawing>
        <wp:inline distT="0" distB="0" distL="0" distR="0" wp14:anchorId="40F61218" wp14:editId="3C876AC6">
          <wp:extent cx="6120130" cy="544813"/>
          <wp:effectExtent l="0" t="0" r="0" b="8255"/>
          <wp:docPr id="1656663829" name="Picture 1656663829" descr="Australian Commission on Safety and Quality in Health Care and the National Safety and Quality Health Service Standard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Commission on Safety and Quality in Health Care and the National Safety and Quality Health Service Standards logos"/>
                  <pic:cNvPicPr/>
                </pic:nvPicPr>
                <pic:blipFill>
                  <a:blip r:embed="rId1"/>
                  <a:stretch>
                    <a:fillRect/>
                  </a:stretch>
                </pic:blipFill>
                <pic:spPr>
                  <a:xfrm>
                    <a:off x="0" y="0"/>
                    <a:ext cx="6120130" cy="54481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DF53" w14:textId="0EDC1D41" w:rsidR="002E123C" w:rsidRDefault="002E123C">
    <w:pPr>
      <w:pStyle w:val="Header"/>
    </w:pPr>
    <w:r>
      <w:rPr>
        <w:noProof/>
      </w:rPr>
      <w:drawing>
        <wp:inline distT="0" distB="0" distL="0" distR="0" wp14:anchorId="2D5B0212" wp14:editId="176B3842">
          <wp:extent cx="6116320" cy="544474"/>
          <wp:effectExtent l="0" t="0" r="0" b="8255"/>
          <wp:docPr id="1043456181" name="Picture 1043456181" descr="Australian Commission on Safety and Quality in Health Care and the National Safety and Quality Health Service Standard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Commission on Safety and Quality in Health Care and the National Safety and Quality Health Service Standards logos"/>
                  <pic:cNvPicPr/>
                </pic:nvPicPr>
                <pic:blipFill>
                  <a:blip r:embed="rId1"/>
                  <a:stretch>
                    <a:fillRect/>
                  </a:stretch>
                </pic:blipFill>
                <pic:spPr>
                  <a:xfrm>
                    <a:off x="0" y="0"/>
                    <a:ext cx="6116320" cy="54447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9AC06" w14:textId="77777777" w:rsidR="004120CA" w:rsidRDefault="004120C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7A2EC" w14:textId="77777777" w:rsidR="004120CA" w:rsidRDefault="004120C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C97FB" w14:textId="477624C2" w:rsidR="00EE552C" w:rsidRDefault="009D6DC5" w:rsidP="004B7468">
    <w:pPr>
      <w:pStyle w:val="Header"/>
      <w:jc w:val="right"/>
    </w:pPr>
    <w:r>
      <w:t xml:space="preserve">                </w:t>
    </w:r>
    <w:r w:rsidRPr="009D6DC5">
      <w:rP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AEA5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DE98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706B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1E75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78E3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DE1D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92B1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3E9A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EC5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E850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27D9"/>
    <w:multiLevelType w:val="hybridMultilevel"/>
    <w:tmpl w:val="CA94384C"/>
    <w:lvl w:ilvl="0" w:tplc="FFFFFFFF">
      <w:start w:val="1"/>
      <w:numFmt w:val="bullet"/>
      <w:lvlText w:val=""/>
      <w:lvlJc w:val="left"/>
      <w:pPr>
        <w:ind w:left="360" w:hanging="360"/>
      </w:pPr>
      <w:rPr>
        <w:rFonts w:ascii="Symbol" w:hAnsi="Symbol" w:hint="default"/>
      </w:rPr>
    </w:lvl>
    <w:lvl w:ilvl="1" w:tplc="F5880D3E">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6105138"/>
    <w:multiLevelType w:val="hybridMultilevel"/>
    <w:tmpl w:val="0E8C4BC4"/>
    <w:lvl w:ilvl="0" w:tplc="EC840366">
      <w:start w:val="1"/>
      <w:numFmt w:val="bullet"/>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D71498"/>
    <w:multiLevelType w:val="hybridMultilevel"/>
    <w:tmpl w:val="27B834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B920B85"/>
    <w:multiLevelType w:val="hybridMultilevel"/>
    <w:tmpl w:val="25627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E9C32EB"/>
    <w:multiLevelType w:val="multilevel"/>
    <w:tmpl w:val="D1DCA2EC"/>
    <w:lvl w:ilvl="0">
      <w:start w:val="1"/>
      <w:numFmt w:val="bulle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114B0BBE"/>
    <w:multiLevelType w:val="hybridMultilevel"/>
    <w:tmpl w:val="89C61BB2"/>
    <w:lvl w:ilvl="0" w:tplc="F5880D3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6BB4224"/>
    <w:multiLevelType w:val="hybridMultilevel"/>
    <w:tmpl w:val="9A809E82"/>
    <w:lvl w:ilvl="0" w:tplc="288E36DA">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ED443B"/>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9F1571C"/>
    <w:multiLevelType w:val="hybridMultilevel"/>
    <w:tmpl w:val="3C0AC4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19FB70A4"/>
    <w:multiLevelType w:val="hybridMultilevel"/>
    <w:tmpl w:val="06FA1C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1A236144"/>
    <w:multiLevelType w:val="hybridMultilevel"/>
    <w:tmpl w:val="7EF63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A5E2DC9"/>
    <w:multiLevelType w:val="hybridMultilevel"/>
    <w:tmpl w:val="86E4779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1E832F3E"/>
    <w:multiLevelType w:val="hybridMultilevel"/>
    <w:tmpl w:val="45CAE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0E40FBF"/>
    <w:multiLevelType w:val="hybridMultilevel"/>
    <w:tmpl w:val="B6E4CA2C"/>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214C1A71"/>
    <w:multiLevelType w:val="multilevel"/>
    <w:tmpl w:val="18722D48"/>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8" w15:restartNumberingAfterBreak="0">
    <w:nsid w:val="240D31BA"/>
    <w:multiLevelType w:val="hybridMultilevel"/>
    <w:tmpl w:val="F3A22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84F103C"/>
    <w:multiLevelType w:val="hybridMultilevel"/>
    <w:tmpl w:val="135271F8"/>
    <w:lvl w:ilvl="0" w:tplc="0C090001">
      <w:start w:val="1"/>
      <w:numFmt w:val="bullet"/>
      <w:lvlText w:val=""/>
      <w:lvlJc w:val="left"/>
      <w:pPr>
        <w:ind w:left="360" w:hanging="360"/>
      </w:pPr>
      <w:rPr>
        <w:rFonts w:ascii="Symbol" w:hAnsi="Symbol" w:hint="default"/>
      </w:rPr>
    </w:lvl>
    <w:lvl w:ilvl="1" w:tplc="F5880D3E">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2E7E4F75"/>
    <w:multiLevelType w:val="hybridMultilevel"/>
    <w:tmpl w:val="56CEB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4927E44"/>
    <w:multiLevelType w:val="hybridMultilevel"/>
    <w:tmpl w:val="D1B48FCE"/>
    <w:lvl w:ilvl="0" w:tplc="F5880D3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FE90D34"/>
    <w:multiLevelType w:val="hybridMultilevel"/>
    <w:tmpl w:val="603C35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46A452C3"/>
    <w:multiLevelType w:val="multilevel"/>
    <w:tmpl w:val="3FEA7E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C7265DB"/>
    <w:multiLevelType w:val="hybridMultilevel"/>
    <w:tmpl w:val="B9BE5470"/>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58D51963"/>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D80077"/>
    <w:multiLevelType w:val="hybridMultilevel"/>
    <w:tmpl w:val="04C440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D10C15"/>
    <w:multiLevelType w:val="hybridMultilevel"/>
    <w:tmpl w:val="6FA68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977367A"/>
    <w:multiLevelType w:val="hybridMultilevel"/>
    <w:tmpl w:val="C8D672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D6B5F82"/>
    <w:multiLevelType w:val="hybridMultilevel"/>
    <w:tmpl w:val="6F7451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4F82BE3"/>
    <w:multiLevelType w:val="hybridMultilevel"/>
    <w:tmpl w:val="BC86D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773E56A5"/>
    <w:multiLevelType w:val="hybridMultilevel"/>
    <w:tmpl w:val="9A1E104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77D73AC8"/>
    <w:multiLevelType w:val="hybridMultilevel"/>
    <w:tmpl w:val="9192FE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7BC33F43"/>
    <w:multiLevelType w:val="hybridMultilevel"/>
    <w:tmpl w:val="59DCA66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407264671">
    <w:abstractNumId w:val="11"/>
  </w:num>
  <w:num w:numId="2" w16cid:durableId="151913477">
    <w:abstractNumId w:val="15"/>
  </w:num>
  <w:num w:numId="3" w16cid:durableId="348606052">
    <w:abstractNumId w:val="27"/>
  </w:num>
  <w:num w:numId="4" w16cid:durableId="1235355125">
    <w:abstractNumId w:val="34"/>
  </w:num>
  <w:num w:numId="5" w16cid:durableId="1472750514">
    <w:abstractNumId w:val="33"/>
  </w:num>
  <w:num w:numId="6" w16cid:durableId="614288394">
    <w:abstractNumId w:val="16"/>
  </w:num>
  <w:num w:numId="7" w16cid:durableId="245379576">
    <w:abstractNumId w:val="18"/>
  </w:num>
  <w:num w:numId="8" w16cid:durableId="172110863">
    <w:abstractNumId w:val="12"/>
  </w:num>
  <w:num w:numId="9" w16cid:durableId="58670212">
    <w:abstractNumId w:val="41"/>
  </w:num>
  <w:num w:numId="10" w16cid:durableId="534196612">
    <w:abstractNumId w:val="23"/>
  </w:num>
  <w:num w:numId="11" w16cid:durableId="827283642">
    <w:abstractNumId w:val="20"/>
  </w:num>
  <w:num w:numId="12" w16cid:durableId="1909533196">
    <w:abstractNumId w:val="39"/>
  </w:num>
  <w:num w:numId="13" w16cid:durableId="32389037">
    <w:abstractNumId w:val="21"/>
  </w:num>
  <w:num w:numId="14" w16cid:durableId="600066042">
    <w:abstractNumId w:val="32"/>
  </w:num>
  <w:num w:numId="15" w16cid:durableId="1676572075">
    <w:abstractNumId w:val="43"/>
  </w:num>
  <w:num w:numId="16" w16cid:durableId="1887064147">
    <w:abstractNumId w:val="30"/>
  </w:num>
  <w:num w:numId="17" w16cid:durableId="1194685873">
    <w:abstractNumId w:val="19"/>
  </w:num>
  <w:num w:numId="18" w16cid:durableId="1656180747">
    <w:abstractNumId w:val="36"/>
  </w:num>
  <w:num w:numId="19" w16cid:durableId="507600832">
    <w:abstractNumId w:val="37"/>
  </w:num>
  <w:num w:numId="20" w16cid:durableId="432896054">
    <w:abstractNumId w:val="0"/>
  </w:num>
  <w:num w:numId="21" w16cid:durableId="709962027">
    <w:abstractNumId w:val="1"/>
  </w:num>
  <w:num w:numId="22" w16cid:durableId="127600342">
    <w:abstractNumId w:val="2"/>
  </w:num>
  <w:num w:numId="23" w16cid:durableId="510798662">
    <w:abstractNumId w:val="3"/>
  </w:num>
  <w:num w:numId="24" w16cid:durableId="1460763758">
    <w:abstractNumId w:val="8"/>
  </w:num>
  <w:num w:numId="25" w16cid:durableId="32459187">
    <w:abstractNumId w:val="4"/>
  </w:num>
  <w:num w:numId="26" w16cid:durableId="606155784">
    <w:abstractNumId w:val="5"/>
  </w:num>
  <w:num w:numId="27" w16cid:durableId="1602303292">
    <w:abstractNumId w:val="6"/>
  </w:num>
  <w:num w:numId="28" w16cid:durableId="1497647213">
    <w:abstractNumId w:val="7"/>
  </w:num>
  <w:num w:numId="29" w16cid:durableId="167600216">
    <w:abstractNumId w:val="9"/>
  </w:num>
  <w:num w:numId="30" w16cid:durableId="2058892931">
    <w:abstractNumId w:val="40"/>
  </w:num>
  <w:num w:numId="31" w16cid:durableId="1727099578">
    <w:abstractNumId w:val="28"/>
  </w:num>
  <w:num w:numId="32" w16cid:durableId="1988631549">
    <w:abstractNumId w:val="10"/>
  </w:num>
  <w:num w:numId="33" w16cid:durableId="1019625135">
    <w:abstractNumId w:val="17"/>
  </w:num>
  <w:num w:numId="34" w16cid:durableId="1121610254">
    <w:abstractNumId w:val="31"/>
  </w:num>
  <w:num w:numId="35" w16cid:durableId="240406553">
    <w:abstractNumId w:val="29"/>
  </w:num>
  <w:num w:numId="36" w16cid:durableId="1065763072">
    <w:abstractNumId w:val="25"/>
  </w:num>
  <w:num w:numId="37" w16cid:durableId="1295866464">
    <w:abstractNumId w:val="42"/>
  </w:num>
  <w:num w:numId="38" w16cid:durableId="1449814545">
    <w:abstractNumId w:val="35"/>
  </w:num>
  <w:num w:numId="39" w16cid:durableId="892543184">
    <w:abstractNumId w:val="13"/>
  </w:num>
  <w:num w:numId="40" w16cid:durableId="23598585">
    <w:abstractNumId w:val="24"/>
  </w:num>
  <w:num w:numId="41" w16cid:durableId="1517577753">
    <w:abstractNumId w:val="14"/>
  </w:num>
  <w:num w:numId="42" w16cid:durableId="360010293">
    <w:abstractNumId w:val="44"/>
  </w:num>
  <w:num w:numId="43" w16cid:durableId="1647205127">
    <w:abstractNumId w:val="26"/>
  </w:num>
  <w:num w:numId="44" w16cid:durableId="2094087137">
    <w:abstractNumId w:val="38"/>
  </w:num>
  <w:num w:numId="45" w16cid:durableId="56444324">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881"/>
    <w:rsid w:val="0000158E"/>
    <w:rsid w:val="00002668"/>
    <w:rsid w:val="00003743"/>
    <w:rsid w:val="00005BD0"/>
    <w:rsid w:val="00005FFA"/>
    <w:rsid w:val="000077FA"/>
    <w:rsid w:val="00007CE4"/>
    <w:rsid w:val="0001053B"/>
    <w:rsid w:val="00010D70"/>
    <w:rsid w:val="00012782"/>
    <w:rsid w:val="00015E0C"/>
    <w:rsid w:val="00020187"/>
    <w:rsid w:val="00020DBD"/>
    <w:rsid w:val="000254DC"/>
    <w:rsid w:val="00025A92"/>
    <w:rsid w:val="00025F9D"/>
    <w:rsid w:val="0003162D"/>
    <w:rsid w:val="00036AB8"/>
    <w:rsid w:val="00036F5E"/>
    <w:rsid w:val="000406F8"/>
    <w:rsid w:val="00043671"/>
    <w:rsid w:val="00043A0A"/>
    <w:rsid w:val="00050775"/>
    <w:rsid w:val="000528F2"/>
    <w:rsid w:val="00054B74"/>
    <w:rsid w:val="0005641E"/>
    <w:rsid w:val="00056898"/>
    <w:rsid w:val="0006346C"/>
    <w:rsid w:val="00067456"/>
    <w:rsid w:val="00067CE9"/>
    <w:rsid w:val="0007037D"/>
    <w:rsid w:val="00070812"/>
    <w:rsid w:val="00071C2B"/>
    <w:rsid w:val="000720AA"/>
    <w:rsid w:val="00074553"/>
    <w:rsid w:val="0008065C"/>
    <w:rsid w:val="00083CD1"/>
    <w:rsid w:val="00090EFF"/>
    <w:rsid w:val="00091FC5"/>
    <w:rsid w:val="00092229"/>
    <w:rsid w:val="0009229C"/>
    <w:rsid w:val="00092E65"/>
    <w:rsid w:val="00095DA6"/>
    <w:rsid w:val="00095DC5"/>
    <w:rsid w:val="0009726C"/>
    <w:rsid w:val="000A108B"/>
    <w:rsid w:val="000A3F0D"/>
    <w:rsid w:val="000A4C01"/>
    <w:rsid w:val="000B0274"/>
    <w:rsid w:val="000B0BFE"/>
    <w:rsid w:val="000B4610"/>
    <w:rsid w:val="000B79D3"/>
    <w:rsid w:val="000C0DE2"/>
    <w:rsid w:val="000C1722"/>
    <w:rsid w:val="000C1DD4"/>
    <w:rsid w:val="000C5B0F"/>
    <w:rsid w:val="000C6124"/>
    <w:rsid w:val="000C78CF"/>
    <w:rsid w:val="000C7A69"/>
    <w:rsid w:val="000D017D"/>
    <w:rsid w:val="000D35C4"/>
    <w:rsid w:val="000D4378"/>
    <w:rsid w:val="000D6405"/>
    <w:rsid w:val="000D659A"/>
    <w:rsid w:val="000E15DA"/>
    <w:rsid w:val="000E2F2E"/>
    <w:rsid w:val="000E6523"/>
    <w:rsid w:val="000E754F"/>
    <w:rsid w:val="000E7AD2"/>
    <w:rsid w:val="000F0D77"/>
    <w:rsid w:val="000F29C7"/>
    <w:rsid w:val="000F492B"/>
    <w:rsid w:val="000F6B39"/>
    <w:rsid w:val="001033E0"/>
    <w:rsid w:val="0010673D"/>
    <w:rsid w:val="00106CF5"/>
    <w:rsid w:val="00115403"/>
    <w:rsid w:val="00115E61"/>
    <w:rsid w:val="00120FCB"/>
    <w:rsid w:val="001231CF"/>
    <w:rsid w:val="001242E0"/>
    <w:rsid w:val="0012797C"/>
    <w:rsid w:val="00131E52"/>
    <w:rsid w:val="00132A80"/>
    <w:rsid w:val="0013399A"/>
    <w:rsid w:val="00135D27"/>
    <w:rsid w:val="00140002"/>
    <w:rsid w:val="00143A76"/>
    <w:rsid w:val="00145BE3"/>
    <w:rsid w:val="00146A66"/>
    <w:rsid w:val="001507C6"/>
    <w:rsid w:val="00154FB8"/>
    <w:rsid w:val="00157B31"/>
    <w:rsid w:val="00160453"/>
    <w:rsid w:val="001652A9"/>
    <w:rsid w:val="00173954"/>
    <w:rsid w:val="00174141"/>
    <w:rsid w:val="001741AD"/>
    <w:rsid w:val="00174535"/>
    <w:rsid w:val="0017675C"/>
    <w:rsid w:val="00183675"/>
    <w:rsid w:val="00184C86"/>
    <w:rsid w:val="001852DE"/>
    <w:rsid w:val="001859B5"/>
    <w:rsid w:val="001860B2"/>
    <w:rsid w:val="001918F7"/>
    <w:rsid w:val="00191CE6"/>
    <w:rsid w:val="001921ED"/>
    <w:rsid w:val="00195458"/>
    <w:rsid w:val="001962DE"/>
    <w:rsid w:val="00196AC8"/>
    <w:rsid w:val="001A11A5"/>
    <w:rsid w:val="001A14DB"/>
    <w:rsid w:val="001A1EBD"/>
    <w:rsid w:val="001A4A68"/>
    <w:rsid w:val="001B15D1"/>
    <w:rsid w:val="001B3443"/>
    <w:rsid w:val="001B4159"/>
    <w:rsid w:val="001B5767"/>
    <w:rsid w:val="001B7C8B"/>
    <w:rsid w:val="001C0F51"/>
    <w:rsid w:val="001C22CB"/>
    <w:rsid w:val="001C6FDD"/>
    <w:rsid w:val="001D0D87"/>
    <w:rsid w:val="001D221F"/>
    <w:rsid w:val="001D5D61"/>
    <w:rsid w:val="001E1042"/>
    <w:rsid w:val="001E1FE4"/>
    <w:rsid w:val="001E3427"/>
    <w:rsid w:val="001E3564"/>
    <w:rsid w:val="001E38B8"/>
    <w:rsid w:val="001E77C4"/>
    <w:rsid w:val="001E7BB7"/>
    <w:rsid w:val="001F65CD"/>
    <w:rsid w:val="001F6D10"/>
    <w:rsid w:val="0020299C"/>
    <w:rsid w:val="002040BB"/>
    <w:rsid w:val="00205E4F"/>
    <w:rsid w:val="002060B7"/>
    <w:rsid w:val="002132AE"/>
    <w:rsid w:val="002166E4"/>
    <w:rsid w:val="00220F88"/>
    <w:rsid w:val="00223226"/>
    <w:rsid w:val="002252E3"/>
    <w:rsid w:val="002255F7"/>
    <w:rsid w:val="002272C9"/>
    <w:rsid w:val="00230084"/>
    <w:rsid w:val="0023112B"/>
    <w:rsid w:val="0023231A"/>
    <w:rsid w:val="00237ADF"/>
    <w:rsid w:val="00240F99"/>
    <w:rsid w:val="00241E7A"/>
    <w:rsid w:val="00242BA1"/>
    <w:rsid w:val="00245D81"/>
    <w:rsid w:val="0024767D"/>
    <w:rsid w:val="002503C3"/>
    <w:rsid w:val="00250A17"/>
    <w:rsid w:val="00251167"/>
    <w:rsid w:val="00254805"/>
    <w:rsid w:val="002550A7"/>
    <w:rsid w:val="00255596"/>
    <w:rsid w:val="00255DCB"/>
    <w:rsid w:val="00257E96"/>
    <w:rsid w:val="00261F43"/>
    <w:rsid w:val="00262327"/>
    <w:rsid w:val="002625FB"/>
    <w:rsid w:val="00263A63"/>
    <w:rsid w:val="00264387"/>
    <w:rsid w:val="00264A5A"/>
    <w:rsid w:val="002662B4"/>
    <w:rsid w:val="00266671"/>
    <w:rsid w:val="0026675D"/>
    <w:rsid w:val="002674D8"/>
    <w:rsid w:val="00267635"/>
    <w:rsid w:val="00267916"/>
    <w:rsid w:val="00271D66"/>
    <w:rsid w:val="00277A59"/>
    <w:rsid w:val="0028150E"/>
    <w:rsid w:val="00281FD4"/>
    <w:rsid w:val="0028310D"/>
    <w:rsid w:val="002851F2"/>
    <w:rsid w:val="00291EBD"/>
    <w:rsid w:val="00293CDE"/>
    <w:rsid w:val="002A5442"/>
    <w:rsid w:val="002A78FF"/>
    <w:rsid w:val="002A7E90"/>
    <w:rsid w:val="002B6275"/>
    <w:rsid w:val="002B6F55"/>
    <w:rsid w:val="002C11D1"/>
    <w:rsid w:val="002C1CA0"/>
    <w:rsid w:val="002C3436"/>
    <w:rsid w:val="002C529B"/>
    <w:rsid w:val="002C5B30"/>
    <w:rsid w:val="002C6AF0"/>
    <w:rsid w:val="002C6E07"/>
    <w:rsid w:val="002D0EB0"/>
    <w:rsid w:val="002D11D0"/>
    <w:rsid w:val="002D13E4"/>
    <w:rsid w:val="002D247E"/>
    <w:rsid w:val="002D4923"/>
    <w:rsid w:val="002D7834"/>
    <w:rsid w:val="002E123C"/>
    <w:rsid w:val="002E1309"/>
    <w:rsid w:val="002E195D"/>
    <w:rsid w:val="002E2DBA"/>
    <w:rsid w:val="002E2DE6"/>
    <w:rsid w:val="002E3986"/>
    <w:rsid w:val="002E4B35"/>
    <w:rsid w:val="002E5FA4"/>
    <w:rsid w:val="002E6A48"/>
    <w:rsid w:val="002E7082"/>
    <w:rsid w:val="002F07A6"/>
    <w:rsid w:val="002F1FAB"/>
    <w:rsid w:val="002F3AE3"/>
    <w:rsid w:val="002F4BA5"/>
    <w:rsid w:val="002F7E6F"/>
    <w:rsid w:val="00305943"/>
    <w:rsid w:val="0030786C"/>
    <w:rsid w:val="00307E37"/>
    <w:rsid w:val="00311559"/>
    <w:rsid w:val="00312A62"/>
    <w:rsid w:val="00313076"/>
    <w:rsid w:val="00316683"/>
    <w:rsid w:val="00317D52"/>
    <w:rsid w:val="003370DB"/>
    <w:rsid w:val="00341A36"/>
    <w:rsid w:val="00341BEE"/>
    <w:rsid w:val="00343286"/>
    <w:rsid w:val="0034680F"/>
    <w:rsid w:val="0035066E"/>
    <w:rsid w:val="00350BE1"/>
    <w:rsid w:val="00352863"/>
    <w:rsid w:val="003559EA"/>
    <w:rsid w:val="00355C51"/>
    <w:rsid w:val="00357712"/>
    <w:rsid w:val="00360296"/>
    <w:rsid w:val="00361B35"/>
    <w:rsid w:val="003657DB"/>
    <w:rsid w:val="0036588B"/>
    <w:rsid w:val="00366F30"/>
    <w:rsid w:val="00370326"/>
    <w:rsid w:val="00372A9A"/>
    <w:rsid w:val="003754C7"/>
    <w:rsid w:val="00380792"/>
    <w:rsid w:val="003808E4"/>
    <w:rsid w:val="0038248B"/>
    <w:rsid w:val="00382B2D"/>
    <w:rsid w:val="0038454D"/>
    <w:rsid w:val="00386683"/>
    <w:rsid w:val="003873C6"/>
    <w:rsid w:val="00392002"/>
    <w:rsid w:val="00392A85"/>
    <w:rsid w:val="0039355A"/>
    <w:rsid w:val="00393C2E"/>
    <w:rsid w:val="00394A7F"/>
    <w:rsid w:val="00394F2E"/>
    <w:rsid w:val="00396AFB"/>
    <w:rsid w:val="003A182E"/>
    <w:rsid w:val="003A3EBF"/>
    <w:rsid w:val="003A4E56"/>
    <w:rsid w:val="003A52B2"/>
    <w:rsid w:val="003A5E88"/>
    <w:rsid w:val="003A70CE"/>
    <w:rsid w:val="003A773A"/>
    <w:rsid w:val="003C0E23"/>
    <w:rsid w:val="003C210B"/>
    <w:rsid w:val="003C25C0"/>
    <w:rsid w:val="003C297A"/>
    <w:rsid w:val="003C540E"/>
    <w:rsid w:val="003C5F0C"/>
    <w:rsid w:val="003D0779"/>
    <w:rsid w:val="003D17F9"/>
    <w:rsid w:val="003D1C08"/>
    <w:rsid w:val="003D3806"/>
    <w:rsid w:val="003D437B"/>
    <w:rsid w:val="003D4829"/>
    <w:rsid w:val="003D4A1B"/>
    <w:rsid w:val="003E197F"/>
    <w:rsid w:val="003E442B"/>
    <w:rsid w:val="003E6E73"/>
    <w:rsid w:val="003E7697"/>
    <w:rsid w:val="003E76C8"/>
    <w:rsid w:val="003E7711"/>
    <w:rsid w:val="003F3F0B"/>
    <w:rsid w:val="003F5815"/>
    <w:rsid w:val="0040152C"/>
    <w:rsid w:val="00402CBA"/>
    <w:rsid w:val="00404876"/>
    <w:rsid w:val="00410F3F"/>
    <w:rsid w:val="004120CA"/>
    <w:rsid w:val="00412E9D"/>
    <w:rsid w:val="00414952"/>
    <w:rsid w:val="0041604D"/>
    <w:rsid w:val="0041713C"/>
    <w:rsid w:val="00423210"/>
    <w:rsid w:val="00425504"/>
    <w:rsid w:val="0042727E"/>
    <w:rsid w:val="004305D6"/>
    <w:rsid w:val="004377EE"/>
    <w:rsid w:val="00437C1A"/>
    <w:rsid w:val="00440CC0"/>
    <w:rsid w:val="00440D73"/>
    <w:rsid w:val="004437F3"/>
    <w:rsid w:val="00447D31"/>
    <w:rsid w:val="00451A66"/>
    <w:rsid w:val="00452849"/>
    <w:rsid w:val="00455560"/>
    <w:rsid w:val="00456385"/>
    <w:rsid w:val="004563AC"/>
    <w:rsid w:val="00463090"/>
    <w:rsid w:val="00465AB0"/>
    <w:rsid w:val="00470AB8"/>
    <w:rsid w:val="004735B1"/>
    <w:rsid w:val="00477E9B"/>
    <w:rsid w:val="00482ECA"/>
    <w:rsid w:val="00485776"/>
    <w:rsid w:val="00485794"/>
    <w:rsid w:val="00485996"/>
    <w:rsid w:val="004867E2"/>
    <w:rsid w:val="00486826"/>
    <w:rsid w:val="0048784D"/>
    <w:rsid w:val="0049361F"/>
    <w:rsid w:val="0049380B"/>
    <w:rsid w:val="00493AA0"/>
    <w:rsid w:val="004A0670"/>
    <w:rsid w:val="004A299A"/>
    <w:rsid w:val="004A4851"/>
    <w:rsid w:val="004A5C81"/>
    <w:rsid w:val="004B0417"/>
    <w:rsid w:val="004B2999"/>
    <w:rsid w:val="004B38F3"/>
    <w:rsid w:val="004B6D36"/>
    <w:rsid w:val="004B7468"/>
    <w:rsid w:val="004C04EB"/>
    <w:rsid w:val="004C0FEF"/>
    <w:rsid w:val="004C3664"/>
    <w:rsid w:val="004C4927"/>
    <w:rsid w:val="004C6833"/>
    <w:rsid w:val="004D448C"/>
    <w:rsid w:val="004E067A"/>
    <w:rsid w:val="004E179B"/>
    <w:rsid w:val="004E1DD9"/>
    <w:rsid w:val="004E2389"/>
    <w:rsid w:val="004E361C"/>
    <w:rsid w:val="004E50C2"/>
    <w:rsid w:val="004E58C1"/>
    <w:rsid w:val="004E5DA4"/>
    <w:rsid w:val="004E6C7B"/>
    <w:rsid w:val="004F2B6F"/>
    <w:rsid w:val="004F412D"/>
    <w:rsid w:val="004F5A6D"/>
    <w:rsid w:val="005000F6"/>
    <w:rsid w:val="00502220"/>
    <w:rsid w:val="00505278"/>
    <w:rsid w:val="00505824"/>
    <w:rsid w:val="0051563D"/>
    <w:rsid w:val="005179C7"/>
    <w:rsid w:val="0052107C"/>
    <w:rsid w:val="005221B7"/>
    <w:rsid w:val="00527231"/>
    <w:rsid w:val="00530100"/>
    <w:rsid w:val="00536E0C"/>
    <w:rsid w:val="005408C7"/>
    <w:rsid w:val="00540A0A"/>
    <w:rsid w:val="005422E7"/>
    <w:rsid w:val="00542981"/>
    <w:rsid w:val="005437FD"/>
    <w:rsid w:val="00543CF9"/>
    <w:rsid w:val="00544A4E"/>
    <w:rsid w:val="00544BBE"/>
    <w:rsid w:val="00545B02"/>
    <w:rsid w:val="0054729B"/>
    <w:rsid w:val="00551B96"/>
    <w:rsid w:val="0055205D"/>
    <w:rsid w:val="00553E33"/>
    <w:rsid w:val="00555733"/>
    <w:rsid w:val="00555C4C"/>
    <w:rsid w:val="00555D6E"/>
    <w:rsid w:val="00562ECA"/>
    <w:rsid w:val="00562F72"/>
    <w:rsid w:val="0056304B"/>
    <w:rsid w:val="00565356"/>
    <w:rsid w:val="00566B97"/>
    <w:rsid w:val="00570877"/>
    <w:rsid w:val="00570C6C"/>
    <w:rsid w:val="005747A5"/>
    <w:rsid w:val="005808D3"/>
    <w:rsid w:val="00584334"/>
    <w:rsid w:val="00591A14"/>
    <w:rsid w:val="0059380A"/>
    <w:rsid w:val="0059431B"/>
    <w:rsid w:val="005949D6"/>
    <w:rsid w:val="0059724C"/>
    <w:rsid w:val="0059784A"/>
    <w:rsid w:val="005A0CC5"/>
    <w:rsid w:val="005A121B"/>
    <w:rsid w:val="005A1AA7"/>
    <w:rsid w:val="005A4D0B"/>
    <w:rsid w:val="005A61B4"/>
    <w:rsid w:val="005A65E0"/>
    <w:rsid w:val="005A735B"/>
    <w:rsid w:val="005B04D8"/>
    <w:rsid w:val="005C1496"/>
    <w:rsid w:val="005C3BD5"/>
    <w:rsid w:val="005C5EF4"/>
    <w:rsid w:val="005C62BD"/>
    <w:rsid w:val="005C6AAE"/>
    <w:rsid w:val="005D0AE4"/>
    <w:rsid w:val="005D1073"/>
    <w:rsid w:val="005D141D"/>
    <w:rsid w:val="005D1804"/>
    <w:rsid w:val="005D25FF"/>
    <w:rsid w:val="005D2770"/>
    <w:rsid w:val="005D46DD"/>
    <w:rsid w:val="005D5D06"/>
    <w:rsid w:val="005D5F78"/>
    <w:rsid w:val="005D62B5"/>
    <w:rsid w:val="005D6B65"/>
    <w:rsid w:val="005D73C6"/>
    <w:rsid w:val="005E00B7"/>
    <w:rsid w:val="005E0BA6"/>
    <w:rsid w:val="005E14EA"/>
    <w:rsid w:val="005E2614"/>
    <w:rsid w:val="005E2695"/>
    <w:rsid w:val="005E37E7"/>
    <w:rsid w:val="005E4621"/>
    <w:rsid w:val="005E7144"/>
    <w:rsid w:val="005F1E4A"/>
    <w:rsid w:val="00600A81"/>
    <w:rsid w:val="006040BD"/>
    <w:rsid w:val="00607B0B"/>
    <w:rsid w:val="00611870"/>
    <w:rsid w:val="00614E29"/>
    <w:rsid w:val="00616324"/>
    <w:rsid w:val="0062216A"/>
    <w:rsid w:val="00623175"/>
    <w:rsid w:val="0062531C"/>
    <w:rsid w:val="00625634"/>
    <w:rsid w:val="00625EC1"/>
    <w:rsid w:val="00626F7D"/>
    <w:rsid w:val="00630199"/>
    <w:rsid w:val="006317C9"/>
    <w:rsid w:val="0063239E"/>
    <w:rsid w:val="00632475"/>
    <w:rsid w:val="00632C35"/>
    <w:rsid w:val="006340B0"/>
    <w:rsid w:val="00635161"/>
    <w:rsid w:val="00636395"/>
    <w:rsid w:val="006407DD"/>
    <w:rsid w:val="00641773"/>
    <w:rsid w:val="00641CB0"/>
    <w:rsid w:val="0064239F"/>
    <w:rsid w:val="006444F4"/>
    <w:rsid w:val="006456F1"/>
    <w:rsid w:val="00646B2C"/>
    <w:rsid w:val="006501AE"/>
    <w:rsid w:val="0065195E"/>
    <w:rsid w:val="00653E73"/>
    <w:rsid w:val="00656A90"/>
    <w:rsid w:val="00657DD2"/>
    <w:rsid w:val="006625D8"/>
    <w:rsid w:val="00663AB3"/>
    <w:rsid w:val="00664B6D"/>
    <w:rsid w:val="00664F67"/>
    <w:rsid w:val="006655E2"/>
    <w:rsid w:val="00667B19"/>
    <w:rsid w:val="00670DC4"/>
    <w:rsid w:val="00670F54"/>
    <w:rsid w:val="006728F9"/>
    <w:rsid w:val="00673D60"/>
    <w:rsid w:val="006746DA"/>
    <w:rsid w:val="0067514E"/>
    <w:rsid w:val="0067585F"/>
    <w:rsid w:val="006765C3"/>
    <w:rsid w:val="006767BC"/>
    <w:rsid w:val="00677FF8"/>
    <w:rsid w:val="006803BA"/>
    <w:rsid w:val="00681566"/>
    <w:rsid w:val="00683BCA"/>
    <w:rsid w:val="00684FB9"/>
    <w:rsid w:val="00685D28"/>
    <w:rsid w:val="006862C9"/>
    <w:rsid w:val="00690FAB"/>
    <w:rsid w:val="006922F5"/>
    <w:rsid w:val="006936EF"/>
    <w:rsid w:val="00694113"/>
    <w:rsid w:val="006947D9"/>
    <w:rsid w:val="006A16DD"/>
    <w:rsid w:val="006A2587"/>
    <w:rsid w:val="006A641D"/>
    <w:rsid w:val="006A65AA"/>
    <w:rsid w:val="006B046D"/>
    <w:rsid w:val="006B2EBD"/>
    <w:rsid w:val="006B3CFC"/>
    <w:rsid w:val="006C0CD8"/>
    <w:rsid w:val="006C45E7"/>
    <w:rsid w:val="006C5AEE"/>
    <w:rsid w:val="006C679A"/>
    <w:rsid w:val="006D09FE"/>
    <w:rsid w:val="006D0C40"/>
    <w:rsid w:val="006D15C1"/>
    <w:rsid w:val="006D2783"/>
    <w:rsid w:val="006D4CD4"/>
    <w:rsid w:val="006D69FD"/>
    <w:rsid w:val="006D6D90"/>
    <w:rsid w:val="006D732F"/>
    <w:rsid w:val="006E110B"/>
    <w:rsid w:val="006E27DA"/>
    <w:rsid w:val="006E2DB6"/>
    <w:rsid w:val="006E4597"/>
    <w:rsid w:val="006E50D3"/>
    <w:rsid w:val="006E6861"/>
    <w:rsid w:val="006E688D"/>
    <w:rsid w:val="006F1432"/>
    <w:rsid w:val="006F314F"/>
    <w:rsid w:val="006F4E41"/>
    <w:rsid w:val="006F5337"/>
    <w:rsid w:val="006F618A"/>
    <w:rsid w:val="006F73C2"/>
    <w:rsid w:val="006F7964"/>
    <w:rsid w:val="007028EC"/>
    <w:rsid w:val="007035D8"/>
    <w:rsid w:val="00703D77"/>
    <w:rsid w:val="0070644E"/>
    <w:rsid w:val="0070703E"/>
    <w:rsid w:val="007077FF"/>
    <w:rsid w:val="00707D22"/>
    <w:rsid w:val="007103BE"/>
    <w:rsid w:val="00711E21"/>
    <w:rsid w:val="00712832"/>
    <w:rsid w:val="00712D27"/>
    <w:rsid w:val="00713F05"/>
    <w:rsid w:val="0071482E"/>
    <w:rsid w:val="00715168"/>
    <w:rsid w:val="0071637F"/>
    <w:rsid w:val="00716597"/>
    <w:rsid w:val="00716FED"/>
    <w:rsid w:val="00722691"/>
    <w:rsid w:val="007238E8"/>
    <w:rsid w:val="0072405C"/>
    <w:rsid w:val="0072413F"/>
    <w:rsid w:val="00724267"/>
    <w:rsid w:val="00725FB9"/>
    <w:rsid w:val="00726D25"/>
    <w:rsid w:val="00727661"/>
    <w:rsid w:val="00730020"/>
    <w:rsid w:val="00732CDF"/>
    <w:rsid w:val="007333AD"/>
    <w:rsid w:val="007333CF"/>
    <w:rsid w:val="007360BF"/>
    <w:rsid w:val="00737725"/>
    <w:rsid w:val="00737D4D"/>
    <w:rsid w:val="007406E6"/>
    <w:rsid w:val="00742B12"/>
    <w:rsid w:val="00746CCD"/>
    <w:rsid w:val="00747CE1"/>
    <w:rsid w:val="007517A6"/>
    <w:rsid w:val="007519BE"/>
    <w:rsid w:val="00752461"/>
    <w:rsid w:val="007545C7"/>
    <w:rsid w:val="0076005C"/>
    <w:rsid w:val="00760F98"/>
    <w:rsid w:val="0076111D"/>
    <w:rsid w:val="0076166A"/>
    <w:rsid w:val="00762102"/>
    <w:rsid w:val="007635C1"/>
    <w:rsid w:val="00766B42"/>
    <w:rsid w:val="00766BEE"/>
    <w:rsid w:val="0076731D"/>
    <w:rsid w:val="00767650"/>
    <w:rsid w:val="00767A90"/>
    <w:rsid w:val="00770588"/>
    <w:rsid w:val="00770EDE"/>
    <w:rsid w:val="0077450C"/>
    <w:rsid w:val="00777651"/>
    <w:rsid w:val="00777EAA"/>
    <w:rsid w:val="0078070C"/>
    <w:rsid w:val="0078080B"/>
    <w:rsid w:val="00783AB2"/>
    <w:rsid w:val="00784541"/>
    <w:rsid w:val="00787790"/>
    <w:rsid w:val="00794DF2"/>
    <w:rsid w:val="00796876"/>
    <w:rsid w:val="007968CC"/>
    <w:rsid w:val="00796FB7"/>
    <w:rsid w:val="0079708B"/>
    <w:rsid w:val="007A4FD1"/>
    <w:rsid w:val="007B04A9"/>
    <w:rsid w:val="007B16AC"/>
    <w:rsid w:val="007B1D5C"/>
    <w:rsid w:val="007B4836"/>
    <w:rsid w:val="007B5C0E"/>
    <w:rsid w:val="007B5D05"/>
    <w:rsid w:val="007B5D1E"/>
    <w:rsid w:val="007C2217"/>
    <w:rsid w:val="007C23CD"/>
    <w:rsid w:val="007C2878"/>
    <w:rsid w:val="007C2E29"/>
    <w:rsid w:val="007C471C"/>
    <w:rsid w:val="007C52D3"/>
    <w:rsid w:val="007C696F"/>
    <w:rsid w:val="007D2E9A"/>
    <w:rsid w:val="007D4258"/>
    <w:rsid w:val="007D6F16"/>
    <w:rsid w:val="007E000D"/>
    <w:rsid w:val="007E0742"/>
    <w:rsid w:val="007E0F0A"/>
    <w:rsid w:val="007E175B"/>
    <w:rsid w:val="007E3E59"/>
    <w:rsid w:val="007E3F8A"/>
    <w:rsid w:val="007E515D"/>
    <w:rsid w:val="007E594B"/>
    <w:rsid w:val="007F3645"/>
    <w:rsid w:val="007F4591"/>
    <w:rsid w:val="007F58DD"/>
    <w:rsid w:val="007F6791"/>
    <w:rsid w:val="007F7A38"/>
    <w:rsid w:val="00801F36"/>
    <w:rsid w:val="00802131"/>
    <w:rsid w:val="00804989"/>
    <w:rsid w:val="00804A94"/>
    <w:rsid w:val="00805E44"/>
    <w:rsid w:val="00806FCC"/>
    <w:rsid w:val="00811C26"/>
    <w:rsid w:val="00812A44"/>
    <w:rsid w:val="00817683"/>
    <w:rsid w:val="00820059"/>
    <w:rsid w:val="008223D9"/>
    <w:rsid w:val="008264EB"/>
    <w:rsid w:val="00827924"/>
    <w:rsid w:val="00830756"/>
    <w:rsid w:val="008309A2"/>
    <w:rsid w:val="008316EE"/>
    <w:rsid w:val="00835C30"/>
    <w:rsid w:val="00837A90"/>
    <w:rsid w:val="0084485B"/>
    <w:rsid w:val="0084624A"/>
    <w:rsid w:val="00852E02"/>
    <w:rsid w:val="00853332"/>
    <w:rsid w:val="00854F67"/>
    <w:rsid w:val="00855A49"/>
    <w:rsid w:val="00856DF5"/>
    <w:rsid w:val="00857E76"/>
    <w:rsid w:val="0086045F"/>
    <w:rsid w:val="0086059A"/>
    <w:rsid w:val="00865932"/>
    <w:rsid w:val="0087029F"/>
    <w:rsid w:val="00872059"/>
    <w:rsid w:val="008731B2"/>
    <w:rsid w:val="00873673"/>
    <w:rsid w:val="008753C5"/>
    <w:rsid w:val="008803A1"/>
    <w:rsid w:val="0088122A"/>
    <w:rsid w:val="00882961"/>
    <w:rsid w:val="008839CD"/>
    <w:rsid w:val="008864A4"/>
    <w:rsid w:val="0089093E"/>
    <w:rsid w:val="00890C09"/>
    <w:rsid w:val="00892AC8"/>
    <w:rsid w:val="00897E5A"/>
    <w:rsid w:val="008A07AF"/>
    <w:rsid w:val="008A35F2"/>
    <w:rsid w:val="008A3C9D"/>
    <w:rsid w:val="008A4580"/>
    <w:rsid w:val="008A4AC8"/>
    <w:rsid w:val="008A4E8B"/>
    <w:rsid w:val="008A58F9"/>
    <w:rsid w:val="008A5CB0"/>
    <w:rsid w:val="008B014E"/>
    <w:rsid w:val="008B328A"/>
    <w:rsid w:val="008B5AAF"/>
    <w:rsid w:val="008C1853"/>
    <w:rsid w:val="008C47B2"/>
    <w:rsid w:val="008C686D"/>
    <w:rsid w:val="008D09DE"/>
    <w:rsid w:val="008D5AFD"/>
    <w:rsid w:val="008D7939"/>
    <w:rsid w:val="008E3658"/>
    <w:rsid w:val="008E59EB"/>
    <w:rsid w:val="008E5D6A"/>
    <w:rsid w:val="008E7AD3"/>
    <w:rsid w:val="008F26C0"/>
    <w:rsid w:val="0090012D"/>
    <w:rsid w:val="00901462"/>
    <w:rsid w:val="00901D6C"/>
    <w:rsid w:val="00902A76"/>
    <w:rsid w:val="00904474"/>
    <w:rsid w:val="00904D1C"/>
    <w:rsid w:val="00905D99"/>
    <w:rsid w:val="0091137C"/>
    <w:rsid w:val="00912D82"/>
    <w:rsid w:val="009135D2"/>
    <w:rsid w:val="0091384C"/>
    <w:rsid w:val="0091791A"/>
    <w:rsid w:val="00920829"/>
    <w:rsid w:val="009213F3"/>
    <w:rsid w:val="0092204C"/>
    <w:rsid w:val="00922DEE"/>
    <w:rsid w:val="009238AA"/>
    <w:rsid w:val="009244B8"/>
    <w:rsid w:val="00925748"/>
    <w:rsid w:val="0092670C"/>
    <w:rsid w:val="00932407"/>
    <w:rsid w:val="00933B21"/>
    <w:rsid w:val="00933EC2"/>
    <w:rsid w:val="009370F8"/>
    <w:rsid w:val="009374DD"/>
    <w:rsid w:val="00941048"/>
    <w:rsid w:val="009411E0"/>
    <w:rsid w:val="009424A5"/>
    <w:rsid w:val="00945C2C"/>
    <w:rsid w:val="00947765"/>
    <w:rsid w:val="00950089"/>
    <w:rsid w:val="0095539D"/>
    <w:rsid w:val="00956744"/>
    <w:rsid w:val="00957A3B"/>
    <w:rsid w:val="00957E88"/>
    <w:rsid w:val="009602C4"/>
    <w:rsid w:val="00960484"/>
    <w:rsid w:val="00960E7A"/>
    <w:rsid w:val="00961B39"/>
    <w:rsid w:val="00961FBE"/>
    <w:rsid w:val="00962EDE"/>
    <w:rsid w:val="0096312D"/>
    <w:rsid w:val="00963E3D"/>
    <w:rsid w:val="00964277"/>
    <w:rsid w:val="0097582E"/>
    <w:rsid w:val="009759DA"/>
    <w:rsid w:val="00977D26"/>
    <w:rsid w:val="00977E26"/>
    <w:rsid w:val="009805EC"/>
    <w:rsid w:val="00981862"/>
    <w:rsid w:val="00982460"/>
    <w:rsid w:val="00984227"/>
    <w:rsid w:val="00987785"/>
    <w:rsid w:val="009904EA"/>
    <w:rsid w:val="00991AF5"/>
    <w:rsid w:val="00991E86"/>
    <w:rsid w:val="00992588"/>
    <w:rsid w:val="00992EFD"/>
    <w:rsid w:val="0099343F"/>
    <w:rsid w:val="00995094"/>
    <w:rsid w:val="009A007B"/>
    <w:rsid w:val="009A0425"/>
    <w:rsid w:val="009A263C"/>
    <w:rsid w:val="009B053D"/>
    <w:rsid w:val="009B3E5D"/>
    <w:rsid w:val="009B4519"/>
    <w:rsid w:val="009B64E3"/>
    <w:rsid w:val="009B7C42"/>
    <w:rsid w:val="009B7E53"/>
    <w:rsid w:val="009C1BC5"/>
    <w:rsid w:val="009C5964"/>
    <w:rsid w:val="009C5D9C"/>
    <w:rsid w:val="009C672E"/>
    <w:rsid w:val="009C77A3"/>
    <w:rsid w:val="009D0864"/>
    <w:rsid w:val="009D0B90"/>
    <w:rsid w:val="009D1A6C"/>
    <w:rsid w:val="009D3827"/>
    <w:rsid w:val="009D6852"/>
    <w:rsid w:val="009D6DC5"/>
    <w:rsid w:val="009D6EB0"/>
    <w:rsid w:val="009E0725"/>
    <w:rsid w:val="009E0D48"/>
    <w:rsid w:val="009E1F38"/>
    <w:rsid w:val="009E4059"/>
    <w:rsid w:val="009E5334"/>
    <w:rsid w:val="009E5D18"/>
    <w:rsid w:val="009E6B78"/>
    <w:rsid w:val="009E6D37"/>
    <w:rsid w:val="009E7E91"/>
    <w:rsid w:val="009F1359"/>
    <w:rsid w:val="009F1EC9"/>
    <w:rsid w:val="009F2591"/>
    <w:rsid w:val="009F33F8"/>
    <w:rsid w:val="009F430A"/>
    <w:rsid w:val="009F4ACF"/>
    <w:rsid w:val="009F5557"/>
    <w:rsid w:val="00A02BFF"/>
    <w:rsid w:val="00A0554C"/>
    <w:rsid w:val="00A1015B"/>
    <w:rsid w:val="00A110E1"/>
    <w:rsid w:val="00A139AB"/>
    <w:rsid w:val="00A14067"/>
    <w:rsid w:val="00A14342"/>
    <w:rsid w:val="00A14EB9"/>
    <w:rsid w:val="00A15082"/>
    <w:rsid w:val="00A151BA"/>
    <w:rsid w:val="00A16AEE"/>
    <w:rsid w:val="00A17F36"/>
    <w:rsid w:val="00A25327"/>
    <w:rsid w:val="00A25AF1"/>
    <w:rsid w:val="00A30CBB"/>
    <w:rsid w:val="00A33E46"/>
    <w:rsid w:val="00A33FDE"/>
    <w:rsid w:val="00A369E8"/>
    <w:rsid w:val="00A4199A"/>
    <w:rsid w:val="00A42501"/>
    <w:rsid w:val="00A44019"/>
    <w:rsid w:val="00A44515"/>
    <w:rsid w:val="00A4512D"/>
    <w:rsid w:val="00A541E1"/>
    <w:rsid w:val="00A54775"/>
    <w:rsid w:val="00A5502C"/>
    <w:rsid w:val="00A5694A"/>
    <w:rsid w:val="00A6044B"/>
    <w:rsid w:val="00A6192E"/>
    <w:rsid w:val="00A65795"/>
    <w:rsid w:val="00A6672E"/>
    <w:rsid w:val="00A67A7D"/>
    <w:rsid w:val="00A705AF"/>
    <w:rsid w:val="00A7126D"/>
    <w:rsid w:val="00A71E9F"/>
    <w:rsid w:val="00A73C2F"/>
    <w:rsid w:val="00A75B58"/>
    <w:rsid w:val="00A77349"/>
    <w:rsid w:val="00A803AD"/>
    <w:rsid w:val="00A80BEF"/>
    <w:rsid w:val="00A81D72"/>
    <w:rsid w:val="00A931E2"/>
    <w:rsid w:val="00A93A18"/>
    <w:rsid w:val="00A964DB"/>
    <w:rsid w:val="00A96DED"/>
    <w:rsid w:val="00AA0055"/>
    <w:rsid w:val="00AA0A90"/>
    <w:rsid w:val="00AA2E70"/>
    <w:rsid w:val="00AA3A3E"/>
    <w:rsid w:val="00AA603A"/>
    <w:rsid w:val="00AA6DC2"/>
    <w:rsid w:val="00AA7B58"/>
    <w:rsid w:val="00AB05F5"/>
    <w:rsid w:val="00AB0A6E"/>
    <w:rsid w:val="00AB40AB"/>
    <w:rsid w:val="00AB61DF"/>
    <w:rsid w:val="00AB63CD"/>
    <w:rsid w:val="00AB64E5"/>
    <w:rsid w:val="00AB67C9"/>
    <w:rsid w:val="00AB6E76"/>
    <w:rsid w:val="00AB6ED9"/>
    <w:rsid w:val="00AB6F9B"/>
    <w:rsid w:val="00AB7A7B"/>
    <w:rsid w:val="00AC1E74"/>
    <w:rsid w:val="00AC37B6"/>
    <w:rsid w:val="00AC6331"/>
    <w:rsid w:val="00AC637F"/>
    <w:rsid w:val="00AD01B4"/>
    <w:rsid w:val="00AD055C"/>
    <w:rsid w:val="00AD52A0"/>
    <w:rsid w:val="00AD5717"/>
    <w:rsid w:val="00AE05BB"/>
    <w:rsid w:val="00AE0BA6"/>
    <w:rsid w:val="00AE3267"/>
    <w:rsid w:val="00AE5BCB"/>
    <w:rsid w:val="00AF1270"/>
    <w:rsid w:val="00AF3170"/>
    <w:rsid w:val="00AF6154"/>
    <w:rsid w:val="00B00182"/>
    <w:rsid w:val="00B004EB"/>
    <w:rsid w:val="00B07615"/>
    <w:rsid w:val="00B163F6"/>
    <w:rsid w:val="00B17FDF"/>
    <w:rsid w:val="00B20701"/>
    <w:rsid w:val="00B213FD"/>
    <w:rsid w:val="00B2206F"/>
    <w:rsid w:val="00B2338E"/>
    <w:rsid w:val="00B24496"/>
    <w:rsid w:val="00B24DF4"/>
    <w:rsid w:val="00B2665E"/>
    <w:rsid w:val="00B30753"/>
    <w:rsid w:val="00B328AF"/>
    <w:rsid w:val="00B32DD1"/>
    <w:rsid w:val="00B37148"/>
    <w:rsid w:val="00B3720C"/>
    <w:rsid w:val="00B37220"/>
    <w:rsid w:val="00B37525"/>
    <w:rsid w:val="00B37974"/>
    <w:rsid w:val="00B41409"/>
    <w:rsid w:val="00B4251C"/>
    <w:rsid w:val="00B42851"/>
    <w:rsid w:val="00B428D2"/>
    <w:rsid w:val="00B42DE5"/>
    <w:rsid w:val="00B42EA6"/>
    <w:rsid w:val="00B456E0"/>
    <w:rsid w:val="00B459E9"/>
    <w:rsid w:val="00B47076"/>
    <w:rsid w:val="00B470BB"/>
    <w:rsid w:val="00B50471"/>
    <w:rsid w:val="00B5113E"/>
    <w:rsid w:val="00B53018"/>
    <w:rsid w:val="00B5410C"/>
    <w:rsid w:val="00B56B37"/>
    <w:rsid w:val="00B57759"/>
    <w:rsid w:val="00B60D44"/>
    <w:rsid w:val="00B60D86"/>
    <w:rsid w:val="00B73565"/>
    <w:rsid w:val="00B77316"/>
    <w:rsid w:val="00B80CAA"/>
    <w:rsid w:val="00B8788B"/>
    <w:rsid w:val="00B904EC"/>
    <w:rsid w:val="00B91269"/>
    <w:rsid w:val="00B91454"/>
    <w:rsid w:val="00B929D9"/>
    <w:rsid w:val="00B93CD5"/>
    <w:rsid w:val="00B9432A"/>
    <w:rsid w:val="00B95A67"/>
    <w:rsid w:val="00B96A84"/>
    <w:rsid w:val="00BA0015"/>
    <w:rsid w:val="00BA12F8"/>
    <w:rsid w:val="00BA2A5D"/>
    <w:rsid w:val="00BA2DE8"/>
    <w:rsid w:val="00BA31B1"/>
    <w:rsid w:val="00BA4AEE"/>
    <w:rsid w:val="00BA55BD"/>
    <w:rsid w:val="00BA5E00"/>
    <w:rsid w:val="00BB2D0A"/>
    <w:rsid w:val="00BB37E3"/>
    <w:rsid w:val="00BC07E4"/>
    <w:rsid w:val="00BC4293"/>
    <w:rsid w:val="00BC4D09"/>
    <w:rsid w:val="00BD0B57"/>
    <w:rsid w:val="00BD5F76"/>
    <w:rsid w:val="00BD649D"/>
    <w:rsid w:val="00BD741B"/>
    <w:rsid w:val="00BE0DE7"/>
    <w:rsid w:val="00BE11FF"/>
    <w:rsid w:val="00BE500E"/>
    <w:rsid w:val="00BE6832"/>
    <w:rsid w:val="00BF2561"/>
    <w:rsid w:val="00BF5905"/>
    <w:rsid w:val="00BF6152"/>
    <w:rsid w:val="00BF7575"/>
    <w:rsid w:val="00C00FA8"/>
    <w:rsid w:val="00C025A9"/>
    <w:rsid w:val="00C03764"/>
    <w:rsid w:val="00C05125"/>
    <w:rsid w:val="00C0564F"/>
    <w:rsid w:val="00C06314"/>
    <w:rsid w:val="00C10135"/>
    <w:rsid w:val="00C123DF"/>
    <w:rsid w:val="00C20507"/>
    <w:rsid w:val="00C206EE"/>
    <w:rsid w:val="00C23604"/>
    <w:rsid w:val="00C261EA"/>
    <w:rsid w:val="00C308FA"/>
    <w:rsid w:val="00C313AC"/>
    <w:rsid w:val="00C31839"/>
    <w:rsid w:val="00C31A7F"/>
    <w:rsid w:val="00C32280"/>
    <w:rsid w:val="00C33D29"/>
    <w:rsid w:val="00C35287"/>
    <w:rsid w:val="00C35DEC"/>
    <w:rsid w:val="00C35F32"/>
    <w:rsid w:val="00C436EE"/>
    <w:rsid w:val="00C477AC"/>
    <w:rsid w:val="00C479CC"/>
    <w:rsid w:val="00C51BE7"/>
    <w:rsid w:val="00C53C65"/>
    <w:rsid w:val="00C5414E"/>
    <w:rsid w:val="00C565EF"/>
    <w:rsid w:val="00C56893"/>
    <w:rsid w:val="00C57614"/>
    <w:rsid w:val="00C618D7"/>
    <w:rsid w:val="00C61A54"/>
    <w:rsid w:val="00C624CC"/>
    <w:rsid w:val="00C63431"/>
    <w:rsid w:val="00C63C14"/>
    <w:rsid w:val="00C64BBB"/>
    <w:rsid w:val="00C64D00"/>
    <w:rsid w:val="00C6711F"/>
    <w:rsid w:val="00C74935"/>
    <w:rsid w:val="00C7543A"/>
    <w:rsid w:val="00C75A01"/>
    <w:rsid w:val="00C75C10"/>
    <w:rsid w:val="00C77230"/>
    <w:rsid w:val="00C77D3C"/>
    <w:rsid w:val="00C807E2"/>
    <w:rsid w:val="00C84B06"/>
    <w:rsid w:val="00C85E91"/>
    <w:rsid w:val="00C911AD"/>
    <w:rsid w:val="00C929AD"/>
    <w:rsid w:val="00CA04C6"/>
    <w:rsid w:val="00CB0684"/>
    <w:rsid w:val="00CB2190"/>
    <w:rsid w:val="00CB26C2"/>
    <w:rsid w:val="00CB5999"/>
    <w:rsid w:val="00CB5B1A"/>
    <w:rsid w:val="00CB733F"/>
    <w:rsid w:val="00CB7B59"/>
    <w:rsid w:val="00CC080F"/>
    <w:rsid w:val="00CC36EF"/>
    <w:rsid w:val="00CC4B4F"/>
    <w:rsid w:val="00CC4B8E"/>
    <w:rsid w:val="00CC697B"/>
    <w:rsid w:val="00CC7207"/>
    <w:rsid w:val="00CD77BD"/>
    <w:rsid w:val="00CE16CC"/>
    <w:rsid w:val="00CE1712"/>
    <w:rsid w:val="00CE2EED"/>
    <w:rsid w:val="00CE3387"/>
    <w:rsid w:val="00CE3A39"/>
    <w:rsid w:val="00CE4C7A"/>
    <w:rsid w:val="00CE7355"/>
    <w:rsid w:val="00CF34D6"/>
    <w:rsid w:val="00CF4118"/>
    <w:rsid w:val="00CF419C"/>
    <w:rsid w:val="00CF62BE"/>
    <w:rsid w:val="00CF668E"/>
    <w:rsid w:val="00CF702F"/>
    <w:rsid w:val="00D05CB2"/>
    <w:rsid w:val="00D066AB"/>
    <w:rsid w:val="00D0686B"/>
    <w:rsid w:val="00D07C0D"/>
    <w:rsid w:val="00D10D90"/>
    <w:rsid w:val="00D116AD"/>
    <w:rsid w:val="00D11BB2"/>
    <w:rsid w:val="00D11F42"/>
    <w:rsid w:val="00D13C42"/>
    <w:rsid w:val="00D14731"/>
    <w:rsid w:val="00D16B25"/>
    <w:rsid w:val="00D20AD1"/>
    <w:rsid w:val="00D24922"/>
    <w:rsid w:val="00D25927"/>
    <w:rsid w:val="00D259DC"/>
    <w:rsid w:val="00D27DDA"/>
    <w:rsid w:val="00D301EA"/>
    <w:rsid w:val="00D31DC2"/>
    <w:rsid w:val="00D3229C"/>
    <w:rsid w:val="00D402CE"/>
    <w:rsid w:val="00D41AE5"/>
    <w:rsid w:val="00D429E0"/>
    <w:rsid w:val="00D42B9A"/>
    <w:rsid w:val="00D443A1"/>
    <w:rsid w:val="00D446AF"/>
    <w:rsid w:val="00D45D63"/>
    <w:rsid w:val="00D469E4"/>
    <w:rsid w:val="00D4728F"/>
    <w:rsid w:val="00D5049E"/>
    <w:rsid w:val="00D50924"/>
    <w:rsid w:val="00D50BCB"/>
    <w:rsid w:val="00D50F47"/>
    <w:rsid w:val="00D52999"/>
    <w:rsid w:val="00D52BFD"/>
    <w:rsid w:val="00D5354B"/>
    <w:rsid w:val="00D563D0"/>
    <w:rsid w:val="00D57909"/>
    <w:rsid w:val="00D60E8A"/>
    <w:rsid w:val="00D738DB"/>
    <w:rsid w:val="00D73FE2"/>
    <w:rsid w:val="00D7465B"/>
    <w:rsid w:val="00D77741"/>
    <w:rsid w:val="00D81026"/>
    <w:rsid w:val="00D812BD"/>
    <w:rsid w:val="00D821FF"/>
    <w:rsid w:val="00D84622"/>
    <w:rsid w:val="00D86464"/>
    <w:rsid w:val="00D87CBD"/>
    <w:rsid w:val="00D91A73"/>
    <w:rsid w:val="00D9306A"/>
    <w:rsid w:val="00D944BF"/>
    <w:rsid w:val="00D96327"/>
    <w:rsid w:val="00D975CE"/>
    <w:rsid w:val="00DB07A4"/>
    <w:rsid w:val="00DB2667"/>
    <w:rsid w:val="00DB5454"/>
    <w:rsid w:val="00DB5911"/>
    <w:rsid w:val="00DB599C"/>
    <w:rsid w:val="00DC0477"/>
    <w:rsid w:val="00DC0D24"/>
    <w:rsid w:val="00DC4715"/>
    <w:rsid w:val="00DC77AC"/>
    <w:rsid w:val="00DD047B"/>
    <w:rsid w:val="00DD2912"/>
    <w:rsid w:val="00DD5D99"/>
    <w:rsid w:val="00DD6F15"/>
    <w:rsid w:val="00DE3C4E"/>
    <w:rsid w:val="00DE5D9E"/>
    <w:rsid w:val="00DE75D8"/>
    <w:rsid w:val="00DF0B12"/>
    <w:rsid w:val="00DF267C"/>
    <w:rsid w:val="00DF27CB"/>
    <w:rsid w:val="00DF3751"/>
    <w:rsid w:val="00DF515C"/>
    <w:rsid w:val="00DF5695"/>
    <w:rsid w:val="00E00464"/>
    <w:rsid w:val="00E015E6"/>
    <w:rsid w:val="00E046B2"/>
    <w:rsid w:val="00E05B44"/>
    <w:rsid w:val="00E066B4"/>
    <w:rsid w:val="00E11369"/>
    <w:rsid w:val="00E11FD2"/>
    <w:rsid w:val="00E13C5C"/>
    <w:rsid w:val="00E149E6"/>
    <w:rsid w:val="00E209BF"/>
    <w:rsid w:val="00E2144C"/>
    <w:rsid w:val="00E236C6"/>
    <w:rsid w:val="00E30BD4"/>
    <w:rsid w:val="00E3115C"/>
    <w:rsid w:val="00E323FE"/>
    <w:rsid w:val="00E33798"/>
    <w:rsid w:val="00E33B18"/>
    <w:rsid w:val="00E3405C"/>
    <w:rsid w:val="00E34F33"/>
    <w:rsid w:val="00E35CBB"/>
    <w:rsid w:val="00E35DC5"/>
    <w:rsid w:val="00E40F95"/>
    <w:rsid w:val="00E41CF8"/>
    <w:rsid w:val="00E4269D"/>
    <w:rsid w:val="00E4312B"/>
    <w:rsid w:val="00E50669"/>
    <w:rsid w:val="00E519D6"/>
    <w:rsid w:val="00E5222C"/>
    <w:rsid w:val="00E5598A"/>
    <w:rsid w:val="00E57576"/>
    <w:rsid w:val="00E604B3"/>
    <w:rsid w:val="00E60650"/>
    <w:rsid w:val="00E60EE1"/>
    <w:rsid w:val="00E60F85"/>
    <w:rsid w:val="00E6109E"/>
    <w:rsid w:val="00E704F3"/>
    <w:rsid w:val="00E708F6"/>
    <w:rsid w:val="00E70B3A"/>
    <w:rsid w:val="00E716B4"/>
    <w:rsid w:val="00E7210E"/>
    <w:rsid w:val="00E722FB"/>
    <w:rsid w:val="00E73881"/>
    <w:rsid w:val="00E75330"/>
    <w:rsid w:val="00E767CA"/>
    <w:rsid w:val="00E86B67"/>
    <w:rsid w:val="00E9314D"/>
    <w:rsid w:val="00E93E4A"/>
    <w:rsid w:val="00E95A57"/>
    <w:rsid w:val="00E95DFC"/>
    <w:rsid w:val="00EA33D5"/>
    <w:rsid w:val="00EA5C37"/>
    <w:rsid w:val="00EA5E02"/>
    <w:rsid w:val="00EA5FD0"/>
    <w:rsid w:val="00EA63B1"/>
    <w:rsid w:val="00EB0020"/>
    <w:rsid w:val="00EB2A3E"/>
    <w:rsid w:val="00EB3985"/>
    <w:rsid w:val="00EB3999"/>
    <w:rsid w:val="00EB3ACB"/>
    <w:rsid w:val="00EB4555"/>
    <w:rsid w:val="00EB6544"/>
    <w:rsid w:val="00EC7D3F"/>
    <w:rsid w:val="00ED0468"/>
    <w:rsid w:val="00ED0DD3"/>
    <w:rsid w:val="00ED4EEC"/>
    <w:rsid w:val="00ED61EF"/>
    <w:rsid w:val="00ED648B"/>
    <w:rsid w:val="00ED6A9C"/>
    <w:rsid w:val="00ED75C6"/>
    <w:rsid w:val="00EE16DD"/>
    <w:rsid w:val="00EE16E3"/>
    <w:rsid w:val="00EE289A"/>
    <w:rsid w:val="00EE2AE5"/>
    <w:rsid w:val="00EE31B0"/>
    <w:rsid w:val="00EE356F"/>
    <w:rsid w:val="00EE397E"/>
    <w:rsid w:val="00EE552C"/>
    <w:rsid w:val="00EE65B1"/>
    <w:rsid w:val="00EE7916"/>
    <w:rsid w:val="00EF0882"/>
    <w:rsid w:val="00EF1C55"/>
    <w:rsid w:val="00EF1C95"/>
    <w:rsid w:val="00EF23C0"/>
    <w:rsid w:val="00EF2774"/>
    <w:rsid w:val="00EF372C"/>
    <w:rsid w:val="00EF4059"/>
    <w:rsid w:val="00EF5586"/>
    <w:rsid w:val="00EF6836"/>
    <w:rsid w:val="00F00403"/>
    <w:rsid w:val="00F01709"/>
    <w:rsid w:val="00F067A6"/>
    <w:rsid w:val="00F078B7"/>
    <w:rsid w:val="00F07B77"/>
    <w:rsid w:val="00F100D6"/>
    <w:rsid w:val="00F106AD"/>
    <w:rsid w:val="00F12439"/>
    <w:rsid w:val="00F125AA"/>
    <w:rsid w:val="00F1278D"/>
    <w:rsid w:val="00F14BFD"/>
    <w:rsid w:val="00F17566"/>
    <w:rsid w:val="00F175B0"/>
    <w:rsid w:val="00F20F84"/>
    <w:rsid w:val="00F238F2"/>
    <w:rsid w:val="00F332B3"/>
    <w:rsid w:val="00F34D63"/>
    <w:rsid w:val="00F35F7A"/>
    <w:rsid w:val="00F41C35"/>
    <w:rsid w:val="00F41DAB"/>
    <w:rsid w:val="00F4438C"/>
    <w:rsid w:val="00F44B95"/>
    <w:rsid w:val="00F45005"/>
    <w:rsid w:val="00F45B96"/>
    <w:rsid w:val="00F46ED7"/>
    <w:rsid w:val="00F516B9"/>
    <w:rsid w:val="00F549D7"/>
    <w:rsid w:val="00F54BB2"/>
    <w:rsid w:val="00F55315"/>
    <w:rsid w:val="00F556DB"/>
    <w:rsid w:val="00F560D5"/>
    <w:rsid w:val="00F5623F"/>
    <w:rsid w:val="00F56325"/>
    <w:rsid w:val="00F635FA"/>
    <w:rsid w:val="00F67149"/>
    <w:rsid w:val="00F72C01"/>
    <w:rsid w:val="00F73D95"/>
    <w:rsid w:val="00F7441E"/>
    <w:rsid w:val="00F74C52"/>
    <w:rsid w:val="00F75898"/>
    <w:rsid w:val="00F77044"/>
    <w:rsid w:val="00F77493"/>
    <w:rsid w:val="00F77E1F"/>
    <w:rsid w:val="00F8015E"/>
    <w:rsid w:val="00F80611"/>
    <w:rsid w:val="00F80EE1"/>
    <w:rsid w:val="00F8135B"/>
    <w:rsid w:val="00F81ABC"/>
    <w:rsid w:val="00F821BA"/>
    <w:rsid w:val="00F82BDD"/>
    <w:rsid w:val="00F83598"/>
    <w:rsid w:val="00F83F2E"/>
    <w:rsid w:val="00F85766"/>
    <w:rsid w:val="00F866FA"/>
    <w:rsid w:val="00F87019"/>
    <w:rsid w:val="00F87612"/>
    <w:rsid w:val="00F87AD4"/>
    <w:rsid w:val="00F91869"/>
    <w:rsid w:val="00F91CCA"/>
    <w:rsid w:val="00F931D3"/>
    <w:rsid w:val="00F9524F"/>
    <w:rsid w:val="00F95769"/>
    <w:rsid w:val="00FA00C6"/>
    <w:rsid w:val="00FA20D7"/>
    <w:rsid w:val="00FA289A"/>
    <w:rsid w:val="00FA3C5E"/>
    <w:rsid w:val="00FA4197"/>
    <w:rsid w:val="00FA58B0"/>
    <w:rsid w:val="00FB375B"/>
    <w:rsid w:val="00FB6425"/>
    <w:rsid w:val="00FB722E"/>
    <w:rsid w:val="00FC0897"/>
    <w:rsid w:val="00FC24E8"/>
    <w:rsid w:val="00FC2955"/>
    <w:rsid w:val="00FC2C9A"/>
    <w:rsid w:val="00FC7F5D"/>
    <w:rsid w:val="00FD1BC7"/>
    <w:rsid w:val="00FD1BE9"/>
    <w:rsid w:val="00FD1D84"/>
    <w:rsid w:val="00FD33B9"/>
    <w:rsid w:val="00FD4E9C"/>
    <w:rsid w:val="00FD50A4"/>
    <w:rsid w:val="00FD6A07"/>
    <w:rsid w:val="00FD744A"/>
    <w:rsid w:val="00FE333A"/>
    <w:rsid w:val="00FE58D5"/>
    <w:rsid w:val="00FE5CA3"/>
    <w:rsid w:val="00FE6F9D"/>
    <w:rsid w:val="00FE7540"/>
    <w:rsid w:val="00FE7809"/>
    <w:rsid w:val="00FF08C3"/>
    <w:rsid w:val="00FF6031"/>
    <w:rsid w:val="00FF7C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7FD04D"/>
  <w15:docId w15:val="{FAC2DDE5-3A8F-46A4-904D-05DE62E1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99"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22" w:qFormat="1"/>
    <w:lsdException w:name="Emphasis" w:locked="0" w:uiPriority="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7C2878"/>
    <w:pPr>
      <w:spacing w:before="120" w:after="120"/>
    </w:pPr>
  </w:style>
  <w:style w:type="paragraph" w:styleId="Heading1">
    <w:name w:val="heading 1"/>
    <w:basedOn w:val="Normal"/>
    <w:next w:val="Normal"/>
    <w:qFormat/>
    <w:rsid w:val="008C1853"/>
    <w:pPr>
      <w:spacing w:before="480" w:after="240"/>
      <w:outlineLvl w:val="0"/>
    </w:pPr>
    <w:rPr>
      <w:rFonts w:cs="Arial"/>
      <w:b/>
      <w:bCs/>
      <w:color w:val="005370" w:themeColor="text2"/>
      <w:kern w:val="28"/>
      <w:sz w:val="40"/>
      <w:szCs w:val="32"/>
    </w:rPr>
  </w:style>
  <w:style w:type="paragraph" w:styleId="Heading2">
    <w:name w:val="heading 2"/>
    <w:basedOn w:val="Heading1"/>
    <w:next w:val="Normal"/>
    <w:link w:val="Heading2Char"/>
    <w:qFormat/>
    <w:rsid w:val="002A5442"/>
    <w:pPr>
      <w:spacing w:before="360"/>
      <w:outlineLvl w:val="1"/>
    </w:pPr>
    <w:rPr>
      <w:bCs w:val="0"/>
      <w:iCs/>
      <w:sz w:val="32"/>
      <w:szCs w:val="28"/>
    </w:rPr>
  </w:style>
  <w:style w:type="paragraph" w:styleId="Heading3">
    <w:name w:val="heading 3"/>
    <w:basedOn w:val="Heading2"/>
    <w:next w:val="Normal"/>
    <w:qFormat/>
    <w:rsid w:val="00A81D72"/>
    <w:pPr>
      <w:spacing w:before="300" w:after="180"/>
      <w:outlineLvl w:val="2"/>
    </w:pPr>
    <w:rPr>
      <w:bCs/>
      <w:sz w:val="28"/>
      <w:szCs w:val="26"/>
    </w:rPr>
  </w:style>
  <w:style w:type="paragraph" w:styleId="Heading4">
    <w:name w:val="heading 4"/>
    <w:basedOn w:val="Normal"/>
    <w:next w:val="Normal"/>
    <w:qFormat/>
    <w:rsid w:val="001A1EBD"/>
    <w:pPr>
      <w:keepNext/>
      <w:spacing w:before="240"/>
      <w:outlineLvl w:val="3"/>
    </w:pPr>
    <w:rPr>
      <w:b/>
      <w:bCs/>
      <w:color w:val="000000" w:themeColor="text1"/>
      <w:sz w:val="24"/>
      <w:szCs w:val="26"/>
    </w:rPr>
  </w:style>
  <w:style w:type="paragraph" w:styleId="Heading5">
    <w:name w:val="heading 5"/>
    <w:basedOn w:val="Normal"/>
    <w:next w:val="Normal"/>
    <w:qFormat/>
    <w:rsid w:val="002A5442"/>
    <w:pPr>
      <w:keepNext/>
      <w:spacing w:before="240"/>
      <w:outlineLvl w:val="4"/>
    </w:pPr>
    <w:rPr>
      <w:b/>
      <w:bCs/>
      <w:iCs/>
      <w:color w:val="000000" w:themeColor="text1"/>
    </w:rPr>
  </w:style>
  <w:style w:type="paragraph" w:styleId="Heading6">
    <w:name w:val="heading 6"/>
    <w:basedOn w:val="Normal"/>
    <w:next w:val="Normal"/>
    <w:uiPriority w:val="98"/>
    <w:locked/>
    <w:rsid w:val="007E3F8A"/>
    <w:pPr>
      <w:keepNext/>
      <w:outlineLvl w:val="5"/>
    </w:pPr>
    <w:rPr>
      <w:bCs/>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uiPriority w:val="11"/>
    <w:qFormat/>
    <w:locked/>
    <w:rsid w:val="00E519D6"/>
    <w:pPr>
      <w:numPr>
        <w:ilvl w:val="1"/>
      </w:numPr>
      <w:spacing w:after="240"/>
      <w:ind w:right="397"/>
    </w:pPr>
    <w:rPr>
      <w:rFonts w:asciiTheme="majorHAnsi" w:eastAsiaTheme="majorEastAsia" w:hAnsiTheme="majorHAnsi" w:cs="Times New Roman (Headings CS)"/>
      <w:b/>
      <w:iCs/>
      <w:color w:val="1178A2"/>
      <w:sz w:val="48"/>
    </w:rPr>
  </w:style>
  <w:style w:type="character" w:customStyle="1" w:styleId="SubtitleChar">
    <w:name w:val="Subtitle Char"/>
    <w:basedOn w:val="DefaultParagraphFont"/>
    <w:link w:val="Subtitle"/>
    <w:uiPriority w:val="11"/>
    <w:rsid w:val="00E519D6"/>
    <w:rPr>
      <w:rFonts w:asciiTheme="majorHAnsi" w:eastAsiaTheme="majorEastAsia" w:hAnsiTheme="majorHAnsi" w:cs="Times New Roman (Headings CS)"/>
      <w:b/>
      <w:iCs/>
      <w:color w:val="1178A2"/>
      <w:sz w:val="48"/>
    </w:rPr>
  </w:style>
  <w:style w:type="paragraph" w:styleId="Title">
    <w:name w:val="Title"/>
    <w:basedOn w:val="Normal"/>
    <w:next w:val="Normal"/>
    <w:link w:val="TitleChar"/>
    <w:uiPriority w:val="99"/>
    <w:qFormat/>
    <w:rsid w:val="009E4059"/>
    <w:pPr>
      <w:spacing w:before="960" w:after="240"/>
      <w:contextualSpacing/>
    </w:pPr>
    <w:rPr>
      <w:rFonts w:asciiTheme="majorHAnsi" w:eastAsiaTheme="majorEastAsia" w:hAnsiTheme="majorHAnsi" w:cs="Times New Roman (Headings CS)"/>
      <w:b/>
      <w:color w:val="005370" w:themeColor="text2"/>
      <w:spacing w:val="-6"/>
      <w:kern w:val="28"/>
      <w:sz w:val="60"/>
      <w:szCs w:val="56"/>
    </w:rPr>
  </w:style>
  <w:style w:type="character" w:customStyle="1" w:styleId="TitleChar">
    <w:name w:val="Title Char"/>
    <w:basedOn w:val="DefaultParagraphFont"/>
    <w:link w:val="Title"/>
    <w:uiPriority w:val="99"/>
    <w:rsid w:val="009E4059"/>
    <w:rPr>
      <w:rFonts w:asciiTheme="majorHAnsi" w:eastAsiaTheme="majorEastAsia" w:hAnsiTheme="majorHAnsi" w:cs="Times New Roman (Headings CS)"/>
      <w:b/>
      <w:color w:val="005370" w:themeColor="text2"/>
      <w:spacing w:val="-6"/>
      <w:kern w:val="28"/>
      <w:sz w:val="60"/>
      <w:szCs w:val="56"/>
    </w:rPr>
  </w:style>
  <w:style w:type="paragraph" w:customStyle="1" w:styleId="PulloutTextHead">
    <w:name w:val="Pullout Text Head"/>
    <w:basedOn w:val="Heading3"/>
    <w:qFormat/>
    <w:rsid w:val="00036AB8"/>
    <w:pPr>
      <w:pBdr>
        <w:left w:val="single" w:sz="48" w:space="8" w:color="1178A0" w:themeColor="background2"/>
      </w:pBdr>
      <w:spacing w:before="180" w:after="120"/>
      <w:ind w:left="284"/>
    </w:pPr>
    <w:rPr>
      <w:caps/>
      <w:sz w:val="22"/>
      <w:lang w:val="en-GB"/>
    </w:rPr>
  </w:style>
  <w:style w:type="paragraph" w:styleId="TOC1">
    <w:name w:val="toc 1"/>
    <w:basedOn w:val="Normal"/>
    <w:next w:val="Normal"/>
    <w:autoRedefine/>
    <w:uiPriority w:val="39"/>
    <w:qFormat/>
    <w:rsid w:val="007A4FD1"/>
    <w:pPr>
      <w:tabs>
        <w:tab w:val="left" w:leader="dot" w:pos="9015"/>
      </w:tabs>
    </w:pPr>
    <w:rPr>
      <w:rFonts w:cstheme="minorHAnsi"/>
      <w:b/>
      <w:bCs/>
      <w:color w:val="005370" w:themeColor="text2"/>
      <w:sz w:val="24"/>
      <w:szCs w:val="20"/>
    </w:rPr>
  </w:style>
  <w:style w:type="paragraph" w:styleId="TOC2">
    <w:name w:val="toc 2"/>
    <w:basedOn w:val="Normal"/>
    <w:next w:val="Normal"/>
    <w:autoRedefine/>
    <w:uiPriority w:val="39"/>
    <w:qFormat/>
    <w:rsid w:val="004120CA"/>
    <w:pPr>
      <w:tabs>
        <w:tab w:val="right" w:leader="dot" w:pos="9015"/>
      </w:tabs>
      <w:ind w:right="845"/>
    </w:pPr>
    <w:rPr>
      <w:rFonts w:cstheme="minorHAnsi"/>
      <w:noProof/>
      <w:szCs w:val="20"/>
    </w:rPr>
  </w:style>
  <w:style w:type="paragraph" w:styleId="TOC3">
    <w:name w:val="toc 3"/>
    <w:basedOn w:val="Normal"/>
    <w:next w:val="Normal"/>
    <w:autoRedefine/>
    <w:uiPriority w:val="39"/>
    <w:qFormat/>
    <w:rsid w:val="007A4FD1"/>
    <w:pPr>
      <w:tabs>
        <w:tab w:val="right" w:leader="dot" w:pos="9015"/>
      </w:tabs>
      <w:spacing w:after="0"/>
      <w:ind w:left="442"/>
    </w:pPr>
    <w:rPr>
      <w:rFonts w:cs="Arial (Body)"/>
      <w:iCs/>
      <w:noProof/>
      <w:szCs w:val="20"/>
    </w:rPr>
  </w:style>
  <w:style w:type="paragraph" w:customStyle="1" w:styleId="FigureTableTitle">
    <w:name w:val="Figure/Table Title"/>
    <w:basedOn w:val="Normal"/>
    <w:qFormat/>
    <w:rsid w:val="00FD1BC7"/>
    <w:pPr>
      <w:spacing w:before="240" w:after="240"/>
      <w:contextualSpacing/>
    </w:pPr>
    <w:rPr>
      <w:b/>
    </w:rPr>
  </w:style>
  <w:style w:type="paragraph" w:styleId="FootnoteText">
    <w:name w:val="footnote text"/>
    <w:basedOn w:val="Normal"/>
    <w:link w:val="FootnoteTextChar"/>
    <w:rsid w:val="006765C3"/>
    <w:pPr>
      <w:spacing w:before="180" w:after="180"/>
      <w:contextualSpacing/>
    </w:pPr>
    <w:rPr>
      <w:sz w:val="18"/>
      <w:szCs w:val="20"/>
    </w:rPr>
  </w:style>
  <w:style w:type="character" w:customStyle="1" w:styleId="FootnoteTextChar">
    <w:name w:val="Footnote Text Char"/>
    <w:basedOn w:val="DefaultParagraphFont"/>
    <w:link w:val="FootnoteText"/>
    <w:rsid w:val="006765C3"/>
    <w:rPr>
      <w:sz w:val="18"/>
      <w:szCs w:val="20"/>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Light Heading"/>
    <w:basedOn w:val="TableNormal"/>
    <w:locked/>
    <w:rsid w:val="00FB722E"/>
    <w:pPr>
      <w:spacing w:before="60" w:after="60"/>
    </w:pPr>
    <w:rPr>
      <w:color w:val="000000" w:themeColor="text1"/>
      <w:sz w:val="20"/>
    </w:rPr>
    <w:tblPr>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CellMar>
        <w:top w:w="57" w:type="dxa"/>
        <w:left w:w="57" w:type="dxa"/>
        <w:bottom w:w="57" w:type="dxa"/>
        <w:right w:w="57" w:type="dxa"/>
      </w:tblCellMar>
    </w:tblPr>
    <w:tcPr>
      <w:shd w:val="clear" w:color="auto" w:fill="auto"/>
    </w:tcPr>
    <w:tblStylePr w:type="firstRow">
      <w:pPr>
        <w:wordWrap/>
        <w:spacing w:beforeLines="0" w:before="60" w:beforeAutospacing="0" w:afterLines="0" w:after="60" w:afterAutospacing="0" w:line="240" w:lineRule="auto"/>
        <w:jc w:val="left"/>
        <w:outlineLvl w:val="9"/>
      </w:pPr>
      <w:rPr>
        <w:rFonts w:asciiTheme="minorHAnsi" w:hAnsiTheme="minorHAnsi"/>
        <w:b/>
        <w:color w:val="000000" w:themeColor="text1"/>
        <w:sz w:val="20"/>
      </w:rPr>
      <w:tblPr/>
      <w:tcPr>
        <w:shd w:val="clear" w:color="auto" w:fill="E6F1F8" w:themeFill="accent2"/>
      </w:tcPr>
    </w:tblStylePr>
  </w:style>
  <w:style w:type="character" w:customStyle="1" w:styleId="Underline">
    <w:name w:val="Underline"/>
    <w:basedOn w:val="DefaultParagraphFont"/>
    <w:qFormat/>
    <w:rsid w:val="00E13C5C"/>
    <w:rPr>
      <w:u w:val="single"/>
    </w:rPr>
  </w:style>
  <w:style w:type="paragraph" w:styleId="Header">
    <w:name w:val="header"/>
    <w:basedOn w:val="Normal"/>
    <w:link w:val="HeaderChar"/>
    <w:uiPriority w:val="99"/>
    <w:unhideWhenUsed/>
    <w:locked/>
    <w:rsid w:val="00555D6E"/>
    <w:pPr>
      <w:tabs>
        <w:tab w:val="center" w:pos="4513"/>
        <w:tab w:val="right" w:pos="9026"/>
      </w:tabs>
      <w:spacing w:before="0"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9"/>
    <w:rsid w:val="00555D6E"/>
  </w:style>
  <w:style w:type="character" w:styleId="Hyperlink">
    <w:name w:val="Hyperlink"/>
    <w:basedOn w:val="DefaultParagraphFont"/>
    <w:uiPriority w:val="99"/>
    <w:rsid w:val="009374DD"/>
    <w:rPr>
      <w:color w:val="005370" w:themeColor="text2"/>
      <w:u w:val="single"/>
    </w:rPr>
  </w:style>
  <w:style w:type="paragraph" w:styleId="Footer">
    <w:name w:val="footer"/>
    <w:basedOn w:val="Normal"/>
    <w:link w:val="FooterChar"/>
    <w:rsid w:val="00D84622"/>
    <w:pPr>
      <w:tabs>
        <w:tab w:val="right" w:pos="9638"/>
      </w:tabs>
      <w:spacing w:after="0"/>
    </w:pPr>
    <w:rPr>
      <w:sz w:val="20"/>
    </w:rPr>
  </w:style>
  <w:style w:type="character" w:customStyle="1" w:styleId="FooterChar">
    <w:name w:val="Footer Char"/>
    <w:basedOn w:val="DefaultParagraphFont"/>
    <w:link w:val="Footer"/>
    <w:rsid w:val="00D84622"/>
    <w:rPr>
      <w:sz w:val="20"/>
    </w:rPr>
  </w:style>
  <w:style w:type="character" w:styleId="FollowedHyperlink">
    <w:name w:val="FollowedHyperlink"/>
    <w:basedOn w:val="DefaultParagraphFont"/>
    <w:rsid w:val="006E4597"/>
    <w:rPr>
      <w:color w:val="1178A0" w:themeColor="background2"/>
      <w:u w:val="single"/>
    </w:rPr>
  </w:style>
  <w:style w:type="paragraph" w:styleId="TOCHeading">
    <w:name w:val="TOC Heading"/>
    <w:basedOn w:val="Heading1"/>
    <w:next w:val="Normal"/>
    <w:uiPriority w:val="39"/>
    <w:unhideWhenUsed/>
    <w:qFormat/>
    <w:rsid w:val="004120CA"/>
    <w:pPr>
      <w:spacing w:after="0" w:line="276" w:lineRule="auto"/>
      <w:outlineLvl w:val="9"/>
    </w:pPr>
    <w:rPr>
      <w:rFonts w:asciiTheme="majorHAnsi" w:eastAsiaTheme="majorEastAsia" w:hAnsiTheme="majorHAnsi" w:cstheme="majorBidi"/>
      <w:b w:val="0"/>
      <w:color w:val="007CAB" w:themeColor="accent1" w:themeShade="BF"/>
      <w:kern w:val="0"/>
      <w:sz w:val="52"/>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qFormat/>
    <w:rsid w:val="00CE4C7A"/>
    <w:pPr>
      <w:spacing w:before="960" w:after="0"/>
    </w:pPr>
    <w:rPr>
      <w:color w:val="000000" w:themeColor="text1"/>
      <w:sz w:val="28"/>
      <w:szCs w:val="40"/>
    </w:rPr>
  </w:style>
  <w:style w:type="character" w:customStyle="1" w:styleId="PublicationDateChar">
    <w:name w:val="Publication Date Char"/>
    <w:basedOn w:val="DefaultParagraphFont"/>
    <w:link w:val="PublicationDate"/>
    <w:rsid w:val="00CE4C7A"/>
    <w:rPr>
      <w:color w:val="000000" w:themeColor="text1"/>
      <w:sz w:val="28"/>
      <w:szCs w:val="40"/>
    </w:rPr>
  </w:style>
  <w:style w:type="paragraph" w:customStyle="1" w:styleId="Redtext">
    <w:name w:val="Red text"/>
    <w:basedOn w:val="Normal"/>
    <w:qFormat/>
    <w:rsid w:val="00F866FA"/>
    <w:pPr>
      <w:spacing w:after="80"/>
    </w:pPr>
    <w:rPr>
      <w:color w:val="E1241A" w:themeColor="accent6"/>
    </w:r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DarkHeadingBanded">
    <w:name w:val="Dark Heading Banded"/>
    <w:basedOn w:val="TableNormal"/>
    <w:uiPriority w:val="99"/>
    <w:rsid w:val="00737D4D"/>
    <w:pPr>
      <w:spacing w:after="0"/>
    </w:pPr>
    <w:rPr>
      <w:sz w:val="20"/>
    </w:rPr>
    <w:tblPr>
      <w:tblStyleRowBandSize w:val="1"/>
      <w:tblStyleColBandSize w:val="1"/>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pPr>
        <w:jc w:val="left"/>
      </w:pPr>
      <w:rPr>
        <w:b/>
        <w:color w:val="FFFFFF" w:themeColor="background1"/>
      </w:rPr>
      <w:tblPr/>
      <w:tcPr>
        <w:shd w:val="clear" w:color="auto" w:fill="1178A0" w:themeFill="background2"/>
      </w:tcPr>
    </w:tblStylePr>
    <w:tblStylePr w:type="band2Horz">
      <w:tblPr/>
      <w:tcPr>
        <w:shd w:val="clear" w:color="auto" w:fill="F2F2F2" w:themeFill="background1" w:themeFillShade="F2"/>
      </w:tcPr>
    </w:tblStylePr>
  </w:style>
  <w:style w:type="table" w:customStyle="1" w:styleId="DarkHeading">
    <w:name w:val="Dark Heading"/>
    <w:basedOn w:val="TableNormal"/>
    <w:uiPriority w:val="99"/>
    <w:rsid w:val="00737D4D"/>
    <w:pPr>
      <w:spacing w:after="0"/>
    </w:pPr>
    <w:rPr>
      <w:sz w:val="20"/>
      <w:szCs w:val="20"/>
    </w:rPr>
    <w:tblPr>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rPr>
        <w:rFonts w:asciiTheme="minorHAnsi" w:hAnsiTheme="minorHAnsi"/>
        <w:b/>
        <w:color w:val="FFFFFF"/>
        <w:sz w:val="20"/>
      </w:rPr>
      <w:tblPr/>
      <w:tcPr>
        <w:shd w:val="clear" w:color="auto" w:fill="1178A0" w:themeFill="background2"/>
      </w:tcPr>
    </w:tblStylePr>
  </w:style>
  <w:style w:type="table" w:customStyle="1" w:styleId="LightHeadingBanded">
    <w:name w:val="Light Heading Banded"/>
    <w:basedOn w:val="TableNormal"/>
    <w:uiPriority w:val="99"/>
    <w:rsid w:val="00737D4D"/>
    <w:pPr>
      <w:spacing w:after="0"/>
    </w:pPr>
    <w:rPr>
      <w:sz w:val="20"/>
    </w:rPr>
    <w:tblPr>
      <w:tblStyleRowBandSize w:val="1"/>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Pr>
    <w:tblStylePr w:type="firstRow">
      <w:rPr>
        <w:rFonts w:asciiTheme="minorHAnsi" w:hAnsiTheme="minorHAnsi"/>
        <w:b/>
        <w:color w:val="000000" w:themeColor="text1"/>
      </w:rPr>
      <w:tblPr/>
      <w:tcPr>
        <w:shd w:val="clear" w:color="auto" w:fill="E6F1F8" w:themeFill="accent2"/>
      </w:tcPr>
    </w:tblStylePr>
    <w:tblStylePr w:type="band2Horz">
      <w:tblPr/>
      <w:tcPr>
        <w:shd w:val="clear" w:color="auto" w:fill="F2F2F2" w:themeFill="background1" w:themeFillShade="F2"/>
      </w:tcPr>
    </w:tblStylePr>
  </w:style>
  <w:style w:type="paragraph" w:customStyle="1" w:styleId="PulloutBoxHeading">
    <w:name w:val="Pullout Box Heading"/>
    <w:basedOn w:val="Heading3"/>
    <w:qFormat/>
    <w:rsid w:val="00036AB8"/>
    <w:pPr>
      <w:spacing w:before="120" w:after="60"/>
    </w:pPr>
  </w:style>
  <w:style w:type="table" w:customStyle="1" w:styleId="PulloutBox">
    <w:name w:val="Pullout Box"/>
    <w:basedOn w:val="TableNormal"/>
    <w:uiPriority w:val="99"/>
    <w:rsid w:val="00F866FA"/>
    <w:pPr>
      <w:spacing w:after="0"/>
    </w:pPr>
    <w:tblPr>
      <w:tblCellMar>
        <w:top w:w="284" w:type="dxa"/>
        <w:left w:w="284" w:type="dxa"/>
        <w:bottom w:w="284" w:type="dxa"/>
        <w:right w:w="284" w:type="dxa"/>
      </w:tblCellMar>
    </w:tblPr>
    <w:tcPr>
      <w:shd w:val="clear" w:color="auto" w:fill="E6F1F8" w:themeFill="accent2"/>
    </w:tc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99"/>
    <w:qFormat/>
    <w:locked/>
    <w:rsid w:val="00A6672E"/>
    <w:pPr>
      <w:ind w:left="72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99"/>
    <w:rsid w:val="00A6672E"/>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Plain">
    <w:name w:val="Plain"/>
    <w:basedOn w:val="TableNormal"/>
    <w:next w:val="TableGrid"/>
    <w:rsid w:val="00423210"/>
    <w:pPr>
      <w:spacing w:before="60" w:after="60"/>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b/>
      </w:rPr>
      <w:tblPr/>
      <w:trPr>
        <w:cantSplit/>
        <w:tblHeader/>
      </w:trPr>
    </w:tblStylePr>
  </w:style>
  <w:style w:type="paragraph" w:customStyle="1" w:styleId="TRIMnumber">
    <w:name w:val="TRIM number"/>
    <w:basedOn w:val="Normal"/>
    <w:qFormat/>
    <w:rsid w:val="00932407"/>
    <w:pPr>
      <w:spacing w:before="0" w:after="360"/>
      <w:jc w:val="right"/>
    </w:pPr>
  </w:style>
  <w:style w:type="paragraph" w:styleId="Revision">
    <w:name w:val="Revision"/>
    <w:hidden/>
    <w:uiPriority w:val="99"/>
    <w:semiHidden/>
    <w:rsid w:val="00174535"/>
    <w:pPr>
      <w:spacing w:after="0"/>
    </w:pPr>
  </w:style>
  <w:style w:type="character" w:customStyle="1" w:styleId="Superscript">
    <w:name w:val="Superscript"/>
    <w:uiPriority w:val="99"/>
    <w:rsid w:val="00183675"/>
    <w:rPr>
      <w:u w:val="none"/>
      <w:vertAlign w:val="superscript"/>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Roman">
    <w:name w:val="Roman"/>
    <w:uiPriority w:val="99"/>
    <w:rsid w:val="00195458"/>
  </w:style>
  <w:style w:type="character" w:customStyle="1" w:styleId="Italic">
    <w:name w:val="Italic"/>
    <w:uiPriority w:val="99"/>
    <w:rsid w:val="0099343F"/>
    <w:rPr>
      <w:i/>
      <w:iCs/>
    </w:rPr>
  </w:style>
  <w:style w:type="character" w:styleId="UnresolvedMention">
    <w:name w:val="Unresolved Mention"/>
    <w:basedOn w:val="DefaultParagraphFont"/>
    <w:uiPriority w:val="99"/>
    <w:semiHidden/>
    <w:unhideWhenUsed/>
    <w:rsid w:val="00AB0A6E"/>
    <w:rPr>
      <w:color w:val="605E5C"/>
      <w:shd w:val="clear" w:color="auto" w:fill="E1DFDD"/>
    </w:rPr>
  </w:style>
  <w:style w:type="paragraph" w:customStyle="1" w:styleId="FactSheetType">
    <w:name w:val="Fact Sheet Type"/>
    <w:basedOn w:val="Normal"/>
    <w:qFormat/>
    <w:rsid w:val="0056304B"/>
    <w:pPr>
      <w:spacing w:before="0" w:after="480"/>
      <w:jc w:val="right"/>
    </w:pPr>
    <w:rPr>
      <w:bCs/>
      <w:sz w:val="28"/>
    </w:rPr>
  </w:style>
  <w:style w:type="paragraph" w:customStyle="1" w:styleId="PulloutTextBody">
    <w:name w:val="Pullout Text Body"/>
    <w:basedOn w:val="Normal"/>
    <w:qFormat/>
    <w:rsid w:val="00036AB8"/>
    <w:pPr>
      <w:pBdr>
        <w:left w:val="single" w:sz="48" w:space="8" w:color="1178A0" w:themeColor="background2"/>
      </w:pBdr>
      <w:spacing w:before="180"/>
      <w:ind w:left="284"/>
    </w:pPr>
    <w:rPr>
      <w:b/>
    </w:rPr>
  </w:style>
  <w:style w:type="table" w:customStyle="1" w:styleId="SurveyQuestions">
    <w:name w:val="Survey Questions"/>
    <w:basedOn w:val="DarkHeading"/>
    <w:uiPriority w:val="99"/>
    <w:rsid w:val="006456F1"/>
    <w:rPr>
      <w:sz w:val="22"/>
    </w:rPr>
    <w:tblPr/>
    <w:tblStylePr w:type="firstRow">
      <w:rPr>
        <w:rFonts w:asciiTheme="minorHAnsi" w:hAnsiTheme="minorHAnsi"/>
        <w:b/>
        <w:color w:val="FFFFFF"/>
        <w:sz w:val="22"/>
      </w:rPr>
      <w:tblPr/>
      <w:tcPr>
        <w:shd w:val="clear" w:color="auto" w:fill="1178A0" w:themeFill="background2"/>
      </w:tcPr>
    </w:tblStylePr>
    <w:tblStylePr w:type="firstCol">
      <w:rPr>
        <w:b/>
      </w:rPr>
      <w:tblPr/>
      <w:tcPr>
        <w:shd w:val="clear" w:color="auto" w:fill="E6F1F8" w:themeFill="accent2"/>
      </w:tcPr>
    </w:tblStylePr>
  </w:style>
  <w:style w:type="paragraph" w:customStyle="1" w:styleId="Heading1a">
    <w:name w:val="Heading 1a"/>
    <w:basedOn w:val="Heading1"/>
    <w:next w:val="Normal"/>
    <w:rsid w:val="008C1853"/>
    <w:pPr>
      <w:spacing w:before="0" w:after="480"/>
      <w:outlineLvl w:val="9"/>
    </w:pPr>
    <w:rPr>
      <w:rFonts w:ascii="Arial" w:hAnsi="Arial"/>
      <w:color w:val="0B6080"/>
      <w:kern w:val="32"/>
      <w:sz w:val="44"/>
    </w:rPr>
  </w:style>
  <w:style w:type="paragraph" w:customStyle="1" w:styleId="ImprintText">
    <w:name w:val="ImprintText"/>
    <w:basedOn w:val="Normal"/>
    <w:rsid w:val="000F6B39"/>
    <w:pPr>
      <w:spacing w:before="0"/>
    </w:pPr>
    <w:rPr>
      <w:rFonts w:ascii="Arial" w:hAnsi="Arial"/>
      <w:color w:val="000000"/>
      <w:szCs w:val="20"/>
    </w:rPr>
  </w:style>
  <w:style w:type="character" w:customStyle="1" w:styleId="DraftingNotesChar">
    <w:name w:val="DraftingNotesChar"/>
    <w:basedOn w:val="DefaultParagraphFont"/>
    <w:uiPriority w:val="1"/>
    <w:rsid w:val="000F6B39"/>
    <w:rPr>
      <w:rFonts w:ascii="Arial" w:hAnsi="Arial"/>
      <w:noProof/>
      <w:color w:val="FF40FF"/>
      <w:sz w:val="22"/>
    </w:rPr>
  </w:style>
  <w:style w:type="paragraph" w:customStyle="1" w:styleId="DraftingNotes">
    <w:name w:val="DraftingNotes"/>
    <w:basedOn w:val="Normal"/>
    <w:rsid w:val="008C1853"/>
    <w:pPr>
      <w:spacing w:before="0" w:after="240"/>
    </w:pPr>
    <w:rPr>
      <w:rFonts w:ascii="Arial" w:hAnsi="Arial"/>
      <w:b/>
      <w:color w:val="FF40FF"/>
      <w:szCs w:val="20"/>
    </w:rPr>
  </w:style>
  <w:style w:type="paragraph" w:customStyle="1" w:styleId="Backpagelogoholder">
    <w:name w:val="Back page logo holder"/>
    <w:basedOn w:val="Normal"/>
    <w:qFormat/>
    <w:rsid w:val="000E15DA"/>
    <w:pPr>
      <w:keepLines/>
      <w:spacing w:before="10920" w:after="240"/>
      <w:ind w:hanging="142"/>
    </w:pPr>
    <w:rPr>
      <w:rFonts w:eastAsiaTheme="majorEastAsia"/>
      <w:noProof/>
    </w:rPr>
  </w:style>
  <w:style w:type="character" w:styleId="LineNumber">
    <w:name w:val="line number"/>
    <w:basedOn w:val="DefaultParagraphFont"/>
    <w:uiPriority w:val="98"/>
    <w:semiHidden/>
    <w:unhideWhenUsed/>
    <w:locked/>
    <w:rsid w:val="006C45E7"/>
  </w:style>
  <w:style w:type="paragraph" w:customStyle="1" w:styleId="SandQwebaddress">
    <w:name w:val="S and Q web address"/>
    <w:basedOn w:val="Normal"/>
    <w:qFormat/>
    <w:rsid w:val="00262327"/>
    <w:pPr>
      <w:spacing w:before="480" w:after="60"/>
    </w:pPr>
  </w:style>
  <w:style w:type="character" w:styleId="CommentReference">
    <w:name w:val="annotation reference"/>
    <w:basedOn w:val="DefaultParagraphFont"/>
    <w:semiHidden/>
    <w:unhideWhenUsed/>
    <w:locked/>
    <w:rsid w:val="00E722FB"/>
    <w:rPr>
      <w:sz w:val="16"/>
      <w:szCs w:val="16"/>
    </w:rPr>
  </w:style>
  <w:style w:type="paragraph" w:styleId="CommentText">
    <w:name w:val="annotation text"/>
    <w:basedOn w:val="Normal"/>
    <w:link w:val="CommentTextChar"/>
    <w:unhideWhenUsed/>
    <w:locked/>
    <w:rsid w:val="00E722FB"/>
    <w:rPr>
      <w:sz w:val="20"/>
      <w:szCs w:val="20"/>
    </w:rPr>
  </w:style>
  <w:style w:type="character" w:customStyle="1" w:styleId="CommentTextChar">
    <w:name w:val="Comment Text Char"/>
    <w:basedOn w:val="DefaultParagraphFont"/>
    <w:link w:val="CommentText"/>
    <w:rsid w:val="00E722FB"/>
    <w:rPr>
      <w:sz w:val="20"/>
      <w:szCs w:val="20"/>
    </w:rPr>
  </w:style>
  <w:style w:type="paragraph" w:styleId="CommentSubject">
    <w:name w:val="annotation subject"/>
    <w:basedOn w:val="CommentText"/>
    <w:next w:val="CommentText"/>
    <w:link w:val="CommentSubjectChar"/>
    <w:uiPriority w:val="98"/>
    <w:semiHidden/>
    <w:unhideWhenUsed/>
    <w:locked/>
    <w:rsid w:val="00E722FB"/>
    <w:rPr>
      <w:b/>
      <w:bCs/>
    </w:rPr>
  </w:style>
  <w:style w:type="character" w:customStyle="1" w:styleId="CommentSubjectChar">
    <w:name w:val="Comment Subject Char"/>
    <w:basedOn w:val="CommentTextChar"/>
    <w:link w:val="CommentSubject"/>
    <w:uiPriority w:val="98"/>
    <w:semiHidden/>
    <w:rsid w:val="00E722FB"/>
    <w:rPr>
      <w:b/>
      <w:bCs/>
      <w:sz w:val="20"/>
      <w:szCs w:val="20"/>
    </w:rPr>
  </w:style>
  <w:style w:type="character" w:customStyle="1" w:styleId="Heading2Char">
    <w:name w:val="Heading 2 Char"/>
    <w:basedOn w:val="DefaultParagraphFont"/>
    <w:link w:val="Heading2"/>
    <w:rsid w:val="00962EDE"/>
    <w:rPr>
      <w:rFonts w:cs="Arial"/>
      <w:b/>
      <w:iCs/>
      <w:color w:val="005370" w:themeColor="text2"/>
      <w:kern w:val="28"/>
      <w:sz w:val="32"/>
      <w:szCs w:val="28"/>
    </w:rPr>
  </w:style>
  <w:style w:type="paragraph" w:customStyle="1" w:styleId="TableFiguretitle">
    <w:name w:val="Table/ Figure title"/>
    <w:basedOn w:val="Heading2"/>
    <w:qFormat/>
    <w:rsid w:val="004120CA"/>
    <w:rPr>
      <w:color w:val="000000" w:themeColor="text1"/>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403338790">
      <w:bodyDiv w:val="1"/>
      <w:marLeft w:val="0"/>
      <w:marRight w:val="0"/>
      <w:marTop w:val="0"/>
      <w:marBottom w:val="0"/>
      <w:divBdr>
        <w:top w:val="none" w:sz="0" w:space="0" w:color="auto"/>
        <w:left w:val="none" w:sz="0" w:space="0" w:color="auto"/>
        <w:bottom w:val="none" w:sz="0" w:space="0" w:color="auto"/>
        <w:right w:val="none" w:sz="0" w:space="0" w:color="auto"/>
      </w:divBdr>
    </w:div>
    <w:div w:id="615990671">
      <w:bodyDiv w:val="1"/>
      <w:marLeft w:val="0"/>
      <w:marRight w:val="0"/>
      <w:marTop w:val="0"/>
      <w:marBottom w:val="0"/>
      <w:divBdr>
        <w:top w:val="none" w:sz="0" w:space="0" w:color="auto"/>
        <w:left w:val="none" w:sz="0" w:space="0" w:color="auto"/>
        <w:bottom w:val="none" w:sz="0" w:space="0" w:color="auto"/>
        <w:right w:val="none" w:sz="0" w:space="0" w:color="auto"/>
      </w:divBdr>
    </w:div>
    <w:div w:id="967278270">
      <w:bodyDiv w:val="1"/>
      <w:marLeft w:val="0"/>
      <w:marRight w:val="0"/>
      <w:marTop w:val="0"/>
      <w:marBottom w:val="0"/>
      <w:divBdr>
        <w:top w:val="none" w:sz="0" w:space="0" w:color="auto"/>
        <w:left w:val="none" w:sz="0" w:space="0" w:color="auto"/>
        <w:bottom w:val="none" w:sz="0" w:space="0" w:color="auto"/>
        <w:right w:val="none" w:sz="0" w:space="0" w:color="auto"/>
      </w:divBdr>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194147139">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503931434">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79452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safetyandquality.gov.au/standards/nsqhs-standards/clinical-governance/clinical-governance-standard" TargetMode="External"/><Relationship Id="rId39" Type="http://schemas.openxmlformats.org/officeDocument/2006/relationships/hyperlink" Target="https://www.safetyandquality.gov.au/standards/nsqhs-standards" TargetMode="External"/><Relationship Id="rId21" Type="http://schemas.openxmlformats.org/officeDocument/2006/relationships/footer" Target="footer3.xml"/><Relationship Id="rId34" Type="http://schemas.openxmlformats.org/officeDocument/2006/relationships/hyperlink" Target="https://www.iso.org/standard/62085.html" TargetMode="External"/><Relationship Id="rId42" Type="http://schemas.openxmlformats.org/officeDocument/2006/relationships/hyperlink" Target="https://www.safetyandquality.gov.au/standards/nsqhs-standards/preventing-and-controlling-infections-standard" TargetMode="External"/><Relationship Id="rId47" Type="http://schemas.openxmlformats.org/officeDocument/2006/relationships/hyperlink" Target="https://www.tga.gov.au/products/australian-register-therapeutic-goods-artg" TargetMode="External"/><Relationship Id="rId50" Type="http://schemas.openxmlformats.org/officeDocument/2006/relationships/hyperlink" Target="https://www.safetyandquality.gov.au/standards/nsqhs-standards/preventing-and-controlling-infections-standard" TargetMode="External"/><Relationship Id="rId55" Type="http://schemas.openxmlformats.org/officeDocument/2006/relationships/hyperlink" Target="https://www.tga.gov.au/products/australian-register-therapeutic-goods-artg" TargetMode="External"/><Relationship Id="rId63" Type="http://schemas.openxmlformats.org/officeDocument/2006/relationships/hyperlink" Target="https://www.healthfacilityguidelines.com.au/part/part-d-infection-prevention-and-control-0" TargetMode="External"/><Relationship Id="rId68" Type="http://schemas.openxmlformats.org/officeDocument/2006/relationships/hyperlink" Target="https://www.safetyandquality.gov.au/standards/nsqhs-standards/clinical-governance/clinical-governance-standard" TargetMode="External"/><Relationship Id="rId76" Type="http://schemas.openxmlformats.org/officeDocument/2006/relationships/hyperlink" Target="https://www.safetyandquality.gov.au/our-work/infection-prevention-and-control/australian-guidelines-prevention-and-control-infection-healthcare" TargetMode="External"/><Relationship Id="rId7" Type="http://schemas.openxmlformats.org/officeDocument/2006/relationships/settings" Target="settings.xml"/><Relationship Id="rId71" Type="http://schemas.openxmlformats.org/officeDocument/2006/relationships/hyperlink" Target="https://www.safetyandquality.gov.au/our-work/infection-prevention-and-control/australian-guidelines-prevention-and-control-infection-healthcare" TargetMode="External"/><Relationship Id="rId2" Type="http://schemas.openxmlformats.org/officeDocument/2006/relationships/customXml" Target="../customXml/item2.xml"/><Relationship Id="rId16" Type="http://schemas.openxmlformats.org/officeDocument/2006/relationships/hyperlink" Target="https://www.safetyandquality.gov.au/standards/nsqhs-standards/preventing-and-controlling-infections-standard/reprocessing-reusable-equipment-and-devices/action-317" TargetMode="External"/><Relationship Id="rId29" Type="http://schemas.openxmlformats.org/officeDocument/2006/relationships/hyperlink" Target="https://www.safetyandquality.gov.au/our-work/infection-prevention-and-control/australian-guidelines-prevention-and-control-infection-healthcare" TargetMode="External"/><Relationship Id="rId11" Type="http://schemas.openxmlformats.org/officeDocument/2006/relationships/image" Target="media/image1.png"/><Relationship Id="rId24" Type="http://schemas.openxmlformats.org/officeDocument/2006/relationships/hyperlink" Target="https://www.safetyandquality.gov.au/our-work/infection-prevention-and-control/australian-guidelines-prevention-and-control-infection-healthcare" TargetMode="External"/><Relationship Id="rId32" Type="http://schemas.openxmlformats.org/officeDocument/2006/relationships/hyperlink" Target="https://www.safetyandquality.gov.au/standards/nsqhs-standards" TargetMode="External"/><Relationship Id="rId37" Type="http://schemas.openxmlformats.org/officeDocument/2006/relationships/hyperlink" Target="https://www.safetyandquality.gov.au/standards/nsqhs-standards/clinical-governance/clinical-governance-standard" TargetMode="External"/><Relationship Id="rId40" Type="http://schemas.openxmlformats.org/officeDocument/2006/relationships/hyperlink" Target="https://www.safetyandquality.gov.au/our-work/infection-prevention-and-control/australian-guidelines-prevention-and-control-infection-healthcare" TargetMode="External"/><Relationship Id="rId45" Type="http://schemas.openxmlformats.org/officeDocument/2006/relationships/hyperlink" Target="https://www.safetyandquality.gov.au/standards/nsqhs-standards" TargetMode="External"/><Relationship Id="rId53" Type="http://schemas.openxmlformats.org/officeDocument/2006/relationships/hyperlink" Target="https://www.tga.gov.au/products/australian-register-therapeutic-goods-artg" TargetMode="External"/><Relationship Id="rId58" Type="http://schemas.openxmlformats.org/officeDocument/2006/relationships/hyperlink" Target="https://healthfacilityguidelines.com.au/" TargetMode="External"/><Relationship Id="rId66" Type="http://schemas.openxmlformats.org/officeDocument/2006/relationships/hyperlink" Target="https://healthfacilityguidelines.com.au/" TargetMode="External"/><Relationship Id="rId74" Type="http://schemas.openxmlformats.org/officeDocument/2006/relationships/hyperlink" Target="https://www.safetyandquality.gov.au/standards/nsqhs-standards" TargetMode="External"/><Relationship Id="rId79" Type="http://schemas.openxmlformats.org/officeDocument/2006/relationships/hyperlink" Target="mailto:AdviceCentre@safetyandquality.gov.au" TargetMode="External"/><Relationship Id="rId5" Type="http://schemas.openxmlformats.org/officeDocument/2006/relationships/numbering" Target="numbering.xml"/><Relationship Id="rId61" Type="http://schemas.openxmlformats.org/officeDocument/2006/relationships/hyperlink" Target="https://healthfacilityguidelines.com.au/" TargetMode="External"/><Relationship Id="rId82"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www.safetyandquality.gov.au/standards/nsqhs-standards/preventing-and-controlling-infections-standard" TargetMode="External"/><Relationship Id="rId44" Type="http://schemas.openxmlformats.org/officeDocument/2006/relationships/hyperlink" Target="https://www.safetyandquality.gov.au/standards/nsqhs-standards/clinical-governance/clinical-governance-standard" TargetMode="External"/><Relationship Id="rId52" Type="http://schemas.openxmlformats.org/officeDocument/2006/relationships/hyperlink" Target="https://www.safetyandquality.gov.au/our-work/infection-prevention-and-control/australian-guidelines-prevention-and-control-infection-healthcare" TargetMode="External"/><Relationship Id="rId60" Type="http://schemas.openxmlformats.org/officeDocument/2006/relationships/hyperlink" Target="https://www.safetyandquality.gov.au/standards/nsqhs-standards" TargetMode="External"/><Relationship Id="rId65" Type="http://schemas.openxmlformats.org/officeDocument/2006/relationships/hyperlink" Target="https://www.safetyandquality.gov.au/standards/nsqhs-standards" TargetMode="External"/><Relationship Id="rId73" Type="http://schemas.openxmlformats.org/officeDocument/2006/relationships/hyperlink" Target="https://www.safetyandquality.gov.au/standards/nsqhs-standards/preventing-and-controlling-infections-standard" TargetMode="External"/><Relationship Id="rId78" Type="http://schemas.openxmlformats.org/officeDocument/2006/relationships/hyperlink" Target="https://www.safetyandquality.gov.au/standards/nsqhs-standards" TargetMode="External"/><Relationship Id="rId8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s://www.safetyandquality.gov.au/standards/nsqhs-standards/preventing-and-controlling-infections-standard" TargetMode="External"/><Relationship Id="rId30" Type="http://schemas.openxmlformats.org/officeDocument/2006/relationships/hyperlink" Target="https://www.safetyandquality.gov.au/standards/nsqhs-standards/clinical-governance/clinical-governance-standard" TargetMode="External"/><Relationship Id="rId35" Type="http://schemas.openxmlformats.org/officeDocument/2006/relationships/hyperlink" Target="https://www.safetyandquality.gov.au/standards/nsqhs-standards/clinical-governance/clinical-governance-standard" TargetMode="External"/><Relationship Id="rId43" Type="http://schemas.openxmlformats.org/officeDocument/2006/relationships/hyperlink" Target="https://www.safetyandquality.gov.au/standards/nsqhs-standards" TargetMode="External"/><Relationship Id="rId48" Type="http://schemas.openxmlformats.org/officeDocument/2006/relationships/hyperlink" Target="https://www.tga.gov.au/products" TargetMode="External"/><Relationship Id="rId56" Type="http://schemas.openxmlformats.org/officeDocument/2006/relationships/hyperlink" Target="https://www.safetyandquality.gov.au/our-work/infection-prevention-and-control/australian-guidelines-prevention-and-control-infection-healthcare" TargetMode="External"/><Relationship Id="rId64" Type="http://schemas.openxmlformats.org/officeDocument/2006/relationships/hyperlink" Target="https://www.safetyandquality.gov.au/standards/nsqhs-standards/preventing-and-controlling-infections-standard" TargetMode="External"/><Relationship Id="rId69" Type="http://schemas.openxmlformats.org/officeDocument/2006/relationships/hyperlink" Target="https://www.safetyandquality.gov.au/standards/nsqhs-standards/preventing-and-controlling-infections-standard" TargetMode="External"/><Relationship Id="rId77" Type="http://schemas.openxmlformats.org/officeDocument/2006/relationships/hyperlink" Target="https://healthfacilityguidelines.com.au/" TargetMode="External"/><Relationship Id="rId8" Type="http://schemas.openxmlformats.org/officeDocument/2006/relationships/webSettings" Target="webSettings.xml"/><Relationship Id="rId51" Type="http://schemas.openxmlformats.org/officeDocument/2006/relationships/hyperlink" Target="https://www.safetyandquality.gov.au/standards/nsqhs-standards" TargetMode="External"/><Relationship Id="rId72" Type="http://schemas.openxmlformats.org/officeDocument/2006/relationships/hyperlink" Target="https://www.safetyandquality.gov.au/standards/nsqhs-standards/clinical-governance/clinical-governance-standard" TargetMode="External"/><Relationship Id="rId80" Type="http://schemas.openxmlformats.org/officeDocument/2006/relationships/hyperlink" Target="http://www.safetyandquality.gov.au"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safetyandquality.gov.au/standards/nsqhs-standards" TargetMode="External"/><Relationship Id="rId25" Type="http://schemas.openxmlformats.org/officeDocument/2006/relationships/hyperlink" Target="https://www.safetyandquality.gov.au/our-work/infection-prevention-and-control/australian-guidelines-prevention-and-control-infection-healthcare" TargetMode="External"/><Relationship Id="rId33" Type="http://schemas.openxmlformats.org/officeDocument/2006/relationships/hyperlink" Target="https://www.safetyandquality.gov.au/our-work/infection-prevention-and-control/australian-guidelines-prevention-and-control-infection-healthcare" TargetMode="External"/><Relationship Id="rId38" Type="http://schemas.openxmlformats.org/officeDocument/2006/relationships/hyperlink" Target="https://www.safetyandquality.gov.au/standards/nsqhs-standards/preventing-and-controlling-infections-standard" TargetMode="External"/><Relationship Id="rId46" Type="http://schemas.openxmlformats.org/officeDocument/2006/relationships/hyperlink" Target="https://www.tga.gov.au/products" TargetMode="External"/><Relationship Id="rId59" Type="http://schemas.openxmlformats.org/officeDocument/2006/relationships/hyperlink" Target="https://www.safetyandquality.gov.au/standards/nsqhs-standards/preventing-and-controlling-infections-standard" TargetMode="External"/><Relationship Id="rId67" Type="http://schemas.openxmlformats.org/officeDocument/2006/relationships/hyperlink" Target="https://www.safetyandquality.gov.au/our-work/infection-prevention-and-control/optimising-ventilation-infection-prevention-and-control-healthcare-settings" TargetMode="External"/><Relationship Id="rId20" Type="http://schemas.openxmlformats.org/officeDocument/2006/relationships/footer" Target="footer2.xml"/><Relationship Id="rId41" Type="http://schemas.openxmlformats.org/officeDocument/2006/relationships/hyperlink" Target="https://www.safetyandquality.gov.au/standards/nsqhs-standards/clinical-governance/clinical-governance-standard" TargetMode="External"/><Relationship Id="rId54" Type="http://schemas.openxmlformats.org/officeDocument/2006/relationships/hyperlink" Target="https://www.tga.gov.au/products/australian-register-therapeutic-goods-artg" TargetMode="External"/><Relationship Id="rId62" Type="http://schemas.openxmlformats.org/officeDocument/2006/relationships/hyperlink" Target="https://www.safetyandquality.gov.au/our-work/infection-prevention-and-control/national-hand-hygiene-initiative/what-hand-hygiene/alcohol-based-hand-rubs" TargetMode="External"/><Relationship Id="rId70" Type="http://schemas.openxmlformats.org/officeDocument/2006/relationships/hyperlink" Target="https://www.safetyandquality.gov.au/standards/nsqhs-standards" TargetMode="External"/><Relationship Id="rId75" Type="http://schemas.openxmlformats.org/officeDocument/2006/relationships/hyperlink" Target="https://www.safetyandquality.gov.au/our-work/infection-prevention-and-control/australian-guidelines-prevention-and-control-infection-healthcare"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yperlink" Target="https://www.safetyandquality.gov.au/standards/nsqhs-standards" TargetMode="External"/><Relationship Id="rId36" Type="http://schemas.openxmlformats.org/officeDocument/2006/relationships/hyperlink" Target="https://www.safetyandquality.gov.au/standards/nsqhs-standards" TargetMode="External"/><Relationship Id="rId49" Type="http://schemas.openxmlformats.org/officeDocument/2006/relationships/hyperlink" Target="https://www.safetyandquality.gov.au/our-work/infection-prevention-and-control/australian-guidelines-prevention-and-control-infection-healthcare" TargetMode="External"/><Relationship Id="rId57" Type="http://schemas.openxmlformats.org/officeDocument/2006/relationships/hyperlink" Target="https://www.safetyandquality.gov.au/standards/nsqhs-standards/preventing-and-controlling-infections-standar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aohu\AppData\Roaming\Hewlett-Packard\HP%20TRIM\TEMP\HPTRIM.19528\D22-40121%20%20TEMPLATE%20-%20Accessible%20Word%20-%20ACSQHC%20Short%20Form%20Document%20-%201%20September%202022.DOTX" TargetMode="External"/></Relationships>
</file>

<file path=word/theme/theme1.xml><?xml version="1.0" encoding="utf-8"?>
<a:theme xmlns:a="http://schemas.openxmlformats.org/drawingml/2006/main" name="Office Theme">
  <a:themeElements>
    <a:clrScheme name="Open Disclosure">
      <a:dk1>
        <a:srgbClr val="000000"/>
      </a:dk1>
      <a:lt1>
        <a:srgbClr val="FFFFFF"/>
      </a:lt1>
      <a:dk2>
        <a:srgbClr val="005370"/>
      </a:dk2>
      <a:lt2>
        <a:srgbClr val="1178A0"/>
      </a:lt2>
      <a:accent1>
        <a:srgbClr val="00A7E5"/>
      </a:accent1>
      <a:accent2>
        <a:srgbClr val="E6F1F8"/>
      </a:accent2>
      <a:accent3>
        <a:srgbClr val="0065A3"/>
      </a:accent3>
      <a:accent4>
        <a:srgbClr val="00B2CB"/>
      </a:accent4>
      <a:accent5>
        <a:srgbClr val="00B28E"/>
      </a:accent5>
      <a:accent6>
        <a:srgbClr val="E1241A"/>
      </a:accent6>
      <a:hlink>
        <a:srgbClr val="1178A2"/>
      </a:hlink>
      <a:folHlink>
        <a:srgbClr val="1178A1"/>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743DCC77DB274DB22D4DDF53FCBF5F" ma:contentTypeVersion="17" ma:contentTypeDescription="Create a new document." ma:contentTypeScope="" ma:versionID="536a4c590158fd68cb58c2dfacc14914">
  <xsd:schema xmlns:xsd="http://www.w3.org/2001/XMLSchema" xmlns:xs="http://www.w3.org/2001/XMLSchema" xmlns:p="http://schemas.microsoft.com/office/2006/metadata/properties" xmlns:ns2="4498f89d-1eae-456b-90f1-fc78c5fe8b2a" xmlns:ns3="ac66711c-8613-4dde-a928-6bd510ab7da4" targetNamespace="http://schemas.microsoft.com/office/2006/metadata/properties" ma:root="true" ma:fieldsID="237cf29351cec230e1b2250148bf5c99" ns2:_="" ns3:_="">
    <xsd:import namespace="4498f89d-1eae-456b-90f1-fc78c5fe8b2a"/>
    <xsd:import namespace="ac66711c-8613-4dde-a928-6bd510ab7d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8f89d-1eae-456b-90f1-fc78c5fe8b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bf5309-f60c-4adc-92cd-c2ac96d59903}" ma:internalName="TaxCatchAll" ma:showField="CatchAllData" ma:web="4498f89d-1eae-456b-90f1-fc78c5fe8b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66711c-8613-4dde-a928-6bd510ab7d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498f89d-1eae-456b-90f1-fc78c5fe8b2a" xsi:nil="true"/>
    <lcf76f155ced4ddcb4097134ff3c332f xmlns="ac66711c-8613-4dde-a928-6bd510ab7da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8CD84-916F-405B-B1B8-49EDDD3F0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8f89d-1eae-456b-90f1-fc78c5fe8b2a"/>
    <ds:schemaRef ds:uri="ac66711c-8613-4dde-a928-6bd510ab7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016665-7C5A-3347-B9F9-71760F4CFFCD}">
  <ds:schemaRefs>
    <ds:schemaRef ds:uri="http://schemas.openxmlformats.org/officeDocument/2006/bibliography"/>
  </ds:schemaRefs>
</ds:datastoreItem>
</file>

<file path=customXml/itemProps3.xml><?xml version="1.0" encoding="utf-8"?>
<ds:datastoreItem xmlns:ds="http://schemas.openxmlformats.org/officeDocument/2006/customXml" ds:itemID="{E69E47AA-81C7-49BD-8812-6D7D342C1FB2}">
  <ds:schemaRefs>
    <ds:schemaRef ds:uri="http://schemas.microsoft.com/office/2006/metadata/properties"/>
    <ds:schemaRef ds:uri="http://schemas.microsoft.com/office/infopath/2007/PartnerControls"/>
    <ds:schemaRef ds:uri="4498f89d-1eae-456b-90f1-fc78c5fe8b2a"/>
    <ds:schemaRef ds:uri="ac66711c-8613-4dde-a928-6bd510ab7da4"/>
  </ds:schemaRefs>
</ds:datastoreItem>
</file>

<file path=customXml/itemProps4.xml><?xml version="1.0" encoding="utf-8"?>
<ds:datastoreItem xmlns:ds="http://schemas.openxmlformats.org/officeDocument/2006/customXml" ds:itemID="{10E1C3D3-2B3A-4E54-8A75-513EA6A431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D22-40121  TEMPLATE - Accessible Word - ACSQHC Short Form Document - 1 September 2022.DOTX</Template>
  <TotalTime>1</TotalTime>
  <Pages>19</Pages>
  <Words>4366</Words>
  <Characters>34323</Characters>
  <Application>Microsoft Office Word</Application>
  <DocSecurity>4</DocSecurity>
  <Lines>286</Lines>
  <Paragraphs>77</Paragraphs>
  <ScaleCrop>false</ScaleCrop>
  <HeadingPairs>
    <vt:vector size="2" baseType="variant">
      <vt:variant>
        <vt:lpstr>Title</vt:lpstr>
      </vt:variant>
      <vt:variant>
        <vt:i4>1</vt:i4>
      </vt:variant>
    </vt:vector>
  </HeadingPairs>
  <TitlesOfParts>
    <vt:vector size="1" baseType="lpstr">
      <vt:lpstr/>
    </vt:vector>
  </TitlesOfParts>
  <Manager/>
  <Company>Australian Commission on Safety and Quality in Health Care</Company>
  <LinksUpToDate>false</LinksUpToDate>
  <CharactersWithSpaces>38612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LIAO, Serina</dc:creator>
  <cp:keywords/>
  <dc:description/>
  <cp:lastModifiedBy>MERTENS, Kate</cp:lastModifiedBy>
  <cp:revision>2</cp:revision>
  <cp:lastPrinted>2024-04-22T01:27:00Z</cp:lastPrinted>
  <dcterms:created xsi:type="dcterms:W3CDTF">2024-08-08T01:52:00Z</dcterms:created>
  <dcterms:modified xsi:type="dcterms:W3CDTF">2024-08-08T01:52:00Z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0x01010028743DCC77DB274DB22D4DDF53FCBF5F</vt:lpwstr>
  </property>
</Properties>
</file>