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AEE89BA"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34159EBA" w:rsidR="009932E9" w:rsidRDefault="009932E9" w:rsidP="00F738B5">
      <w:pPr>
        <w:rPr>
          <w:rFonts w:ascii="Garamond" w:hAnsi="Garamond"/>
          <w:lang w:val="en-AU"/>
        </w:rPr>
      </w:pPr>
      <w:r>
        <w:rPr>
          <w:rFonts w:ascii="Garamond" w:hAnsi="Garamond"/>
          <w:lang w:val="en-AU"/>
        </w:rPr>
        <w:t>Issue 6</w:t>
      </w:r>
      <w:r w:rsidR="00EB07A2">
        <w:rPr>
          <w:rFonts w:ascii="Garamond" w:hAnsi="Garamond"/>
          <w:lang w:val="en-AU"/>
        </w:rPr>
        <w:t>6</w:t>
      </w:r>
      <w:r w:rsidR="008B1CB9">
        <w:rPr>
          <w:rFonts w:ascii="Garamond" w:hAnsi="Garamond"/>
          <w:lang w:val="en-AU"/>
        </w:rPr>
        <w:t>6</w:t>
      </w:r>
    </w:p>
    <w:p w14:paraId="53429E1A" w14:textId="7554B906" w:rsidR="005C6930" w:rsidRDefault="008B1CB9" w:rsidP="00F738B5">
      <w:pPr>
        <w:rPr>
          <w:rFonts w:ascii="Garamond" w:hAnsi="Garamond"/>
          <w:lang w:val="en-AU"/>
        </w:rPr>
      </w:pPr>
      <w:r>
        <w:rPr>
          <w:rFonts w:ascii="Garamond" w:hAnsi="Garamond"/>
          <w:lang w:val="en-AU"/>
        </w:rPr>
        <w:t>16</w:t>
      </w:r>
      <w:r w:rsidR="00FC2391">
        <w:rPr>
          <w:rFonts w:ascii="Garamond" w:hAnsi="Garamond"/>
          <w:lang w:val="en-AU"/>
        </w:rPr>
        <w:t xml:space="preserve"> September</w:t>
      </w:r>
      <w:r w:rsidR="00EB07A2">
        <w:rPr>
          <w:rFonts w:ascii="Garamond" w:hAnsi="Garamond"/>
          <w:lang w:val="en-AU"/>
        </w:rPr>
        <w:t xml:space="preserve">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1731B99F"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F54F0D" w:rsidRPr="00B9271D">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2FF03E41"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285C826A" w14:textId="5AD3DA2E" w:rsidR="00357B50" w:rsidRDefault="00340157" w:rsidP="00764AC3">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Niall Johnson</w:t>
      </w:r>
      <w:bookmarkEnd w:id="0"/>
    </w:p>
    <w:p w14:paraId="0D17A847" w14:textId="77777777" w:rsidR="00764AC3" w:rsidRDefault="00764AC3" w:rsidP="00764AC3">
      <w:pPr>
        <w:rPr>
          <w:rFonts w:ascii="Garamond" w:hAnsi="Garamond"/>
          <w:lang w:val="en-AU"/>
        </w:rPr>
      </w:pPr>
    </w:p>
    <w:p w14:paraId="28218D4C" w14:textId="77777777" w:rsidR="00B458BF" w:rsidRDefault="00B458BF" w:rsidP="00764AC3">
      <w:pPr>
        <w:rPr>
          <w:rFonts w:ascii="Garamond" w:hAnsi="Garamond"/>
          <w:lang w:val="en-AU"/>
        </w:rPr>
      </w:pPr>
    </w:p>
    <w:p w14:paraId="770D9AB8" w14:textId="77777777" w:rsidR="00184134" w:rsidRDefault="00184134" w:rsidP="00184134">
      <w:pPr>
        <w:keepLines/>
        <w:autoSpaceDE w:val="0"/>
        <w:autoSpaceDN w:val="0"/>
        <w:adjustRightInd w:val="0"/>
        <w:rPr>
          <w:rFonts w:ascii="Garamond" w:hAnsi="Garamond"/>
          <w:lang w:val="en-AU"/>
        </w:rPr>
      </w:pPr>
    </w:p>
    <w:p w14:paraId="65DED30F" w14:textId="77777777" w:rsidR="00184134" w:rsidRDefault="00184134" w:rsidP="00184134">
      <w:pPr>
        <w:keepLines/>
        <w:autoSpaceDE w:val="0"/>
        <w:autoSpaceDN w:val="0"/>
        <w:adjustRightInd w:val="0"/>
        <w:rPr>
          <w:rFonts w:ascii="Garamond" w:hAnsi="Garamond"/>
          <w:lang w:val="en-AU"/>
        </w:rPr>
      </w:pPr>
    </w:p>
    <w:p w14:paraId="0127A3A8" w14:textId="556A808B" w:rsidR="00764AC3" w:rsidRDefault="00764AC3" w:rsidP="000A3862">
      <w:pPr>
        <w:keepNext/>
        <w:keepLines/>
        <w:autoSpaceDE w:val="0"/>
        <w:autoSpaceDN w:val="0"/>
        <w:adjustRightInd w:val="0"/>
        <w:rPr>
          <w:rFonts w:ascii="Garamond" w:hAnsi="Garamond"/>
          <w:b/>
          <w:lang w:val="en-AU"/>
        </w:rPr>
      </w:pPr>
      <w:r>
        <w:rPr>
          <w:rFonts w:ascii="Garamond" w:hAnsi="Garamond"/>
          <w:b/>
          <w:lang w:val="en-AU"/>
        </w:rPr>
        <w:t>Reports</w:t>
      </w:r>
    </w:p>
    <w:p w14:paraId="55EF4AF9" w14:textId="77777777" w:rsidR="00764AC3" w:rsidRDefault="00764AC3" w:rsidP="00764AC3">
      <w:pPr>
        <w:keepLines/>
        <w:autoSpaceDE w:val="0"/>
        <w:autoSpaceDN w:val="0"/>
        <w:adjustRightInd w:val="0"/>
        <w:rPr>
          <w:rFonts w:ascii="Garamond" w:hAnsi="Garamond"/>
          <w:lang w:val="en-AU"/>
        </w:rPr>
      </w:pPr>
    </w:p>
    <w:p w14:paraId="36FCE0F2" w14:textId="77777777" w:rsidR="00764AC3" w:rsidRDefault="00764AC3" w:rsidP="00764AC3">
      <w:pPr>
        <w:keepLines/>
        <w:autoSpaceDE w:val="0"/>
        <w:autoSpaceDN w:val="0"/>
        <w:adjustRightInd w:val="0"/>
        <w:rPr>
          <w:rFonts w:ascii="Garamond" w:hAnsi="Garamond"/>
          <w:lang w:val="en-AU"/>
        </w:rPr>
      </w:pPr>
    </w:p>
    <w:p w14:paraId="1835865C" w14:textId="77777777" w:rsidR="00184134" w:rsidRDefault="00184134" w:rsidP="00184134">
      <w:pPr>
        <w:keepLines/>
        <w:autoSpaceDE w:val="0"/>
        <w:autoSpaceDN w:val="0"/>
        <w:adjustRightInd w:val="0"/>
        <w:rPr>
          <w:rFonts w:ascii="Garamond" w:hAnsi="Garamond"/>
          <w:lang w:val="en-AU"/>
        </w:rPr>
      </w:pPr>
    </w:p>
    <w:p w14:paraId="5D7B7B49" w14:textId="77777777" w:rsidR="007C7280" w:rsidRPr="007C7280" w:rsidRDefault="007C7280" w:rsidP="007C7280">
      <w:pPr>
        <w:keepLines/>
        <w:autoSpaceDE w:val="0"/>
        <w:autoSpaceDN w:val="0"/>
        <w:adjustRightInd w:val="0"/>
        <w:rPr>
          <w:rFonts w:ascii="Garamond" w:hAnsi="Garamond"/>
          <w:i/>
          <w:iCs/>
          <w:lang w:val="en-AU"/>
        </w:rPr>
      </w:pPr>
      <w:r w:rsidRPr="007C7280">
        <w:rPr>
          <w:rFonts w:ascii="Garamond" w:hAnsi="Garamond"/>
          <w:i/>
          <w:iCs/>
          <w:lang w:val="en-AU"/>
        </w:rPr>
        <w:t>Cultural safety in Australia, Discussion paper</w:t>
      </w:r>
    </w:p>
    <w:p w14:paraId="20D71B19" w14:textId="77777777" w:rsidR="007C7280" w:rsidRDefault="007C7280" w:rsidP="00184134">
      <w:pPr>
        <w:keepLines/>
        <w:autoSpaceDE w:val="0"/>
        <w:autoSpaceDN w:val="0"/>
        <w:adjustRightInd w:val="0"/>
        <w:rPr>
          <w:rFonts w:ascii="Garamond" w:hAnsi="Garamond"/>
          <w:lang w:val="en-AU"/>
        </w:rPr>
      </w:pPr>
      <w:r w:rsidRPr="007C7280">
        <w:rPr>
          <w:rFonts w:ascii="Garamond" w:hAnsi="Garamond"/>
          <w:lang w:val="en-AU"/>
        </w:rPr>
        <w:t>Mohamed J, Stacey K, Chamberlain C, Priest N</w:t>
      </w:r>
    </w:p>
    <w:p w14:paraId="5870311E" w14:textId="5883B685" w:rsidR="00184134" w:rsidRDefault="007C7280" w:rsidP="00184134">
      <w:pPr>
        <w:keepLines/>
        <w:autoSpaceDE w:val="0"/>
        <w:autoSpaceDN w:val="0"/>
        <w:adjustRightInd w:val="0"/>
        <w:rPr>
          <w:rFonts w:ascii="Garamond" w:hAnsi="Garamond"/>
          <w:lang w:val="en-AU"/>
        </w:rPr>
      </w:pPr>
      <w:r w:rsidRPr="007C7280">
        <w:rPr>
          <w:rFonts w:ascii="Garamond" w:hAnsi="Garamond"/>
          <w:lang w:val="en-AU"/>
        </w:rPr>
        <w:t>Melbourne: Lowitja Institute; 2024. p. 88.</w:t>
      </w:r>
    </w:p>
    <w:tbl>
      <w:tblPr>
        <w:tblStyle w:val="TableGrid"/>
        <w:tblW w:w="9360" w:type="dxa"/>
        <w:tblInd w:w="288" w:type="dxa"/>
        <w:tblLayout w:type="fixed"/>
        <w:tblLook w:val="01E0" w:firstRow="1" w:lastRow="1" w:firstColumn="1" w:lastColumn="1" w:noHBand="0" w:noVBand="0"/>
      </w:tblPr>
      <w:tblGrid>
        <w:gridCol w:w="1080"/>
        <w:gridCol w:w="8280"/>
      </w:tblGrid>
      <w:tr w:rsidR="00184134" w:rsidRPr="000170DA" w14:paraId="6731C2EB" w14:textId="77777777" w:rsidTr="00B10DB3">
        <w:tc>
          <w:tcPr>
            <w:tcW w:w="1080" w:type="dxa"/>
            <w:tcBorders>
              <w:top w:val="single" w:sz="4" w:space="0" w:color="auto"/>
              <w:left w:val="single" w:sz="4" w:space="0" w:color="auto"/>
              <w:bottom w:val="single" w:sz="4" w:space="0" w:color="auto"/>
              <w:right w:val="single" w:sz="4" w:space="0" w:color="auto"/>
            </w:tcBorders>
            <w:vAlign w:val="center"/>
          </w:tcPr>
          <w:p w14:paraId="6319207E" w14:textId="77777777" w:rsidR="00184134" w:rsidRPr="000170DA" w:rsidRDefault="00184134" w:rsidP="00B10DB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6005E62" w14:textId="5BFBBCCD" w:rsidR="00184134" w:rsidRPr="000170DA" w:rsidRDefault="00000000" w:rsidP="00B10DB3">
            <w:pPr>
              <w:keepNext/>
              <w:jc w:val="both"/>
              <w:rPr>
                <w:rStyle w:val="Hyperlink"/>
                <w:rFonts w:ascii="Garamond" w:hAnsi="Garamond"/>
                <w:color w:val="auto"/>
                <w:u w:val="none"/>
                <w:lang w:val="en-AU"/>
              </w:rPr>
            </w:pPr>
            <w:hyperlink r:id="rId14" w:history="1">
              <w:r w:rsidR="007C7280" w:rsidRPr="00382E79">
                <w:rPr>
                  <w:rStyle w:val="Hyperlink"/>
                  <w:rFonts w:ascii="Garamond" w:hAnsi="Garamond"/>
                  <w:lang w:val="en-AU"/>
                </w:rPr>
                <w:t>https://www.lowitja.org.au/news/discussion-paper-cultural-safety-in-australia/</w:t>
              </w:r>
            </w:hyperlink>
          </w:p>
        </w:tc>
      </w:tr>
      <w:tr w:rsidR="00184134" w:rsidRPr="000170DA" w14:paraId="6ADA6599" w14:textId="77777777" w:rsidTr="00B10DB3">
        <w:tc>
          <w:tcPr>
            <w:tcW w:w="1080" w:type="dxa"/>
            <w:tcBorders>
              <w:top w:val="single" w:sz="4" w:space="0" w:color="auto"/>
              <w:left w:val="single" w:sz="4" w:space="0" w:color="auto"/>
              <w:bottom w:val="single" w:sz="4" w:space="0" w:color="auto"/>
              <w:right w:val="single" w:sz="4" w:space="0" w:color="auto"/>
            </w:tcBorders>
            <w:vAlign w:val="center"/>
          </w:tcPr>
          <w:p w14:paraId="7B0FB218" w14:textId="77777777" w:rsidR="00184134" w:rsidRPr="000170DA" w:rsidRDefault="00184134" w:rsidP="00B10D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430452C" w14:textId="05DDA57D" w:rsidR="00184134" w:rsidRPr="008E2F5D" w:rsidRDefault="007C7280" w:rsidP="007C7280">
            <w:pPr>
              <w:rPr>
                <w:rFonts w:ascii="Garamond" w:hAnsi="Garamond"/>
                <w:lang w:val="en-AU"/>
              </w:rPr>
            </w:pPr>
            <w:r>
              <w:rPr>
                <w:rFonts w:ascii="Garamond" w:hAnsi="Garamond"/>
                <w:lang w:val="en-AU"/>
              </w:rPr>
              <w:t xml:space="preserve">The </w:t>
            </w:r>
            <w:r w:rsidRPr="007C7280">
              <w:rPr>
                <w:rFonts w:ascii="Garamond" w:hAnsi="Garamond"/>
                <w:lang w:val="en-AU"/>
              </w:rPr>
              <w:t>Lowitja Institute</w:t>
            </w:r>
            <w:r>
              <w:rPr>
                <w:rFonts w:ascii="Garamond" w:hAnsi="Garamond"/>
                <w:lang w:val="en-AU"/>
              </w:rPr>
              <w:t xml:space="preserve"> has released this discussion paper highlighting the </w:t>
            </w:r>
            <w:r w:rsidRPr="007C7280">
              <w:rPr>
                <w:rFonts w:ascii="Garamond" w:hAnsi="Garamond"/>
                <w:lang w:val="en-AU"/>
              </w:rPr>
              <w:t>need to improve access to quality healthcare, addressing the social determinants of health, and elevating the importance of the cultural determinants of health for Aboriginal and Torres Strait Islander peoples.</w:t>
            </w:r>
            <w:r>
              <w:rPr>
                <w:rFonts w:ascii="Garamond" w:hAnsi="Garamond"/>
                <w:lang w:val="en-AU"/>
              </w:rPr>
              <w:t xml:space="preserve"> The paper’s purpose includes </w:t>
            </w:r>
            <w:r w:rsidRPr="007C7280">
              <w:rPr>
                <w:rFonts w:ascii="Garamond" w:hAnsi="Garamond"/>
                <w:lang w:val="en-AU"/>
              </w:rPr>
              <w:t>propos</w:t>
            </w:r>
            <w:r>
              <w:rPr>
                <w:rFonts w:ascii="Garamond" w:hAnsi="Garamond"/>
                <w:lang w:val="en-AU"/>
              </w:rPr>
              <w:t>ing</w:t>
            </w:r>
            <w:r w:rsidRPr="007C7280">
              <w:rPr>
                <w:rFonts w:ascii="Garamond" w:hAnsi="Garamond"/>
                <w:lang w:val="en-AU"/>
              </w:rPr>
              <w:t xml:space="preserve"> recommended and nationally consistent standards, set</w:t>
            </w:r>
            <w:r>
              <w:rPr>
                <w:rFonts w:ascii="Garamond" w:hAnsi="Garamond"/>
                <w:lang w:val="en-AU"/>
              </w:rPr>
              <w:t>ting</w:t>
            </w:r>
            <w:r w:rsidRPr="007C7280">
              <w:rPr>
                <w:rFonts w:ascii="Garamond" w:hAnsi="Garamond"/>
                <w:lang w:val="en-AU"/>
              </w:rPr>
              <w:t xml:space="preserve"> a platform for the accreditation of workplace-based cultural safety training, and </w:t>
            </w:r>
            <w:r>
              <w:rPr>
                <w:rFonts w:ascii="Garamond" w:hAnsi="Garamond"/>
                <w:lang w:val="en-AU"/>
              </w:rPr>
              <w:t>calling for</w:t>
            </w:r>
            <w:r w:rsidRPr="007C7280">
              <w:rPr>
                <w:rFonts w:ascii="Garamond" w:hAnsi="Garamond"/>
                <w:lang w:val="en-AU"/>
              </w:rPr>
              <w:t xml:space="preserve"> further action that can lead to cultural safety being embedded and measured at individual and institutional levels in practice and policy across health and human services.</w:t>
            </w:r>
          </w:p>
        </w:tc>
      </w:tr>
    </w:tbl>
    <w:p w14:paraId="57789CC3" w14:textId="77777777" w:rsidR="00184134" w:rsidRDefault="00184134" w:rsidP="00184134">
      <w:pPr>
        <w:keepLines/>
        <w:autoSpaceDE w:val="0"/>
        <w:autoSpaceDN w:val="0"/>
        <w:adjustRightInd w:val="0"/>
        <w:rPr>
          <w:rFonts w:ascii="Garamond" w:hAnsi="Garamond"/>
          <w:lang w:val="en-AU"/>
        </w:rPr>
      </w:pPr>
    </w:p>
    <w:p w14:paraId="604EB9F1" w14:textId="285933DE"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DD36B3A" w14:textId="77777777" w:rsidR="00157236" w:rsidRDefault="00157236" w:rsidP="00FC2391">
      <w:pPr>
        <w:keepLines/>
        <w:autoSpaceDE w:val="0"/>
        <w:autoSpaceDN w:val="0"/>
        <w:adjustRightInd w:val="0"/>
        <w:rPr>
          <w:rFonts w:ascii="Garamond" w:hAnsi="Garamond"/>
          <w:lang w:val="en-AU"/>
        </w:rPr>
      </w:pPr>
      <w:bookmarkStart w:id="1" w:name="_Hlk167708489"/>
    </w:p>
    <w:p w14:paraId="59965514" w14:textId="77777777" w:rsidR="00603598" w:rsidRPr="00603598" w:rsidRDefault="00603598" w:rsidP="00603598">
      <w:pPr>
        <w:keepLines/>
        <w:autoSpaceDE w:val="0"/>
        <w:autoSpaceDN w:val="0"/>
        <w:adjustRightInd w:val="0"/>
        <w:rPr>
          <w:rFonts w:ascii="Garamond" w:hAnsi="Garamond"/>
          <w:i/>
          <w:iCs/>
          <w:lang w:val="en-AU"/>
        </w:rPr>
      </w:pPr>
      <w:r w:rsidRPr="00603598">
        <w:rPr>
          <w:rFonts w:ascii="Garamond" w:hAnsi="Garamond"/>
          <w:i/>
          <w:iCs/>
          <w:lang w:val="en-AU"/>
        </w:rPr>
        <w:t>Impact of automated alerts on discharge opioid overprescribing after general surgery</w:t>
      </w:r>
    </w:p>
    <w:p w14:paraId="7BB8F791" w14:textId="77777777" w:rsidR="00603598" w:rsidRDefault="00603598" w:rsidP="008B1CB9">
      <w:pPr>
        <w:keepLines/>
        <w:autoSpaceDE w:val="0"/>
        <w:autoSpaceDN w:val="0"/>
        <w:adjustRightInd w:val="0"/>
        <w:rPr>
          <w:rFonts w:ascii="Garamond" w:hAnsi="Garamond"/>
          <w:lang w:val="en-AU"/>
        </w:rPr>
      </w:pPr>
      <w:r w:rsidRPr="00603598">
        <w:rPr>
          <w:rFonts w:ascii="Garamond" w:hAnsi="Garamond"/>
          <w:lang w:val="en-AU"/>
        </w:rPr>
        <w:t xml:space="preserve">Rizk E, Kaur N, Duong PY, Fink E, Wanat MA, Thornton JD, et al. </w:t>
      </w:r>
    </w:p>
    <w:p w14:paraId="4D3F4E0A" w14:textId="3F44B172" w:rsidR="008B1CB9" w:rsidRPr="009D79F0" w:rsidRDefault="00603598" w:rsidP="008B1CB9">
      <w:pPr>
        <w:keepLines/>
        <w:autoSpaceDE w:val="0"/>
        <w:autoSpaceDN w:val="0"/>
        <w:adjustRightInd w:val="0"/>
        <w:rPr>
          <w:rFonts w:ascii="Garamond" w:hAnsi="Garamond"/>
          <w:lang w:val="en-AU"/>
        </w:rPr>
      </w:pPr>
      <w:r w:rsidRPr="00603598">
        <w:rPr>
          <w:rFonts w:ascii="Garamond" w:hAnsi="Garamond"/>
          <w:lang w:val="en-AU"/>
        </w:rPr>
        <w:t>American Journal of Health-System Pharmacy. 2024:zxae185.</w:t>
      </w:r>
    </w:p>
    <w:tbl>
      <w:tblPr>
        <w:tblStyle w:val="TableGrid"/>
        <w:tblW w:w="9360" w:type="dxa"/>
        <w:tblInd w:w="288" w:type="dxa"/>
        <w:tblLayout w:type="fixed"/>
        <w:tblLook w:val="01E0" w:firstRow="1" w:lastRow="1" w:firstColumn="1" w:lastColumn="1" w:noHBand="0" w:noVBand="0"/>
      </w:tblPr>
      <w:tblGrid>
        <w:gridCol w:w="1080"/>
        <w:gridCol w:w="8280"/>
      </w:tblGrid>
      <w:tr w:rsidR="008B1CB9" w:rsidRPr="000170DA" w14:paraId="0D4351BB" w14:textId="77777777" w:rsidTr="004D5412">
        <w:tc>
          <w:tcPr>
            <w:tcW w:w="1080" w:type="dxa"/>
            <w:tcBorders>
              <w:top w:val="single" w:sz="4" w:space="0" w:color="auto"/>
              <w:left w:val="single" w:sz="4" w:space="0" w:color="auto"/>
              <w:bottom w:val="single" w:sz="4" w:space="0" w:color="auto"/>
              <w:right w:val="single" w:sz="4" w:space="0" w:color="auto"/>
            </w:tcBorders>
            <w:vAlign w:val="center"/>
          </w:tcPr>
          <w:p w14:paraId="10A1BBEA" w14:textId="77777777" w:rsidR="008B1CB9" w:rsidRPr="000170DA" w:rsidRDefault="008B1CB9" w:rsidP="004D54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7B2B12A" w14:textId="0BF2D351" w:rsidR="008B1CB9" w:rsidRPr="000170DA" w:rsidRDefault="00000000" w:rsidP="004D5412">
            <w:pPr>
              <w:keepNext/>
              <w:jc w:val="both"/>
              <w:rPr>
                <w:rStyle w:val="Hyperlink"/>
                <w:rFonts w:ascii="Garamond" w:hAnsi="Garamond"/>
                <w:color w:val="auto"/>
                <w:u w:val="none"/>
                <w:lang w:val="en-AU"/>
              </w:rPr>
            </w:pPr>
            <w:hyperlink r:id="rId15" w:history="1">
              <w:r w:rsidR="00603598" w:rsidRPr="00382E79">
                <w:rPr>
                  <w:rStyle w:val="Hyperlink"/>
                  <w:rFonts w:ascii="Garamond" w:hAnsi="Garamond"/>
                  <w:lang w:val="en-AU"/>
                </w:rPr>
                <w:t>https://doi.org/10.1093/ajhp/zxae185</w:t>
              </w:r>
            </w:hyperlink>
          </w:p>
        </w:tc>
      </w:tr>
      <w:tr w:rsidR="008B1CB9" w:rsidRPr="000170DA" w14:paraId="6F75A67E" w14:textId="77777777" w:rsidTr="004D5412">
        <w:tc>
          <w:tcPr>
            <w:tcW w:w="1080" w:type="dxa"/>
            <w:tcBorders>
              <w:top w:val="single" w:sz="4" w:space="0" w:color="auto"/>
              <w:left w:val="single" w:sz="4" w:space="0" w:color="auto"/>
              <w:bottom w:val="single" w:sz="4" w:space="0" w:color="auto"/>
              <w:right w:val="single" w:sz="4" w:space="0" w:color="auto"/>
            </w:tcBorders>
            <w:vAlign w:val="center"/>
          </w:tcPr>
          <w:p w14:paraId="6AA3329F" w14:textId="77777777" w:rsidR="008B1CB9" w:rsidRPr="000170DA" w:rsidRDefault="008B1CB9" w:rsidP="004D54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D9E6BD" w14:textId="51A5EE2E" w:rsidR="00603598" w:rsidRPr="008E2F5D" w:rsidRDefault="00603598" w:rsidP="00603598">
            <w:pPr>
              <w:rPr>
                <w:rFonts w:ascii="Garamond" w:hAnsi="Garamond"/>
                <w:lang w:val="en-AU"/>
              </w:rPr>
            </w:pPr>
            <w:r>
              <w:rPr>
                <w:rFonts w:ascii="Garamond" w:hAnsi="Garamond"/>
                <w:lang w:val="en-AU"/>
              </w:rPr>
              <w:t xml:space="preserve">Report of a US study that sought to see if </w:t>
            </w:r>
            <w:r w:rsidRPr="00603598">
              <w:rPr>
                <w:rFonts w:ascii="Garamond" w:hAnsi="Garamond"/>
                <w:lang w:val="en-AU"/>
              </w:rPr>
              <w:t xml:space="preserve">an electronic health record (EHR) alert </w:t>
            </w:r>
            <w:r>
              <w:rPr>
                <w:rFonts w:ascii="Garamond" w:hAnsi="Garamond"/>
                <w:lang w:val="en-AU"/>
              </w:rPr>
              <w:t xml:space="preserve">could address </w:t>
            </w:r>
            <w:r w:rsidRPr="00603598">
              <w:rPr>
                <w:rFonts w:ascii="Garamond" w:hAnsi="Garamond"/>
                <w:lang w:val="en-AU"/>
              </w:rPr>
              <w:t>discharge opioid overprescribing</w:t>
            </w:r>
            <w:r>
              <w:rPr>
                <w:rFonts w:ascii="Garamond" w:hAnsi="Garamond"/>
                <w:lang w:val="en-AU"/>
              </w:rPr>
              <w:t xml:space="preserve"> following surgery</w:t>
            </w:r>
            <w:r w:rsidRPr="00603598">
              <w:rPr>
                <w:rFonts w:ascii="Garamond" w:hAnsi="Garamond"/>
                <w:lang w:val="en-AU"/>
              </w:rPr>
              <w:t>.</w:t>
            </w:r>
            <w:r>
              <w:rPr>
                <w:rFonts w:ascii="Garamond" w:hAnsi="Garamond"/>
                <w:lang w:val="en-AU"/>
              </w:rPr>
              <w:t xml:space="preserve"> The project ‘</w:t>
            </w:r>
            <w:r w:rsidRPr="00603598">
              <w:rPr>
                <w:rFonts w:ascii="Garamond" w:hAnsi="Garamond"/>
                <w:lang w:val="en-AU"/>
              </w:rPr>
              <w:t>included patients undergoing one of the identified target procedures—laparoscopic cholecystectomy, unilateral open inguinal hernia repair, and laparoscopic appendectomy—at an academic medical center</w:t>
            </w:r>
            <w:r>
              <w:rPr>
                <w:rFonts w:ascii="Garamond" w:hAnsi="Garamond"/>
                <w:lang w:val="en-AU"/>
              </w:rPr>
              <w:t>.’ The authors report that ‘</w:t>
            </w:r>
            <w:r w:rsidRPr="00603598">
              <w:rPr>
                <w:rFonts w:ascii="Garamond" w:hAnsi="Garamond"/>
                <w:lang w:val="en-AU"/>
              </w:rPr>
              <w:t>A total of 1,478 patients were included in the preimplementation cohort, and 141 patients were included in the postimplementation cohort. The proportion of patients with discharge opioid overprescribing decreased from 48% in the preimplementation cohort to 3% in the postimplementation cohort, with an unadjusted absolute reduction of 45% (95% confidence interval, 41% to 49%; P &lt; 0.001) and an adjusted odds ratio of 0.03 (95% confidence interval, 0.01 to 0.08; P &lt; 0.001)</w:t>
            </w:r>
            <w:r>
              <w:rPr>
                <w:rFonts w:ascii="Garamond" w:hAnsi="Garamond"/>
                <w:lang w:val="en-AU"/>
              </w:rPr>
              <w:t>’ It was also noted that for those patients who received opioids, there was a decrease in the average supply at discharge.  Thus, the authors conclude ‘</w:t>
            </w:r>
            <w:r w:rsidRPr="00603598">
              <w:rPr>
                <w:rFonts w:ascii="Garamond" w:hAnsi="Garamond"/>
                <w:lang w:val="en-AU"/>
              </w:rPr>
              <w:t>Implementation of an EHR alert along with provider education can reduce discharge opioid overprescribing following general surgery.</w:t>
            </w:r>
            <w:r>
              <w:rPr>
                <w:rFonts w:ascii="Garamond" w:hAnsi="Garamond"/>
                <w:lang w:val="en-AU"/>
              </w:rPr>
              <w:t>’</w:t>
            </w:r>
          </w:p>
        </w:tc>
      </w:tr>
    </w:tbl>
    <w:p w14:paraId="0F8114B5" w14:textId="77777777" w:rsidR="008B1CB9" w:rsidRDefault="008B1CB9" w:rsidP="008B1CB9">
      <w:pPr>
        <w:keepLines/>
        <w:autoSpaceDE w:val="0"/>
        <w:autoSpaceDN w:val="0"/>
        <w:adjustRightInd w:val="0"/>
        <w:rPr>
          <w:rFonts w:ascii="Garamond" w:hAnsi="Garamond"/>
          <w:lang w:val="en-AU"/>
        </w:rPr>
      </w:pPr>
    </w:p>
    <w:p w14:paraId="300AF3CB" w14:textId="77777777" w:rsidR="00603598" w:rsidRDefault="00603598" w:rsidP="00603598">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16" w:history="1">
        <w:r w:rsidRPr="003E1B29">
          <w:rPr>
            <w:rStyle w:val="Hyperlink"/>
            <w:rFonts w:ascii="Garamond" w:hAnsi="Garamond"/>
            <w:lang w:val="en-AU"/>
          </w:rPr>
          <w:t>https://www.safetyandquality.gov.au/our-work/medication-safety</w:t>
        </w:r>
      </w:hyperlink>
    </w:p>
    <w:p w14:paraId="66040AA4" w14:textId="77777777" w:rsidR="008B1CB9" w:rsidRDefault="008B1CB9" w:rsidP="008B1CB9">
      <w:pPr>
        <w:keepLines/>
        <w:autoSpaceDE w:val="0"/>
        <w:autoSpaceDN w:val="0"/>
        <w:adjustRightInd w:val="0"/>
        <w:rPr>
          <w:rFonts w:ascii="Garamond" w:hAnsi="Garamond"/>
          <w:lang w:val="en-AU"/>
        </w:rPr>
      </w:pPr>
    </w:p>
    <w:p w14:paraId="4EFE554D" w14:textId="77777777" w:rsidR="00205C2B" w:rsidRPr="00205C2B" w:rsidRDefault="00205C2B" w:rsidP="00205C2B">
      <w:pPr>
        <w:keepLines/>
        <w:autoSpaceDE w:val="0"/>
        <w:autoSpaceDN w:val="0"/>
        <w:adjustRightInd w:val="0"/>
        <w:rPr>
          <w:rFonts w:ascii="Garamond" w:hAnsi="Garamond"/>
          <w:i/>
          <w:iCs/>
          <w:lang w:val="en-AU"/>
        </w:rPr>
      </w:pPr>
      <w:r w:rsidRPr="00205C2B">
        <w:rPr>
          <w:rFonts w:ascii="Garamond" w:hAnsi="Garamond"/>
          <w:i/>
          <w:iCs/>
          <w:lang w:val="en-AU"/>
        </w:rPr>
        <w:t>Relationships between medications used in a mental health hospital and types of medication errors: A cross-sectional study over an 8-year period</w:t>
      </w:r>
    </w:p>
    <w:p w14:paraId="52A1E976" w14:textId="77777777" w:rsidR="00205C2B" w:rsidRDefault="00205C2B" w:rsidP="008B1CB9">
      <w:pPr>
        <w:keepLines/>
        <w:autoSpaceDE w:val="0"/>
        <w:autoSpaceDN w:val="0"/>
        <w:adjustRightInd w:val="0"/>
        <w:rPr>
          <w:rFonts w:ascii="Garamond" w:hAnsi="Garamond"/>
          <w:lang w:val="en-AU"/>
        </w:rPr>
      </w:pPr>
      <w:r w:rsidRPr="00205C2B">
        <w:rPr>
          <w:rFonts w:ascii="Garamond" w:hAnsi="Garamond"/>
          <w:lang w:val="en-AU"/>
        </w:rPr>
        <w:t>Lebas R, Calvet B, Schadler L, Preux P-M, Laroche M-L</w:t>
      </w:r>
    </w:p>
    <w:p w14:paraId="6DC6D0A4" w14:textId="30A3C249" w:rsidR="00205C2B" w:rsidRPr="009D79F0" w:rsidRDefault="00205C2B" w:rsidP="008B1CB9">
      <w:pPr>
        <w:keepLines/>
        <w:autoSpaceDE w:val="0"/>
        <w:autoSpaceDN w:val="0"/>
        <w:adjustRightInd w:val="0"/>
        <w:rPr>
          <w:rFonts w:ascii="Garamond" w:hAnsi="Garamond"/>
          <w:lang w:val="en-AU"/>
        </w:rPr>
      </w:pPr>
      <w:r w:rsidRPr="00205C2B">
        <w:rPr>
          <w:rFonts w:ascii="Garamond" w:hAnsi="Garamond"/>
          <w:lang w:val="en-AU"/>
        </w:rPr>
        <w:t>Research in Social and Administrative Pharmacy. 2024;20(7):597-604.</w:t>
      </w:r>
    </w:p>
    <w:tbl>
      <w:tblPr>
        <w:tblStyle w:val="TableGrid"/>
        <w:tblW w:w="9360" w:type="dxa"/>
        <w:tblInd w:w="288" w:type="dxa"/>
        <w:tblLayout w:type="fixed"/>
        <w:tblLook w:val="01E0" w:firstRow="1" w:lastRow="1" w:firstColumn="1" w:lastColumn="1" w:noHBand="0" w:noVBand="0"/>
      </w:tblPr>
      <w:tblGrid>
        <w:gridCol w:w="1080"/>
        <w:gridCol w:w="8280"/>
      </w:tblGrid>
      <w:tr w:rsidR="008B1CB9" w:rsidRPr="000170DA" w14:paraId="45F425B0" w14:textId="77777777" w:rsidTr="004D5412">
        <w:tc>
          <w:tcPr>
            <w:tcW w:w="1080" w:type="dxa"/>
            <w:tcBorders>
              <w:top w:val="single" w:sz="4" w:space="0" w:color="auto"/>
              <w:left w:val="single" w:sz="4" w:space="0" w:color="auto"/>
              <w:bottom w:val="single" w:sz="4" w:space="0" w:color="auto"/>
              <w:right w:val="single" w:sz="4" w:space="0" w:color="auto"/>
            </w:tcBorders>
            <w:vAlign w:val="center"/>
          </w:tcPr>
          <w:p w14:paraId="441919D5" w14:textId="77777777" w:rsidR="008B1CB9" w:rsidRPr="000170DA" w:rsidRDefault="008B1CB9" w:rsidP="004D54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200DB92" w14:textId="0236C51D" w:rsidR="008B1CB9" w:rsidRPr="000170DA" w:rsidRDefault="00000000" w:rsidP="004D5412">
            <w:pPr>
              <w:keepNext/>
              <w:jc w:val="both"/>
              <w:rPr>
                <w:rStyle w:val="Hyperlink"/>
                <w:rFonts w:ascii="Garamond" w:hAnsi="Garamond"/>
                <w:color w:val="auto"/>
                <w:u w:val="none"/>
                <w:lang w:val="en-AU"/>
              </w:rPr>
            </w:pPr>
            <w:hyperlink r:id="rId17" w:history="1">
              <w:r w:rsidR="00205C2B" w:rsidRPr="00382E79">
                <w:rPr>
                  <w:rStyle w:val="Hyperlink"/>
                  <w:rFonts w:ascii="Garamond" w:hAnsi="Garamond"/>
                  <w:lang w:val="en-AU"/>
                </w:rPr>
                <w:t>https://doi.org/10.1016/j.sapharm.2024.03.006</w:t>
              </w:r>
            </w:hyperlink>
          </w:p>
        </w:tc>
      </w:tr>
      <w:tr w:rsidR="008B1CB9" w:rsidRPr="000170DA" w14:paraId="4522230F" w14:textId="77777777" w:rsidTr="004D5412">
        <w:tc>
          <w:tcPr>
            <w:tcW w:w="1080" w:type="dxa"/>
            <w:tcBorders>
              <w:top w:val="single" w:sz="4" w:space="0" w:color="auto"/>
              <w:left w:val="single" w:sz="4" w:space="0" w:color="auto"/>
              <w:bottom w:val="single" w:sz="4" w:space="0" w:color="auto"/>
              <w:right w:val="single" w:sz="4" w:space="0" w:color="auto"/>
            </w:tcBorders>
            <w:vAlign w:val="center"/>
          </w:tcPr>
          <w:p w14:paraId="4256ACE0" w14:textId="77777777" w:rsidR="008B1CB9" w:rsidRPr="000170DA" w:rsidRDefault="008B1CB9" w:rsidP="004D54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33688AA" w14:textId="77777777" w:rsidR="008B1CB9" w:rsidRDefault="00205C2B" w:rsidP="004D5412">
            <w:pPr>
              <w:rPr>
                <w:rFonts w:ascii="Garamond" w:hAnsi="Garamond"/>
                <w:lang w:val="en-AU"/>
              </w:rPr>
            </w:pPr>
            <w:r>
              <w:rPr>
                <w:rFonts w:ascii="Garamond" w:hAnsi="Garamond"/>
                <w:lang w:val="en-AU"/>
              </w:rPr>
              <w:t xml:space="preserve">French study on medication use and errors in mental health. Using data from a </w:t>
            </w:r>
            <w:r w:rsidRPr="00205C2B">
              <w:rPr>
                <w:rFonts w:ascii="Garamond" w:hAnsi="Garamond"/>
                <w:lang w:val="en-AU"/>
              </w:rPr>
              <w:t xml:space="preserve">French psychiatric hospital </w:t>
            </w:r>
            <w:r>
              <w:rPr>
                <w:rFonts w:ascii="Garamond" w:hAnsi="Garamond"/>
                <w:lang w:val="en-AU"/>
              </w:rPr>
              <w:t xml:space="preserve">for </w:t>
            </w:r>
            <w:r w:rsidRPr="00205C2B">
              <w:rPr>
                <w:rFonts w:ascii="Garamond" w:hAnsi="Garamond"/>
                <w:lang w:val="en-AU"/>
              </w:rPr>
              <w:t>2014–2021</w:t>
            </w:r>
            <w:r>
              <w:rPr>
                <w:rFonts w:ascii="Garamond" w:hAnsi="Garamond"/>
                <w:lang w:val="en-AU"/>
              </w:rPr>
              <w:t xml:space="preserve">, this </w:t>
            </w:r>
            <w:r w:rsidRPr="00205C2B">
              <w:rPr>
                <w:rFonts w:ascii="Garamond" w:hAnsi="Garamond"/>
                <w:lang w:val="en-AU"/>
              </w:rPr>
              <w:t>retrospective register based cross-sectional study</w:t>
            </w:r>
            <w:r>
              <w:rPr>
                <w:rFonts w:ascii="Garamond" w:hAnsi="Garamond"/>
                <w:lang w:val="en-AU"/>
              </w:rPr>
              <w:t xml:space="preserve"> identified 609 medication errors:</w:t>
            </w:r>
          </w:p>
          <w:p w14:paraId="3F063EB0" w14:textId="77777777" w:rsidR="00205C2B" w:rsidRDefault="00205C2B" w:rsidP="00205C2B">
            <w:pPr>
              <w:pStyle w:val="ListParagraph"/>
              <w:numPr>
                <w:ilvl w:val="0"/>
                <w:numId w:val="48"/>
              </w:numPr>
              <w:rPr>
                <w:rFonts w:ascii="Garamond" w:hAnsi="Garamond"/>
                <w:lang w:val="en-AU"/>
              </w:rPr>
            </w:pPr>
            <w:r w:rsidRPr="00205C2B">
              <w:rPr>
                <w:rFonts w:ascii="Garamond" w:hAnsi="Garamond"/>
                <w:lang w:val="en-AU"/>
              </w:rPr>
              <w:t>wrong dose (32.2%), wrong drug (30.3%), omission (14.2%) and wrong patient (12.9%) were frequently observed.</w:t>
            </w:r>
          </w:p>
          <w:p w14:paraId="0613A7D6" w14:textId="77777777" w:rsidR="00205C2B" w:rsidRDefault="00205C2B" w:rsidP="00205C2B">
            <w:pPr>
              <w:pStyle w:val="ListParagraph"/>
              <w:numPr>
                <w:ilvl w:val="0"/>
                <w:numId w:val="48"/>
              </w:numPr>
              <w:rPr>
                <w:rFonts w:ascii="Garamond" w:hAnsi="Garamond"/>
                <w:lang w:val="en-AU"/>
              </w:rPr>
            </w:pPr>
            <w:r w:rsidRPr="00205C2B">
              <w:rPr>
                <w:rFonts w:ascii="Garamond" w:hAnsi="Garamond"/>
                <w:lang w:val="en-AU"/>
              </w:rPr>
              <w:t>occurrence stage</w:t>
            </w:r>
            <w:r>
              <w:rPr>
                <w:rFonts w:ascii="Garamond" w:hAnsi="Garamond"/>
                <w:lang w:val="en-AU"/>
              </w:rPr>
              <w:t>s</w:t>
            </w:r>
            <w:r w:rsidRPr="00205C2B">
              <w:rPr>
                <w:rFonts w:ascii="Garamond" w:hAnsi="Garamond"/>
                <w:lang w:val="en-AU"/>
              </w:rPr>
              <w:t xml:space="preserve"> were prescribing (55.3%) and administration (30.2%).</w:t>
            </w:r>
          </w:p>
          <w:p w14:paraId="3D37F295" w14:textId="77777777" w:rsidR="00205C2B" w:rsidRDefault="00205C2B" w:rsidP="00205C2B">
            <w:pPr>
              <w:rPr>
                <w:rFonts w:ascii="Garamond" w:hAnsi="Garamond"/>
                <w:lang w:val="en-AU"/>
              </w:rPr>
            </w:pPr>
            <w:r>
              <w:rPr>
                <w:rFonts w:ascii="Garamond" w:hAnsi="Garamond"/>
                <w:lang w:val="en-AU"/>
              </w:rPr>
              <w:t>Among the findings that the authors highlight were:</w:t>
            </w:r>
          </w:p>
          <w:p w14:paraId="1C3345DE" w14:textId="51CF00C8" w:rsidR="00205C2B" w:rsidRPr="00205C2B" w:rsidRDefault="00205C2B" w:rsidP="00205C2B">
            <w:pPr>
              <w:pStyle w:val="ListParagraph"/>
              <w:numPr>
                <w:ilvl w:val="0"/>
                <w:numId w:val="49"/>
              </w:numPr>
              <w:rPr>
                <w:rFonts w:ascii="Garamond" w:hAnsi="Garamond"/>
                <w:lang w:val="en-AU"/>
              </w:rPr>
            </w:pPr>
            <w:r>
              <w:rPr>
                <w:rFonts w:ascii="Garamond" w:hAnsi="Garamond"/>
                <w:lang w:val="en-AU"/>
              </w:rPr>
              <w:t>‘</w:t>
            </w:r>
            <w:r w:rsidRPr="00205C2B">
              <w:rPr>
                <w:rFonts w:ascii="Garamond" w:hAnsi="Garamond"/>
                <w:lang w:val="en-AU"/>
              </w:rPr>
              <w:t>Long-acting injectable antipsychotics are associated with a higher risk of wrong dose.</w:t>
            </w:r>
          </w:p>
          <w:p w14:paraId="32F4B65B" w14:textId="77777777" w:rsidR="00205C2B" w:rsidRPr="00205C2B" w:rsidRDefault="00205C2B" w:rsidP="00205C2B">
            <w:pPr>
              <w:pStyle w:val="ListParagraph"/>
              <w:numPr>
                <w:ilvl w:val="0"/>
                <w:numId w:val="49"/>
              </w:numPr>
              <w:rPr>
                <w:rFonts w:ascii="Garamond" w:hAnsi="Garamond"/>
                <w:lang w:val="en-AU"/>
              </w:rPr>
            </w:pPr>
            <w:r w:rsidRPr="00205C2B">
              <w:rPr>
                <w:rFonts w:ascii="Garamond" w:hAnsi="Garamond"/>
                <w:lang w:val="en-AU"/>
              </w:rPr>
              <w:t>Liquid medicines in psychiatry are associated with a higher risk of wrong patient.</w:t>
            </w:r>
          </w:p>
          <w:p w14:paraId="1232E259" w14:textId="516AFE41" w:rsidR="00205C2B" w:rsidRPr="00205C2B" w:rsidRDefault="00205C2B" w:rsidP="00205C2B">
            <w:pPr>
              <w:pStyle w:val="ListParagraph"/>
              <w:numPr>
                <w:ilvl w:val="0"/>
                <w:numId w:val="49"/>
              </w:numPr>
              <w:rPr>
                <w:rFonts w:ascii="Garamond" w:hAnsi="Garamond"/>
                <w:lang w:val="en-AU"/>
              </w:rPr>
            </w:pPr>
            <w:r w:rsidRPr="00205C2B">
              <w:rPr>
                <w:rFonts w:ascii="Garamond" w:hAnsi="Garamond"/>
                <w:lang w:val="en-AU"/>
              </w:rPr>
              <w:t>Restrictive regulation induced a higher risk of omission with controlled medicines.</w:t>
            </w:r>
            <w:r>
              <w:rPr>
                <w:rFonts w:ascii="Garamond" w:hAnsi="Garamond"/>
                <w:lang w:val="en-AU"/>
              </w:rPr>
              <w:t>’</w:t>
            </w:r>
          </w:p>
        </w:tc>
      </w:tr>
    </w:tbl>
    <w:p w14:paraId="49A7CF2A" w14:textId="77777777" w:rsidR="008B1CB9" w:rsidRDefault="008B1CB9" w:rsidP="008B1CB9">
      <w:pPr>
        <w:keepLines/>
        <w:autoSpaceDE w:val="0"/>
        <w:autoSpaceDN w:val="0"/>
        <w:adjustRightInd w:val="0"/>
        <w:rPr>
          <w:rFonts w:ascii="Garamond" w:hAnsi="Garamond"/>
          <w:lang w:val="en-AU"/>
        </w:rPr>
      </w:pPr>
    </w:p>
    <w:p w14:paraId="677BD143" w14:textId="77777777" w:rsidR="004E2643" w:rsidRDefault="004E2643">
      <w:pPr>
        <w:rPr>
          <w:rFonts w:ascii="Garamond" w:hAnsi="Garamond"/>
          <w:i/>
          <w:iCs/>
          <w:lang w:val="en-AU"/>
        </w:rPr>
      </w:pPr>
      <w:r>
        <w:rPr>
          <w:rFonts w:ascii="Garamond" w:hAnsi="Garamond"/>
          <w:i/>
          <w:iCs/>
          <w:lang w:val="en-AU"/>
        </w:rPr>
        <w:br w:type="page"/>
      </w:r>
    </w:p>
    <w:p w14:paraId="454848C0" w14:textId="182F3E75" w:rsidR="00440A81" w:rsidRPr="00440A81" w:rsidRDefault="00440A81" w:rsidP="00440A81">
      <w:pPr>
        <w:keepNext/>
        <w:keepLines/>
        <w:autoSpaceDE w:val="0"/>
        <w:autoSpaceDN w:val="0"/>
        <w:adjustRightInd w:val="0"/>
        <w:rPr>
          <w:rFonts w:ascii="Garamond" w:hAnsi="Garamond"/>
          <w:i/>
          <w:iCs/>
          <w:lang w:val="en-AU"/>
        </w:rPr>
      </w:pPr>
      <w:r w:rsidRPr="00440A81">
        <w:rPr>
          <w:rFonts w:ascii="Garamond" w:hAnsi="Garamond"/>
          <w:i/>
          <w:iCs/>
          <w:lang w:val="en-AU"/>
        </w:rPr>
        <w:lastRenderedPageBreak/>
        <w:t>An Exploratory Analysis of the Association between Healthcare Associated Infections &amp; Hospital Financial Performance</w:t>
      </w:r>
    </w:p>
    <w:p w14:paraId="61B3B801" w14:textId="77777777" w:rsidR="00440A81" w:rsidRDefault="00440A81" w:rsidP="00440A81">
      <w:pPr>
        <w:keepNext/>
        <w:keepLines/>
        <w:autoSpaceDE w:val="0"/>
        <w:autoSpaceDN w:val="0"/>
        <w:adjustRightInd w:val="0"/>
        <w:rPr>
          <w:rFonts w:ascii="Garamond" w:hAnsi="Garamond"/>
          <w:lang w:val="en-AU"/>
        </w:rPr>
      </w:pPr>
      <w:r w:rsidRPr="00440A81">
        <w:rPr>
          <w:rFonts w:ascii="Garamond" w:hAnsi="Garamond"/>
          <w:lang w:val="en-AU"/>
        </w:rPr>
        <w:t>Beauvais B, Dolezel D, Shanmugam R, Wood D, Pradhan R</w:t>
      </w:r>
    </w:p>
    <w:p w14:paraId="45C35A7F" w14:textId="2B8A0A3E" w:rsidR="008B1CB9" w:rsidRPr="009D79F0" w:rsidRDefault="00440A81" w:rsidP="00440A81">
      <w:pPr>
        <w:keepNext/>
        <w:keepLines/>
        <w:autoSpaceDE w:val="0"/>
        <w:autoSpaceDN w:val="0"/>
        <w:adjustRightInd w:val="0"/>
        <w:rPr>
          <w:rFonts w:ascii="Garamond" w:hAnsi="Garamond"/>
          <w:lang w:val="en-AU"/>
        </w:rPr>
      </w:pPr>
      <w:r w:rsidRPr="00440A81">
        <w:rPr>
          <w:rFonts w:ascii="Garamond" w:hAnsi="Garamond"/>
          <w:lang w:val="en-AU"/>
        </w:rPr>
        <w:t>Healthcare. 2024; 12(13).</w:t>
      </w:r>
    </w:p>
    <w:tbl>
      <w:tblPr>
        <w:tblStyle w:val="TableGrid"/>
        <w:tblW w:w="9360" w:type="dxa"/>
        <w:tblInd w:w="288" w:type="dxa"/>
        <w:tblLayout w:type="fixed"/>
        <w:tblLook w:val="01E0" w:firstRow="1" w:lastRow="1" w:firstColumn="1" w:lastColumn="1" w:noHBand="0" w:noVBand="0"/>
      </w:tblPr>
      <w:tblGrid>
        <w:gridCol w:w="1080"/>
        <w:gridCol w:w="8280"/>
      </w:tblGrid>
      <w:tr w:rsidR="008B1CB9" w:rsidRPr="000170DA" w14:paraId="01F682A8" w14:textId="77777777" w:rsidTr="004D5412">
        <w:tc>
          <w:tcPr>
            <w:tcW w:w="1080" w:type="dxa"/>
            <w:tcBorders>
              <w:top w:val="single" w:sz="4" w:space="0" w:color="auto"/>
              <w:left w:val="single" w:sz="4" w:space="0" w:color="auto"/>
              <w:bottom w:val="single" w:sz="4" w:space="0" w:color="auto"/>
              <w:right w:val="single" w:sz="4" w:space="0" w:color="auto"/>
            </w:tcBorders>
            <w:vAlign w:val="center"/>
          </w:tcPr>
          <w:p w14:paraId="7273849D" w14:textId="77777777" w:rsidR="008B1CB9" w:rsidRPr="000170DA" w:rsidRDefault="008B1CB9" w:rsidP="004D54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4B36A01" w14:textId="062FC7E6" w:rsidR="008B1CB9" w:rsidRPr="000170DA" w:rsidRDefault="00000000" w:rsidP="004D5412">
            <w:pPr>
              <w:keepNext/>
              <w:jc w:val="both"/>
              <w:rPr>
                <w:rStyle w:val="Hyperlink"/>
                <w:rFonts w:ascii="Garamond" w:hAnsi="Garamond"/>
                <w:color w:val="auto"/>
                <w:u w:val="none"/>
                <w:lang w:val="en-AU"/>
              </w:rPr>
            </w:pPr>
            <w:hyperlink r:id="rId18" w:history="1">
              <w:r w:rsidR="00440A81" w:rsidRPr="00382E79">
                <w:rPr>
                  <w:rStyle w:val="Hyperlink"/>
                  <w:rFonts w:ascii="Garamond" w:hAnsi="Garamond"/>
                  <w:lang w:val="en-AU"/>
                </w:rPr>
                <w:t>https://doi.org/10.3390/healthcare12131314</w:t>
              </w:r>
            </w:hyperlink>
          </w:p>
        </w:tc>
      </w:tr>
      <w:tr w:rsidR="008B1CB9" w:rsidRPr="000170DA" w14:paraId="4A5C5ED6" w14:textId="77777777" w:rsidTr="004D5412">
        <w:tc>
          <w:tcPr>
            <w:tcW w:w="1080" w:type="dxa"/>
            <w:tcBorders>
              <w:top w:val="single" w:sz="4" w:space="0" w:color="auto"/>
              <w:left w:val="single" w:sz="4" w:space="0" w:color="auto"/>
              <w:bottom w:val="single" w:sz="4" w:space="0" w:color="auto"/>
              <w:right w:val="single" w:sz="4" w:space="0" w:color="auto"/>
            </w:tcBorders>
            <w:vAlign w:val="center"/>
          </w:tcPr>
          <w:p w14:paraId="68FF15C9" w14:textId="77777777" w:rsidR="008B1CB9" w:rsidRPr="000170DA" w:rsidRDefault="008B1CB9" w:rsidP="004D54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F3A70D" w14:textId="4741DE0F" w:rsidR="008B1CB9" w:rsidRPr="008E2F5D" w:rsidRDefault="00440A81" w:rsidP="004D5412">
            <w:pPr>
              <w:rPr>
                <w:rFonts w:ascii="Garamond" w:hAnsi="Garamond"/>
                <w:lang w:val="en-AU"/>
              </w:rPr>
            </w:pPr>
            <w:r>
              <w:rPr>
                <w:rFonts w:ascii="Garamond" w:hAnsi="Garamond"/>
                <w:lang w:val="en-AU"/>
              </w:rPr>
              <w:t>Paper reporting on the impact of h</w:t>
            </w:r>
            <w:r w:rsidRPr="00440A81">
              <w:rPr>
                <w:rFonts w:ascii="Garamond" w:hAnsi="Garamond"/>
                <w:lang w:val="en-AU"/>
              </w:rPr>
              <w:t>ealthcare-associated infections (HAIs) and hospital financial performance</w:t>
            </w:r>
            <w:r>
              <w:rPr>
                <w:rFonts w:ascii="Garamond" w:hAnsi="Garamond"/>
                <w:lang w:val="en-AU"/>
              </w:rPr>
              <w:t>. The study examined ‘</w:t>
            </w:r>
            <w:r w:rsidRPr="00440A81">
              <w:rPr>
                <w:rFonts w:ascii="Garamond" w:hAnsi="Garamond"/>
                <w:lang w:val="en-AU"/>
              </w:rPr>
              <w:t>Data for calendar year 2022 for active short-term acute care hospitals (n = 1454) in the US</w:t>
            </w:r>
            <w:r>
              <w:rPr>
                <w:rFonts w:ascii="Garamond" w:hAnsi="Garamond"/>
                <w:lang w:val="en-AU"/>
              </w:rPr>
              <w:t xml:space="preserve">’ to examine </w:t>
            </w:r>
            <w:r w:rsidRPr="00440A81">
              <w:rPr>
                <w:rFonts w:ascii="Garamond" w:hAnsi="Garamond"/>
                <w:lang w:val="en-AU"/>
              </w:rPr>
              <w:t>operating expense per staffed bed and operating expense per discharge</w:t>
            </w:r>
            <w:r>
              <w:rPr>
                <w:rFonts w:ascii="Garamond" w:hAnsi="Garamond"/>
                <w:lang w:val="en-AU"/>
              </w:rPr>
              <w:t xml:space="preserve"> against ‘</w:t>
            </w:r>
            <w:r w:rsidRPr="00440A81">
              <w:rPr>
                <w:rFonts w:ascii="Garamond" w:hAnsi="Garamond"/>
                <w:lang w:val="en-AU"/>
              </w:rPr>
              <w:t xml:space="preserve">four healthcare-associated infection rates: methicillin-resistant </w:t>
            </w:r>
            <w:r w:rsidRPr="00440A81">
              <w:rPr>
                <w:rFonts w:ascii="Garamond" w:hAnsi="Garamond"/>
                <w:i/>
                <w:iCs/>
                <w:lang w:val="en-AU"/>
              </w:rPr>
              <w:t>Staphylococcus aureus</w:t>
            </w:r>
            <w:r w:rsidRPr="00440A81">
              <w:rPr>
                <w:rFonts w:ascii="Garamond" w:hAnsi="Garamond"/>
                <w:lang w:val="en-AU"/>
              </w:rPr>
              <w:t xml:space="preserve"> (MRSA) infection rate, </w:t>
            </w:r>
            <w:r w:rsidRPr="00440A81">
              <w:rPr>
                <w:rFonts w:ascii="Garamond" w:hAnsi="Garamond"/>
                <w:i/>
                <w:iCs/>
                <w:lang w:val="en-AU"/>
              </w:rPr>
              <w:t>Clostridium difficile</w:t>
            </w:r>
            <w:r w:rsidRPr="00440A81">
              <w:rPr>
                <w:rFonts w:ascii="Garamond" w:hAnsi="Garamond"/>
                <w:lang w:val="en-AU"/>
              </w:rPr>
              <w:t xml:space="preserve"> (</w:t>
            </w:r>
            <w:r w:rsidRPr="00440A81">
              <w:rPr>
                <w:rFonts w:ascii="Garamond" w:hAnsi="Garamond"/>
                <w:i/>
                <w:iCs/>
                <w:lang w:val="en-AU"/>
              </w:rPr>
              <w:t>C. diff</w:t>
            </w:r>
            <w:r w:rsidRPr="00440A81">
              <w:rPr>
                <w:rFonts w:ascii="Garamond" w:hAnsi="Garamond"/>
                <w:lang w:val="en-AU"/>
              </w:rPr>
              <w:t>) infection rate, Catheter-Associated Urinary Tract Infection (CAUTI) rate, and Central Line Associated Blood Stream Infections (CLABSI)</w:t>
            </w:r>
            <w:r>
              <w:rPr>
                <w:rFonts w:ascii="Garamond" w:hAnsi="Garamond"/>
                <w:lang w:val="en-AU"/>
              </w:rPr>
              <w:t>’</w:t>
            </w:r>
            <w:r w:rsidRPr="00440A81">
              <w:rPr>
                <w:rFonts w:ascii="Garamond" w:hAnsi="Garamond"/>
                <w:lang w:val="en-AU"/>
              </w:rPr>
              <w:t>.</w:t>
            </w:r>
            <w:r>
              <w:rPr>
                <w:rFonts w:ascii="Garamond" w:hAnsi="Garamond"/>
                <w:lang w:val="en-AU"/>
              </w:rPr>
              <w:t xml:space="preserve"> From their analyses, the authors report finding ‘</w:t>
            </w:r>
            <w:r w:rsidRPr="00440A81">
              <w:rPr>
                <w:rFonts w:ascii="Garamond" w:hAnsi="Garamond"/>
                <w:lang w:val="en-AU"/>
              </w:rPr>
              <w:t xml:space="preserve">The results revealed that </w:t>
            </w:r>
            <w:r w:rsidRPr="00440A81">
              <w:rPr>
                <w:rFonts w:ascii="Garamond" w:hAnsi="Garamond"/>
                <w:i/>
                <w:iCs/>
                <w:lang w:val="en-AU"/>
              </w:rPr>
              <w:t>C. diff</w:t>
            </w:r>
            <w:r w:rsidRPr="00440A81">
              <w:rPr>
                <w:rFonts w:ascii="Garamond" w:hAnsi="Garamond"/>
                <w:lang w:val="en-AU"/>
              </w:rPr>
              <w:t xml:space="preserve"> (β: 0.037, p &lt; 0.05) and CAUTI (β: 0.031, p &lt; 0.05) rates were positively associated with an increase in operating expense per staffed bed, while increases in MRSA (β: 0.042, p &lt; 0.001), </w:t>
            </w:r>
            <w:r w:rsidRPr="00440A81">
              <w:rPr>
                <w:rFonts w:ascii="Garamond" w:hAnsi="Garamond"/>
                <w:i/>
                <w:iCs/>
                <w:lang w:val="en-AU"/>
              </w:rPr>
              <w:t>C. diff</w:t>
            </w:r>
            <w:r w:rsidRPr="00440A81">
              <w:rPr>
                <w:rFonts w:ascii="Garamond" w:hAnsi="Garamond"/>
                <w:lang w:val="en-AU"/>
              </w:rPr>
              <w:t xml:space="preserve"> (β: 0.062, p &lt; 0.001), and CAUTI rates (β: 0.039, p &lt; 0.001) were correlated with increased operating expenses per discharge.</w:t>
            </w:r>
            <w:r>
              <w:rPr>
                <w:rFonts w:ascii="Garamond" w:hAnsi="Garamond"/>
                <w:lang w:val="en-AU"/>
              </w:rPr>
              <w:t>’ The authors observe that ‘</w:t>
            </w:r>
            <w:r w:rsidR="00784F6F" w:rsidRPr="00440A81">
              <w:rPr>
                <w:rFonts w:ascii="Garamond" w:hAnsi="Garamond"/>
                <w:lang w:val="en-AU"/>
              </w:rPr>
              <w:t>targeting</w:t>
            </w:r>
            <w:r w:rsidRPr="00440A81">
              <w:rPr>
                <w:rFonts w:ascii="Garamond" w:hAnsi="Garamond"/>
                <w:lang w:val="en-AU"/>
              </w:rPr>
              <w:t xml:space="preserve"> these infections through tailored interventions may lead to reduced hospital costs, improved financial performance, and economic stability.</w:t>
            </w:r>
            <w:r>
              <w:rPr>
                <w:rFonts w:ascii="Garamond" w:hAnsi="Garamond"/>
                <w:lang w:val="en-AU"/>
              </w:rPr>
              <w:t>’</w:t>
            </w:r>
          </w:p>
        </w:tc>
      </w:tr>
    </w:tbl>
    <w:p w14:paraId="54AF0BA9" w14:textId="77777777" w:rsidR="008B1CB9" w:rsidRDefault="008B1CB9" w:rsidP="008B1CB9">
      <w:pPr>
        <w:keepLines/>
        <w:autoSpaceDE w:val="0"/>
        <w:autoSpaceDN w:val="0"/>
        <w:adjustRightInd w:val="0"/>
        <w:rPr>
          <w:rFonts w:ascii="Garamond" w:hAnsi="Garamond"/>
          <w:lang w:val="en-AU"/>
        </w:rPr>
      </w:pPr>
    </w:p>
    <w:p w14:paraId="1AA180E2" w14:textId="77777777" w:rsidR="00440A81" w:rsidRDefault="00440A81" w:rsidP="00440A81">
      <w:pPr>
        <w:keepLines/>
        <w:autoSpaceDE w:val="0"/>
        <w:autoSpaceDN w:val="0"/>
        <w:adjustRightInd w:val="0"/>
        <w:rPr>
          <w:rFonts w:ascii="Garamond" w:hAnsi="Garamond"/>
          <w:lang w:val="en-AU"/>
        </w:rPr>
      </w:pPr>
      <w:r>
        <w:rPr>
          <w:rFonts w:ascii="Garamond" w:hAnsi="Garamond"/>
          <w:lang w:val="en-AU"/>
        </w:rPr>
        <w:t xml:space="preserve">For information on the Commission’s </w:t>
      </w:r>
      <w:r w:rsidRPr="007575D2">
        <w:rPr>
          <w:rFonts w:ascii="Garamond" w:hAnsi="Garamond"/>
          <w:lang w:val="en-AU"/>
        </w:rPr>
        <w:t>Healthcare-Associated Infection Program</w:t>
      </w:r>
      <w:r>
        <w:rPr>
          <w:rFonts w:ascii="Garamond" w:hAnsi="Garamond"/>
          <w:lang w:val="en-AU"/>
        </w:rPr>
        <w:t xml:space="preserve">, see </w:t>
      </w:r>
      <w:hyperlink r:id="rId19" w:history="1">
        <w:r w:rsidRPr="001D6952">
          <w:rPr>
            <w:rStyle w:val="Hyperlink"/>
            <w:rFonts w:ascii="Garamond" w:hAnsi="Garamond"/>
            <w:lang w:val="en-AU"/>
          </w:rPr>
          <w:t>https://www.safetyandquality.gov.au/our-work/healthcare-associated-infection-program</w:t>
        </w:r>
      </w:hyperlink>
    </w:p>
    <w:p w14:paraId="5A5F3D04" w14:textId="77777777" w:rsidR="008B1CB9" w:rsidRDefault="008B1CB9" w:rsidP="008B1CB9">
      <w:pPr>
        <w:keepLines/>
        <w:autoSpaceDE w:val="0"/>
        <w:autoSpaceDN w:val="0"/>
        <w:adjustRightInd w:val="0"/>
        <w:rPr>
          <w:rFonts w:ascii="Garamond" w:hAnsi="Garamond"/>
          <w:lang w:val="en-AU"/>
        </w:rPr>
      </w:pPr>
    </w:p>
    <w:bookmarkEnd w:id="1"/>
    <w:p w14:paraId="5A642CE3" w14:textId="77777777" w:rsidR="008E3A22" w:rsidRPr="0058334F" w:rsidRDefault="008E3A22" w:rsidP="008E3A22">
      <w:pPr>
        <w:keepNext/>
        <w:rPr>
          <w:rFonts w:ascii="Garamond" w:hAnsi="Garamond"/>
          <w:i/>
          <w:lang w:val="en-AU"/>
        </w:rPr>
      </w:pPr>
      <w:r>
        <w:rPr>
          <w:rFonts w:ascii="Garamond" w:hAnsi="Garamond"/>
          <w:i/>
          <w:lang w:val="en-AU"/>
        </w:rPr>
        <w:t>Health Policy</w:t>
      </w:r>
    </w:p>
    <w:p w14:paraId="501AE64B" w14:textId="448FEF0A" w:rsidR="008E3A22" w:rsidRPr="0058334F" w:rsidRDefault="008E3A22" w:rsidP="008E3A22">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14</w:t>
      </w:r>
      <w:r w:rsidR="006125E7">
        <w:rPr>
          <w:rFonts w:ascii="Garamond" w:hAnsi="Garamond"/>
          <w:iCs/>
          <w:lang w:val="en-AU"/>
        </w:rPr>
        <w:t>8</w:t>
      </w:r>
      <w:r w:rsidRPr="0058334F">
        <w:rPr>
          <w:rFonts w:ascii="Garamond" w:hAnsi="Garamond"/>
          <w:iCs/>
          <w:lang w:val="en-AU"/>
        </w:rPr>
        <w:t xml:space="preserve">, </w:t>
      </w:r>
      <w:r w:rsidR="006125E7">
        <w:rPr>
          <w:rFonts w:ascii="Garamond" w:hAnsi="Garamond"/>
          <w:iCs/>
          <w:lang w:val="en-AU"/>
        </w:rPr>
        <w:t>October</w:t>
      </w:r>
      <w:r>
        <w:rPr>
          <w:rFonts w:ascii="Garamond" w:hAnsi="Garamond"/>
          <w:iCs/>
          <w:lang w:val="en-AU"/>
        </w:rPr>
        <w:t xml:space="preserve">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8E3A22" w14:paraId="073C8F92" w14:textId="77777777" w:rsidTr="00AC2C7A">
        <w:tc>
          <w:tcPr>
            <w:tcW w:w="1080" w:type="dxa"/>
            <w:tcBorders>
              <w:top w:val="single" w:sz="4" w:space="0" w:color="auto"/>
              <w:left w:val="single" w:sz="4" w:space="0" w:color="auto"/>
              <w:bottom w:val="single" w:sz="4" w:space="0" w:color="auto"/>
              <w:right w:val="single" w:sz="4" w:space="0" w:color="auto"/>
            </w:tcBorders>
            <w:vAlign w:val="center"/>
            <w:hideMark/>
          </w:tcPr>
          <w:p w14:paraId="33019F51" w14:textId="77777777" w:rsidR="008E3A22" w:rsidRDefault="008E3A22" w:rsidP="00AC2C7A">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049B89F" w14:textId="17755FBF" w:rsidR="008E3A22" w:rsidRDefault="00000000" w:rsidP="00AC2C7A">
            <w:pPr>
              <w:rPr>
                <w:rStyle w:val="Hyperlink"/>
                <w:rFonts w:ascii="Garamond" w:hAnsi="Garamond"/>
                <w:color w:val="auto"/>
                <w:u w:val="none"/>
                <w:lang w:val="en-AU"/>
              </w:rPr>
            </w:pPr>
            <w:hyperlink r:id="rId20" w:history="1">
              <w:r w:rsidR="006125E7" w:rsidRPr="0090454A">
                <w:rPr>
                  <w:rStyle w:val="Hyperlink"/>
                  <w:rFonts w:ascii="Garamond" w:hAnsi="Garamond"/>
                  <w:lang w:val="en-AU"/>
                </w:rPr>
                <w:t>https://www.sciencedirect.com/journal/health-policy/vol/148/</w:t>
              </w:r>
            </w:hyperlink>
          </w:p>
        </w:tc>
      </w:tr>
      <w:tr w:rsidR="008E3A22" w14:paraId="40FB6FCF" w14:textId="77777777" w:rsidTr="00AC2C7A">
        <w:tc>
          <w:tcPr>
            <w:tcW w:w="1080" w:type="dxa"/>
            <w:tcBorders>
              <w:top w:val="single" w:sz="4" w:space="0" w:color="auto"/>
              <w:left w:val="single" w:sz="4" w:space="0" w:color="auto"/>
              <w:bottom w:val="single" w:sz="4" w:space="0" w:color="auto"/>
              <w:right w:val="single" w:sz="4" w:space="0" w:color="auto"/>
            </w:tcBorders>
            <w:vAlign w:val="center"/>
            <w:hideMark/>
          </w:tcPr>
          <w:p w14:paraId="395C856B" w14:textId="77777777" w:rsidR="008E3A22" w:rsidRDefault="008E3A22" w:rsidP="00AC2C7A">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D77283F" w14:textId="165C4307" w:rsidR="008E3A22" w:rsidRDefault="008E3A22" w:rsidP="00AC2C7A">
            <w:pPr>
              <w:rPr>
                <w:rFonts w:ascii="Garamond" w:hAnsi="Garamond"/>
                <w:lang w:val="en-AU"/>
              </w:rPr>
            </w:pPr>
            <w:r>
              <w:rPr>
                <w:rFonts w:ascii="Garamond" w:hAnsi="Garamond"/>
                <w:lang w:val="en-AU"/>
              </w:rPr>
              <w:t xml:space="preserve">A new issue of </w:t>
            </w:r>
            <w:r>
              <w:rPr>
                <w:rFonts w:ascii="Garamond" w:hAnsi="Garamond"/>
                <w:i/>
                <w:lang w:val="en-AU"/>
              </w:rPr>
              <w:t>Health Policy</w:t>
            </w:r>
            <w:r>
              <w:rPr>
                <w:rFonts w:ascii="Garamond" w:hAnsi="Garamond"/>
                <w:lang w:val="en-AU"/>
              </w:rPr>
              <w:t xml:space="preserve"> has been published</w:t>
            </w:r>
            <w:r w:rsidR="00E61D43">
              <w:rPr>
                <w:rFonts w:ascii="Garamond" w:hAnsi="Garamond"/>
                <w:lang w:val="en-AU"/>
              </w:rPr>
              <w:t>.</w:t>
            </w:r>
            <w:r>
              <w:rPr>
                <w:rFonts w:ascii="Garamond" w:hAnsi="Garamond"/>
                <w:lang w:val="en-AU"/>
              </w:rPr>
              <w:t xml:space="preserve"> Articles in this issue of </w:t>
            </w:r>
            <w:r>
              <w:rPr>
                <w:rFonts w:ascii="Garamond" w:hAnsi="Garamond"/>
                <w:i/>
                <w:lang w:val="en-AU"/>
              </w:rPr>
              <w:t>Health Policy</w:t>
            </w:r>
            <w:r>
              <w:rPr>
                <w:rFonts w:ascii="Garamond" w:hAnsi="Garamond"/>
                <w:lang w:val="en-AU"/>
              </w:rPr>
              <w:t xml:space="preserve"> include:</w:t>
            </w:r>
          </w:p>
          <w:p w14:paraId="0482C6D7" w14:textId="0F7C2577" w:rsidR="006125E7" w:rsidRDefault="006125E7" w:rsidP="00407860">
            <w:pPr>
              <w:pStyle w:val="ListParagraph"/>
              <w:numPr>
                <w:ilvl w:val="0"/>
                <w:numId w:val="18"/>
              </w:numPr>
              <w:rPr>
                <w:rFonts w:ascii="Garamond" w:hAnsi="Garamond"/>
                <w:lang w:val="en-AU"/>
              </w:rPr>
            </w:pPr>
            <w:r w:rsidRPr="006125E7">
              <w:rPr>
                <w:rFonts w:ascii="Garamond" w:hAnsi="Garamond"/>
                <w:b/>
                <w:bCs/>
                <w:lang w:val="en-AU"/>
              </w:rPr>
              <w:t>Population stratification based on healthcare trajectories</w:t>
            </w:r>
            <w:r w:rsidRPr="006125E7">
              <w:rPr>
                <w:rFonts w:ascii="Garamond" w:hAnsi="Garamond"/>
                <w:lang w:val="en-AU"/>
              </w:rPr>
              <w:t>: A method for encouraging adaptive learning at meso level (Anne-Sophie Lambert, Catherine Legrand, B Scholtes, S Samadoulougou, H Deconinck, L Alvarez, J Macq</w:t>
            </w:r>
            <w:r>
              <w:rPr>
                <w:rFonts w:ascii="Garamond" w:hAnsi="Garamond"/>
                <w:lang w:val="en-AU"/>
              </w:rPr>
              <w:t>)</w:t>
            </w:r>
          </w:p>
          <w:p w14:paraId="77ADD05A" w14:textId="77777777" w:rsidR="006125E7" w:rsidRDefault="006125E7" w:rsidP="007207B4">
            <w:pPr>
              <w:pStyle w:val="ListParagraph"/>
              <w:numPr>
                <w:ilvl w:val="0"/>
                <w:numId w:val="18"/>
              </w:numPr>
              <w:rPr>
                <w:rFonts w:ascii="Garamond" w:hAnsi="Garamond"/>
                <w:lang w:val="en-AU"/>
              </w:rPr>
            </w:pPr>
            <w:r w:rsidRPr="006125E7">
              <w:rPr>
                <w:rFonts w:ascii="Garamond" w:hAnsi="Garamond"/>
                <w:b/>
                <w:bCs/>
                <w:lang w:val="en-AU"/>
              </w:rPr>
              <w:t>Early access programs for medical devices</w:t>
            </w:r>
            <w:r w:rsidRPr="006125E7">
              <w:rPr>
                <w:rFonts w:ascii="Garamond" w:hAnsi="Garamond"/>
                <w:lang w:val="en-AU"/>
              </w:rPr>
              <w:t xml:space="preserve"> in France: Overview of recent reforms and outcomes (2015-2022) (Tess Martin, Alexandra Hervias, Xavier Armoiry, Nicolas Martelli</w:t>
            </w:r>
            <w:r>
              <w:rPr>
                <w:rFonts w:ascii="Garamond" w:hAnsi="Garamond"/>
                <w:lang w:val="en-AU"/>
              </w:rPr>
              <w:t>)</w:t>
            </w:r>
          </w:p>
          <w:p w14:paraId="4F94CFC7" w14:textId="77777777" w:rsidR="006125E7" w:rsidRDefault="006125E7" w:rsidP="00EA5E11">
            <w:pPr>
              <w:pStyle w:val="ListParagraph"/>
              <w:numPr>
                <w:ilvl w:val="0"/>
                <w:numId w:val="18"/>
              </w:numPr>
              <w:rPr>
                <w:rFonts w:ascii="Garamond" w:hAnsi="Garamond"/>
                <w:lang w:val="en-AU"/>
              </w:rPr>
            </w:pPr>
            <w:r w:rsidRPr="006125E7">
              <w:rPr>
                <w:rFonts w:ascii="Garamond" w:hAnsi="Garamond"/>
                <w:lang w:val="en-AU"/>
              </w:rPr>
              <w:t xml:space="preserve">Taking a health economic perspective in </w:t>
            </w:r>
            <w:r w:rsidRPr="006125E7">
              <w:rPr>
                <w:rFonts w:ascii="Garamond" w:hAnsi="Garamond"/>
                <w:b/>
                <w:bCs/>
                <w:lang w:val="en-AU"/>
              </w:rPr>
              <w:t>monitoring health inequalities</w:t>
            </w:r>
            <w:r w:rsidRPr="006125E7">
              <w:rPr>
                <w:rFonts w:ascii="Garamond" w:hAnsi="Garamond"/>
                <w:lang w:val="en-AU"/>
              </w:rPr>
              <w:t>: A focus on excess weight (Fiorella Parra Mujica, Paolo Candio</w:t>
            </w:r>
            <w:r>
              <w:rPr>
                <w:rFonts w:ascii="Garamond" w:hAnsi="Garamond"/>
                <w:lang w:val="en-AU"/>
              </w:rPr>
              <w:t>)</w:t>
            </w:r>
          </w:p>
          <w:p w14:paraId="1C5AEFC5" w14:textId="74B5F242" w:rsidR="006125E7" w:rsidRPr="006125E7" w:rsidRDefault="006125E7" w:rsidP="00C976F3">
            <w:pPr>
              <w:pStyle w:val="ListParagraph"/>
              <w:numPr>
                <w:ilvl w:val="0"/>
                <w:numId w:val="18"/>
              </w:numPr>
              <w:rPr>
                <w:rFonts w:ascii="Garamond" w:hAnsi="Garamond"/>
                <w:lang w:val="en-AU"/>
              </w:rPr>
            </w:pPr>
            <w:r w:rsidRPr="006125E7">
              <w:rPr>
                <w:rFonts w:ascii="Garamond" w:hAnsi="Garamond"/>
                <w:lang w:val="en-AU"/>
              </w:rPr>
              <w:t xml:space="preserve">Stimulating </w:t>
            </w:r>
            <w:r w:rsidRPr="006125E7">
              <w:rPr>
                <w:rFonts w:ascii="Garamond" w:hAnsi="Garamond"/>
                <w:b/>
                <w:bCs/>
                <w:lang w:val="en-AU"/>
              </w:rPr>
              <w:t>implementation of clinical practice guidelines in hospital care</w:t>
            </w:r>
            <w:r w:rsidRPr="006125E7">
              <w:rPr>
                <w:rFonts w:ascii="Garamond" w:hAnsi="Garamond"/>
                <w:lang w:val="en-AU"/>
              </w:rPr>
              <w:t xml:space="preserve"> from a central guideline organization perspective: A systematic review (Andrea C Thoonsen, Steffie M van Schoten, Hanneke Merten, Ilse van Beusekom, Linda J Schoonmade, Diana M</w:t>
            </w:r>
            <w:r>
              <w:rPr>
                <w:rFonts w:ascii="Garamond" w:hAnsi="Garamond"/>
                <w:lang w:val="en-AU"/>
              </w:rPr>
              <w:t xml:space="preserve"> </w:t>
            </w:r>
            <w:r w:rsidRPr="006125E7">
              <w:rPr>
                <w:rFonts w:ascii="Garamond" w:hAnsi="Garamond"/>
                <w:lang w:val="en-AU"/>
              </w:rPr>
              <w:t>J Delnoij, Martine C de Bruijne</w:t>
            </w:r>
            <w:r>
              <w:rPr>
                <w:rFonts w:ascii="Garamond" w:hAnsi="Garamond"/>
                <w:lang w:val="en-AU"/>
              </w:rPr>
              <w:t>)</w:t>
            </w:r>
          </w:p>
          <w:p w14:paraId="0E6482D2" w14:textId="53B23CA8" w:rsidR="008E3A22" w:rsidRDefault="006125E7" w:rsidP="006125E7">
            <w:pPr>
              <w:pStyle w:val="ListParagraph"/>
              <w:numPr>
                <w:ilvl w:val="0"/>
                <w:numId w:val="18"/>
              </w:numPr>
              <w:rPr>
                <w:rFonts w:ascii="Garamond" w:hAnsi="Garamond"/>
                <w:lang w:val="en-AU"/>
              </w:rPr>
            </w:pPr>
            <w:r w:rsidRPr="006125E7">
              <w:rPr>
                <w:rFonts w:ascii="Garamond" w:hAnsi="Garamond"/>
                <w:lang w:val="en-AU"/>
              </w:rPr>
              <w:t xml:space="preserve">Can </w:t>
            </w:r>
            <w:r w:rsidRPr="006125E7">
              <w:rPr>
                <w:rFonts w:ascii="Garamond" w:hAnsi="Garamond"/>
                <w:b/>
                <w:bCs/>
                <w:lang w:val="en-AU"/>
              </w:rPr>
              <w:t>revenue collection for public funding in health care</w:t>
            </w:r>
            <w:r w:rsidRPr="006125E7">
              <w:rPr>
                <w:rFonts w:ascii="Garamond" w:hAnsi="Garamond"/>
                <w:lang w:val="en-AU"/>
              </w:rPr>
              <w:t xml:space="preserve"> be progressive? An assessment of 29 Countries (Thomas Rice, Karsten Vrangbæk, Ingrid S Saunes, Nicolas Bouckaert, Lucie Bryndová, Fidelia Cascini, Andres Võrk, A Dimova, E Kocot, L Murauskiene, D Bricard, M Blumel, P Gaál, P Pažitný)</w:t>
            </w:r>
          </w:p>
        </w:tc>
      </w:tr>
    </w:tbl>
    <w:p w14:paraId="55E20199" w14:textId="77777777" w:rsidR="008E3A22" w:rsidRDefault="008E3A22" w:rsidP="00C62C05">
      <w:pPr>
        <w:keepLines/>
        <w:autoSpaceDE w:val="0"/>
        <w:autoSpaceDN w:val="0"/>
        <w:adjustRightInd w:val="0"/>
        <w:rPr>
          <w:rFonts w:ascii="Garamond" w:hAnsi="Garamond"/>
          <w:lang w:val="en-AU"/>
        </w:rPr>
      </w:pPr>
    </w:p>
    <w:p w14:paraId="75978BA4" w14:textId="77777777" w:rsidR="004E2643" w:rsidRDefault="004E2643">
      <w:pPr>
        <w:rPr>
          <w:rFonts w:ascii="Garamond" w:hAnsi="Garamond"/>
          <w:i/>
          <w:lang w:val="en-AU"/>
        </w:rPr>
      </w:pPr>
      <w:r>
        <w:rPr>
          <w:rFonts w:ascii="Garamond" w:hAnsi="Garamond"/>
          <w:i/>
          <w:lang w:val="en-AU"/>
        </w:rPr>
        <w:br w:type="page"/>
      </w:r>
    </w:p>
    <w:p w14:paraId="459A59A2" w14:textId="1417F17A" w:rsidR="00732A08" w:rsidRPr="0058334F" w:rsidRDefault="00A768F9" w:rsidP="00732A08">
      <w:pPr>
        <w:keepNext/>
        <w:rPr>
          <w:rFonts w:ascii="Garamond" w:hAnsi="Garamond"/>
          <w:i/>
          <w:lang w:val="en-AU"/>
        </w:rPr>
      </w:pPr>
      <w:r>
        <w:rPr>
          <w:rFonts w:ascii="Garamond" w:hAnsi="Garamond"/>
          <w:i/>
          <w:lang w:val="en-AU"/>
        </w:rPr>
        <w:lastRenderedPageBreak/>
        <w:t>JBI Evidence Synthesis</w:t>
      </w:r>
    </w:p>
    <w:p w14:paraId="4D6D704C" w14:textId="7E33A2B9" w:rsidR="00732A08" w:rsidRPr="0058334F" w:rsidRDefault="00732A08" w:rsidP="00732A08">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sidR="00A768F9">
        <w:rPr>
          <w:rFonts w:ascii="Garamond" w:hAnsi="Garamond"/>
          <w:iCs/>
          <w:lang w:val="en-AU"/>
        </w:rPr>
        <w:t>2</w:t>
      </w:r>
      <w:r w:rsidRPr="0058334F">
        <w:rPr>
          <w:rFonts w:ascii="Garamond" w:hAnsi="Garamond"/>
          <w:iCs/>
          <w:lang w:val="en-AU"/>
        </w:rPr>
        <w:t xml:space="preserve">, </w:t>
      </w:r>
      <w:r w:rsidR="00A768F9">
        <w:rPr>
          <w:rFonts w:ascii="Garamond" w:hAnsi="Garamond"/>
          <w:iCs/>
          <w:lang w:val="en-AU"/>
        </w:rPr>
        <w:t xml:space="preserve">Issue </w:t>
      </w:r>
      <w:r w:rsidR="006125E7">
        <w:rPr>
          <w:rFonts w:ascii="Garamond" w:hAnsi="Garamond"/>
          <w:iCs/>
          <w:lang w:val="en-AU"/>
        </w:rPr>
        <w:t>9</w:t>
      </w:r>
      <w:r w:rsidRPr="0058334F">
        <w:rPr>
          <w:rFonts w:ascii="Garamond" w:hAnsi="Garamond"/>
          <w:iCs/>
          <w:lang w:val="en-AU"/>
        </w:rPr>
        <w:t>,</w:t>
      </w:r>
      <w:r w:rsidR="00A768F9">
        <w:rPr>
          <w:rFonts w:ascii="Garamond" w:hAnsi="Garamond"/>
          <w:iCs/>
          <w:lang w:val="en-AU"/>
        </w:rPr>
        <w:t xml:space="preserve"> </w:t>
      </w:r>
      <w:r w:rsidR="006125E7">
        <w:rPr>
          <w:rFonts w:ascii="Garamond" w:hAnsi="Garamond"/>
          <w:iCs/>
          <w:lang w:val="en-AU"/>
        </w:rPr>
        <w:t>September</w:t>
      </w:r>
      <w:r w:rsidR="00A768F9">
        <w:rPr>
          <w:rFonts w:ascii="Garamond" w:hAnsi="Garamond"/>
          <w:iCs/>
          <w:lang w:val="en-AU"/>
        </w:rPr>
        <w:t xml:space="preserve">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732A08" w14:paraId="3CAF4189" w14:textId="77777777" w:rsidTr="00490C17">
        <w:tc>
          <w:tcPr>
            <w:tcW w:w="1080" w:type="dxa"/>
            <w:tcBorders>
              <w:top w:val="single" w:sz="4" w:space="0" w:color="auto"/>
              <w:left w:val="single" w:sz="4" w:space="0" w:color="auto"/>
              <w:bottom w:val="single" w:sz="4" w:space="0" w:color="auto"/>
              <w:right w:val="single" w:sz="4" w:space="0" w:color="auto"/>
            </w:tcBorders>
            <w:vAlign w:val="center"/>
            <w:hideMark/>
          </w:tcPr>
          <w:p w14:paraId="7A79E248" w14:textId="77777777" w:rsidR="00732A08" w:rsidRDefault="00732A08" w:rsidP="00490C1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0EAD9B8" w14:textId="23F48320" w:rsidR="00732A08" w:rsidRDefault="00000000" w:rsidP="00490C17">
            <w:pPr>
              <w:rPr>
                <w:rStyle w:val="Hyperlink"/>
                <w:rFonts w:ascii="Garamond" w:hAnsi="Garamond"/>
                <w:color w:val="auto"/>
                <w:u w:val="none"/>
                <w:lang w:val="en-AU"/>
              </w:rPr>
            </w:pPr>
            <w:hyperlink r:id="rId21" w:history="1">
              <w:r w:rsidR="006125E7" w:rsidRPr="0090454A">
                <w:rPr>
                  <w:rStyle w:val="Hyperlink"/>
                  <w:rFonts w:ascii="Garamond" w:hAnsi="Garamond"/>
                  <w:lang w:val="en-AU"/>
                </w:rPr>
                <w:t>https://journals.lww.com/jbisrir/toc/2024/09000</w:t>
              </w:r>
            </w:hyperlink>
          </w:p>
        </w:tc>
      </w:tr>
      <w:tr w:rsidR="00732A08" w14:paraId="16F4A8FC" w14:textId="77777777" w:rsidTr="00490C17">
        <w:tc>
          <w:tcPr>
            <w:tcW w:w="1080" w:type="dxa"/>
            <w:tcBorders>
              <w:top w:val="single" w:sz="4" w:space="0" w:color="auto"/>
              <w:left w:val="single" w:sz="4" w:space="0" w:color="auto"/>
              <w:bottom w:val="single" w:sz="4" w:space="0" w:color="auto"/>
              <w:right w:val="single" w:sz="4" w:space="0" w:color="auto"/>
            </w:tcBorders>
            <w:vAlign w:val="center"/>
            <w:hideMark/>
          </w:tcPr>
          <w:p w14:paraId="2A71E882" w14:textId="77777777" w:rsidR="00732A08" w:rsidRDefault="00732A08" w:rsidP="00490C1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EF17E7E" w14:textId="1B7FF164" w:rsidR="00732A08" w:rsidRDefault="00732A08" w:rsidP="00490C17">
            <w:pPr>
              <w:rPr>
                <w:rFonts w:ascii="Garamond" w:hAnsi="Garamond"/>
                <w:lang w:val="en-AU"/>
              </w:rPr>
            </w:pPr>
            <w:r>
              <w:rPr>
                <w:rFonts w:ascii="Garamond" w:hAnsi="Garamond"/>
                <w:lang w:val="en-AU"/>
              </w:rPr>
              <w:t xml:space="preserve">A new issue of </w:t>
            </w:r>
            <w:r w:rsidR="00A768F9">
              <w:rPr>
                <w:rFonts w:ascii="Garamond" w:hAnsi="Garamond"/>
                <w:i/>
                <w:lang w:val="en-AU"/>
              </w:rPr>
              <w:t xml:space="preserve">JBI Evidence Synthesis </w:t>
            </w:r>
            <w:r>
              <w:rPr>
                <w:rFonts w:ascii="Garamond" w:hAnsi="Garamond"/>
                <w:lang w:val="en-AU"/>
              </w:rPr>
              <w:t>has been published</w:t>
            </w:r>
            <w:r w:rsidR="00E61D43">
              <w:rPr>
                <w:rFonts w:ascii="Garamond" w:hAnsi="Garamond"/>
                <w:lang w:val="en-AU"/>
              </w:rPr>
              <w:t>.</w:t>
            </w:r>
            <w:r>
              <w:rPr>
                <w:rFonts w:ascii="Garamond" w:hAnsi="Garamond"/>
                <w:lang w:val="en-AU"/>
              </w:rPr>
              <w:t xml:space="preserve"> Articles in this issue of </w:t>
            </w:r>
            <w:r w:rsidR="00A768F9">
              <w:rPr>
                <w:rFonts w:ascii="Garamond" w:hAnsi="Garamond"/>
                <w:i/>
                <w:lang w:val="en-AU"/>
              </w:rPr>
              <w:t>JBI Evidence Synthesis</w:t>
            </w:r>
            <w:r w:rsidR="00A768F9">
              <w:rPr>
                <w:rFonts w:ascii="Garamond" w:hAnsi="Garamond"/>
                <w:lang w:val="en-AU"/>
              </w:rPr>
              <w:t xml:space="preserve"> </w:t>
            </w:r>
            <w:r>
              <w:rPr>
                <w:rFonts w:ascii="Garamond" w:hAnsi="Garamond"/>
                <w:lang w:val="en-AU"/>
              </w:rPr>
              <w:t>include:</w:t>
            </w:r>
          </w:p>
          <w:p w14:paraId="3AD92FF1" w14:textId="7B5D4E34" w:rsidR="006125E7" w:rsidRPr="006125E7" w:rsidRDefault="00A768F9" w:rsidP="003C2313">
            <w:pPr>
              <w:pStyle w:val="ListParagraph"/>
              <w:numPr>
                <w:ilvl w:val="0"/>
                <w:numId w:val="18"/>
              </w:numPr>
              <w:rPr>
                <w:rFonts w:ascii="Garamond" w:hAnsi="Garamond"/>
                <w:lang w:val="en-AU"/>
              </w:rPr>
            </w:pPr>
            <w:r w:rsidRPr="006125E7">
              <w:rPr>
                <w:rFonts w:ascii="Garamond" w:hAnsi="Garamond"/>
                <w:lang w:val="en-AU"/>
              </w:rPr>
              <w:t xml:space="preserve">Editorial: </w:t>
            </w:r>
            <w:r w:rsidR="006125E7" w:rsidRPr="006125E7">
              <w:rPr>
                <w:rFonts w:ascii="Garamond" w:hAnsi="Garamond"/>
                <w:lang w:val="en-AU"/>
              </w:rPr>
              <w:t xml:space="preserve">“Doing it, that’s something else”: a glimpse into </w:t>
            </w:r>
            <w:r w:rsidR="006125E7" w:rsidRPr="006125E7">
              <w:rPr>
                <w:rFonts w:ascii="Garamond" w:hAnsi="Garamond"/>
                <w:b/>
                <w:bCs/>
                <w:lang w:val="en-AU"/>
              </w:rPr>
              <w:t>self-management after lung transplantation</w:t>
            </w:r>
            <w:r w:rsidR="006125E7" w:rsidRPr="006125E7">
              <w:rPr>
                <w:rFonts w:ascii="Garamond" w:hAnsi="Garamond"/>
                <w:lang w:val="en-AU"/>
              </w:rPr>
              <w:t xml:space="preserve"> (Anne Rebafka, Clare Bennett, Deborah Edwards</w:t>
            </w:r>
            <w:r w:rsidR="006125E7">
              <w:rPr>
                <w:rFonts w:ascii="Garamond" w:hAnsi="Garamond"/>
                <w:lang w:val="en-AU"/>
              </w:rPr>
              <w:t>)</w:t>
            </w:r>
          </w:p>
          <w:p w14:paraId="35C1FABC" w14:textId="795E90CA" w:rsidR="006125E7" w:rsidRPr="006125E7" w:rsidRDefault="006125E7" w:rsidP="009A0349">
            <w:pPr>
              <w:pStyle w:val="ListParagraph"/>
              <w:numPr>
                <w:ilvl w:val="0"/>
                <w:numId w:val="18"/>
              </w:numPr>
              <w:rPr>
                <w:rFonts w:ascii="Garamond" w:hAnsi="Garamond"/>
                <w:lang w:val="en-AU"/>
              </w:rPr>
            </w:pPr>
            <w:r w:rsidRPr="006125E7">
              <w:rPr>
                <w:rFonts w:ascii="Garamond" w:hAnsi="Garamond"/>
                <w:b/>
                <w:bCs/>
                <w:lang w:val="en-AU"/>
              </w:rPr>
              <w:t>Lung transplant recipients’ experiences</w:t>
            </w:r>
            <w:r w:rsidRPr="006125E7">
              <w:rPr>
                <w:rFonts w:ascii="Garamond" w:hAnsi="Garamond"/>
                <w:lang w:val="en-AU"/>
              </w:rPr>
              <w:t xml:space="preserve"> of and attitudes towards self-management: a qualitative systematic review (Anne Rebafka, Clare Bennett, Catherine Dunn, Dominic Roche, Clare Hawker, Deborah Edwards</w:t>
            </w:r>
            <w:r>
              <w:rPr>
                <w:rFonts w:ascii="Garamond" w:hAnsi="Garamond"/>
                <w:lang w:val="en-AU"/>
              </w:rPr>
              <w:t>)</w:t>
            </w:r>
          </w:p>
          <w:p w14:paraId="7D6F6E68" w14:textId="177CC74E" w:rsidR="006125E7" w:rsidRPr="006125E7" w:rsidRDefault="006125E7" w:rsidP="00221279">
            <w:pPr>
              <w:pStyle w:val="ListParagraph"/>
              <w:numPr>
                <w:ilvl w:val="0"/>
                <w:numId w:val="18"/>
              </w:numPr>
              <w:rPr>
                <w:rFonts w:ascii="Garamond" w:hAnsi="Garamond"/>
                <w:lang w:val="en-AU"/>
              </w:rPr>
            </w:pPr>
            <w:r w:rsidRPr="006125E7">
              <w:rPr>
                <w:rFonts w:ascii="Garamond" w:hAnsi="Garamond"/>
                <w:lang w:val="en-AU"/>
              </w:rPr>
              <w:t xml:space="preserve">Effectiveness and safety of </w:t>
            </w:r>
            <w:r w:rsidRPr="006125E7">
              <w:rPr>
                <w:rFonts w:ascii="Garamond" w:hAnsi="Garamond"/>
                <w:b/>
                <w:bCs/>
                <w:lang w:val="en-AU"/>
              </w:rPr>
              <w:t>self-management interventions</w:t>
            </w:r>
            <w:r w:rsidRPr="006125E7">
              <w:rPr>
                <w:rFonts w:ascii="Garamond" w:hAnsi="Garamond"/>
                <w:lang w:val="en-AU"/>
              </w:rPr>
              <w:t xml:space="preserve"> for improving glycemic control and health-related quality of life among adults with </w:t>
            </w:r>
            <w:r w:rsidRPr="006125E7">
              <w:rPr>
                <w:rFonts w:ascii="Garamond" w:hAnsi="Garamond"/>
                <w:b/>
                <w:bCs/>
                <w:lang w:val="en-AU"/>
              </w:rPr>
              <w:t>type 2 diabetes mellitus</w:t>
            </w:r>
            <w:r w:rsidRPr="006125E7">
              <w:rPr>
                <w:rFonts w:ascii="Garamond" w:hAnsi="Garamond"/>
                <w:lang w:val="en-AU"/>
              </w:rPr>
              <w:t xml:space="preserve"> in sub-Saharan Africa: a systematic review and meta-analysis (Naomi Carter, Gamze Nalbant, Prit Chahal, Kaushik Chattopadhyay</w:t>
            </w:r>
            <w:r>
              <w:rPr>
                <w:rFonts w:ascii="Garamond" w:hAnsi="Garamond"/>
                <w:lang w:val="en-AU"/>
              </w:rPr>
              <w:t>)</w:t>
            </w:r>
          </w:p>
          <w:p w14:paraId="02EDB0C0" w14:textId="4B27EA1C" w:rsidR="006125E7" w:rsidRPr="006125E7" w:rsidRDefault="006125E7" w:rsidP="00955E42">
            <w:pPr>
              <w:pStyle w:val="ListParagraph"/>
              <w:numPr>
                <w:ilvl w:val="0"/>
                <w:numId w:val="18"/>
              </w:numPr>
              <w:rPr>
                <w:rFonts w:ascii="Garamond" w:hAnsi="Garamond"/>
                <w:lang w:val="en-AU"/>
              </w:rPr>
            </w:pPr>
            <w:r w:rsidRPr="006125E7">
              <w:rPr>
                <w:rFonts w:ascii="Garamond" w:hAnsi="Garamond"/>
                <w:lang w:val="en-AU"/>
              </w:rPr>
              <w:t xml:space="preserve">Capability as a concept in </w:t>
            </w:r>
            <w:r w:rsidRPr="006125E7">
              <w:rPr>
                <w:rFonts w:ascii="Garamond" w:hAnsi="Garamond"/>
                <w:b/>
                <w:bCs/>
                <w:lang w:val="en-AU"/>
              </w:rPr>
              <w:t>advanced practice nursing and education</w:t>
            </w:r>
            <w:r w:rsidRPr="006125E7">
              <w:rPr>
                <w:rFonts w:ascii="Garamond" w:hAnsi="Garamond"/>
                <w:lang w:val="en-AU"/>
              </w:rPr>
              <w:t>: a scoping review (Martha M. Whitfield, Paulina Bleah, Jovina Concepcion Bachynski, D Macdonald, T Klein, A Ross-White, M Mimirinis, R Wilson</w:t>
            </w:r>
            <w:r>
              <w:rPr>
                <w:rFonts w:ascii="Garamond" w:hAnsi="Garamond"/>
                <w:lang w:val="en-AU"/>
              </w:rPr>
              <w:t>)</w:t>
            </w:r>
          </w:p>
          <w:p w14:paraId="6D78D2C4" w14:textId="54E7FC6D" w:rsidR="006125E7" w:rsidRPr="006125E7" w:rsidRDefault="006125E7" w:rsidP="00C05862">
            <w:pPr>
              <w:pStyle w:val="ListParagraph"/>
              <w:numPr>
                <w:ilvl w:val="0"/>
                <w:numId w:val="18"/>
              </w:numPr>
              <w:rPr>
                <w:rFonts w:ascii="Garamond" w:hAnsi="Garamond"/>
                <w:lang w:val="en-AU"/>
              </w:rPr>
            </w:pPr>
            <w:r w:rsidRPr="006125E7">
              <w:rPr>
                <w:rFonts w:ascii="Garamond" w:hAnsi="Garamond"/>
                <w:lang w:val="en-AU"/>
              </w:rPr>
              <w:t xml:space="preserve">Quality indicators to monitor the </w:t>
            </w:r>
            <w:r w:rsidRPr="006125E7">
              <w:rPr>
                <w:rFonts w:ascii="Garamond" w:hAnsi="Garamond"/>
                <w:b/>
                <w:bCs/>
                <w:lang w:val="en-AU"/>
              </w:rPr>
              <w:t>quality and safety of care for older people</w:t>
            </w:r>
            <w:r w:rsidRPr="006125E7">
              <w:rPr>
                <w:rFonts w:ascii="Garamond" w:hAnsi="Garamond"/>
                <w:lang w:val="en-AU"/>
              </w:rPr>
              <w:t>: a scoping review protocol (Timothy J</w:t>
            </w:r>
            <w:r>
              <w:rPr>
                <w:rFonts w:ascii="Garamond" w:hAnsi="Garamond"/>
                <w:lang w:val="en-AU"/>
              </w:rPr>
              <w:t xml:space="preserve"> </w:t>
            </w:r>
            <w:r w:rsidRPr="006125E7">
              <w:rPr>
                <w:rFonts w:ascii="Garamond" w:hAnsi="Garamond"/>
                <w:lang w:val="en-AU"/>
              </w:rPr>
              <w:t>H Lathlean, Maria C Inacio, Johanna Westbrook, Len Gray, Jeffrey Braithwaite, Peter Hibbert, T Comans, M Crotty, S</w:t>
            </w:r>
            <w:r>
              <w:rPr>
                <w:rFonts w:ascii="Garamond" w:hAnsi="Garamond"/>
                <w:lang w:val="en-AU"/>
              </w:rPr>
              <w:t xml:space="preserve"> </w:t>
            </w:r>
            <w:r w:rsidRPr="006125E7">
              <w:rPr>
                <w:rFonts w:ascii="Garamond" w:hAnsi="Garamond"/>
                <w:lang w:val="en-AU"/>
              </w:rPr>
              <w:t>Wesselingh, J K Sluggett, S Ward, N Wabe, G E Caughey</w:t>
            </w:r>
            <w:r>
              <w:rPr>
                <w:rFonts w:ascii="Garamond" w:hAnsi="Garamond"/>
                <w:lang w:val="en-AU"/>
              </w:rPr>
              <w:t>)</w:t>
            </w:r>
          </w:p>
          <w:p w14:paraId="17373B54" w14:textId="03F864BD" w:rsidR="006125E7" w:rsidRPr="006125E7" w:rsidRDefault="006125E7" w:rsidP="00C973BF">
            <w:pPr>
              <w:pStyle w:val="ListParagraph"/>
              <w:numPr>
                <w:ilvl w:val="0"/>
                <w:numId w:val="18"/>
              </w:numPr>
              <w:rPr>
                <w:rFonts w:ascii="Garamond" w:hAnsi="Garamond"/>
                <w:lang w:val="en-AU"/>
              </w:rPr>
            </w:pPr>
            <w:r w:rsidRPr="006125E7">
              <w:rPr>
                <w:rFonts w:ascii="Garamond" w:hAnsi="Garamond"/>
                <w:lang w:val="en-AU"/>
              </w:rPr>
              <w:t xml:space="preserve">Experiences of school-age children living with </w:t>
            </w:r>
            <w:r w:rsidRPr="006125E7">
              <w:rPr>
                <w:rFonts w:ascii="Garamond" w:hAnsi="Garamond"/>
                <w:b/>
                <w:bCs/>
                <w:lang w:val="en-AU"/>
              </w:rPr>
              <w:t>food allergies</w:t>
            </w:r>
            <w:r w:rsidRPr="006125E7">
              <w:rPr>
                <w:rFonts w:ascii="Garamond" w:hAnsi="Garamond"/>
                <w:lang w:val="en-AU"/>
              </w:rPr>
              <w:t>: a qualitative systematic review protocol (Noriko Nishida, Yuki Maeda, Shingo Ueki</w:t>
            </w:r>
            <w:r>
              <w:rPr>
                <w:rFonts w:ascii="Garamond" w:hAnsi="Garamond"/>
                <w:lang w:val="en-AU"/>
              </w:rPr>
              <w:t>)</w:t>
            </w:r>
          </w:p>
          <w:p w14:paraId="3C1BC350" w14:textId="68F5A400" w:rsidR="006125E7" w:rsidRPr="006125E7" w:rsidRDefault="006125E7" w:rsidP="00411B6E">
            <w:pPr>
              <w:pStyle w:val="ListParagraph"/>
              <w:numPr>
                <w:ilvl w:val="0"/>
                <w:numId w:val="18"/>
              </w:numPr>
              <w:rPr>
                <w:rFonts w:ascii="Garamond" w:hAnsi="Garamond"/>
                <w:lang w:val="en-AU"/>
              </w:rPr>
            </w:pPr>
            <w:r w:rsidRPr="006125E7">
              <w:rPr>
                <w:rFonts w:ascii="Garamond" w:hAnsi="Garamond"/>
                <w:lang w:val="en-AU"/>
              </w:rPr>
              <w:t xml:space="preserve">Early rehabilitation after </w:t>
            </w:r>
            <w:r w:rsidRPr="006125E7">
              <w:rPr>
                <w:rFonts w:ascii="Garamond" w:hAnsi="Garamond"/>
                <w:b/>
                <w:bCs/>
                <w:lang w:val="en-AU"/>
              </w:rPr>
              <w:t>spinal cord injury</w:t>
            </w:r>
            <w:r w:rsidRPr="006125E7">
              <w:rPr>
                <w:rFonts w:ascii="Garamond" w:hAnsi="Garamond"/>
                <w:lang w:val="en-AU"/>
              </w:rPr>
              <w:t>: a scoping review protocol (Florence Martinache, Adéla Foudhaïli, Bernard Vigué</w:t>
            </w:r>
            <w:r>
              <w:rPr>
                <w:rFonts w:ascii="Garamond" w:hAnsi="Garamond"/>
                <w:lang w:val="en-AU"/>
              </w:rPr>
              <w:t>)</w:t>
            </w:r>
          </w:p>
          <w:p w14:paraId="418E9B9D" w14:textId="54939BFE" w:rsidR="00732A08" w:rsidRDefault="006125E7" w:rsidP="006125E7">
            <w:pPr>
              <w:pStyle w:val="ListParagraph"/>
              <w:numPr>
                <w:ilvl w:val="0"/>
                <w:numId w:val="18"/>
              </w:numPr>
              <w:rPr>
                <w:rFonts w:ascii="Garamond" w:hAnsi="Garamond"/>
                <w:lang w:val="en-AU"/>
              </w:rPr>
            </w:pPr>
            <w:r w:rsidRPr="006125E7">
              <w:rPr>
                <w:rFonts w:ascii="Garamond" w:hAnsi="Garamond"/>
                <w:lang w:val="en-AU"/>
              </w:rPr>
              <w:t xml:space="preserve">Cost and cost-effectiveness of treatments for </w:t>
            </w:r>
            <w:r w:rsidRPr="006125E7">
              <w:rPr>
                <w:rFonts w:ascii="Garamond" w:hAnsi="Garamond"/>
                <w:b/>
                <w:bCs/>
                <w:lang w:val="en-AU"/>
              </w:rPr>
              <w:t>rheumatic heart disease</w:t>
            </w:r>
            <w:r w:rsidRPr="006125E7">
              <w:rPr>
                <w:rFonts w:ascii="Garamond" w:hAnsi="Garamond"/>
                <w:lang w:val="en-AU"/>
              </w:rPr>
              <w:t xml:space="preserve"> in low- and middle-income countries: a systematic review protocol (Mona Thangamma AG, Bhavya Vidyadharan, Roshan P. Daniel, Andria Sirur, Praveen Kumar, Girish Thunga P, Pooja Gopal Poojari, Muhammed Rashid, Nirmalya Mukherjee, Paramita Bhattacharya, Denny John)</w:t>
            </w:r>
          </w:p>
        </w:tc>
      </w:tr>
    </w:tbl>
    <w:p w14:paraId="430381F2" w14:textId="77777777" w:rsidR="00732A08" w:rsidRDefault="00732A08" w:rsidP="00732A08">
      <w:pPr>
        <w:keepLines/>
        <w:autoSpaceDE w:val="0"/>
        <w:autoSpaceDN w:val="0"/>
        <w:adjustRightInd w:val="0"/>
        <w:rPr>
          <w:rFonts w:ascii="Garamond" w:hAnsi="Garamond"/>
          <w:lang w:val="en-AU"/>
        </w:rPr>
      </w:pPr>
    </w:p>
    <w:p w14:paraId="20006F00" w14:textId="77777777" w:rsidR="005C6930" w:rsidRPr="00E37911" w:rsidRDefault="005C6930" w:rsidP="005C693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000000" w:rsidP="00EF3E5E">
            <w:pPr>
              <w:keepNext/>
              <w:rPr>
                <w:rFonts w:ascii="Garamond" w:hAnsi="Garamond"/>
                <w:lang w:val="en-AU"/>
              </w:rPr>
            </w:pPr>
            <w:hyperlink r:id="rId22"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354B5102"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6CC6056" w14:textId="2C2122AC" w:rsidR="008B1CB9" w:rsidRPr="008B1CB9" w:rsidRDefault="008B1CB9" w:rsidP="00207A09">
            <w:pPr>
              <w:pStyle w:val="ListParagraph"/>
              <w:numPr>
                <w:ilvl w:val="0"/>
                <w:numId w:val="16"/>
              </w:numPr>
              <w:rPr>
                <w:rFonts w:ascii="Garamond" w:hAnsi="Garamond"/>
                <w:lang w:val="en-AU"/>
              </w:rPr>
            </w:pPr>
            <w:r w:rsidRPr="008B1CB9">
              <w:rPr>
                <w:rFonts w:ascii="Garamond" w:hAnsi="Garamond"/>
                <w:b/>
                <w:bCs/>
                <w:lang w:val="en-AU"/>
              </w:rPr>
              <w:t>Heeding frontline voice for better quality, safer care</w:t>
            </w:r>
            <w:r w:rsidRPr="008B1CB9">
              <w:rPr>
                <w:rFonts w:ascii="Garamond" w:hAnsi="Garamond"/>
                <w:lang w:val="en-AU"/>
              </w:rPr>
              <w:t xml:space="preserve"> (Russell Mannion and David Greenfield</w:t>
            </w:r>
            <w:r>
              <w:rPr>
                <w:rFonts w:ascii="Garamond" w:hAnsi="Garamond"/>
                <w:lang w:val="en-AU"/>
              </w:rPr>
              <w:t>)</w:t>
            </w:r>
          </w:p>
          <w:p w14:paraId="63C2598A" w14:textId="77777777" w:rsidR="006A730A" w:rsidRDefault="008B1CB9" w:rsidP="008B1CB9">
            <w:pPr>
              <w:pStyle w:val="ListParagraph"/>
              <w:numPr>
                <w:ilvl w:val="0"/>
                <w:numId w:val="16"/>
              </w:numPr>
              <w:rPr>
                <w:rFonts w:ascii="Garamond" w:hAnsi="Garamond"/>
                <w:lang w:val="en-AU"/>
              </w:rPr>
            </w:pPr>
            <w:r w:rsidRPr="008B1CB9">
              <w:rPr>
                <w:rFonts w:ascii="Garamond" w:hAnsi="Garamond"/>
                <w:b/>
                <w:bCs/>
                <w:lang w:val="en-AU"/>
              </w:rPr>
              <w:t>Anti-Indigenous racism</w:t>
            </w:r>
            <w:r w:rsidRPr="008B1CB9">
              <w:rPr>
                <w:rFonts w:ascii="Garamond" w:hAnsi="Garamond"/>
                <w:lang w:val="en-AU"/>
              </w:rPr>
              <w:t xml:space="preserve"> in Canadian healthcare: A scoping review of the literature </w:t>
            </w:r>
            <w:r>
              <w:rPr>
                <w:rFonts w:ascii="Garamond" w:hAnsi="Garamond"/>
                <w:lang w:val="en-AU"/>
              </w:rPr>
              <w:t>(</w:t>
            </w:r>
            <w:r w:rsidRPr="008B1CB9">
              <w:rPr>
                <w:rFonts w:ascii="Garamond" w:hAnsi="Garamond"/>
                <w:lang w:val="en-AU"/>
              </w:rPr>
              <w:t>Martin Cooke and Tasha Shields</w:t>
            </w:r>
            <w:r>
              <w:rPr>
                <w:rFonts w:ascii="Garamond" w:hAnsi="Garamond"/>
                <w:lang w:val="en-AU"/>
              </w:rPr>
              <w:t>)</w:t>
            </w:r>
          </w:p>
          <w:p w14:paraId="55FA4893" w14:textId="71E9833A" w:rsidR="00044435" w:rsidRPr="00D43C2B" w:rsidRDefault="00044435" w:rsidP="00C910CA">
            <w:pPr>
              <w:pStyle w:val="ListParagraph"/>
              <w:numPr>
                <w:ilvl w:val="0"/>
                <w:numId w:val="16"/>
              </w:numPr>
              <w:rPr>
                <w:rFonts w:ascii="Garamond" w:hAnsi="Garamond"/>
                <w:lang w:val="en-AU"/>
              </w:rPr>
            </w:pPr>
            <w:r w:rsidRPr="00044435">
              <w:rPr>
                <w:rFonts w:ascii="Garamond" w:hAnsi="Garamond"/>
                <w:lang w:val="en-AU"/>
              </w:rPr>
              <w:t xml:space="preserve">The </w:t>
            </w:r>
            <w:r w:rsidRPr="00044435">
              <w:rPr>
                <w:rFonts w:ascii="Garamond" w:hAnsi="Garamond"/>
                <w:b/>
                <w:bCs/>
                <w:lang w:val="en-AU"/>
              </w:rPr>
              <w:t>Second Victim Phenomenon</w:t>
            </w:r>
            <w:r w:rsidRPr="00044435">
              <w:rPr>
                <w:rFonts w:ascii="Garamond" w:hAnsi="Garamond"/>
                <w:lang w:val="en-AU"/>
              </w:rPr>
              <w:t xml:space="preserve">: Comprehensive Support and Systemic Change in Healthcare (Reinhard Strametz </w:t>
            </w:r>
            <w:r>
              <w:rPr>
                <w:rFonts w:ascii="Garamond" w:hAnsi="Garamond"/>
                <w:lang w:val="en-AU"/>
              </w:rPr>
              <w:t>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747548E3" w14:textId="77777777" w:rsidR="004E2643" w:rsidRDefault="004E2643">
      <w:pPr>
        <w:rPr>
          <w:rFonts w:ascii="Garamond" w:hAnsi="Garamond"/>
          <w:b/>
          <w:lang w:val="en-AU"/>
        </w:rPr>
      </w:pPr>
      <w:r>
        <w:rPr>
          <w:rFonts w:ascii="Garamond" w:hAnsi="Garamond"/>
          <w:b/>
          <w:lang w:val="en-AU"/>
        </w:rPr>
        <w:br w:type="page"/>
      </w:r>
    </w:p>
    <w:p w14:paraId="536302D7" w14:textId="51D506DE" w:rsidR="005C6930" w:rsidRPr="00E37911" w:rsidRDefault="005C6930" w:rsidP="005C6930">
      <w:pPr>
        <w:keepNext/>
        <w:keepLines/>
        <w:rPr>
          <w:rFonts w:ascii="Garamond" w:hAnsi="Garamond"/>
          <w:b/>
          <w:lang w:val="en-AU"/>
        </w:rPr>
      </w:pPr>
      <w:r w:rsidRPr="00E37911">
        <w:rPr>
          <w:rFonts w:ascii="Garamond" w:hAnsi="Garamond"/>
          <w:b/>
          <w:lang w:val="en-AU"/>
        </w:rPr>
        <w:lastRenderedPageBreak/>
        <w:t>Online resources</w:t>
      </w:r>
    </w:p>
    <w:p w14:paraId="6A6500D8" w14:textId="588E9649" w:rsidR="006C3151" w:rsidRDefault="006C3151" w:rsidP="00A623B7">
      <w:pPr>
        <w:tabs>
          <w:tab w:val="left" w:pos="2695"/>
        </w:tabs>
        <w:rPr>
          <w:rFonts w:ascii="Garamond" w:hAnsi="Garamond"/>
          <w:b/>
          <w:lang w:val="en-AU"/>
        </w:rPr>
      </w:pPr>
    </w:p>
    <w:p w14:paraId="3968D288" w14:textId="2EE74FA7" w:rsidR="00044435" w:rsidRPr="00044435" w:rsidRDefault="00044435" w:rsidP="00A623B7">
      <w:pPr>
        <w:tabs>
          <w:tab w:val="left" w:pos="2695"/>
        </w:tabs>
        <w:rPr>
          <w:rFonts w:ascii="Garamond" w:hAnsi="Garamond"/>
          <w:b/>
          <w:i/>
          <w:iCs/>
          <w:lang w:val="en-AU"/>
        </w:rPr>
      </w:pPr>
      <w:r w:rsidRPr="00044435">
        <w:rPr>
          <w:rFonts w:ascii="Garamond" w:hAnsi="Garamond"/>
          <w:b/>
          <w:i/>
          <w:iCs/>
          <w:lang w:val="en-AU"/>
        </w:rPr>
        <w:t>Good virtual care practices</w:t>
      </w:r>
    </w:p>
    <w:p w14:paraId="1DA03B9B" w14:textId="68ACBF40" w:rsidR="00044435" w:rsidRPr="00E61D43" w:rsidRDefault="00000000" w:rsidP="00A623B7">
      <w:pPr>
        <w:tabs>
          <w:tab w:val="left" w:pos="2695"/>
        </w:tabs>
        <w:rPr>
          <w:rFonts w:ascii="Garamond" w:hAnsi="Garamond"/>
          <w:lang w:val="en-AU"/>
        </w:rPr>
      </w:pPr>
      <w:hyperlink r:id="rId23" w:history="1">
        <w:r w:rsidR="00044435" w:rsidRPr="00E61D43">
          <w:rPr>
            <w:rStyle w:val="Hyperlink"/>
            <w:rFonts w:ascii="Garamond" w:hAnsi="Garamond"/>
            <w:lang w:val="en-AU"/>
          </w:rPr>
          <w:t>https://www.ahpra.gov.au/News/2024-08-01-Good-virtual-care-practices.aspx</w:t>
        </w:r>
      </w:hyperlink>
    </w:p>
    <w:p w14:paraId="1B725A78" w14:textId="3FE27153" w:rsidR="00044435" w:rsidRDefault="00044435" w:rsidP="00A623B7">
      <w:pPr>
        <w:tabs>
          <w:tab w:val="left" w:pos="2695"/>
        </w:tabs>
        <w:rPr>
          <w:rFonts w:ascii="Garamond" w:hAnsi="Garamond"/>
          <w:bCs/>
          <w:lang w:val="en-AU"/>
        </w:rPr>
      </w:pPr>
      <w:r w:rsidRPr="00044435">
        <w:rPr>
          <w:rFonts w:ascii="Garamond" w:hAnsi="Garamond"/>
          <w:bCs/>
          <w:lang w:val="en-AU"/>
        </w:rPr>
        <w:t>Ahpra and the National Boards have published virtual care information for health practitioners, the public and employers about accessing and providing safe and effective virtual care.</w:t>
      </w:r>
      <w:r>
        <w:rPr>
          <w:rFonts w:ascii="Garamond" w:hAnsi="Garamond"/>
          <w:bCs/>
          <w:lang w:val="en-AU"/>
        </w:rPr>
        <w:t xml:space="preserve"> These include:</w:t>
      </w:r>
    </w:p>
    <w:p w14:paraId="57D3A277" w14:textId="7B06AFBC" w:rsidR="00044435" w:rsidRDefault="00044435" w:rsidP="00044435">
      <w:pPr>
        <w:pStyle w:val="ListParagraph"/>
        <w:numPr>
          <w:ilvl w:val="0"/>
          <w:numId w:val="47"/>
        </w:numPr>
        <w:tabs>
          <w:tab w:val="left" w:pos="2695"/>
        </w:tabs>
        <w:rPr>
          <w:rFonts w:ascii="Garamond" w:hAnsi="Garamond"/>
          <w:bCs/>
          <w:lang w:val="en-AU"/>
        </w:rPr>
      </w:pPr>
      <w:r w:rsidRPr="00044435">
        <w:rPr>
          <w:rFonts w:ascii="Garamond" w:hAnsi="Garamond"/>
          <w:bCs/>
          <w:lang w:val="en-AU"/>
        </w:rPr>
        <w:t>Information for practitioners who provide virtual care</w:t>
      </w:r>
    </w:p>
    <w:p w14:paraId="2E5FDFA1" w14:textId="3C0EFEEA" w:rsidR="00044435" w:rsidRDefault="006125E7" w:rsidP="00044435">
      <w:pPr>
        <w:pStyle w:val="ListParagraph"/>
        <w:numPr>
          <w:ilvl w:val="0"/>
          <w:numId w:val="47"/>
        </w:numPr>
        <w:tabs>
          <w:tab w:val="left" w:pos="2695"/>
        </w:tabs>
        <w:rPr>
          <w:rFonts w:ascii="Garamond" w:hAnsi="Garamond"/>
          <w:bCs/>
          <w:lang w:val="en-AU"/>
        </w:rPr>
      </w:pPr>
      <w:r w:rsidRPr="006125E7">
        <w:rPr>
          <w:rFonts w:ascii="Garamond" w:hAnsi="Garamond"/>
          <w:bCs/>
          <w:lang w:val="en-AU"/>
        </w:rPr>
        <w:t>Information for people about virtual care</w:t>
      </w:r>
    </w:p>
    <w:p w14:paraId="527793B2" w14:textId="67BDD836" w:rsidR="006125E7" w:rsidRPr="00044435" w:rsidRDefault="006125E7" w:rsidP="00044435">
      <w:pPr>
        <w:pStyle w:val="ListParagraph"/>
        <w:numPr>
          <w:ilvl w:val="0"/>
          <w:numId w:val="47"/>
        </w:numPr>
        <w:tabs>
          <w:tab w:val="left" w:pos="2695"/>
        </w:tabs>
        <w:rPr>
          <w:rFonts w:ascii="Garamond" w:hAnsi="Garamond"/>
          <w:bCs/>
          <w:lang w:val="en-AU"/>
        </w:rPr>
      </w:pPr>
      <w:r w:rsidRPr="006125E7">
        <w:rPr>
          <w:rFonts w:ascii="Garamond" w:hAnsi="Garamond"/>
          <w:bCs/>
          <w:lang w:val="en-AU"/>
        </w:rPr>
        <w:t>Information for practice managers and employers about virtual care</w:t>
      </w:r>
      <w:r>
        <w:rPr>
          <w:rFonts w:ascii="Garamond" w:hAnsi="Garamond"/>
          <w:bCs/>
          <w:lang w:val="en-AU"/>
        </w:rPr>
        <w:t>.</w:t>
      </w:r>
    </w:p>
    <w:p w14:paraId="03BEB062" w14:textId="77777777" w:rsidR="00044435" w:rsidRDefault="00044435" w:rsidP="00A623B7">
      <w:pPr>
        <w:tabs>
          <w:tab w:val="left" w:pos="2695"/>
        </w:tabs>
        <w:rPr>
          <w:rFonts w:ascii="Garamond" w:hAnsi="Garamond"/>
          <w:b/>
          <w:lang w:val="en-AU"/>
        </w:rPr>
      </w:pPr>
    </w:p>
    <w:p w14:paraId="643F6B97" w14:textId="77777777" w:rsidR="0023298E" w:rsidRPr="003A06BD" w:rsidRDefault="0023298E" w:rsidP="0023298E">
      <w:pPr>
        <w:rPr>
          <w:rFonts w:ascii="Garamond" w:hAnsi="Garamond"/>
          <w:b/>
          <w:i/>
          <w:iCs/>
          <w:lang w:val="en-AU"/>
        </w:rPr>
      </w:pPr>
      <w:r w:rsidRPr="003A06BD">
        <w:rPr>
          <w:rFonts w:ascii="Garamond" w:hAnsi="Garamond"/>
          <w:b/>
          <w:i/>
          <w:iCs/>
          <w:lang w:val="en-AU"/>
        </w:rPr>
        <w:t>Health Innovation Series - e-Medication Safety</w:t>
      </w:r>
    </w:p>
    <w:p w14:paraId="700F6A67" w14:textId="77777777" w:rsidR="0023298E" w:rsidRPr="003A06BD" w:rsidRDefault="00000000" w:rsidP="0023298E">
      <w:pPr>
        <w:rPr>
          <w:rFonts w:ascii="Garamond" w:hAnsi="Garamond"/>
          <w:bCs/>
          <w:lang w:val="en-AU"/>
        </w:rPr>
      </w:pPr>
      <w:hyperlink r:id="rId24" w:history="1">
        <w:r w:rsidR="0023298E" w:rsidRPr="003A06BD">
          <w:rPr>
            <w:rStyle w:val="Hyperlink"/>
            <w:rFonts w:ascii="Garamond" w:hAnsi="Garamond"/>
            <w:bCs/>
            <w:lang w:val="en-AU"/>
          </w:rPr>
          <w:t>https://www.mq.edu.au/research/research-centres-groups-and-facilities/healthy-people/centres/australian-institute-of-health-innovation/our-projects/Health-Innovation-Series/health-innovation-series-e-medication-safety</w:t>
        </w:r>
      </w:hyperlink>
    </w:p>
    <w:p w14:paraId="1A71D680" w14:textId="77777777" w:rsidR="0023298E" w:rsidRDefault="0023298E" w:rsidP="0023298E">
      <w:pPr>
        <w:rPr>
          <w:rFonts w:ascii="Garamond" w:hAnsi="Garamond"/>
          <w:bCs/>
          <w:lang w:val="en-AU"/>
        </w:rPr>
      </w:pPr>
      <w:r>
        <w:rPr>
          <w:rFonts w:ascii="Garamond" w:hAnsi="Garamond"/>
          <w:bCs/>
          <w:lang w:val="en-AU"/>
        </w:rPr>
        <w:t xml:space="preserve">The Health Innovation Series from the </w:t>
      </w:r>
      <w:r w:rsidRPr="003A06BD">
        <w:rPr>
          <w:rFonts w:ascii="Garamond" w:hAnsi="Garamond"/>
          <w:bCs/>
          <w:lang w:val="en-AU"/>
        </w:rPr>
        <w:t xml:space="preserve">Australian Institute of Health Innovation </w:t>
      </w:r>
      <w:r>
        <w:rPr>
          <w:rFonts w:ascii="Garamond" w:hAnsi="Garamond"/>
          <w:bCs/>
          <w:lang w:val="en-AU"/>
        </w:rPr>
        <w:t xml:space="preserve">at Macquarie University has had </w:t>
      </w:r>
      <w:proofErr w:type="gramStart"/>
      <w:r>
        <w:rPr>
          <w:rFonts w:ascii="Garamond" w:hAnsi="Garamond"/>
          <w:bCs/>
          <w:lang w:val="en-AU"/>
        </w:rPr>
        <w:t>a number of</w:t>
      </w:r>
      <w:proofErr w:type="gramEnd"/>
      <w:r>
        <w:rPr>
          <w:rFonts w:ascii="Garamond" w:hAnsi="Garamond"/>
          <w:bCs/>
          <w:lang w:val="en-AU"/>
        </w:rPr>
        <w:t xml:space="preserve"> recent issues, including:</w:t>
      </w:r>
    </w:p>
    <w:p w14:paraId="01E38CB4" w14:textId="77777777" w:rsidR="0023298E" w:rsidRPr="0023298E" w:rsidRDefault="0023298E" w:rsidP="0023298E">
      <w:pPr>
        <w:pStyle w:val="ListParagraph"/>
        <w:numPr>
          <w:ilvl w:val="0"/>
          <w:numId w:val="29"/>
        </w:numPr>
        <w:rPr>
          <w:rFonts w:ascii="Garamond" w:hAnsi="Garamond"/>
          <w:bCs/>
          <w:lang w:val="en-AU"/>
        </w:rPr>
      </w:pPr>
      <w:r w:rsidRPr="0023298E">
        <w:rPr>
          <w:rFonts w:ascii="Garamond" w:hAnsi="Garamond"/>
          <w:bCs/>
          <w:lang w:val="en-AU"/>
        </w:rPr>
        <w:t>The devil is in the detail – safe paracetamol dosing for under- and overweight children and adults</w:t>
      </w:r>
    </w:p>
    <w:p w14:paraId="0C014B32" w14:textId="655B6B3E" w:rsidR="0023298E" w:rsidRDefault="0023298E" w:rsidP="0023298E">
      <w:pPr>
        <w:pStyle w:val="ListParagraph"/>
        <w:numPr>
          <w:ilvl w:val="0"/>
          <w:numId w:val="29"/>
        </w:numPr>
        <w:rPr>
          <w:rFonts w:ascii="Garamond" w:hAnsi="Garamond"/>
          <w:bCs/>
          <w:lang w:val="en-AU"/>
        </w:rPr>
      </w:pPr>
      <w:r w:rsidRPr="0023298E">
        <w:rPr>
          <w:rFonts w:ascii="Garamond" w:hAnsi="Garamond"/>
          <w:bCs/>
          <w:lang w:val="en-AU"/>
        </w:rPr>
        <w:t>So many options in the Dose Calculator, which dose is right?</w:t>
      </w:r>
    </w:p>
    <w:p w14:paraId="1C3EA154" w14:textId="78EBE01A" w:rsidR="0023298E" w:rsidRPr="00D97623" w:rsidRDefault="0023298E" w:rsidP="0023298E">
      <w:pPr>
        <w:pStyle w:val="ListParagraph"/>
        <w:numPr>
          <w:ilvl w:val="0"/>
          <w:numId w:val="29"/>
        </w:numPr>
        <w:rPr>
          <w:rFonts w:ascii="Garamond" w:hAnsi="Garamond"/>
          <w:bCs/>
          <w:lang w:val="en-AU"/>
        </w:rPr>
      </w:pPr>
      <w:r w:rsidRPr="00D97623">
        <w:rPr>
          <w:rFonts w:ascii="Garamond" w:hAnsi="Garamond"/>
          <w:bCs/>
          <w:lang w:val="en-AU"/>
        </w:rPr>
        <w:t>The curious case of the 100-fold overdose</w:t>
      </w:r>
    </w:p>
    <w:p w14:paraId="29BFC92A" w14:textId="77777777" w:rsidR="0023298E" w:rsidRPr="00D97623" w:rsidRDefault="0023298E" w:rsidP="0023298E">
      <w:pPr>
        <w:pStyle w:val="ListParagraph"/>
        <w:numPr>
          <w:ilvl w:val="0"/>
          <w:numId w:val="29"/>
        </w:numPr>
        <w:rPr>
          <w:rFonts w:ascii="Garamond" w:hAnsi="Garamond"/>
          <w:bCs/>
          <w:lang w:val="en-AU"/>
        </w:rPr>
      </w:pPr>
      <w:r w:rsidRPr="00D97623">
        <w:rPr>
          <w:rFonts w:ascii="Garamond" w:hAnsi="Garamond"/>
          <w:bCs/>
          <w:lang w:val="en-AU"/>
        </w:rPr>
        <w:t>The dangers of copying a previous order. Don’t be a copycat</w:t>
      </w:r>
    </w:p>
    <w:p w14:paraId="3D952C32" w14:textId="77777777" w:rsidR="0023298E" w:rsidRPr="00D97623" w:rsidRDefault="0023298E" w:rsidP="0023298E">
      <w:pPr>
        <w:pStyle w:val="ListParagraph"/>
        <w:numPr>
          <w:ilvl w:val="0"/>
          <w:numId w:val="29"/>
        </w:numPr>
        <w:rPr>
          <w:rFonts w:ascii="Garamond" w:hAnsi="Garamond"/>
          <w:bCs/>
          <w:lang w:val="en-AU"/>
        </w:rPr>
      </w:pPr>
      <w:r w:rsidRPr="00D97623">
        <w:rPr>
          <w:rFonts w:ascii="Garamond" w:hAnsi="Garamond"/>
          <w:bCs/>
          <w:lang w:val="en-AU"/>
        </w:rPr>
        <w:t>Does your drop-down menu present safe options?</w:t>
      </w:r>
    </w:p>
    <w:p w14:paraId="1ECD4F23" w14:textId="77777777" w:rsidR="0023298E" w:rsidRPr="00D97623" w:rsidRDefault="0023298E" w:rsidP="0023298E">
      <w:pPr>
        <w:pStyle w:val="ListParagraph"/>
        <w:numPr>
          <w:ilvl w:val="0"/>
          <w:numId w:val="29"/>
        </w:numPr>
        <w:rPr>
          <w:rFonts w:ascii="Garamond" w:hAnsi="Garamond"/>
          <w:bCs/>
          <w:lang w:val="en-AU"/>
        </w:rPr>
      </w:pPr>
      <w:r w:rsidRPr="00D97623">
        <w:rPr>
          <w:rFonts w:ascii="Garamond" w:hAnsi="Garamond"/>
          <w:bCs/>
          <w:lang w:val="en-AU"/>
        </w:rPr>
        <w:t>What time is the next dose due? Avoid errors by updating the schedule!</w:t>
      </w:r>
    </w:p>
    <w:p w14:paraId="4561A471" w14:textId="77777777" w:rsidR="0023298E" w:rsidRDefault="0023298E" w:rsidP="0023298E">
      <w:pPr>
        <w:pStyle w:val="ListParagraph"/>
        <w:numPr>
          <w:ilvl w:val="0"/>
          <w:numId w:val="29"/>
        </w:numPr>
        <w:rPr>
          <w:rFonts w:ascii="Garamond" w:hAnsi="Garamond"/>
          <w:bCs/>
          <w:lang w:val="en-AU"/>
        </w:rPr>
      </w:pPr>
      <w:r w:rsidRPr="00D97623">
        <w:rPr>
          <w:rFonts w:ascii="Garamond" w:hAnsi="Garamond"/>
          <w:bCs/>
          <w:lang w:val="en-AU"/>
        </w:rPr>
        <w:t>Is your administration documentation accurate? Check fields that auto-populate!</w:t>
      </w:r>
    </w:p>
    <w:p w14:paraId="295CB2AD" w14:textId="77777777" w:rsidR="0023298E" w:rsidRDefault="0023298E" w:rsidP="00A623B7">
      <w:pPr>
        <w:tabs>
          <w:tab w:val="left" w:pos="2695"/>
        </w:tabs>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0E98BD4A" w:rsidR="00C1168D" w:rsidRDefault="00000000" w:rsidP="00C1168D">
      <w:pPr>
        <w:keepLines/>
        <w:rPr>
          <w:rFonts w:ascii="Garamond" w:hAnsi="Garamond"/>
          <w:lang w:val="en-AU"/>
        </w:rPr>
      </w:pPr>
      <w:hyperlink r:id="rId25" w:history="1">
        <w:r w:rsidR="00726E20" w:rsidRPr="00FC50EE">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78917479" w14:textId="77777777" w:rsidR="00056D5B" w:rsidRPr="003C2554" w:rsidRDefault="00056D5B" w:rsidP="002C14CC">
      <w:pPr>
        <w:rPr>
          <w:rFonts w:ascii="Garamond" w:hAnsi="Garamond"/>
          <w:iCs/>
          <w:lang w:val="en-AU"/>
        </w:rPr>
      </w:pPr>
    </w:p>
    <w:p w14:paraId="0597A806" w14:textId="77777777" w:rsidR="004E2643" w:rsidRDefault="004E2643">
      <w:pPr>
        <w:rPr>
          <w:rFonts w:ascii="Garamond" w:hAnsi="Garamond"/>
          <w:b/>
          <w:lang w:val="en-AU"/>
        </w:rPr>
      </w:pPr>
      <w:r>
        <w:rPr>
          <w:rFonts w:ascii="Garamond" w:hAnsi="Garamond"/>
          <w:b/>
          <w:lang w:val="en-AU"/>
        </w:rPr>
        <w:br w:type="page"/>
      </w:r>
    </w:p>
    <w:p w14:paraId="12E7A6B9" w14:textId="1DE216F6"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29" w:history="1">
        <w:r w:rsidR="009B6ED5" w:rsidRPr="00E3314D">
          <w:rPr>
            <w:rStyle w:val="Hyperlink"/>
            <w:rFonts w:ascii="Garamond" w:hAnsi="Garamond"/>
            <w:lang w:val="en-AU"/>
          </w:rPr>
          <w:t>https://www.safetyandquality.gov.au/publications-and-resources/resource-library/infection-prevention-and-control-poster-combined-airborne-and-contact-precautions</w:t>
        </w:r>
      </w:hyperlink>
      <w:r w:rsidR="009B6ED5">
        <w:rPr>
          <w:rFonts w:ascii="Garamond" w:hAnsi="Garamond"/>
          <w:lang w:val="en-AU"/>
        </w:rPr>
        <w:br/>
      </w:r>
      <w:r w:rsidR="00A61E9C">
        <w:rPr>
          <w:rFonts w:ascii="Garamond" w:hAnsi="Garamond"/>
          <w:lang w:val="en-AU"/>
        </w:rPr>
        <w:t xml:space="preserve"> </w:t>
      </w:r>
      <w:r>
        <w:rPr>
          <w:rFonts w:ascii="Garamond" w:hAnsi="Garamond"/>
          <w:lang w:val="en-AU"/>
        </w:rPr>
        <w:br/>
      </w:r>
      <w:r w:rsidR="0006163D">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0">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1C1E04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FD30" w14:textId="77777777" w:rsidR="00AF53ED" w:rsidRDefault="00AF53ED">
      <w:r>
        <w:separator/>
      </w:r>
    </w:p>
  </w:endnote>
  <w:endnote w:type="continuationSeparator" w:id="0">
    <w:p w14:paraId="5BCD61F1" w14:textId="77777777" w:rsidR="00AF53ED" w:rsidRDefault="00AF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DD7978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EB07A2">
      <w:rPr>
        <w:rFonts w:ascii="Garamond" w:hAnsi="Garamond"/>
      </w:rPr>
      <w:t>6</w:t>
    </w:r>
    <w:r w:rsidR="008B1CB9">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35CECDE"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EB07A2">
      <w:rPr>
        <w:rFonts w:ascii="Garamond" w:hAnsi="Garamond"/>
      </w:rPr>
      <w:t>6</w:t>
    </w:r>
    <w:r w:rsidR="008B1CB9">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2DB1" w14:textId="77777777" w:rsidR="00AF53ED" w:rsidRDefault="00AF53ED">
      <w:r>
        <w:separator/>
      </w:r>
    </w:p>
  </w:footnote>
  <w:footnote w:type="continuationSeparator" w:id="0">
    <w:p w14:paraId="3AF986D7" w14:textId="77777777" w:rsidR="00AF53ED" w:rsidRDefault="00AF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E5072"/>
    <w:multiLevelType w:val="hybridMultilevel"/>
    <w:tmpl w:val="EF0C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E93D12"/>
    <w:multiLevelType w:val="hybridMultilevel"/>
    <w:tmpl w:val="39D29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0F3F0B"/>
    <w:multiLevelType w:val="hybridMultilevel"/>
    <w:tmpl w:val="378452AE"/>
    <w:lvl w:ilvl="0" w:tplc="466C0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7D64D5"/>
    <w:multiLevelType w:val="hybridMultilevel"/>
    <w:tmpl w:val="0A28E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B5415E"/>
    <w:multiLevelType w:val="hybridMultilevel"/>
    <w:tmpl w:val="C4E8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931E6C"/>
    <w:multiLevelType w:val="hybridMultilevel"/>
    <w:tmpl w:val="43E63E3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D244D8D"/>
    <w:multiLevelType w:val="hybridMultilevel"/>
    <w:tmpl w:val="D14C1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4F4DDD"/>
    <w:multiLevelType w:val="hybridMultilevel"/>
    <w:tmpl w:val="9F225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FB830FE"/>
    <w:multiLevelType w:val="hybridMultilevel"/>
    <w:tmpl w:val="768669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0E36B1"/>
    <w:multiLevelType w:val="hybridMultilevel"/>
    <w:tmpl w:val="A2FE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F25A9D"/>
    <w:multiLevelType w:val="hybridMultilevel"/>
    <w:tmpl w:val="071E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A6515E"/>
    <w:multiLevelType w:val="hybridMultilevel"/>
    <w:tmpl w:val="A98A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B93303"/>
    <w:multiLevelType w:val="hybridMultilevel"/>
    <w:tmpl w:val="5AD41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D6448"/>
    <w:multiLevelType w:val="hybridMultilevel"/>
    <w:tmpl w:val="F400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E2416D"/>
    <w:multiLevelType w:val="hybridMultilevel"/>
    <w:tmpl w:val="7B9A4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9F096B"/>
    <w:multiLevelType w:val="hybridMultilevel"/>
    <w:tmpl w:val="E1DE8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427363"/>
    <w:multiLevelType w:val="hybridMultilevel"/>
    <w:tmpl w:val="F8D8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002D3E"/>
    <w:multiLevelType w:val="hybridMultilevel"/>
    <w:tmpl w:val="DE88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644682"/>
    <w:multiLevelType w:val="hybridMultilevel"/>
    <w:tmpl w:val="5342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4C071D"/>
    <w:multiLevelType w:val="hybridMultilevel"/>
    <w:tmpl w:val="1894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382373"/>
    <w:multiLevelType w:val="hybridMultilevel"/>
    <w:tmpl w:val="45AE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3E69DF"/>
    <w:multiLevelType w:val="hybridMultilevel"/>
    <w:tmpl w:val="A4AE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7D16F8"/>
    <w:multiLevelType w:val="hybridMultilevel"/>
    <w:tmpl w:val="CB0E5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A80A91"/>
    <w:multiLevelType w:val="hybridMultilevel"/>
    <w:tmpl w:val="051C7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6477055"/>
    <w:multiLevelType w:val="hybridMultilevel"/>
    <w:tmpl w:val="5888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27305A"/>
    <w:multiLevelType w:val="hybridMultilevel"/>
    <w:tmpl w:val="5D0A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1D24F9"/>
    <w:multiLevelType w:val="hybridMultilevel"/>
    <w:tmpl w:val="ACD0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873484"/>
    <w:multiLevelType w:val="hybridMultilevel"/>
    <w:tmpl w:val="E84EA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6"/>
  </w:num>
  <w:num w:numId="2" w16cid:durableId="1683386478">
    <w:abstractNumId w:val="45"/>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4"/>
  </w:num>
  <w:num w:numId="14" w16cid:durableId="28579523">
    <w:abstractNumId w:val="27"/>
  </w:num>
  <w:num w:numId="15" w16cid:durableId="1756245841">
    <w:abstractNumId w:val="33"/>
  </w:num>
  <w:num w:numId="16" w16cid:durableId="1878159678">
    <w:abstractNumId w:val="20"/>
  </w:num>
  <w:num w:numId="17" w16cid:durableId="1406414453">
    <w:abstractNumId w:val="25"/>
  </w:num>
  <w:num w:numId="18" w16cid:durableId="1376396157">
    <w:abstractNumId w:val="21"/>
  </w:num>
  <w:num w:numId="19" w16cid:durableId="2017807593">
    <w:abstractNumId w:val="29"/>
  </w:num>
  <w:num w:numId="20" w16cid:durableId="2054887055">
    <w:abstractNumId w:val="24"/>
  </w:num>
  <w:num w:numId="21" w16cid:durableId="873663123">
    <w:abstractNumId w:val="37"/>
  </w:num>
  <w:num w:numId="22" w16cid:durableId="796066934">
    <w:abstractNumId w:val="31"/>
  </w:num>
  <w:num w:numId="23" w16cid:durableId="1351640752">
    <w:abstractNumId w:val="47"/>
  </w:num>
  <w:num w:numId="24" w16cid:durableId="711804400">
    <w:abstractNumId w:val="28"/>
  </w:num>
  <w:num w:numId="25" w16cid:durableId="168450005">
    <w:abstractNumId w:val="36"/>
  </w:num>
  <w:num w:numId="26" w16cid:durableId="531386871">
    <w:abstractNumId w:val="22"/>
  </w:num>
  <w:num w:numId="27" w16cid:durableId="1228149564">
    <w:abstractNumId w:val="35"/>
  </w:num>
  <w:num w:numId="28" w16cid:durableId="600265524">
    <w:abstractNumId w:val="23"/>
  </w:num>
  <w:num w:numId="29" w16cid:durableId="283344196">
    <w:abstractNumId w:val="19"/>
  </w:num>
  <w:num w:numId="30" w16cid:durableId="623582168">
    <w:abstractNumId w:val="44"/>
  </w:num>
  <w:num w:numId="31" w16cid:durableId="1117139246">
    <w:abstractNumId w:val="38"/>
  </w:num>
  <w:num w:numId="32" w16cid:durableId="1336810457">
    <w:abstractNumId w:val="14"/>
  </w:num>
  <w:num w:numId="33" w16cid:durableId="1985968099">
    <w:abstractNumId w:val="18"/>
  </w:num>
  <w:num w:numId="34" w16cid:durableId="37824898">
    <w:abstractNumId w:val="46"/>
  </w:num>
  <w:num w:numId="35" w16cid:durableId="1857961157">
    <w:abstractNumId w:val="15"/>
  </w:num>
  <w:num w:numId="36" w16cid:durableId="1141389996">
    <w:abstractNumId w:val="12"/>
  </w:num>
  <w:num w:numId="37" w16cid:durableId="334917094">
    <w:abstractNumId w:val="40"/>
  </w:num>
  <w:num w:numId="38" w16cid:durableId="960915471">
    <w:abstractNumId w:val="17"/>
  </w:num>
  <w:num w:numId="39" w16cid:durableId="684207198">
    <w:abstractNumId w:val="39"/>
  </w:num>
  <w:num w:numId="40" w16cid:durableId="652804522">
    <w:abstractNumId w:val="10"/>
  </w:num>
  <w:num w:numId="41" w16cid:durableId="622998206">
    <w:abstractNumId w:val="42"/>
  </w:num>
  <w:num w:numId="42" w16cid:durableId="575438783">
    <w:abstractNumId w:val="16"/>
  </w:num>
  <w:num w:numId="43" w16cid:durableId="923031611">
    <w:abstractNumId w:val="13"/>
  </w:num>
  <w:num w:numId="44" w16cid:durableId="668757325">
    <w:abstractNumId w:val="41"/>
  </w:num>
  <w:num w:numId="45" w16cid:durableId="177279036">
    <w:abstractNumId w:val="43"/>
  </w:num>
  <w:num w:numId="46" w16cid:durableId="1184901766">
    <w:abstractNumId w:val="11"/>
  </w:num>
  <w:num w:numId="47" w16cid:durableId="1421371464">
    <w:abstractNumId w:val="32"/>
  </w:num>
  <w:num w:numId="48" w16cid:durableId="1952589942">
    <w:abstractNumId w:val="48"/>
  </w:num>
  <w:num w:numId="49" w16cid:durableId="35370007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F3"/>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3BF"/>
    <w:rsid w:val="00476456"/>
    <w:rsid w:val="0047663A"/>
    <w:rsid w:val="00476D0D"/>
    <w:rsid w:val="00476E8B"/>
    <w:rsid w:val="00476FF4"/>
    <w:rsid w:val="00477233"/>
    <w:rsid w:val="00477688"/>
    <w:rsid w:val="00477900"/>
    <w:rsid w:val="00477953"/>
    <w:rsid w:val="00477B6D"/>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8E9"/>
    <w:rsid w:val="006E193D"/>
    <w:rsid w:val="006E1A51"/>
    <w:rsid w:val="006E1AAD"/>
    <w:rsid w:val="006E1B3B"/>
    <w:rsid w:val="006E1B66"/>
    <w:rsid w:val="006E1BB1"/>
    <w:rsid w:val="006E1C9D"/>
    <w:rsid w:val="006E1FEE"/>
    <w:rsid w:val="006E209F"/>
    <w:rsid w:val="006E213A"/>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F70"/>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518"/>
    <w:rsid w:val="0089166D"/>
    <w:rsid w:val="00891A4E"/>
    <w:rsid w:val="00891BB8"/>
    <w:rsid w:val="00891CEF"/>
    <w:rsid w:val="00891CFE"/>
    <w:rsid w:val="00891DE9"/>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3ED"/>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6078"/>
    <w:rsid w:val="00D9623F"/>
    <w:rsid w:val="00D962DC"/>
    <w:rsid w:val="00D96859"/>
    <w:rsid w:val="00D96E13"/>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7E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E13"/>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439841750">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95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 w:id="1142382241">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3390/healthcare12131314" TargetMode="External"/><Relationship Id="rId26" Type="http://schemas.openxmlformats.org/officeDocument/2006/relationships/hyperlink" Target="https://www.safetyandquality.gov.au/covid-1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ournals.lww.com/jbisrir/toc/2024/09000" TargetMode="External"/><Relationship Id="rId3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j.sapharm.2024.03.006" TargetMode="External"/><Relationship Id="rId25" Type="http://schemas.openxmlformats.org/officeDocument/2006/relationships/hyperlink" Target="https://livingevidence.org.au/" TargetMode="External"/><Relationship Id="rId33" Type="http://schemas.openxmlformats.org/officeDocument/2006/relationships/hyperlink" Target="https://www.safetyandquality.gov.au/our-work/cognitive-impairment/cognitive-impairment-and-covid-19"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s://www.sciencedirect.com/journal/health-policy/vol/148/" TargetMode="External"/><Relationship Id="rId29" Type="http://schemas.openxmlformats.org/officeDocument/2006/relationships/hyperlink" Target="https://www.safetyandquality.gov.au/publications-and-resources/resource-library/infection-prevention-and-control-poster-combined-airborne-and-contact-precau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mq.edu.au/research/research-centres-groups-and-facilities/healthy-people/centres/australian-institute-of-health-innovation/our-projects/Health-Innovation-Series/health-innovation-series-e-medication-safety"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s://www.safetyandquality.gov.au/sites/default/files/2020-07/covid-19_and_face_masks_-_information_for_consumers.pdf"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93/ajhp/zxae185" TargetMode="External"/><Relationship Id="rId23" Type="http://schemas.openxmlformats.org/officeDocument/2006/relationships/hyperlink" Target="https://www.ahpra.gov.au/News/2024-08-01-Good-virtual-care-practices.aspx" TargetMode="External"/><Relationship Id="rId28" Type="http://schemas.openxmlformats.org/officeDocument/2006/relationships/image" Target="media/image2.PNG"/><Relationship Id="rId36" Type="http://schemas.openxmlformats.org/officeDocument/2006/relationships/hyperlink" Target="https://www.safetyandquality.gov.au/publications-and-resources/resource-library/covid-19-and-face-masks-information-consumers"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healthcare-associated-infection-program" TargetMode="External"/><Relationship Id="rId31" Type="http://schemas.openxmlformats.org/officeDocument/2006/relationships/hyperlink" Target="http://www.safetyandquality.gov.au/environmental-cleaning"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lowitja.org.au/news/discussion-paper-cultural-safety-in-australia/" TargetMode="External"/><Relationship Id="rId22" Type="http://schemas.openxmlformats.org/officeDocument/2006/relationships/hyperlink" Target="https://academic.oup.com/intqhc/advance-articles" TargetMode="External"/><Relationship Id="rId27" Type="http://schemas.openxmlformats.org/officeDocument/2006/relationships/hyperlink" Target="https://www.safetyandquality.gov.au/publications-and-resources/resource-library/infection-prevention-and-control-poster-combined-contact-and-droplet-precautions" TargetMode="External"/><Relationship Id="rId30" Type="http://schemas.openxmlformats.org/officeDocument/2006/relationships/image" Target="media/image3.PNG"/><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2393</Words>
  <Characters>13521</Characters>
  <Application>Microsoft Office Word</Application>
  <DocSecurity>0</DocSecurity>
  <Lines>845</Lines>
  <Paragraphs>636</Paragraphs>
  <ScaleCrop>false</ScaleCrop>
  <HeadingPairs>
    <vt:vector size="2" baseType="variant">
      <vt:variant>
        <vt:lpstr>Title</vt:lpstr>
      </vt:variant>
      <vt:variant>
        <vt:i4>1</vt:i4>
      </vt:variant>
    </vt:vector>
  </HeadingPairs>
  <TitlesOfParts>
    <vt:vector size="1" baseType="lpstr">
      <vt:lpstr>Draft On the Radar Issue 666</vt:lpstr>
    </vt:vector>
  </TitlesOfParts>
  <Company>ACSQHC</Company>
  <LinksUpToDate>false</LinksUpToDate>
  <CharactersWithSpaces>15278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666</dc:title>
  <dc:subject/>
  <dc:creator>Dr Niall Johnson</dc:creator>
  <cp:keywords>On the Radar</cp:keywords>
  <dc:description/>
  <cp:lastModifiedBy>JOHNSON, Niall</cp:lastModifiedBy>
  <cp:revision>13</cp:revision>
  <cp:lastPrinted>2018-03-02T02:34:00Z</cp:lastPrinted>
  <dcterms:created xsi:type="dcterms:W3CDTF">2024-09-08T22:18:00Z</dcterms:created>
  <dcterms:modified xsi:type="dcterms:W3CDTF">2024-09-12T23:00:00Z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