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B89D3" w14:textId="01270169" w:rsidR="008029B4" w:rsidRPr="00D355C8" w:rsidRDefault="00AB10F7" w:rsidP="00D355C8">
      <w:pPr>
        <w:pStyle w:val="Title"/>
      </w:pPr>
      <w:r w:rsidRPr="00D355C8">
        <w:drawing>
          <wp:anchor distT="0" distB="0" distL="114300" distR="114300" simplePos="0" relativeHeight="251658240" behindDoc="1" locked="0" layoutInCell="1" allowOverlap="1" wp14:anchorId="5FE045CF" wp14:editId="37CAFBB4">
            <wp:simplePos x="0" y="0"/>
            <wp:positionH relativeFrom="column">
              <wp:posOffset>-3117</wp:posOffset>
            </wp:positionH>
            <wp:positionV relativeFrom="page">
              <wp:posOffset>1499870</wp:posOffset>
            </wp:positionV>
            <wp:extent cx="6108700" cy="8200390"/>
            <wp:effectExtent l="0" t="0" r="0" b="381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6108700" cy="8200390"/>
                    </a:xfrm>
                    <a:prstGeom prst="rect">
                      <a:avLst/>
                    </a:prstGeom>
                  </pic:spPr>
                </pic:pic>
              </a:graphicData>
            </a:graphic>
            <wp14:sizeRelH relativeFrom="page">
              <wp14:pctWidth>0</wp14:pctWidth>
            </wp14:sizeRelH>
            <wp14:sizeRelV relativeFrom="page">
              <wp14:pctHeight>0</wp14:pctHeight>
            </wp14:sizeRelV>
          </wp:anchor>
        </w:drawing>
      </w:r>
      <w:bookmarkStart w:id="0" w:name="_Toc476822633"/>
      <w:bookmarkStart w:id="1" w:name="_Toc476822654"/>
      <w:bookmarkStart w:id="2" w:name="_Toc476822854"/>
      <w:bookmarkStart w:id="3" w:name="_Toc476823158"/>
      <w:bookmarkStart w:id="4" w:name="_Toc476823667"/>
      <w:r w:rsidR="00D355C8" w:rsidRPr="00D355C8">
        <w:t>Patient-Reported Outcome Measure</w:t>
      </w:r>
    </w:p>
    <w:p w14:paraId="18A7A394" w14:textId="763E939B" w:rsidR="00D355C8" w:rsidRPr="00D355C8" w:rsidRDefault="00D355C8" w:rsidP="00D355C8">
      <w:pPr>
        <w:pStyle w:val="Subtitle"/>
      </w:pPr>
      <w:r w:rsidRPr="00D355C8">
        <w:t>Recommendations for Low Back Pain</w:t>
      </w:r>
    </w:p>
    <w:p w14:paraId="13C5F68D" w14:textId="3EFBEBE5" w:rsidR="00AB10F7" w:rsidRPr="00D355C8" w:rsidRDefault="007469B8" w:rsidP="00D355C8">
      <w:pPr>
        <w:pStyle w:val="PublicationDate"/>
      </w:pPr>
      <w:r>
        <w:t>September</w:t>
      </w:r>
      <w:r w:rsidR="00AB10F7" w:rsidRPr="00AB10F7">
        <w:t xml:space="preserve"> 202</w:t>
      </w:r>
      <w:r w:rsidR="00D355C8">
        <w:t>4</w:t>
      </w:r>
    </w:p>
    <w:p w14:paraId="49660528" w14:textId="4A6D073D" w:rsidR="00AB10F7" w:rsidRPr="00AB10F7" w:rsidRDefault="00AB10F7" w:rsidP="00AB10F7">
      <w:pPr>
        <w:rPr>
          <w:lang w:val="en-GB"/>
        </w:rPr>
        <w:sectPr w:rsidR="00AB10F7" w:rsidRPr="00AB10F7" w:rsidSect="00320972">
          <w:footerReference w:type="default" r:id="rId9"/>
          <w:headerReference w:type="first" r:id="rId10"/>
          <w:footerReference w:type="first" r:id="rId11"/>
          <w:pgSz w:w="11906" w:h="16838"/>
          <w:pgMar w:top="2126" w:right="1134" w:bottom="1418" w:left="1134" w:header="709" w:footer="709" w:gutter="0"/>
          <w:pgNumType w:start="1"/>
          <w:cols w:space="708"/>
          <w:titlePg/>
          <w:docGrid w:linePitch="360"/>
        </w:sectPr>
      </w:pPr>
    </w:p>
    <w:p w14:paraId="7199D1C6" w14:textId="5A6FB9F3" w:rsidR="009164C7" w:rsidRPr="0015583D" w:rsidRDefault="0015583D" w:rsidP="009164C7">
      <w:pPr>
        <w:rPr>
          <w:rStyle w:val="Strong"/>
          <w:lang w:val="en-US"/>
        </w:rPr>
      </w:pPr>
      <w:r w:rsidRPr="0015583D">
        <w:rPr>
          <w:b/>
          <w:bCs/>
          <w:lang w:val="en-US"/>
        </w:rPr>
        <w:lastRenderedPageBreak/>
        <w:t>The Australian Commission on Safety and Quality in Health Care acknowledges the traditional owners of Country throughout Australia, and their continuing connection to land, sea and community. We pay our respects to them and their cultures, and to elders both past and present.</w:t>
      </w:r>
    </w:p>
    <w:p w14:paraId="070A7F37" w14:textId="77777777" w:rsidR="009164C7" w:rsidRDefault="009164C7" w:rsidP="00B34497"/>
    <w:p w14:paraId="23885A56" w14:textId="133583B5" w:rsidR="00B34497" w:rsidRDefault="00B34497" w:rsidP="00B34497">
      <w:r>
        <w:t>Published by the Australian Commission on Safety and Quality in Health Care</w:t>
      </w:r>
    </w:p>
    <w:p w14:paraId="40FE5322" w14:textId="77777777" w:rsidR="00B34497" w:rsidRDefault="00B34497" w:rsidP="00B34497">
      <w:pPr>
        <w:spacing w:after="0"/>
      </w:pPr>
      <w:r>
        <w:t>Level 5, 255 Elizabeth Street, Sydney NSW 2000</w:t>
      </w:r>
    </w:p>
    <w:p w14:paraId="77C81A89" w14:textId="77777777" w:rsidR="00B34497" w:rsidRDefault="00B34497" w:rsidP="00B34497">
      <w:pPr>
        <w:spacing w:after="0"/>
      </w:pPr>
      <w:r>
        <w:t>Phone: (02) 9126 3600</w:t>
      </w:r>
    </w:p>
    <w:p w14:paraId="52AEFC25" w14:textId="77777777" w:rsidR="00B34497" w:rsidRDefault="00B34497" w:rsidP="00B34497">
      <w:pPr>
        <w:spacing w:after="0"/>
      </w:pPr>
      <w:r>
        <w:t xml:space="preserve">Email: </w:t>
      </w:r>
      <w:hyperlink r:id="rId12" w:history="1">
        <w:r>
          <w:rPr>
            <w:rStyle w:val="Hyperlink"/>
          </w:rPr>
          <w:t>mail@safetyandquality.gov.au</w:t>
        </w:r>
      </w:hyperlink>
      <w:r>
        <w:t xml:space="preserve"> </w:t>
      </w:r>
    </w:p>
    <w:p w14:paraId="1E0BF361" w14:textId="77777777" w:rsidR="00B34497" w:rsidRDefault="00B34497" w:rsidP="00B34497">
      <w:r>
        <w:t xml:space="preserve">Website: </w:t>
      </w:r>
      <w:hyperlink r:id="rId13" w:history="1">
        <w:r>
          <w:rPr>
            <w:rStyle w:val="Hyperlink"/>
          </w:rPr>
          <w:t>www.safetyandquality.gov.au</w:t>
        </w:r>
      </w:hyperlink>
      <w:r>
        <w:t xml:space="preserve"> </w:t>
      </w:r>
    </w:p>
    <w:p w14:paraId="52A68BDD" w14:textId="5B0411B0" w:rsidR="00604462" w:rsidRPr="00D355C8" w:rsidRDefault="00604462" w:rsidP="00604462">
      <w:pPr>
        <w:rPr>
          <w:lang w:val="en-GB"/>
        </w:rPr>
      </w:pPr>
      <w:r w:rsidRPr="00604462">
        <w:rPr>
          <w:lang w:val="en-US"/>
        </w:rPr>
        <w:t xml:space="preserve">ISBN: </w:t>
      </w:r>
      <w:r w:rsidR="00D355C8" w:rsidRPr="00D355C8">
        <w:rPr>
          <w:lang w:val="en-GB"/>
        </w:rPr>
        <w:t>978-1-922880-86-4</w:t>
      </w:r>
    </w:p>
    <w:p w14:paraId="3AC2BB58" w14:textId="73423392" w:rsidR="00B34497" w:rsidRDefault="00B34497" w:rsidP="00B34497">
      <w:r>
        <w:t>© Australian Commission on Safety and Quality in Health Care 202</w:t>
      </w:r>
      <w:r w:rsidR="00D355C8">
        <w:t>4</w:t>
      </w:r>
    </w:p>
    <w:p w14:paraId="21012093" w14:textId="77777777" w:rsidR="00604462" w:rsidRDefault="00604462" w:rsidP="00604462">
      <w:r>
        <w:t xml:space="preserve">All material and work produced by the Australian Commission on Safety and Quality in Health Care is protected by copyright. The Commission reserves the right to set out the terms and conditions for the use of such material. </w:t>
      </w:r>
    </w:p>
    <w:p w14:paraId="434B5961" w14:textId="77777777" w:rsidR="00604462" w:rsidRDefault="00604462" w:rsidP="00604462">
      <w:r>
        <w:t>As far as practicable, material for which the copyright is owned by a third party will be clearly labelled. The Australian Commission on Safety and Quality in Health Care has made all reasonable efforts to ensure that this material has been reproduced in this publication with the full consent of the copyright owners.</w:t>
      </w:r>
    </w:p>
    <w:p w14:paraId="25BA860B" w14:textId="3ECD192D" w:rsidR="00B34497" w:rsidRDefault="00604462" w:rsidP="00B34497">
      <w:r>
        <w:t>With the exception of any material protected by a trademark, any content provided by third parties and where otherwise noted, all material presented in this publication is licensed under a </w:t>
      </w:r>
      <w:hyperlink r:id="rId14" w:history="1">
        <w:r>
          <w:rPr>
            <w:rStyle w:val="Hyperlink"/>
          </w:rPr>
          <w:t>Creative Commons Attribution–NonCommercial–NoDerivatives 4.0 International licence</w:t>
        </w:r>
      </w:hyperlink>
      <w:r>
        <w:t>.</w:t>
      </w:r>
    </w:p>
    <w:p w14:paraId="36748F58" w14:textId="77777777" w:rsidR="00B34497" w:rsidRDefault="00B34497" w:rsidP="00B34497">
      <w:r>
        <w:rPr>
          <w:noProof/>
        </w:rPr>
        <w:drawing>
          <wp:inline distT="0" distB="0" distL="0" distR="0" wp14:anchorId="30ABEF2C" wp14:editId="4F033A68">
            <wp:extent cx="758825" cy="262890"/>
            <wp:effectExtent l="0" t="0" r="0" b="0"/>
            <wp:docPr id="7" name="Picture 7" descr="Creative Commons Copyrigh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Creative Commons Copyright logo"/>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8825" cy="262890"/>
                    </a:xfrm>
                    <a:prstGeom prst="rect">
                      <a:avLst/>
                    </a:prstGeom>
                    <a:noFill/>
                    <a:ln>
                      <a:noFill/>
                    </a:ln>
                  </pic:spPr>
                </pic:pic>
              </a:graphicData>
            </a:graphic>
          </wp:inline>
        </w:drawing>
      </w:r>
    </w:p>
    <w:p w14:paraId="3AFDA5B6" w14:textId="77777777" w:rsidR="00604462" w:rsidRDefault="00604462" w:rsidP="00604462">
      <w:r>
        <w:t xml:space="preserve">Enquiries about the licence and any use of this publication are welcome and can be sent to </w:t>
      </w:r>
      <w:hyperlink r:id="rId16" w:history="1">
        <w:r>
          <w:rPr>
            <w:rStyle w:val="Hyperlink"/>
          </w:rPr>
          <w:t>communications@safetyandquality.gov.au</w:t>
        </w:r>
      </w:hyperlink>
      <w:r>
        <w:t>.</w:t>
      </w:r>
    </w:p>
    <w:p w14:paraId="2FCB12D5" w14:textId="77777777" w:rsidR="00604462" w:rsidRDefault="00604462" w:rsidP="00604462">
      <w:r>
        <w:t xml:space="preserve">The Commission’s preference is that you attribute this publication (and any material sourced from it) using the following citation: </w:t>
      </w:r>
    </w:p>
    <w:p w14:paraId="7C751580" w14:textId="19BDB74F" w:rsidR="00604462" w:rsidRPr="00D355C8" w:rsidRDefault="00D355C8" w:rsidP="00604462">
      <w:pPr>
        <w:rPr>
          <w:lang w:val="en-GB"/>
        </w:rPr>
      </w:pPr>
      <w:r w:rsidRPr="00D355C8">
        <w:rPr>
          <w:lang w:val="en-GB"/>
        </w:rPr>
        <w:t>Australian Commission on Safety and Quality in Health Care. Patient-Reported Outcome Measure Recommendations for Low Back Pain. Sydney: ACSQHC; 2024.</w:t>
      </w:r>
    </w:p>
    <w:p w14:paraId="32C6CD75" w14:textId="77777777" w:rsidR="00604462" w:rsidRPr="00604462" w:rsidRDefault="00604462" w:rsidP="00604462">
      <w:pPr>
        <w:rPr>
          <w:b/>
          <w:bCs/>
        </w:rPr>
      </w:pPr>
      <w:r w:rsidRPr="00604462">
        <w:rPr>
          <w:b/>
          <w:bCs/>
        </w:rPr>
        <w:t>Disclaimer</w:t>
      </w:r>
    </w:p>
    <w:p w14:paraId="5090459E" w14:textId="71F9B722" w:rsidR="00604462" w:rsidRPr="00D26246" w:rsidRDefault="00D26246" w:rsidP="0015583D">
      <w:pPr>
        <w:rPr>
          <w:lang w:val="en-GB"/>
        </w:rPr>
      </w:pPr>
      <w:r w:rsidRPr="00D26246">
        <w:rPr>
          <w:lang w:val="en-GB"/>
        </w:rPr>
        <w:t>The content of this document is published in good faith by the Australian Commission on Safety and Quality in Health Care for information purposes. The document is not intended to provide guidance on particular healthcare choices. You should contact your healthcare provider on particular healthcare choices. </w:t>
      </w:r>
    </w:p>
    <w:p w14:paraId="199DAA91" w14:textId="77777777" w:rsidR="00604462" w:rsidRDefault="00604462" w:rsidP="00604462">
      <w:r>
        <w:br w:type="page"/>
      </w:r>
    </w:p>
    <w:p w14:paraId="19CACAAF" w14:textId="5D58F390" w:rsidR="00DA4914" w:rsidRDefault="00DA4914" w:rsidP="00DA4914">
      <w:pPr>
        <w:pStyle w:val="Heading1"/>
      </w:pPr>
      <w:bookmarkStart w:id="5" w:name="_Toc82535281"/>
      <w:bookmarkStart w:id="6" w:name="_Toc175215360"/>
      <w:r>
        <w:lastRenderedPageBreak/>
        <w:t>Contents</w:t>
      </w:r>
      <w:bookmarkEnd w:id="5"/>
      <w:bookmarkEnd w:id="6"/>
    </w:p>
    <w:p w14:paraId="04E83528" w14:textId="621174CE" w:rsidR="00843BBE" w:rsidRDefault="00DA4914">
      <w:pPr>
        <w:pStyle w:val="TOC1"/>
        <w:tabs>
          <w:tab w:val="right" w:leader="dot" w:pos="9054"/>
        </w:tabs>
        <w:rPr>
          <w:rFonts w:eastAsiaTheme="minorEastAsia" w:cstheme="minorBidi"/>
          <w:b w:val="0"/>
          <w:bCs w:val="0"/>
          <w:iCs w:val="0"/>
          <w:noProof/>
          <w:kern w:val="2"/>
          <w:lang w:eastAsia="en-GB"/>
          <w14:ligatures w14:val="standardContextual"/>
        </w:rPr>
      </w:pPr>
      <w:r>
        <w:fldChar w:fldCharType="begin"/>
      </w:r>
      <w:r>
        <w:instrText xml:space="preserve"> TOC \o "1-1" \h \z \u </w:instrText>
      </w:r>
      <w:r>
        <w:fldChar w:fldCharType="separate"/>
      </w:r>
      <w:hyperlink w:anchor="_Toc175215360" w:history="1">
        <w:r w:rsidR="00843BBE" w:rsidRPr="005970ED">
          <w:rPr>
            <w:rStyle w:val="Hyperlink"/>
            <w:noProof/>
          </w:rPr>
          <w:t>Contents</w:t>
        </w:r>
        <w:r w:rsidR="00843BBE">
          <w:rPr>
            <w:noProof/>
            <w:webHidden/>
          </w:rPr>
          <w:tab/>
        </w:r>
        <w:r w:rsidR="00843BBE">
          <w:rPr>
            <w:noProof/>
            <w:webHidden/>
          </w:rPr>
          <w:fldChar w:fldCharType="begin"/>
        </w:r>
        <w:r w:rsidR="00843BBE">
          <w:rPr>
            <w:noProof/>
            <w:webHidden/>
          </w:rPr>
          <w:instrText xml:space="preserve"> PAGEREF _Toc175215360 \h </w:instrText>
        </w:r>
        <w:r w:rsidR="00843BBE">
          <w:rPr>
            <w:noProof/>
            <w:webHidden/>
          </w:rPr>
        </w:r>
        <w:r w:rsidR="00843BBE">
          <w:rPr>
            <w:noProof/>
            <w:webHidden/>
          </w:rPr>
          <w:fldChar w:fldCharType="separate"/>
        </w:r>
        <w:r w:rsidR="00843BBE">
          <w:rPr>
            <w:noProof/>
            <w:webHidden/>
          </w:rPr>
          <w:t>3</w:t>
        </w:r>
        <w:r w:rsidR="00843BBE">
          <w:rPr>
            <w:noProof/>
            <w:webHidden/>
          </w:rPr>
          <w:fldChar w:fldCharType="end"/>
        </w:r>
      </w:hyperlink>
    </w:p>
    <w:p w14:paraId="5B4BE897" w14:textId="58CDAC8F" w:rsidR="00843BBE"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75215361" w:history="1">
        <w:r w:rsidR="00843BBE" w:rsidRPr="005970ED">
          <w:rPr>
            <w:rStyle w:val="Hyperlink"/>
            <w:noProof/>
          </w:rPr>
          <w:t>Abbreviations</w:t>
        </w:r>
        <w:r w:rsidR="00843BBE">
          <w:rPr>
            <w:noProof/>
            <w:webHidden/>
          </w:rPr>
          <w:tab/>
        </w:r>
        <w:r w:rsidR="00843BBE">
          <w:rPr>
            <w:noProof/>
            <w:webHidden/>
          </w:rPr>
          <w:fldChar w:fldCharType="begin"/>
        </w:r>
        <w:r w:rsidR="00843BBE">
          <w:rPr>
            <w:noProof/>
            <w:webHidden/>
          </w:rPr>
          <w:instrText xml:space="preserve"> PAGEREF _Toc175215361 \h </w:instrText>
        </w:r>
        <w:r w:rsidR="00843BBE">
          <w:rPr>
            <w:noProof/>
            <w:webHidden/>
          </w:rPr>
        </w:r>
        <w:r w:rsidR="00843BBE">
          <w:rPr>
            <w:noProof/>
            <w:webHidden/>
          </w:rPr>
          <w:fldChar w:fldCharType="separate"/>
        </w:r>
        <w:r w:rsidR="00843BBE">
          <w:rPr>
            <w:noProof/>
            <w:webHidden/>
          </w:rPr>
          <w:t>4</w:t>
        </w:r>
        <w:r w:rsidR="00843BBE">
          <w:rPr>
            <w:noProof/>
            <w:webHidden/>
          </w:rPr>
          <w:fldChar w:fldCharType="end"/>
        </w:r>
      </w:hyperlink>
    </w:p>
    <w:p w14:paraId="0A26D761" w14:textId="24DF69A6" w:rsidR="00843BBE"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75215362" w:history="1">
        <w:r w:rsidR="00843BBE" w:rsidRPr="005970ED">
          <w:rPr>
            <w:rStyle w:val="Hyperlink"/>
            <w:noProof/>
          </w:rPr>
          <w:t>Quick guide – PROM recommendations for low back pain</w:t>
        </w:r>
        <w:r w:rsidR="00843BBE">
          <w:rPr>
            <w:noProof/>
            <w:webHidden/>
          </w:rPr>
          <w:tab/>
        </w:r>
        <w:r w:rsidR="00843BBE">
          <w:rPr>
            <w:noProof/>
            <w:webHidden/>
          </w:rPr>
          <w:fldChar w:fldCharType="begin"/>
        </w:r>
        <w:r w:rsidR="00843BBE">
          <w:rPr>
            <w:noProof/>
            <w:webHidden/>
          </w:rPr>
          <w:instrText xml:space="preserve"> PAGEREF _Toc175215362 \h </w:instrText>
        </w:r>
        <w:r w:rsidR="00843BBE">
          <w:rPr>
            <w:noProof/>
            <w:webHidden/>
          </w:rPr>
        </w:r>
        <w:r w:rsidR="00843BBE">
          <w:rPr>
            <w:noProof/>
            <w:webHidden/>
          </w:rPr>
          <w:fldChar w:fldCharType="separate"/>
        </w:r>
        <w:r w:rsidR="00843BBE">
          <w:rPr>
            <w:noProof/>
            <w:webHidden/>
          </w:rPr>
          <w:t>5</w:t>
        </w:r>
        <w:r w:rsidR="00843BBE">
          <w:rPr>
            <w:noProof/>
            <w:webHidden/>
          </w:rPr>
          <w:fldChar w:fldCharType="end"/>
        </w:r>
      </w:hyperlink>
    </w:p>
    <w:p w14:paraId="0F2154A5" w14:textId="2E5CFABA" w:rsidR="00843BBE"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75215363" w:history="1">
        <w:r w:rsidR="00843BBE" w:rsidRPr="005970ED">
          <w:rPr>
            <w:rStyle w:val="Hyperlink"/>
            <w:noProof/>
          </w:rPr>
          <w:t>Equity considerations when using PROMs</w:t>
        </w:r>
        <w:r w:rsidR="00843BBE">
          <w:rPr>
            <w:noProof/>
            <w:webHidden/>
          </w:rPr>
          <w:tab/>
        </w:r>
        <w:r w:rsidR="00843BBE">
          <w:rPr>
            <w:noProof/>
            <w:webHidden/>
          </w:rPr>
          <w:fldChar w:fldCharType="begin"/>
        </w:r>
        <w:r w:rsidR="00843BBE">
          <w:rPr>
            <w:noProof/>
            <w:webHidden/>
          </w:rPr>
          <w:instrText xml:space="preserve"> PAGEREF _Toc175215363 \h </w:instrText>
        </w:r>
        <w:r w:rsidR="00843BBE">
          <w:rPr>
            <w:noProof/>
            <w:webHidden/>
          </w:rPr>
        </w:r>
        <w:r w:rsidR="00843BBE">
          <w:rPr>
            <w:noProof/>
            <w:webHidden/>
          </w:rPr>
          <w:fldChar w:fldCharType="separate"/>
        </w:r>
        <w:r w:rsidR="00843BBE">
          <w:rPr>
            <w:noProof/>
            <w:webHidden/>
          </w:rPr>
          <w:t>8</w:t>
        </w:r>
        <w:r w:rsidR="00843BBE">
          <w:rPr>
            <w:noProof/>
            <w:webHidden/>
          </w:rPr>
          <w:fldChar w:fldCharType="end"/>
        </w:r>
      </w:hyperlink>
    </w:p>
    <w:p w14:paraId="0CB8FE75" w14:textId="726D4E53" w:rsidR="00843BBE"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75215364" w:history="1">
        <w:r w:rsidR="00843BBE" w:rsidRPr="005970ED">
          <w:rPr>
            <w:rStyle w:val="Hyperlink"/>
            <w:noProof/>
          </w:rPr>
          <w:t>PROM recommendations for low back pain</w:t>
        </w:r>
        <w:r w:rsidR="00843BBE">
          <w:rPr>
            <w:noProof/>
            <w:webHidden/>
          </w:rPr>
          <w:tab/>
        </w:r>
        <w:r w:rsidR="00843BBE">
          <w:rPr>
            <w:noProof/>
            <w:webHidden/>
          </w:rPr>
          <w:fldChar w:fldCharType="begin"/>
        </w:r>
        <w:r w:rsidR="00843BBE">
          <w:rPr>
            <w:noProof/>
            <w:webHidden/>
          </w:rPr>
          <w:instrText xml:space="preserve"> PAGEREF _Toc175215364 \h </w:instrText>
        </w:r>
        <w:r w:rsidR="00843BBE">
          <w:rPr>
            <w:noProof/>
            <w:webHidden/>
          </w:rPr>
        </w:r>
        <w:r w:rsidR="00843BBE">
          <w:rPr>
            <w:noProof/>
            <w:webHidden/>
          </w:rPr>
          <w:fldChar w:fldCharType="separate"/>
        </w:r>
        <w:r w:rsidR="00843BBE">
          <w:rPr>
            <w:noProof/>
            <w:webHidden/>
          </w:rPr>
          <w:t>9</w:t>
        </w:r>
        <w:r w:rsidR="00843BBE">
          <w:rPr>
            <w:noProof/>
            <w:webHidden/>
          </w:rPr>
          <w:fldChar w:fldCharType="end"/>
        </w:r>
      </w:hyperlink>
    </w:p>
    <w:p w14:paraId="3006910B" w14:textId="6544E737" w:rsidR="00843BBE"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75215365" w:history="1">
        <w:r w:rsidR="00843BBE" w:rsidRPr="005970ED">
          <w:rPr>
            <w:rStyle w:val="Hyperlink"/>
            <w:noProof/>
          </w:rPr>
          <w:t>Pain</w:t>
        </w:r>
        <w:r w:rsidR="00843BBE">
          <w:rPr>
            <w:noProof/>
            <w:webHidden/>
          </w:rPr>
          <w:tab/>
        </w:r>
        <w:r w:rsidR="00843BBE">
          <w:rPr>
            <w:noProof/>
            <w:webHidden/>
          </w:rPr>
          <w:fldChar w:fldCharType="begin"/>
        </w:r>
        <w:r w:rsidR="00843BBE">
          <w:rPr>
            <w:noProof/>
            <w:webHidden/>
          </w:rPr>
          <w:instrText xml:space="preserve"> PAGEREF _Toc175215365 \h </w:instrText>
        </w:r>
        <w:r w:rsidR="00843BBE">
          <w:rPr>
            <w:noProof/>
            <w:webHidden/>
          </w:rPr>
        </w:r>
        <w:r w:rsidR="00843BBE">
          <w:rPr>
            <w:noProof/>
            <w:webHidden/>
          </w:rPr>
          <w:fldChar w:fldCharType="separate"/>
        </w:r>
        <w:r w:rsidR="00843BBE">
          <w:rPr>
            <w:noProof/>
            <w:webHidden/>
          </w:rPr>
          <w:t>10</w:t>
        </w:r>
        <w:r w:rsidR="00843BBE">
          <w:rPr>
            <w:noProof/>
            <w:webHidden/>
          </w:rPr>
          <w:fldChar w:fldCharType="end"/>
        </w:r>
      </w:hyperlink>
    </w:p>
    <w:p w14:paraId="06F711DD" w14:textId="54E10EE3" w:rsidR="00843BBE"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75215366" w:history="1">
        <w:r w:rsidR="00843BBE" w:rsidRPr="005970ED">
          <w:rPr>
            <w:rStyle w:val="Hyperlink"/>
            <w:noProof/>
          </w:rPr>
          <w:t>Physical functioning</w:t>
        </w:r>
        <w:r w:rsidR="00843BBE">
          <w:rPr>
            <w:noProof/>
            <w:webHidden/>
          </w:rPr>
          <w:tab/>
        </w:r>
        <w:r w:rsidR="00843BBE">
          <w:rPr>
            <w:noProof/>
            <w:webHidden/>
          </w:rPr>
          <w:fldChar w:fldCharType="begin"/>
        </w:r>
        <w:r w:rsidR="00843BBE">
          <w:rPr>
            <w:noProof/>
            <w:webHidden/>
          </w:rPr>
          <w:instrText xml:space="preserve"> PAGEREF _Toc175215366 \h </w:instrText>
        </w:r>
        <w:r w:rsidR="00843BBE">
          <w:rPr>
            <w:noProof/>
            <w:webHidden/>
          </w:rPr>
        </w:r>
        <w:r w:rsidR="00843BBE">
          <w:rPr>
            <w:noProof/>
            <w:webHidden/>
          </w:rPr>
          <w:fldChar w:fldCharType="separate"/>
        </w:r>
        <w:r w:rsidR="00843BBE">
          <w:rPr>
            <w:noProof/>
            <w:webHidden/>
          </w:rPr>
          <w:t>11</w:t>
        </w:r>
        <w:r w:rsidR="00843BBE">
          <w:rPr>
            <w:noProof/>
            <w:webHidden/>
          </w:rPr>
          <w:fldChar w:fldCharType="end"/>
        </w:r>
      </w:hyperlink>
    </w:p>
    <w:p w14:paraId="4F750DF9" w14:textId="48DB54B2" w:rsidR="00843BBE"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75215367" w:history="1">
        <w:r w:rsidR="00843BBE" w:rsidRPr="005970ED">
          <w:rPr>
            <w:rStyle w:val="Hyperlink"/>
            <w:noProof/>
          </w:rPr>
          <w:t>Negative affect</w:t>
        </w:r>
        <w:r w:rsidR="00843BBE">
          <w:rPr>
            <w:noProof/>
            <w:webHidden/>
          </w:rPr>
          <w:tab/>
        </w:r>
        <w:r w:rsidR="00843BBE">
          <w:rPr>
            <w:noProof/>
            <w:webHidden/>
          </w:rPr>
          <w:fldChar w:fldCharType="begin"/>
        </w:r>
        <w:r w:rsidR="00843BBE">
          <w:rPr>
            <w:noProof/>
            <w:webHidden/>
          </w:rPr>
          <w:instrText xml:space="preserve"> PAGEREF _Toc175215367 \h </w:instrText>
        </w:r>
        <w:r w:rsidR="00843BBE">
          <w:rPr>
            <w:noProof/>
            <w:webHidden/>
          </w:rPr>
        </w:r>
        <w:r w:rsidR="00843BBE">
          <w:rPr>
            <w:noProof/>
            <w:webHidden/>
          </w:rPr>
          <w:fldChar w:fldCharType="separate"/>
        </w:r>
        <w:r w:rsidR="00843BBE">
          <w:rPr>
            <w:noProof/>
            <w:webHidden/>
          </w:rPr>
          <w:t>13</w:t>
        </w:r>
        <w:r w:rsidR="00843BBE">
          <w:rPr>
            <w:noProof/>
            <w:webHidden/>
          </w:rPr>
          <w:fldChar w:fldCharType="end"/>
        </w:r>
      </w:hyperlink>
    </w:p>
    <w:p w14:paraId="58A5D642" w14:textId="7290CEFF" w:rsidR="00843BBE"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75215368" w:history="1">
        <w:r w:rsidR="00843BBE" w:rsidRPr="005970ED">
          <w:rPr>
            <w:rStyle w:val="Hyperlink"/>
            <w:noProof/>
          </w:rPr>
          <w:t>Health-related quality of life</w:t>
        </w:r>
        <w:r w:rsidR="00843BBE">
          <w:rPr>
            <w:noProof/>
            <w:webHidden/>
          </w:rPr>
          <w:tab/>
        </w:r>
        <w:r w:rsidR="00843BBE">
          <w:rPr>
            <w:noProof/>
            <w:webHidden/>
          </w:rPr>
          <w:fldChar w:fldCharType="begin"/>
        </w:r>
        <w:r w:rsidR="00843BBE">
          <w:rPr>
            <w:noProof/>
            <w:webHidden/>
          </w:rPr>
          <w:instrText xml:space="preserve"> PAGEREF _Toc175215368 \h </w:instrText>
        </w:r>
        <w:r w:rsidR="00843BBE">
          <w:rPr>
            <w:noProof/>
            <w:webHidden/>
          </w:rPr>
        </w:r>
        <w:r w:rsidR="00843BBE">
          <w:rPr>
            <w:noProof/>
            <w:webHidden/>
          </w:rPr>
          <w:fldChar w:fldCharType="separate"/>
        </w:r>
        <w:r w:rsidR="00843BBE">
          <w:rPr>
            <w:noProof/>
            <w:webHidden/>
          </w:rPr>
          <w:t>15</w:t>
        </w:r>
        <w:r w:rsidR="00843BBE">
          <w:rPr>
            <w:noProof/>
            <w:webHidden/>
          </w:rPr>
          <w:fldChar w:fldCharType="end"/>
        </w:r>
      </w:hyperlink>
    </w:p>
    <w:p w14:paraId="6D1982C8" w14:textId="3625A498" w:rsidR="00843BBE"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75215369" w:history="1">
        <w:r w:rsidR="00843BBE" w:rsidRPr="005970ED">
          <w:rPr>
            <w:rStyle w:val="Hyperlink"/>
            <w:noProof/>
          </w:rPr>
          <w:t>Collection time points</w:t>
        </w:r>
        <w:r w:rsidR="00843BBE">
          <w:rPr>
            <w:noProof/>
            <w:webHidden/>
          </w:rPr>
          <w:tab/>
        </w:r>
        <w:r w:rsidR="00843BBE">
          <w:rPr>
            <w:noProof/>
            <w:webHidden/>
          </w:rPr>
          <w:fldChar w:fldCharType="begin"/>
        </w:r>
        <w:r w:rsidR="00843BBE">
          <w:rPr>
            <w:noProof/>
            <w:webHidden/>
          </w:rPr>
          <w:instrText xml:space="preserve"> PAGEREF _Toc175215369 \h </w:instrText>
        </w:r>
        <w:r w:rsidR="00843BBE">
          <w:rPr>
            <w:noProof/>
            <w:webHidden/>
          </w:rPr>
        </w:r>
        <w:r w:rsidR="00843BBE">
          <w:rPr>
            <w:noProof/>
            <w:webHidden/>
          </w:rPr>
          <w:fldChar w:fldCharType="separate"/>
        </w:r>
        <w:r w:rsidR="00843BBE">
          <w:rPr>
            <w:noProof/>
            <w:webHidden/>
          </w:rPr>
          <w:t>17</w:t>
        </w:r>
        <w:r w:rsidR="00843BBE">
          <w:rPr>
            <w:noProof/>
            <w:webHidden/>
          </w:rPr>
          <w:fldChar w:fldCharType="end"/>
        </w:r>
      </w:hyperlink>
    </w:p>
    <w:p w14:paraId="06BB2693" w14:textId="22CD1C7D" w:rsidR="00843BBE"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75215370" w:history="1">
        <w:r w:rsidR="00843BBE" w:rsidRPr="005970ED">
          <w:rPr>
            <w:rStyle w:val="Hyperlink"/>
            <w:noProof/>
          </w:rPr>
          <w:t>Appendix A: Detailed information about recommended PROMs</w:t>
        </w:r>
        <w:r w:rsidR="00843BBE">
          <w:rPr>
            <w:noProof/>
            <w:webHidden/>
          </w:rPr>
          <w:tab/>
        </w:r>
        <w:r w:rsidR="00843BBE">
          <w:rPr>
            <w:noProof/>
            <w:webHidden/>
          </w:rPr>
          <w:fldChar w:fldCharType="begin"/>
        </w:r>
        <w:r w:rsidR="00843BBE">
          <w:rPr>
            <w:noProof/>
            <w:webHidden/>
          </w:rPr>
          <w:instrText xml:space="preserve"> PAGEREF _Toc175215370 \h </w:instrText>
        </w:r>
        <w:r w:rsidR="00843BBE">
          <w:rPr>
            <w:noProof/>
            <w:webHidden/>
          </w:rPr>
        </w:r>
        <w:r w:rsidR="00843BBE">
          <w:rPr>
            <w:noProof/>
            <w:webHidden/>
          </w:rPr>
          <w:fldChar w:fldCharType="separate"/>
        </w:r>
        <w:r w:rsidR="00843BBE">
          <w:rPr>
            <w:noProof/>
            <w:webHidden/>
          </w:rPr>
          <w:t>18</w:t>
        </w:r>
        <w:r w:rsidR="00843BBE">
          <w:rPr>
            <w:noProof/>
            <w:webHidden/>
          </w:rPr>
          <w:fldChar w:fldCharType="end"/>
        </w:r>
      </w:hyperlink>
    </w:p>
    <w:p w14:paraId="54C388E1" w14:textId="5AA91E49" w:rsidR="00843BBE"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75215371" w:history="1">
        <w:r w:rsidR="00843BBE" w:rsidRPr="005970ED">
          <w:rPr>
            <w:rStyle w:val="Hyperlink"/>
            <w:noProof/>
          </w:rPr>
          <w:t>Appendix B: Using PROM recommendations</w:t>
        </w:r>
        <w:r w:rsidR="00843BBE">
          <w:rPr>
            <w:noProof/>
            <w:webHidden/>
          </w:rPr>
          <w:tab/>
        </w:r>
        <w:r w:rsidR="00843BBE">
          <w:rPr>
            <w:noProof/>
            <w:webHidden/>
          </w:rPr>
          <w:fldChar w:fldCharType="begin"/>
        </w:r>
        <w:r w:rsidR="00843BBE">
          <w:rPr>
            <w:noProof/>
            <w:webHidden/>
          </w:rPr>
          <w:instrText xml:space="preserve"> PAGEREF _Toc175215371 \h </w:instrText>
        </w:r>
        <w:r w:rsidR="00843BBE">
          <w:rPr>
            <w:noProof/>
            <w:webHidden/>
          </w:rPr>
        </w:r>
        <w:r w:rsidR="00843BBE">
          <w:rPr>
            <w:noProof/>
            <w:webHidden/>
          </w:rPr>
          <w:fldChar w:fldCharType="separate"/>
        </w:r>
        <w:r w:rsidR="00843BBE">
          <w:rPr>
            <w:noProof/>
            <w:webHidden/>
          </w:rPr>
          <w:t>28</w:t>
        </w:r>
        <w:r w:rsidR="00843BBE">
          <w:rPr>
            <w:noProof/>
            <w:webHidden/>
          </w:rPr>
          <w:fldChar w:fldCharType="end"/>
        </w:r>
      </w:hyperlink>
    </w:p>
    <w:p w14:paraId="6C66F168" w14:textId="75341AEE" w:rsidR="00843BBE"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75215372" w:history="1">
        <w:r w:rsidR="00843BBE" w:rsidRPr="005970ED">
          <w:rPr>
            <w:rStyle w:val="Hyperlink"/>
            <w:noProof/>
          </w:rPr>
          <w:t>Appendix C: Approach to developing condition-specific PROM recommendations</w:t>
        </w:r>
        <w:r w:rsidR="00843BBE">
          <w:rPr>
            <w:noProof/>
            <w:webHidden/>
          </w:rPr>
          <w:tab/>
        </w:r>
        <w:r w:rsidR="00843BBE">
          <w:rPr>
            <w:noProof/>
            <w:webHidden/>
          </w:rPr>
          <w:fldChar w:fldCharType="begin"/>
        </w:r>
        <w:r w:rsidR="00843BBE">
          <w:rPr>
            <w:noProof/>
            <w:webHidden/>
          </w:rPr>
          <w:instrText xml:space="preserve"> PAGEREF _Toc175215372 \h </w:instrText>
        </w:r>
        <w:r w:rsidR="00843BBE">
          <w:rPr>
            <w:noProof/>
            <w:webHidden/>
          </w:rPr>
        </w:r>
        <w:r w:rsidR="00843BBE">
          <w:rPr>
            <w:noProof/>
            <w:webHidden/>
          </w:rPr>
          <w:fldChar w:fldCharType="separate"/>
        </w:r>
        <w:r w:rsidR="00843BBE">
          <w:rPr>
            <w:noProof/>
            <w:webHidden/>
          </w:rPr>
          <w:t>29</w:t>
        </w:r>
        <w:r w:rsidR="00843BBE">
          <w:rPr>
            <w:noProof/>
            <w:webHidden/>
          </w:rPr>
          <w:fldChar w:fldCharType="end"/>
        </w:r>
      </w:hyperlink>
    </w:p>
    <w:p w14:paraId="44482289" w14:textId="38A9EC6E" w:rsidR="00843BBE"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75215373" w:history="1">
        <w:r w:rsidR="00843BBE" w:rsidRPr="005970ED">
          <w:rPr>
            <w:rStyle w:val="Hyperlink"/>
            <w:noProof/>
          </w:rPr>
          <w:t>Appendix D: Definitions and COSMIN grading criteria for psychometric properties of PROMs</w:t>
        </w:r>
        <w:r w:rsidR="00843BBE">
          <w:rPr>
            <w:noProof/>
            <w:webHidden/>
          </w:rPr>
          <w:tab/>
        </w:r>
        <w:r w:rsidR="00843BBE">
          <w:rPr>
            <w:noProof/>
            <w:webHidden/>
          </w:rPr>
          <w:fldChar w:fldCharType="begin"/>
        </w:r>
        <w:r w:rsidR="00843BBE">
          <w:rPr>
            <w:noProof/>
            <w:webHidden/>
          </w:rPr>
          <w:instrText xml:space="preserve"> PAGEREF _Toc175215373 \h </w:instrText>
        </w:r>
        <w:r w:rsidR="00843BBE">
          <w:rPr>
            <w:noProof/>
            <w:webHidden/>
          </w:rPr>
        </w:r>
        <w:r w:rsidR="00843BBE">
          <w:rPr>
            <w:noProof/>
            <w:webHidden/>
          </w:rPr>
          <w:fldChar w:fldCharType="separate"/>
        </w:r>
        <w:r w:rsidR="00843BBE">
          <w:rPr>
            <w:noProof/>
            <w:webHidden/>
          </w:rPr>
          <w:t>30</w:t>
        </w:r>
        <w:r w:rsidR="00843BBE">
          <w:rPr>
            <w:noProof/>
            <w:webHidden/>
          </w:rPr>
          <w:fldChar w:fldCharType="end"/>
        </w:r>
      </w:hyperlink>
    </w:p>
    <w:p w14:paraId="1E61B012" w14:textId="48925EB0" w:rsidR="00843BBE"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75215374" w:history="1">
        <w:r w:rsidR="00843BBE" w:rsidRPr="005970ED">
          <w:rPr>
            <w:rStyle w:val="Hyperlink"/>
            <w:noProof/>
          </w:rPr>
          <w:t>Appendix E: Summary grading of psychometric properties</w:t>
        </w:r>
        <w:r w:rsidR="00843BBE">
          <w:rPr>
            <w:noProof/>
            <w:webHidden/>
          </w:rPr>
          <w:tab/>
        </w:r>
        <w:r w:rsidR="00843BBE">
          <w:rPr>
            <w:noProof/>
            <w:webHidden/>
          </w:rPr>
          <w:fldChar w:fldCharType="begin"/>
        </w:r>
        <w:r w:rsidR="00843BBE">
          <w:rPr>
            <w:noProof/>
            <w:webHidden/>
          </w:rPr>
          <w:instrText xml:space="preserve"> PAGEREF _Toc175215374 \h </w:instrText>
        </w:r>
        <w:r w:rsidR="00843BBE">
          <w:rPr>
            <w:noProof/>
            <w:webHidden/>
          </w:rPr>
        </w:r>
        <w:r w:rsidR="00843BBE">
          <w:rPr>
            <w:noProof/>
            <w:webHidden/>
          </w:rPr>
          <w:fldChar w:fldCharType="separate"/>
        </w:r>
        <w:r w:rsidR="00843BBE">
          <w:rPr>
            <w:noProof/>
            <w:webHidden/>
          </w:rPr>
          <w:t>33</w:t>
        </w:r>
        <w:r w:rsidR="00843BBE">
          <w:rPr>
            <w:noProof/>
            <w:webHidden/>
          </w:rPr>
          <w:fldChar w:fldCharType="end"/>
        </w:r>
      </w:hyperlink>
    </w:p>
    <w:p w14:paraId="24AC7543" w14:textId="2CD9D05F" w:rsidR="00843BBE"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75215375" w:history="1">
        <w:r w:rsidR="00843BBE" w:rsidRPr="005970ED">
          <w:rPr>
            <w:rStyle w:val="Hyperlink"/>
            <w:noProof/>
          </w:rPr>
          <w:t>Appendix F: Panel consensus criteria</w:t>
        </w:r>
        <w:r w:rsidR="00843BBE">
          <w:rPr>
            <w:noProof/>
            <w:webHidden/>
          </w:rPr>
          <w:tab/>
        </w:r>
        <w:r w:rsidR="00843BBE">
          <w:rPr>
            <w:noProof/>
            <w:webHidden/>
          </w:rPr>
          <w:fldChar w:fldCharType="begin"/>
        </w:r>
        <w:r w:rsidR="00843BBE">
          <w:rPr>
            <w:noProof/>
            <w:webHidden/>
          </w:rPr>
          <w:instrText xml:space="preserve"> PAGEREF _Toc175215375 \h </w:instrText>
        </w:r>
        <w:r w:rsidR="00843BBE">
          <w:rPr>
            <w:noProof/>
            <w:webHidden/>
          </w:rPr>
        </w:r>
        <w:r w:rsidR="00843BBE">
          <w:rPr>
            <w:noProof/>
            <w:webHidden/>
          </w:rPr>
          <w:fldChar w:fldCharType="separate"/>
        </w:r>
        <w:r w:rsidR="00843BBE">
          <w:rPr>
            <w:noProof/>
            <w:webHidden/>
          </w:rPr>
          <w:t>34</w:t>
        </w:r>
        <w:r w:rsidR="00843BBE">
          <w:rPr>
            <w:noProof/>
            <w:webHidden/>
          </w:rPr>
          <w:fldChar w:fldCharType="end"/>
        </w:r>
      </w:hyperlink>
    </w:p>
    <w:p w14:paraId="071B5333" w14:textId="4F21A29E" w:rsidR="00843BBE"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75215376" w:history="1">
        <w:r w:rsidR="00843BBE" w:rsidRPr="005970ED">
          <w:rPr>
            <w:rStyle w:val="Hyperlink"/>
            <w:noProof/>
          </w:rPr>
          <w:t>Glossary</w:t>
        </w:r>
        <w:r w:rsidR="00843BBE">
          <w:rPr>
            <w:noProof/>
            <w:webHidden/>
          </w:rPr>
          <w:tab/>
        </w:r>
        <w:r w:rsidR="00843BBE">
          <w:rPr>
            <w:noProof/>
            <w:webHidden/>
          </w:rPr>
          <w:fldChar w:fldCharType="begin"/>
        </w:r>
        <w:r w:rsidR="00843BBE">
          <w:rPr>
            <w:noProof/>
            <w:webHidden/>
          </w:rPr>
          <w:instrText xml:space="preserve"> PAGEREF _Toc175215376 \h </w:instrText>
        </w:r>
        <w:r w:rsidR="00843BBE">
          <w:rPr>
            <w:noProof/>
            <w:webHidden/>
          </w:rPr>
        </w:r>
        <w:r w:rsidR="00843BBE">
          <w:rPr>
            <w:noProof/>
            <w:webHidden/>
          </w:rPr>
          <w:fldChar w:fldCharType="separate"/>
        </w:r>
        <w:r w:rsidR="00843BBE">
          <w:rPr>
            <w:noProof/>
            <w:webHidden/>
          </w:rPr>
          <w:t>35</w:t>
        </w:r>
        <w:r w:rsidR="00843BBE">
          <w:rPr>
            <w:noProof/>
            <w:webHidden/>
          </w:rPr>
          <w:fldChar w:fldCharType="end"/>
        </w:r>
      </w:hyperlink>
    </w:p>
    <w:p w14:paraId="3E53866C" w14:textId="61E81530" w:rsidR="00843BBE"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75215377" w:history="1">
        <w:r w:rsidR="00843BBE" w:rsidRPr="005970ED">
          <w:rPr>
            <w:rStyle w:val="Hyperlink"/>
            <w:noProof/>
          </w:rPr>
          <w:t>References</w:t>
        </w:r>
        <w:r w:rsidR="00843BBE">
          <w:rPr>
            <w:noProof/>
            <w:webHidden/>
          </w:rPr>
          <w:tab/>
        </w:r>
        <w:r w:rsidR="00843BBE">
          <w:rPr>
            <w:noProof/>
            <w:webHidden/>
          </w:rPr>
          <w:fldChar w:fldCharType="begin"/>
        </w:r>
        <w:r w:rsidR="00843BBE">
          <w:rPr>
            <w:noProof/>
            <w:webHidden/>
          </w:rPr>
          <w:instrText xml:space="preserve"> PAGEREF _Toc175215377 \h </w:instrText>
        </w:r>
        <w:r w:rsidR="00843BBE">
          <w:rPr>
            <w:noProof/>
            <w:webHidden/>
          </w:rPr>
        </w:r>
        <w:r w:rsidR="00843BBE">
          <w:rPr>
            <w:noProof/>
            <w:webHidden/>
          </w:rPr>
          <w:fldChar w:fldCharType="separate"/>
        </w:r>
        <w:r w:rsidR="00843BBE">
          <w:rPr>
            <w:noProof/>
            <w:webHidden/>
          </w:rPr>
          <w:t>38</w:t>
        </w:r>
        <w:r w:rsidR="00843BBE">
          <w:rPr>
            <w:noProof/>
            <w:webHidden/>
          </w:rPr>
          <w:fldChar w:fldCharType="end"/>
        </w:r>
      </w:hyperlink>
    </w:p>
    <w:p w14:paraId="2558AE3C" w14:textId="2B1AA6AF" w:rsidR="00843BBE"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75215378" w:history="1">
        <w:r w:rsidR="00843BBE" w:rsidRPr="005970ED">
          <w:rPr>
            <w:rStyle w:val="Hyperlink"/>
            <w:noProof/>
          </w:rPr>
          <w:t>Acknowledgements</w:t>
        </w:r>
        <w:r w:rsidR="00843BBE">
          <w:rPr>
            <w:noProof/>
            <w:webHidden/>
          </w:rPr>
          <w:tab/>
        </w:r>
        <w:r w:rsidR="00843BBE">
          <w:rPr>
            <w:noProof/>
            <w:webHidden/>
          </w:rPr>
          <w:fldChar w:fldCharType="begin"/>
        </w:r>
        <w:r w:rsidR="00843BBE">
          <w:rPr>
            <w:noProof/>
            <w:webHidden/>
          </w:rPr>
          <w:instrText xml:space="preserve"> PAGEREF _Toc175215378 \h </w:instrText>
        </w:r>
        <w:r w:rsidR="00843BBE">
          <w:rPr>
            <w:noProof/>
            <w:webHidden/>
          </w:rPr>
        </w:r>
        <w:r w:rsidR="00843BBE">
          <w:rPr>
            <w:noProof/>
            <w:webHidden/>
          </w:rPr>
          <w:fldChar w:fldCharType="separate"/>
        </w:r>
        <w:r w:rsidR="00843BBE">
          <w:rPr>
            <w:noProof/>
            <w:webHidden/>
          </w:rPr>
          <w:t>41</w:t>
        </w:r>
        <w:r w:rsidR="00843BBE">
          <w:rPr>
            <w:noProof/>
            <w:webHidden/>
          </w:rPr>
          <w:fldChar w:fldCharType="end"/>
        </w:r>
      </w:hyperlink>
    </w:p>
    <w:p w14:paraId="3FAD9B14" w14:textId="5620F4D5" w:rsidR="00DA4914" w:rsidRPr="00DA4914" w:rsidRDefault="00DA4914" w:rsidP="00DA4914">
      <w:r>
        <w:fldChar w:fldCharType="end"/>
      </w:r>
    </w:p>
    <w:p w14:paraId="6B58B9BB" w14:textId="77777777" w:rsidR="00604462" w:rsidRDefault="00604462" w:rsidP="00B73BD3">
      <w:pPr>
        <w:pStyle w:val="Heading2"/>
      </w:pPr>
      <w:bookmarkStart w:id="7" w:name="_Toc72166422"/>
      <w:bookmarkEnd w:id="0"/>
      <w:bookmarkEnd w:id="1"/>
      <w:bookmarkEnd w:id="2"/>
      <w:bookmarkEnd w:id="3"/>
      <w:bookmarkEnd w:id="4"/>
      <w:r>
        <w:br w:type="page"/>
      </w:r>
    </w:p>
    <w:p w14:paraId="6682771C" w14:textId="77777777" w:rsidR="0060062C" w:rsidRDefault="0060062C" w:rsidP="0060062C">
      <w:pPr>
        <w:pStyle w:val="Heading1"/>
      </w:pPr>
      <w:bookmarkStart w:id="8" w:name="_Toc175215361"/>
      <w:bookmarkEnd w:id="7"/>
      <w:r>
        <w:lastRenderedPageBreak/>
        <w:t>Abbreviations</w:t>
      </w:r>
      <w:bookmarkEnd w:id="8"/>
    </w:p>
    <w:tbl>
      <w:tblPr>
        <w:tblStyle w:val="PROMTable"/>
        <w:tblW w:w="5000" w:type="pct"/>
        <w:tblLook w:val="0620" w:firstRow="1" w:lastRow="0" w:firstColumn="0" w:lastColumn="0" w:noHBand="1" w:noVBand="1"/>
      </w:tblPr>
      <w:tblGrid>
        <w:gridCol w:w="1331"/>
        <w:gridCol w:w="7723"/>
      </w:tblGrid>
      <w:tr w:rsidR="0060062C" w14:paraId="23C598F9" w14:textId="77777777" w:rsidTr="00C2239F">
        <w:trPr>
          <w:cnfStyle w:val="100000000000" w:firstRow="1" w:lastRow="0" w:firstColumn="0" w:lastColumn="0" w:oddVBand="0" w:evenVBand="0" w:oddHBand="0" w:evenHBand="0" w:firstRowFirstColumn="0" w:firstRowLastColumn="0" w:lastRowFirstColumn="0" w:lastRowLastColumn="0"/>
          <w:trHeight w:val="60"/>
        </w:trPr>
        <w:tc>
          <w:tcPr>
            <w:tcW w:w="735" w:type="pct"/>
          </w:tcPr>
          <w:p w14:paraId="36205386" w14:textId="77777777" w:rsidR="0060062C" w:rsidRDefault="0060062C" w:rsidP="00D51EAE">
            <w:r>
              <w:t>Term</w:t>
            </w:r>
          </w:p>
        </w:tc>
        <w:tc>
          <w:tcPr>
            <w:tcW w:w="4265" w:type="pct"/>
          </w:tcPr>
          <w:p w14:paraId="11311A2B" w14:textId="77777777" w:rsidR="0060062C" w:rsidRDefault="0060062C" w:rsidP="00D51EAE">
            <w:r>
              <w:t>Definition</w:t>
            </w:r>
          </w:p>
        </w:tc>
      </w:tr>
      <w:tr w:rsidR="0060062C" w14:paraId="6F238C4E" w14:textId="77777777" w:rsidTr="00C2239F">
        <w:trPr>
          <w:trHeight w:val="60"/>
        </w:trPr>
        <w:tc>
          <w:tcPr>
            <w:tcW w:w="735" w:type="pct"/>
          </w:tcPr>
          <w:p w14:paraId="6E8A4885" w14:textId="77777777" w:rsidR="0060062C" w:rsidRDefault="0060062C" w:rsidP="00D51EAE">
            <w:r>
              <w:t>COSMIN</w:t>
            </w:r>
          </w:p>
        </w:tc>
        <w:tc>
          <w:tcPr>
            <w:tcW w:w="4265" w:type="pct"/>
          </w:tcPr>
          <w:p w14:paraId="4A0CFBC5" w14:textId="77777777" w:rsidR="0060062C" w:rsidRDefault="0060062C" w:rsidP="00D51EAE">
            <w:r>
              <w:t>COnsensus-based Standards for the selection of health Measurement INstruments</w:t>
            </w:r>
          </w:p>
        </w:tc>
      </w:tr>
      <w:tr w:rsidR="0060062C" w14:paraId="2C853DB2" w14:textId="77777777" w:rsidTr="00C2239F">
        <w:trPr>
          <w:trHeight w:val="60"/>
        </w:trPr>
        <w:tc>
          <w:tcPr>
            <w:tcW w:w="735" w:type="pct"/>
          </w:tcPr>
          <w:p w14:paraId="41CA8113" w14:textId="77777777" w:rsidR="0060062C" w:rsidRDefault="0060062C" w:rsidP="00D51EAE">
            <w:r>
              <w:t>DASS</w:t>
            </w:r>
            <w:r>
              <w:rPr>
                <w:rFonts w:ascii="Cambria Math" w:hAnsi="Cambria Math" w:cs="Cambria Math"/>
              </w:rPr>
              <w:t>‑</w:t>
            </w:r>
            <w:r>
              <w:t>21</w:t>
            </w:r>
          </w:p>
        </w:tc>
        <w:tc>
          <w:tcPr>
            <w:tcW w:w="4265" w:type="pct"/>
          </w:tcPr>
          <w:p w14:paraId="10C68FBF" w14:textId="77777777" w:rsidR="0060062C" w:rsidRDefault="0060062C" w:rsidP="00D51EAE">
            <w:r>
              <w:t>Depression Anxiety Stress Scale – 21 items</w:t>
            </w:r>
          </w:p>
        </w:tc>
      </w:tr>
      <w:tr w:rsidR="0060062C" w14:paraId="5D051AD0" w14:textId="77777777" w:rsidTr="00C2239F">
        <w:trPr>
          <w:trHeight w:val="60"/>
        </w:trPr>
        <w:tc>
          <w:tcPr>
            <w:tcW w:w="735" w:type="pct"/>
          </w:tcPr>
          <w:p w14:paraId="0E9CAF0F" w14:textId="77777777" w:rsidR="0060062C" w:rsidRDefault="0060062C" w:rsidP="00D51EAE">
            <w:r>
              <w:t>EQ-5D-5L</w:t>
            </w:r>
          </w:p>
        </w:tc>
        <w:tc>
          <w:tcPr>
            <w:tcW w:w="4265" w:type="pct"/>
          </w:tcPr>
          <w:p w14:paraId="2BF47A50" w14:textId="77777777" w:rsidR="0060062C" w:rsidRDefault="0060062C" w:rsidP="00D51EAE">
            <w:r>
              <w:t xml:space="preserve">EuroQol – 5 Dimensions – 5 Levels </w:t>
            </w:r>
          </w:p>
        </w:tc>
      </w:tr>
      <w:tr w:rsidR="0060062C" w14:paraId="4D9599FE" w14:textId="77777777" w:rsidTr="00C2239F">
        <w:trPr>
          <w:trHeight w:val="60"/>
        </w:trPr>
        <w:tc>
          <w:tcPr>
            <w:tcW w:w="735" w:type="pct"/>
          </w:tcPr>
          <w:p w14:paraId="27E28FE8" w14:textId="77777777" w:rsidR="0060062C" w:rsidRDefault="0060062C" w:rsidP="00D51EAE">
            <w:r>
              <w:t>HRQoL</w:t>
            </w:r>
          </w:p>
        </w:tc>
        <w:tc>
          <w:tcPr>
            <w:tcW w:w="4265" w:type="pct"/>
          </w:tcPr>
          <w:p w14:paraId="39B771CD" w14:textId="77777777" w:rsidR="0060062C" w:rsidRDefault="0060062C" w:rsidP="00D51EAE">
            <w:r>
              <w:t>health-related quality of life</w:t>
            </w:r>
          </w:p>
        </w:tc>
      </w:tr>
      <w:tr w:rsidR="0060062C" w14:paraId="635599EA" w14:textId="77777777" w:rsidTr="00C2239F">
        <w:trPr>
          <w:trHeight w:val="60"/>
        </w:trPr>
        <w:tc>
          <w:tcPr>
            <w:tcW w:w="735" w:type="pct"/>
          </w:tcPr>
          <w:p w14:paraId="7F417AEA" w14:textId="77777777" w:rsidR="0060062C" w:rsidRDefault="0060062C" w:rsidP="00D51EAE">
            <w:r>
              <w:t>MK-K5</w:t>
            </w:r>
          </w:p>
        </w:tc>
        <w:tc>
          <w:tcPr>
            <w:tcW w:w="4265" w:type="pct"/>
          </w:tcPr>
          <w:p w14:paraId="0E155474" w14:textId="77777777" w:rsidR="0060062C" w:rsidRDefault="0060062C" w:rsidP="00D51EAE">
            <w:r>
              <w:t xml:space="preserve">Mayi Kuwayu Modified Kessler 5 </w:t>
            </w:r>
          </w:p>
        </w:tc>
      </w:tr>
      <w:tr w:rsidR="0060062C" w14:paraId="3947EC7F" w14:textId="77777777" w:rsidTr="00C2239F">
        <w:trPr>
          <w:trHeight w:val="60"/>
        </w:trPr>
        <w:tc>
          <w:tcPr>
            <w:tcW w:w="735" w:type="pct"/>
          </w:tcPr>
          <w:p w14:paraId="65FE938D" w14:textId="77777777" w:rsidR="0060062C" w:rsidRDefault="0060062C" w:rsidP="00D51EAE">
            <w:r>
              <w:t>NPRS</w:t>
            </w:r>
          </w:p>
        </w:tc>
        <w:tc>
          <w:tcPr>
            <w:tcW w:w="4265" w:type="pct"/>
          </w:tcPr>
          <w:p w14:paraId="726F777D" w14:textId="77777777" w:rsidR="0060062C" w:rsidRDefault="0060062C" w:rsidP="00D51EAE">
            <w:r>
              <w:t>Numerical Pain Rating Scale</w:t>
            </w:r>
          </w:p>
        </w:tc>
      </w:tr>
      <w:tr w:rsidR="0060062C" w14:paraId="0F68694C" w14:textId="77777777" w:rsidTr="00C2239F">
        <w:trPr>
          <w:trHeight w:val="60"/>
        </w:trPr>
        <w:tc>
          <w:tcPr>
            <w:tcW w:w="735" w:type="pct"/>
          </w:tcPr>
          <w:p w14:paraId="1748A82B" w14:textId="77777777" w:rsidR="0060062C" w:rsidRDefault="0060062C" w:rsidP="00D51EAE">
            <w:r>
              <w:t>ODI</w:t>
            </w:r>
          </w:p>
        </w:tc>
        <w:tc>
          <w:tcPr>
            <w:tcW w:w="4265" w:type="pct"/>
          </w:tcPr>
          <w:p w14:paraId="59683FE7" w14:textId="77777777" w:rsidR="0060062C" w:rsidRDefault="0060062C" w:rsidP="00D51EAE">
            <w:r>
              <w:t>Oswestry Disability Index</w:t>
            </w:r>
          </w:p>
        </w:tc>
      </w:tr>
      <w:tr w:rsidR="0060062C" w14:paraId="0FD958BB" w14:textId="77777777" w:rsidTr="00C2239F">
        <w:trPr>
          <w:trHeight w:val="60"/>
        </w:trPr>
        <w:tc>
          <w:tcPr>
            <w:tcW w:w="735" w:type="pct"/>
          </w:tcPr>
          <w:p w14:paraId="339C3D0F" w14:textId="77777777" w:rsidR="0060062C" w:rsidRDefault="0060062C" w:rsidP="00D51EAE">
            <w:r>
              <w:t>PROM</w:t>
            </w:r>
          </w:p>
        </w:tc>
        <w:tc>
          <w:tcPr>
            <w:tcW w:w="4265" w:type="pct"/>
          </w:tcPr>
          <w:p w14:paraId="0BDF47FC" w14:textId="77777777" w:rsidR="0060062C" w:rsidRDefault="0060062C" w:rsidP="00D51EAE">
            <w:r>
              <w:t>patient-reported outcome measure</w:t>
            </w:r>
          </w:p>
        </w:tc>
      </w:tr>
      <w:tr w:rsidR="0060062C" w14:paraId="7B452327" w14:textId="77777777" w:rsidTr="00C2239F">
        <w:trPr>
          <w:trHeight w:val="60"/>
        </w:trPr>
        <w:tc>
          <w:tcPr>
            <w:tcW w:w="735" w:type="pct"/>
          </w:tcPr>
          <w:p w14:paraId="202DAAAB" w14:textId="77777777" w:rsidR="0060062C" w:rsidRDefault="0060062C" w:rsidP="00D51EAE">
            <w:r>
              <w:t>RMDQ</w:t>
            </w:r>
          </w:p>
        </w:tc>
        <w:tc>
          <w:tcPr>
            <w:tcW w:w="4265" w:type="pct"/>
          </w:tcPr>
          <w:p w14:paraId="12F92675" w14:textId="77777777" w:rsidR="0060062C" w:rsidRDefault="0060062C" w:rsidP="00D51EAE">
            <w:r>
              <w:t>Roland Morris Disability Questionnaire</w:t>
            </w:r>
          </w:p>
        </w:tc>
      </w:tr>
    </w:tbl>
    <w:p w14:paraId="26628867" w14:textId="77777777" w:rsidR="0060062C" w:rsidRDefault="0060062C" w:rsidP="0060062C">
      <w:pPr>
        <w:rPr>
          <w:sz w:val="40"/>
          <w:szCs w:val="40"/>
        </w:rPr>
      </w:pPr>
    </w:p>
    <w:p w14:paraId="2D17AD5D" w14:textId="77777777" w:rsidR="0060062C" w:rsidRDefault="0060062C" w:rsidP="0060062C">
      <w:pPr>
        <w:pStyle w:val="Heading1"/>
      </w:pPr>
      <w:bookmarkStart w:id="9" w:name="_Toc175215362"/>
      <w:r>
        <w:lastRenderedPageBreak/>
        <w:t>Quick guide – PROM recommendations for low back pain</w:t>
      </w:r>
      <w:bookmarkEnd w:id="9"/>
    </w:p>
    <w:p w14:paraId="00628961" w14:textId="77777777" w:rsidR="0060062C" w:rsidRDefault="0060062C" w:rsidP="0060062C">
      <w:pPr>
        <w:pStyle w:val="LargeFirstPara"/>
      </w:pPr>
      <w:r>
        <w:t>This two-page quick guide summarises the recommendations. It may be used and adapted to support communication and implementation of PROM recommendations.</w:t>
      </w:r>
    </w:p>
    <w:p w14:paraId="5F3CF161" w14:textId="77777777" w:rsidR="0060062C" w:rsidRDefault="0060062C" w:rsidP="0060062C">
      <w:r>
        <w:t>Low back pain affects most people at some point in their lives.</w:t>
      </w:r>
      <w:r>
        <w:rPr>
          <w:rStyle w:val="Superscript"/>
        </w:rPr>
        <w:t>1</w:t>
      </w:r>
      <w:r>
        <w:t xml:space="preserve"> It often leads to psychological distress and poorer quality of life</w:t>
      </w:r>
      <w:r>
        <w:rPr>
          <w:rStyle w:val="Superscript"/>
        </w:rPr>
        <w:t>2</w:t>
      </w:r>
      <w:r>
        <w:t>, and is the leading cause of disability worldwide.</w:t>
      </w:r>
      <w:r>
        <w:rPr>
          <w:rStyle w:val="Superscript"/>
        </w:rPr>
        <w:t>1,3</w:t>
      </w:r>
      <w:r>
        <w:t xml:space="preserve"> </w:t>
      </w:r>
    </w:p>
    <w:p w14:paraId="4004F759" w14:textId="77777777" w:rsidR="0060062C" w:rsidRDefault="0060062C" w:rsidP="0060062C">
      <w:r>
        <w:t>Using patient-reported outcome measures (PROMs) can support clinicians to:</w:t>
      </w:r>
    </w:p>
    <w:p w14:paraId="1991E2C8" w14:textId="77777777" w:rsidR="0060062C" w:rsidRDefault="0060062C" w:rsidP="0060062C">
      <w:pPr>
        <w:pStyle w:val="ListParagraph"/>
      </w:pPr>
      <w:r>
        <w:t>Partner with patients in the management of their pain</w:t>
      </w:r>
    </w:p>
    <w:p w14:paraId="0CB5D725" w14:textId="77777777" w:rsidR="0060062C" w:rsidRDefault="0060062C" w:rsidP="0060062C">
      <w:pPr>
        <w:pStyle w:val="ListParagraph"/>
      </w:pPr>
      <w:r>
        <w:t xml:space="preserve">Assess and monitor the progress of low back pain and interventions from the patient’s perspective. </w:t>
      </w:r>
    </w:p>
    <w:p w14:paraId="370B5AAB" w14:textId="03FE3306" w:rsidR="0060062C" w:rsidRDefault="0060062C" w:rsidP="0060062C">
      <w:r>
        <w:t xml:space="preserve">The Australian Commission on Safety and Quality in Health Care (the Commission) has developed evidence- and consensus-based recommendations for the use of PROMs for low back pain. These recommendations are intended to maximise the clinical usefulness of PROMs and minimise survey fatigue. </w:t>
      </w:r>
      <w:r w:rsidR="005E3041" w:rsidRPr="005E3041">
        <w:rPr>
          <w:rStyle w:val="Cross-reference"/>
        </w:rPr>
        <w:fldChar w:fldCharType="begin"/>
      </w:r>
      <w:r w:rsidR="005E3041" w:rsidRPr="005E3041">
        <w:rPr>
          <w:rStyle w:val="Cross-reference"/>
        </w:rPr>
        <w:instrText xml:space="preserve"> REF F1 \h </w:instrText>
      </w:r>
      <w:r w:rsidR="005E3041">
        <w:rPr>
          <w:rStyle w:val="Cross-reference"/>
        </w:rPr>
        <w:instrText xml:space="preserve"> \* MERGEFORMAT </w:instrText>
      </w:r>
      <w:r w:rsidR="005E3041" w:rsidRPr="005E3041">
        <w:rPr>
          <w:rStyle w:val="Cross-reference"/>
        </w:rPr>
      </w:r>
      <w:r w:rsidR="005E3041" w:rsidRPr="005E3041">
        <w:rPr>
          <w:rStyle w:val="Cross-reference"/>
        </w:rPr>
        <w:fldChar w:fldCharType="separate"/>
      </w:r>
      <w:r w:rsidR="005E3041" w:rsidRPr="005E3041">
        <w:rPr>
          <w:rStyle w:val="Cross-reference"/>
        </w:rPr>
        <w:t>Figure 1</w:t>
      </w:r>
      <w:r w:rsidR="005E3041" w:rsidRPr="005E3041">
        <w:rPr>
          <w:rStyle w:val="Cross-reference"/>
        </w:rPr>
        <w:fldChar w:fldCharType="end"/>
      </w:r>
      <w:r>
        <w:t xml:space="preserve"> shows the recommended PROMs for measuring the outcomes important to people with low back pain receiving either non-surgical or surgical interventions.</w:t>
      </w:r>
    </w:p>
    <w:p w14:paraId="49A21CC0" w14:textId="77777777" w:rsidR="0060062C" w:rsidRDefault="0060062C" w:rsidP="0060062C">
      <w:pPr>
        <w:pStyle w:val="Caption"/>
      </w:pPr>
      <w:bookmarkStart w:id="10" w:name="F1"/>
      <w:r>
        <w:t>Figure 1</w:t>
      </w:r>
      <w:bookmarkEnd w:id="10"/>
      <w:r>
        <w:t>: Overview of recommended PROMs for low back pain in patients receiving non</w:t>
      </w:r>
      <w:r>
        <w:rPr>
          <w:rFonts w:ascii="Cambria Math" w:hAnsi="Cambria Math" w:cs="Cambria Math"/>
        </w:rPr>
        <w:t>‑</w:t>
      </w:r>
      <w:r>
        <w:t>surgical or surgical interventions, for people aged 16 and over</w:t>
      </w:r>
    </w:p>
    <w:p w14:paraId="6B35C84A" w14:textId="00D0C6CC" w:rsidR="0060062C" w:rsidRPr="00080F1E" w:rsidRDefault="001435EA" w:rsidP="00080F1E">
      <w:pPr>
        <w:ind w:hanging="284"/>
      </w:pPr>
      <w:r w:rsidRPr="00080F1E">
        <w:rPr>
          <w:noProof/>
        </w:rPr>
        <w:drawing>
          <wp:inline distT="0" distB="0" distL="0" distR="0" wp14:anchorId="646723B3" wp14:editId="6AAD488A">
            <wp:extent cx="6168008" cy="3733938"/>
            <wp:effectExtent l="0" t="0" r="0" b="0"/>
            <wp:docPr id="470634950" name="Picture 1" descr="Figure 1: Overview of recommended PROMs for low back pain in patients receiving non‑surgical or surgical interventions, for people aged 16 and over&#10;&#10;Pain: &#10;Measure using Numerical Pain Rating Scale&#10;&#10;Physical functioning: &#10;Measure using Oswestry Disability Index or Roland Morris Disability Questionnaire&#10;&#10;Negative affect*:&#10;Measure using Depression Anxiety Stress Scale – 21 items or Mayi Kuwayu Modified Kessler 5†&#10;&#10;Health-related quality of life:  &#10;(Optional) Measure using EuroQol – 5 Dimensions – 5 Level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34950" name="Picture 1" descr="Figure 1: Overview of recommended PROMs for low back pain in patients receiving non‑surgical or surgical interventions, for people aged 16 and over&#10;&#10;Pain: &#10;Measure using Numerical Pain Rating Scale&#10;&#10;Physical functioning: &#10;Measure using Oswestry Disability Index or Roland Morris Disability Questionnaire&#10;&#10;Negative affect*:&#10;Measure using Depression Anxiety Stress Scale – 21 items or Mayi Kuwayu Modified Kessler 5†&#10;&#10;Health-related quality of life:  &#10;(Optional) Measure using EuroQol – 5 Dimensions – 5 Levels &#10;&#10;"/>
                    <pic:cNvPicPr/>
                  </pic:nvPicPr>
                  <pic:blipFill>
                    <a:blip r:embed="rId17">
                      <a:extLst>
                        <a:ext uri="{28A0092B-C50C-407E-A947-70E740481C1C}">
                          <a14:useLocalDpi xmlns:a14="http://schemas.microsoft.com/office/drawing/2010/main" val="0"/>
                        </a:ext>
                      </a:extLst>
                    </a:blip>
                    <a:stretch>
                      <a:fillRect/>
                    </a:stretch>
                  </pic:blipFill>
                  <pic:spPr>
                    <a:xfrm>
                      <a:off x="0" y="0"/>
                      <a:ext cx="6168008" cy="3733938"/>
                    </a:xfrm>
                    <a:prstGeom prst="rect">
                      <a:avLst/>
                    </a:prstGeom>
                  </pic:spPr>
                </pic:pic>
              </a:graphicData>
            </a:graphic>
          </wp:inline>
        </w:drawing>
      </w:r>
    </w:p>
    <w:p w14:paraId="0951B739" w14:textId="77777777" w:rsidR="0060062C" w:rsidRPr="001435EA" w:rsidRDefault="0060062C" w:rsidP="001435EA">
      <w:pPr>
        <w:pStyle w:val="FootnoteText"/>
      </w:pPr>
      <w:r>
        <w:t xml:space="preserve">* For patients with chronic low </w:t>
      </w:r>
      <w:r w:rsidRPr="001435EA">
        <w:t xml:space="preserve">back pain, or who are at risk of developing chronic back pain. </w:t>
      </w:r>
    </w:p>
    <w:p w14:paraId="1EEEAE65" w14:textId="77777777" w:rsidR="0060062C" w:rsidRDefault="0060062C" w:rsidP="001435EA">
      <w:pPr>
        <w:pStyle w:val="FootnoteText"/>
      </w:pPr>
      <w:r w:rsidRPr="001435EA">
        <w:t>† For Aboriginal and Torres Strait</w:t>
      </w:r>
      <w:r>
        <w:t xml:space="preserve"> Islander people. </w:t>
      </w:r>
    </w:p>
    <w:p w14:paraId="0D3DF129" w14:textId="77777777" w:rsidR="0031696F" w:rsidRDefault="0031696F" w:rsidP="00B73BD3">
      <w:pPr>
        <w:pStyle w:val="Heading2"/>
        <w:sectPr w:rsidR="0031696F" w:rsidSect="000E0432">
          <w:headerReference w:type="even" r:id="rId18"/>
          <w:headerReference w:type="default" r:id="rId19"/>
          <w:footerReference w:type="default" r:id="rId20"/>
          <w:headerReference w:type="first" r:id="rId21"/>
          <w:footnotePr>
            <w:numFmt w:val="chicago"/>
            <w:numRestart w:val="eachPage"/>
          </w:footnotePr>
          <w:type w:val="continuous"/>
          <w:pgSz w:w="11900" w:h="16840"/>
          <w:pgMar w:top="1418" w:right="1418" w:bottom="1134" w:left="1418" w:header="709" w:footer="709" w:gutter="0"/>
          <w:cols w:space="708"/>
          <w:docGrid w:linePitch="360"/>
        </w:sectPr>
      </w:pPr>
    </w:p>
    <w:p w14:paraId="45A5245E" w14:textId="77777777" w:rsidR="0060062C" w:rsidRDefault="0060062C" w:rsidP="00B73BD3">
      <w:pPr>
        <w:pStyle w:val="Heading2"/>
      </w:pPr>
      <w:r>
        <w:lastRenderedPageBreak/>
        <w:t xml:space="preserve">Summary of recommendations </w:t>
      </w:r>
    </w:p>
    <w:p w14:paraId="6B711585" w14:textId="05D77CE5" w:rsidR="0060062C" w:rsidRDefault="0060062C" w:rsidP="0060062C">
      <w:r>
        <w:t xml:space="preserve">There are many outcomes that are important to people who present with low back pain, including improving pain and being able to participate in daily activities. PROMs can be used to measure these outcomes to help assess and monitor progress from a patient’s perspective. For some outcomes, more than one PROM has been identified, and implementers can select one of these. </w:t>
      </w:r>
      <w:r w:rsidR="00815A52" w:rsidRPr="00815A52">
        <w:rPr>
          <w:rStyle w:val="Cross-reference"/>
        </w:rPr>
        <w:fldChar w:fldCharType="begin"/>
      </w:r>
      <w:r w:rsidR="00815A52" w:rsidRPr="00815A52">
        <w:rPr>
          <w:rStyle w:val="Cross-reference"/>
        </w:rPr>
        <w:instrText xml:space="preserve"> REF T1 \h </w:instrText>
      </w:r>
      <w:r w:rsidR="00815A52">
        <w:rPr>
          <w:rStyle w:val="Cross-reference"/>
        </w:rPr>
        <w:instrText xml:space="preserve"> \* MERGEFORMAT </w:instrText>
      </w:r>
      <w:r w:rsidR="00815A52" w:rsidRPr="00815A52">
        <w:rPr>
          <w:rStyle w:val="Cross-reference"/>
        </w:rPr>
      </w:r>
      <w:r w:rsidR="00815A52" w:rsidRPr="00815A52">
        <w:rPr>
          <w:rStyle w:val="Cross-reference"/>
        </w:rPr>
        <w:fldChar w:fldCharType="separate"/>
      </w:r>
      <w:r w:rsidR="00815A52" w:rsidRPr="00815A52">
        <w:rPr>
          <w:rStyle w:val="Cross-reference"/>
        </w:rPr>
        <w:t>Table 1</w:t>
      </w:r>
      <w:r w:rsidR="00815A52" w:rsidRPr="00815A52">
        <w:rPr>
          <w:rStyle w:val="Cross-reference"/>
        </w:rPr>
        <w:fldChar w:fldCharType="end"/>
      </w:r>
      <w:r>
        <w:t xml:space="preserve"> provides a summary of the recommended PROMs to use concurrently for low back pain.</w:t>
      </w:r>
    </w:p>
    <w:p w14:paraId="6C537451" w14:textId="77777777" w:rsidR="0060062C" w:rsidRDefault="0060062C" w:rsidP="0060062C">
      <w:pPr>
        <w:pStyle w:val="Caption"/>
      </w:pPr>
      <w:bookmarkStart w:id="11" w:name="T1"/>
      <w:r>
        <w:t>Table 1</w:t>
      </w:r>
      <w:bookmarkEnd w:id="11"/>
      <w:r>
        <w:t>: Summary of recommended PROMs for low back pain</w:t>
      </w:r>
    </w:p>
    <w:tbl>
      <w:tblPr>
        <w:tblStyle w:val="PROMTable"/>
        <w:tblW w:w="5000" w:type="pct"/>
        <w:tblLook w:val="0620" w:firstRow="1" w:lastRow="0" w:firstColumn="0" w:lastColumn="0" w:noHBand="1" w:noVBand="1"/>
        <w:tblDescription w:val="Table 1: Summary of recommended PROMs for low back pain"/>
      </w:tblPr>
      <w:tblGrid>
        <w:gridCol w:w="2649"/>
        <w:gridCol w:w="2408"/>
        <w:gridCol w:w="1278"/>
        <w:gridCol w:w="1559"/>
        <w:gridCol w:w="3402"/>
        <w:gridCol w:w="2902"/>
      </w:tblGrid>
      <w:tr w:rsidR="0009266C" w14:paraId="6EC10E22" w14:textId="77777777" w:rsidTr="0009266C">
        <w:trPr>
          <w:cnfStyle w:val="100000000000" w:firstRow="1" w:lastRow="0" w:firstColumn="0" w:lastColumn="0" w:oddVBand="0" w:evenVBand="0" w:oddHBand="0" w:evenHBand="0" w:firstRowFirstColumn="0" w:firstRowLastColumn="0" w:lastRowFirstColumn="0" w:lastRowLastColumn="0"/>
          <w:trHeight w:val="60"/>
        </w:trPr>
        <w:tc>
          <w:tcPr>
            <w:tcW w:w="933" w:type="pct"/>
            <w:tcBorders>
              <w:top w:val="single" w:sz="36" w:space="0" w:color="125370" w:themeColor="accent3"/>
              <w:left w:val="single" w:sz="36" w:space="0" w:color="125370" w:themeColor="accent3"/>
              <w:bottom w:val="single" w:sz="36" w:space="0" w:color="125370" w:themeColor="accent3"/>
              <w:right w:val="nil"/>
            </w:tcBorders>
          </w:tcPr>
          <w:p w14:paraId="58A241EF" w14:textId="77777777" w:rsidR="0060062C" w:rsidRDefault="0060062C" w:rsidP="00D51EAE">
            <w:r>
              <w:t>Outcome</w:t>
            </w:r>
          </w:p>
        </w:tc>
        <w:tc>
          <w:tcPr>
            <w:tcW w:w="848" w:type="pct"/>
            <w:tcBorders>
              <w:top w:val="single" w:sz="36" w:space="0" w:color="125370" w:themeColor="accent3"/>
              <w:left w:val="nil"/>
              <w:bottom w:val="single" w:sz="36" w:space="0" w:color="125370" w:themeColor="accent3"/>
              <w:right w:val="nil"/>
            </w:tcBorders>
          </w:tcPr>
          <w:p w14:paraId="63C84710" w14:textId="77777777" w:rsidR="0060062C" w:rsidRDefault="0060062C" w:rsidP="00D51EAE">
            <w:r>
              <w:t>Measure</w:t>
            </w:r>
          </w:p>
        </w:tc>
        <w:tc>
          <w:tcPr>
            <w:tcW w:w="450" w:type="pct"/>
            <w:tcBorders>
              <w:top w:val="single" w:sz="36" w:space="0" w:color="125370" w:themeColor="accent3"/>
              <w:left w:val="nil"/>
              <w:bottom w:val="single" w:sz="36" w:space="0" w:color="125370" w:themeColor="accent3"/>
              <w:right w:val="nil"/>
            </w:tcBorders>
          </w:tcPr>
          <w:p w14:paraId="155B1778" w14:textId="77777777" w:rsidR="0060062C" w:rsidRDefault="0060062C" w:rsidP="004262E4">
            <w:pPr>
              <w:jc w:val="center"/>
            </w:pPr>
            <w:r>
              <w:t>Number of items</w:t>
            </w:r>
          </w:p>
        </w:tc>
        <w:tc>
          <w:tcPr>
            <w:tcW w:w="549" w:type="pct"/>
            <w:tcBorders>
              <w:top w:val="single" w:sz="36" w:space="0" w:color="125370" w:themeColor="accent3"/>
              <w:left w:val="nil"/>
              <w:bottom w:val="single" w:sz="36" w:space="0" w:color="125370" w:themeColor="accent3"/>
              <w:right w:val="nil"/>
            </w:tcBorders>
          </w:tcPr>
          <w:p w14:paraId="62A00439" w14:textId="77777777" w:rsidR="0060062C" w:rsidRDefault="0060062C" w:rsidP="00D51EAE">
            <w:r>
              <w:t>Time to complete</w:t>
            </w:r>
          </w:p>
        </w:tc>
        <w:tc>
          <w:tcPr>
            <w:tcW w:w="1198" w:type="pct"/>
            <w:tcBorders>
              <w:top w:val="single" w:sz="36" w:space="0" w:color="125370" w:themeColor="accent3"/>
              <w:left w:val="nil"/>
              <w:bottom w:val="single" w:sz="36" w:space="0" w:color="125370" w:themeColor="accent3"/>
              <w:right w:val="nil"/>
            </w:tcBorders>
          </w:tcPr>
          <w:p w14:paraId="2FCEF04D" w14:textId="77777777" w:rsidR="0060062C" w:rsidRDefault="0060062C" w:rsidP="00D51EAE">
            <w:r>
              <w:t>Licensing, fees and distributor</w:t>
            </w:r>
          </w:p>
        </w:tc>
        <w:tc>
          <w:tcPr>
            <w:tcW w:w="1022" w:type="pct"/>
            <w:tcBorders>
              <w:top w:val="single" w:sz="36" w:space="0" w:color="125370" w:themeColor="accent3"/>
              <w:left w:val="nil"/>
              <w:bottom w:val="single" w:sz="36" w:space="0" w:color="125370" w:themeColor="accent3"/>
              <w:right w:val="single" w:sz="36" w:space="0" w:color="125370" w:themeColor="accent3"/>
            </w:tcBorders>
          </w:tcPr>
          <w:p w14:paraId="30E57B89" w14:textId="77777777" w:rsidR="0060062C" w:rsidRDefault="0060062C" w:rsidP="00D51EAE">
            <w:r>
              <w:t>How to score</w:t>
            </w:r>
          </w:p>
        </w:tc>
      </w:tr>
      <w:tr w:rsidR="0009266C" w14:paraId="6FE87E03" w14:textId="77777777" w:rsidTr="0009266C">
        <w:trPr>
          <w:trHeight w:hRule="exact" w:val="170"/>
        </w:trPr>
        <w:tc>
          <w:tcPr>
            <w:tcW w:w="933" w:type="pct"/>
            <w:tcBorders>
              <w:top w:val="single" w:sz="36" w:space="0" w:color="125370" w:themeColor="accent3"/>
              <w:left w:val="nil"/>
              <w:bottom w:val="single" w:sz="36" w:space="0" w:color="DD780B"/>
              <w:right w:val="nil"/>
            </w:tcBorders>
          </w:tcPr>
          <w:p w14:paraId="7F48269C" w14:textId="77777777" w:rsidR="0060062C" w:rsidRDefault="0060062C" w:rsidP="00D51EAE">
            <w:pPr>
              <w:pStyle w:val="NoParagraphStyle"/>
              <w:spacing w:line="240" w:lineRule="auto"/>
              <w:textAlignment w:val="auto"/>
              <w:rPr>
                <w:rFonts w:ascii="Arial" w:hAnsi="Arial" w:cs="Arial"/>
                <w:color w:val="auto"/>
              </w:rPr>
            </w:pPr>
          </w:p>
        </w:tc>
        <w:tc>
          <w:tcPr>
            <w:tcW w:w="848" w:type="pct"/>
            <w:tcBorders>
              <w:top w:val="single" w:sz="36" w:space="0" w:color="125370" w:themeColor="accent3"/>
              <w:left w:val="nil"/>
              <w:bottom w:val="single" w:sz="36" w:space="0" w:color="DD780B"/>
              <w:right w:val="nil"/>
            </w:tcBorders>
          </w:tcPr>
          <w:p w14:paraId="0DFE1D0B" w14:textId="77777777" w:rsidR="0060062C" w:rsidRDefault="0060062C" w:rsidP="00D51EAE">
            <w:pPr>
              <w:pStyle w:val="NoParagraphStyle"/>
              <w:spacing w:line="240" w:lineRule="auto"/>
              <w:textAlignment w:val="auto"/>
              <w:rPr>
                <w:rFonts w:ascii="Arial" w:hAnsi="Arial" w:cs="Arial"/>
                <w:color w:val="auto"/>
              </w:rPr>
            </w:pPr>
          </w:p>
        </w:tc>
        <w:tc>
          <w:tcPr>
            <w:tcW w:w="450" w:type="pct"/>
            <w:tcBorders>
              <w:top w:val="single" w:sz="36" w:space="0" w:color="125370" w:themeColor="accent3"/>
              <w:left w:val="nil"/>
              <w:bottom w:val="single" w:sz="36" w:space="0" w:color="DD780B"/>
              <w:right w:val="nil"/>
            </w:tcBorders>
          </w:tcPr>
          <w:p w14:paraId="68ACF7E6" w14:textId="77777777" w:rsidR="0060062C" w:rsidRDefault="0060062C" w:rsidP="004262E4">
            <w:pPr>
              <w:pStyle w:val="NoParagraphStyle"/>
              <w:spacing w:line="240" w:lineRule="auto"/>
              <w:jc w:val="center"/>
              <w:textAlignment w:val="auto"/>
              <w:rPr>
                <w:rFonts w:ascii="Arial" w:hAnsi="Arial" w:cs="Arial"/>
                <w:color w:val="auto"/>
              </w:rPr>
            </w:pPr>
          </w:p>
        </w:tc>
        <w:tc>
          <w:tcPr>
            <w:tcW w:w="549" w:type="pct"/>
            <w:tcBorders>
              <w:top w:val="single" w:sz="36" w:space="0" w:color="125370" w:themeColor="accent3"/>
              <w:left w:val="nil"/>
              <w:bottom w:val="single" w:sz="36" w:space="0" w:color="DD780B"/>
              <w:right w:val="nil"/>
            </w:tcBorders>
          </w:tcPr>
          <w:p w14:paraId="4EAF28A4" w14:textId="77777777" w:rsidR="0060062C" w:rsidRDefault="0060062C" w:rsidP="00D51EAE">
            <w:pPr>
              <w:pStyle w:val="NoParagraphStyle"/>
              <w:spacing w:line="240" w:lineRule="auto"/>
              <w:textAlignment w:val="auto"/>
              <w:rPr>
                <w:rFonts w:ascii="Arial" w:hAnsi="Arial" w:cs="Arial"/>
                <w:color w:val="auto"/>
              </w:rPr>
            </w:pPr>
          </w:p>
        </w:tc>
        <w:tc>
          <w:tcPr>
            <w:tcW w:w="1198" w:type="pct"/>
            <w:tcBorders>
              <w:top w:val="single" w:sz="36" w:space="0" w:color="125370" w:themeColor="accent3"/>
              <w:left w:val="nil"/>
              <w:bottom w:val="single" w:sz="36" w:space="0" w:color="DD780B"/>
              <w:right w:val="nil"/>
            </w:tcBorders>
          </w:tcPr>
          <w:p w14:paraId="30B6FF9C" w14:textId="77777777" w:rsidR="0060062C" w:rsidRDefault="0060062C" w:rsidP="00D51EAE">
            <w:pPr>
              <w:pStyle w:val="NoParagraphStyle"/>
              <w:spacing w:line="240" w:lineRule="auto"/>
              <w:textAlignment w:val="auto"/>
              <w:rPr>
                <w:rFonts w:ascii="Arial" w:hAnsi="Arial" w:cs="Arial"/>
                <w:color w:val="auto"/>
              </w:rPr>
            </w:pPr>
          </w:p>
        </w:tc>
        <w:tc>
          <w:tcPr>
            <w:tcW w:w="1022" w:type="pct"/>
            <w:tcBorders>
              <w:top w:val="single" w:sz="36" w:space="0" w:color="125370" w:themeColor="accent3"/>
              <w:left w:val="nil"/>
              <w:bottom w:val="single" w:sz="36" w:space="0" w:color="DD780B"/>
              <w:right w:val="nil"/>
            </w:tcBorders>
          </w:tcPr>
          <w:p w14:paraId="7778C9F4" w14:textId="77777777" w:rsidR="0060062C" w:rsidRDefault="0060062C" w:rsidP="00D51EAE">
            <w:pPr>
              <w:pStyle w:val="NoParagraphStyle"/>
              <w:spacing w:line="240" w:lineRule="auto"/>
              <w:textAlignment w:val="auto"/>
              <w:rPr>
                <w:rFonts w:ascii="Arial" w:hAnsi="Arial" w:cs="Arial"/>
                <w:color w:val="auto"/>
              </w:rPr>
            </w:pPr>
          </w:p>
        </w:tc>
      </w:tr>
      <w:tr w:rsidR="004262E4" w14:paraId="50963AA3" w14:textId="77777777" w:rsidTr="0009266C">
        <w:trPr>
          <w:trHeight w:val="60"/>
        </w:trPr>
        <w:tc>
          <w:tcPr>
            <w:tcW w:w="933" w:type="pct"/>
            <w:tcBorders>
              <w:top w:val="single" w:sz="36" w:space="0" w:color="DD780B"/>
              <w:left w:val="single" w:sz="36" w:space="0" w:color="DD780B"/>
              <w:bottom w:val="single" w:sz="36" w:space="0" w:color="DD780B"/>
              <w:right w:val="nil"/>
            </w:tcBorders>
            <w:shd w:val="clear" w:color="auto" w:fill="FDF4E8"/>
          </w:tcPr>
          <w:p w14:paraId="45373A57" w14:textId="77777777" w:rsidR="0060062C" w:rsidRPr="0031696F" w:rsidRDefault="0060062C" w:rsidP="0031696F">
            <w:pPr>
              <w:pStyle w:val="PROMboxsubheadingsmall"/>
            </w:pPr>
            <w:r>
              <w:t>Pain</w:t>
            </w:r>
          </w:p>
        </w:tc>
        <w:tc>
          <w:tcPr>
            <w:tcW w:w="848" w:type="pct"/>
            <w:tcBorders>
              <w:top w:val="single" w:sz="36" w:space="0" w:color="DD780B"/>
              <w:left w:val="nil"/>
              <w:bottom w:val="single" w:sz="36" w:space="0" w:color="DD780B"/>
              <w:right w:val="nil"/>
            </w:tcBorders>
            <w:shd w:val="clear" w:color="auto" w:fill="FDF4E8"/>
          </w:tcPr>
          <w:p w14:paraId="72C6022E" w14:textId="77777777" w:rsidR="0060062C" w:rsidRDefault="0060062C" w:rsidP="00D51EAE">
            <w:r>
              <w:t>Numerical Pain Rating Scale (NPRS)</w:t>
            </w:r>
          </w:p>
        </w:tc>
        <w:tc>
          <w:tcPr>
            <w:tcW w:w="450" w:type="pct"/>
            <w:tcBorders>
              <w:top w:val="single" w:sz="36" w:space="0" w:color="DD780B"/>
              <w:left w:val="nil"/>
              <w:bottom w:val="single" w:sz="36" w:space="0" w:color="DD780B"/>
              <w:right w:val="nil"/>
            </w:tcBorders>
            <w:shd w:val="clear" w:color="auto" w:fill="FDF4E8"/>
          </w:tcPr>
          <w:p w14:paraId="314E921A" w14:textId="77777777" w:rsidR="0060062C" w:rsidRDefault="0060062C" w:rsidP="004262E4">
            <w:pPr>
              <w:jc w:val="center"/>
            </w:pPr>
            <w:r>
              <w:t>1</w:t>
            </w:r>
          </w:p>
        </w:tc>
        <w:tc>
          <w:tcPr>
            <w:tcW w:w="549" w:type="pct"/>
            <w:tcBorders>
              <w:top w:val="single" w:sz="36" w:space="0" w:color="DD780B"/>
              <w:left w:val="nil"/>
              <w:bottom w:val="single" w:sz="36" w:space="0" w:color="DD780B"/>
              <w:right w:val="nil"/>
            </w:tcBorders>
            <w:shd w:val="clear" w:color="auto" w:fill="FDF4E8"/>
          </w:tcPr>
          <w:p w14:paraId="2E47BECC" w14:textId="77777777" w:rsidR="0060062C" w:rsidRDefault="0060062C" w:rsidP="00D51EAE">
            <w:r>
              <w:t>Less than 1 minute</w:t>
            </w:r>
          </w:p>
        </w:tc>
        <w:tc>
          <w:tcPr>
            <w:tcW w:w="1198" w:type="pct"/>
            <w:tcBorders>
              <w:top w:val="single" w:sz="36" w:space="0" w:color="DD780B"/>
              <w:left w:val="nil"/>
              <w:bottom w:val="single" w:sz="36" w:space="0" w:color="DD780B"/>
              <w:right w:val="nil"/>
            </w:tcBorders>
            <w:shd w:val="clear" w:color="auto" w:fill="FDF4E8"/>
          </w:tcPr>
          <w:p w14:paraId="116F594D" w14:textId="77777777" w:rsidR="0060062C" w:rsidRDefault="0060062C" w:rsidP="00660542">
            <w:pPr>
              <w:pStyle w:val="ListBullet"/>
            </w:pPr>
            <w:r>
              <w:t xml:space="preserve">Licence not required </w:t>
            </w:r>
          </w:p>
          <w:p w14:paraId="77C1937F" w14:textId="77777777" w:rsidR="0060062C" w:rsidRDefault="0060062C" w:rsidP="00660542">
            <w:pPr>
              <w:pStyle w:val="ListBullet"/>
            </w:pPr>
            <w:r>
              <w:t>Free in public domain</w:t>
            </w:r>
          </w:p>
        </w:tc>
        <w:tc>
          <w:tcPr>
            <w:tcW w:w="1022" w:type="pct"/>
            <w:tcBorders>
              <w:top w:val="single" w:sz="36" w:space="0" w:color="DD780B"/>
              <w:left w:val="nil"/>
              <w:bottom w:val="single" w:sz="36" w:space="0" w:color="DD780B"/>
              <w:right w:val="single" w:sz="36" w:space="0" w:color="DD780B"/>
            </w:tcBorders>
            <w:shd w:val="clear" w:color="auto" w:fill="FDF4E8"/>
          </w:tcPr>
          <w:p w14:paraId="584455A3" w14:textId="77777777" w:rsidR="0060062C" w:rsidRDefault="0060062C" w:rsidP="00D51EAE">
            <w:r>
              <w:t>Not applicable</w:t>
            </w:r>
          </w:p>
        </w:tc>
      </w:tr>
      <w:tr w:rsidR="0009266C" w14:paraId="48CD4D7C" w14:textId="77777777" w:rsidTr="0009266C">
        <w:trPr>
          <w:trHeight w:hRule="exact" w:val="170"/>
        </w:trPr>
        <w:tc>
          <w:tcPr>
            <w:tcW w:w="933" w:type="pct"/>
            <w:tcBorders>
              <w:top w:val="single" w:sz="36" w:space="0" w:color="DD780B"/>
              <w:left w:val="nil"/>
              <w:bottom w:val="single" w:sz="36" w:space="0" w:color="00A9DD" w:themeColor="accent2"/>
              <w:right w:val="nil"/>
            </w:tcBorders>
          </w:tcPr>
          <w:p w14:paraId="2E5452B0" w14:textId="77777777" w:rsidR="0060062C" w:rsidRDefault="0060062C" w:rsidP="00D51EAE">
            <w:pPr>
              <w:pStyle w:val="NoParagraphStyle"/>
              <w:spacing w:line="240" w:lineRule="auto"/>
              <w:textAlignment w:val="auto"/>
              <w:rPr>
                <w:rFonts w:ascii="Arial" w:hAnsi="Arial" w:cs="Arial"/>
                <w:color w:val="auto"/>
              </w:rPr>
            </w:pPr>
          </w:p>
        </w:tc>
        <w:tc>
          <w:tcPr>
            <w:tcW w:w="848" w:type="pct"/>
            <w:tcBorders>
              <w:top w:val="single" w:sz="36" w:space="0" w:color="DD780B"/>
              <w:left w:val="nil"/>
              <w:bottom w:val="single" w:sz="36" w:space="0" w:color="00A9DD" w:themeColor="accent2"/>
              <w:right w:val="nil"/>
            </w:tcBorders>
          </w:tcPr>
          <w:p w14:paraId="73F4EABF" w14:textId="77777777" w:rsidR="0060062C" w:rsidRDefault="0060062C" w:rsidP="00D51EAE">
            <w:pPr>
              <w:pStyle w:val="NoParagraphStyle"/>
              <w:spacing w:line="240" w:lineRule="auto"/>
              <w:textAlignment w:val="auto"/>
              <w:rPr>
                <w:rFonts w:ascii="Arial" w:hAnsi="Arial" w:cs="Arial"/>
                <w:color w:val="auto"/>
              </w:rPr>
            </w:pPr>
          </w:p>
        </w:tc>
        <w:tc>
          <w:tcPr>
            <w:tcW w:w="450" w:type="pct"/>
            <w:tcBorders>
              <w:top w:val="single" w:sz="36" w:space="0" w:color="DD780B"/>
              <w:left w:val="nil"/>
              <w:bottom w:val="single" w:sz="36" w:space="0" w:color="00A9DD" w:themeColor="accent2"/>
              <w:right w:val="nil"/>
            </w:tcBorders>
          </w:tcPr>
          <w:p w14:paraId="15DEA62A" w14:textId="77777777" w:rsidR="0060062C" w:rsidRDefault="0060062C" w:rsidP="004262E4">
            <w:pPr>
              <w:pStyle w:val="NoParagraphStyle"/>
              <w:spacing w:line="240" w:lineRule="auto"/>
              <w:jc w:val="center"/>
              <w:textAlignment w:val="auto"/>
              <w:rPr>
                <w:rFonts w:ascii="Arial" w:hAnsi="Arial" w:cs="Arial"/>
                <w:color w:val="auto"/>
              </w:rPr>
            </w:pPr>
          </w:p>
        </w:tc>
        <w:tc>
          <w:tcPr>
            <w:tcW w:w="549" w:type="pct"/>
            <w:tcBorders>
              <w:top w:val="single" w:sz="36" w:space="0" w:color="DD780B"/>
              <w:left w:val="nil"/>
              <w:bottom w:val="single" w:sz="36" w:space="0" w:color="00A9DD" w:themeColor="accent2"/>
              <w:right w:val="nil"/>
            </w:tcBorders>
          </w:tcPr>
          <w:p w14:paraId="199947A4" w14:textId="77777777" w:rsidR="0060062C" w:rsidRDefault="0060062C" w:rsidP="00D51EAE">
            <w:pPr>
              <w:pStyle w:val="NoParagraphStyle"/>
              <w:spacing w:line="240" w:lineRule="auto"/>
              <w:textAlignment w:val="auto"/>
              <w:rPr>
                <w:rFonts w:ascii="Arial" w:hAnsi="Arial" w:cs="Arial"/>
                <w:color w:val="auto"/>
              </w:rPr>
            </w:pPr>
          </w:p>
        </w:tc>
        <w:tc>
          <w:tcPr>
            <w:tcW w:w="1198" w:type="pct"/>
            <w:tcBorders>
              <w:top w:val="single" w:sz="36" w:space="0" w:color="DD780B"/>
              <w:left w:val="nil"/>
              <w:bottom w:val="single" w:sz="36" w:space="0" w:color="00A9DD" w:themeColor="accent2"/>
              <w:right w:val="nil"/>
            </w:tcBorders>
          </w:tcPr>
          <w:p w14:paraId="285E22C4" w14:textId="77777777" w:rsidR="0060062C" w:rsidRDefault="0060062C" w:rsidP="00D51EAE">
            <w:pPr>
              <w:pStyle w:val="NoParagraphStyle"/>
              <w:spacing w:line="240" w:lineRule="auto"/>
              <w:textAlignment w:val="auto"/>
              <w:rPr>
                <w:rFonts w:ascii="Arial" w:hAnsi="Arial" w:cs="Arial"/>
                <w:color w:val="auto"/>
              </w:rPr>
            </w:pPr>
          </w:p>
        </w:tc>
        <w:tc>
          <w:tcPr>
            <w:tcW w:w="1022" w:type="pct"/>
            <w:tcBorders>
              <w:top w:val="single" w:sz="36" w:space="0" w:color="DD780B"/>
              <w:left w:val="nil"/>
              <w:bottom w:val="single" w:sz="36" w:space="0" w:color="00A9DD" w:themeColor="accent2"/>
              <w:right w:val="nil"/>
            </w:tcBorders>
          </w:tcPr>
          <w:p w14:paraId="3E6877EB" w14:textId="77777777" w:rsidR="0060062C" w:rsidRDefault="0060062C" w:rsidP="00D51EAE">
            <w:pPr>
              <w:pStyle w:val="NoParagraphStyle"/>
              <w:spacing w:line="240" w:lineRule="auto"/>
              <w:textAlignment w:val="auto"/>
              <w:rPr>
                <w:rFonts w:ascii="Arial" w:hAnsi="Arial" w:cs="Arial"/>
                <w:color w:val="auto"/>
              </w:rPr>
            </w:pPr>
          </w:p>
        </w:tc>
      </w:tr>
      <w:tr w:rsidR="004262E4" w14:paraId="194E1FB4" w14:textId="77777777" w:rsidTr="0009266C">
        <w:trPr>
          <w:trHeight w:val="60"/>
        </w:trPr>
        <w:tc>
          <w:tcPr>
            <w:tcW w:w="933" w:type="pct"/>
            <w:vMerge w:val="restart"/>
            <w:tcBorders>
              <w:top w:val="single" w:sz="36" w:space="0" w:color="00A9DD" w:themeColor="accent2"/>
              <w:left w:val="single" w:sz="36" w:space="0" w:color="00A9DD" w:themeColor="accent2"/>
              <w:bottom w:val="nil"/>
              <w:right w:val="nil"/>
            </w:tcBorders>
            <w:shd w:val="clear" w:color="auto" w:fill="F6FAFE"/>
          </w:tcPr>
          <w:p w14:paraId="07226318" w14:textId="77777777" w:rsidR="0060062C" w:rsidRDefault="0060062C" w:rsidP="0031696F">
            <w:pPr>
              <w:pStyle w:val="PROMboxsubheadingsmall"/>
            </w:pPr>
            <w:r>
              <w:t xml:space="preserve">Physical functioning </w:t>
            </w:r>
          </w:p>
          <w:p w14:paraId="4D40496A" w14:textId="77777777" w:rsidR="0060062C" w:rsidRDefault="0060062C" w:rsidP="00D51EAE">
            <w:r>
              <w:t>(choose one of either)</w:t>
            </w:r>
          </w:p>
        </w:tc>
        <w:tc>
          <w:tcPr>
            <w:tcW w:w="848" w:type="pct"/>
            <w:tcBorders>
              <w:top w:val="single" w:sz="36" w:space="0" w:color="00A9DD" w:themeColor="accent2"/>
              <w:left w:val="nil"/>
              <w:bottom w:val="single" w:sz="4" w:space="0" w:color="00A9DD" w:themeColor="accent2"/>
              <w:right w:val="nil"/>
            </w:tcBorders>
            <w:shd w:val="clear" w:color="auto" w:fill="F6FAFE"/>
          </w:tcPr>
          <w:p w14:paraId="364D3C1A" w14:textId="77777777" w:rsidR="0060062C" w:rsidRDefault="0060062C" w:rsidP="00D51EAE">
            <w:r>
              <w:t>Oswestry Disability Index (ODI)</w:t>
            </w:r>
          </w:p>
        </w:tc>
        <w:tc>
          <w:tcPr>
            <w:tcW w:w="450" w:type="pct"/>
            <w:tcBorders>
              <w:top w:val="single" w:sz="36" w:space="0" w:color="00A9DD" w:themeColor="accent2"/>
              <w:left w:val="nil"/>
              <w:bottom w:val="single" w:sz="4" w:space="0" w:color="00A9DD" w:themeColor="accent2"/>
              <w:right w:val="nil"/>
            </w:tcBorders>
            <w:shd w:val="clear" w:color="auto" w:fill="F6FAFE"/>
          </w:tcPr>
          <w:p w14:paraId="4C078E0E" w14:textId="77777777" w:rsidR="0060062C" w:rsidRDefault="0060062C" w:rsidP="004262E4">
            <w:pPr>
              <w:jc w:val="center"/>
            </w:pPr>
            <w:r>
              <w:t>10</w:t>
            </w:r>
          </w:p>
        </w:tc>
        <w:tc>
          <w:tcPr>
            <w:tcW w:w="549" w:type="pct"/>
            <w:tcBorders>
              <w:top w:val="single" w:sz="36" w:space="0" w:color="00A9DD" w:themeColor="accent2"/>
              <w:left w:val="nil"/>
              <w:bottom w:val="single" w:sz="4" w:space="0" w:color="00A9DD" w:themeColor="accent2"/>
              <w:right w:val="nil"/>
            </w:tcBorders>
            <w:shd w:val="clear" w:color="auto" w:fill="F6FAFE"/>
          </w:tcPr>
          <w:p w14:paraId="58E19C68" w14:textId="77777777" w:rsidR="0060062C" w:rsidRDefault="0060062C" w:rsidP="00D51EAE">
            <w:r>
              <w:t>3–5 minutes</w:t>
            </w:r>
          </w:p>
        </w:tc>
        <w:tc>
          <w:tcPr>
            <w:tcW w:w="1198" w:type="pct"/>
            <w:tcBorders>
              <w:top w:val="single" w:sz="36" w:space="0" w:color="00A9DD" w:themeColor="accent2"/>
              <w:left w:val="nil"/>
              <w:bottom w:val="single" w:sz="4" w:space="0" w:color="00A9DD" w:themeColor="accent2"/>
              <w:right w:val="nil"/>
            </w:tcBorders>
            <w:shd w:val="clear" w:color="auto" w:fill="F6FAFE"/>
          </w:tcPr>
          <w:p w14:paraId="623A1C25" w14:textId="77777777" w:rsidR="0060062C" w:rsidRDefault="0060062C" w:rsidP="00660542">
            <w:pPr>
              <w:pStyle w:val="ListBullet"/>
            </w:pPr>
            <w:r>
              <w:t>Licence required</w:t>
            </w:r>
          </w:p>
          <w:p w14:paraId="6A569387" w14:textId="77777777" w:rsidR="0060062C" w:rsidRDefault="0060062C" w:rsidP="00660542">
            <w:pPr>
              <w:pStyle w:val="ListBullet"/>
            </w:pPr>
            <w:r>
              <w:t>Free for clinical practice</w:t>
            </w:r>
          </w:p>
          <w:p w14:paraId="166684F4" w14:textId="77777777" w:rsidR="0060062C" w:rsidRDefault="0060062C" w:rsidP="00660542">
            <w:pPr>
              <w:pStyle w:val="ListBullet"/>
            </w:pPr>
            <w:r>
              <w:t xml:space="preserve">Fees may apply to healthcare organisations </w:t>
            </w:r>
          </w:p>
          <w:p w14:paraId="76072F1F" w14:textId="77777777" w:rsidR="0060062C" w:rsidRDefault="00000000" w:rsidP="00660542">
            <w:pPr>
              <w:pStyle w:val="ListBullet"/>
            </w:pPr>
            <w:hyperlink r:id="rId22" w:history="1">
              <w:r w:rsidR="0060062C">
                <w:rPr>
                  <w:rStyle w:val="Hyperlink"/>
                </w:rPr>
                <w:t>MAPI Research Trust ePROVIDE™</w:t>
              </w:r>
            </w:hyperlink>
          </w:p>
        </w:tc>
        <w:tc>
          <w:tcPr>
            <w:tcW w:w="1022" w:type="pct"/>
            <w:tcBorders>
              <w:top w:val="single" w:sz="36" w:space="0" w:color="00A9DD" w:themeColor="accent2"/>
              <w:left w:val="nil"/>
              <w:bottom w:val="single" w:sz="4" w:space="0" w:color="00A9DD" w:themeColor="accent2"/>
              <w:right w:val="single" w:sz="36" w:space="0" w:color="00A9DD" w:themeColor="accent2"/>
            </w:tcBorders>
            <w:shd w:val="clear" w:color="auto" w:fill="F6FAFE"/>
          </w:tcPr>
          <w:p w14:paraId="0CA7B818" w14:textId="77777777" w:rsidR="0060062C" w:rsidRDefault="0060062C" w:rsidP="00D51EAE">
            <w:r>
              <w:t xml:space="preserve">Scoring guide at </w:t>
            </w:r>
            <w:hyperlink r:id="rId23" w:history="1">
              <w:r>
                <w:rPr>
                  <w:rStyle w:val="Hyperlink"/>
                </w:rPr>
                <w:t>MAPI Research Trust ePROVIDE™</w:t>
              </w:r>
            </w:hyperlink>
          </w:p>
        </w:tc>
      </w:tr>
      <w:tr w:rsidR="004262E4" w14:paraId="6539110D" w14:textId="77777777" w:rsidTr="0009266C">
        <w:trPr>
          <w:trHeight w:val="60"/>
        </w:trPr>
        <w:tc>
          <w:tcPr>
            <w:tcW w:w="933" w:type="pct"/>
            <w:vMerge/>
            <w:tcBorders>
              <w:top w:val="nil"/>
              <w:left w:val="single" w:sz="36" w:space="0" w:color="00A9DD" w:themeColor="accent2"/>
              <w:bottom w:val="single" w:sz="36" w:space="0" w:color="00A9DD" w:themeColor="accent2"/>
              <w:right w:val="nil"/>
            </w:tcBorders>
            <w:shd w:val="clear" w:color="auto" w:fill="F6FAFE"/>
          </w:tcPr>
          <w:p w14:paraId="6522EB98" w14:textId="77777777" w:rsidR="0060062C" w:rsidRDefault="0060062C" w:rsidP="00D51EAE">
            <w:pPr>
              <w:pStyle w:val="NoParagraphStyle"/>
              <w:spacing w:line="240" w:lineRule="auto"/>
              <w:textAlignment w:val="auto"/>
              <w:rPr>
                <w:rFonts w:ascii="Arial" w:hAnsi="Arial" w:cs="Arial"/>
                <w:color w:val="auto"/>
              </w:rPr>
            </w:pPr>
          </w:p>
        </w:tc>
        <w:tc>
          <w:tcPr>
            <w:tcW w:w="848" w:type="pct"/>
            <w:tcBorders>
              <w:top w:val="single" w:sz="4" w:space="0" w:color="00A9DD" w:themeColor="accent2"/>
              <w:left w:val="nil"/>
              <w:bottom w:val="single" w:sz="36" w:space="0" w:color="00A9DD" w:themeColor="accent2"/>
              <w:right w:val="nil"/>
            </w:tcBorders>
            <w:shd w:val="clear" w:color="auto" w:fill="F6FAFE"/>
          </w:tcPr>
          <w:p w14:paraId="07B510B2" w14:textId="77777777" w:rsidR="0060062C" w:rsidRDefault="0060062C" w:rsidP="00D51EAE">
            <w:r>
              <w:t>Roland Morris Disability Questionnaire (RMDQ)</w:t>
            </w:r>
          </w:p>
        </w:tc>
        <w:tc>
          <w:tcPr>
            <w:tcW w:w="450" w:type="pct"/>
            <w:tcBorders>
              <w:top w:val="single" w:sz="4" w:space="0" w:color="00A9DD" w:themeColor="accent2"/>
              <w:left w:val="nil"/>
              <w:bottom w:val="single" w:sz="36" w:space="0" w:color="00A9DD" w:themeColor="accent2"/>
              <w:right w:val="nil"/>
            </w:tcBorders>
            <w:shd w:val="clear" w:color="auto" w:fill="F6FAFE"/>
          </w:tcPr>
          <w:p w14:paraId="484E3469" w14:textId="77777777" w:rsidR="0060062C" w:rsidRDefault="0060062C" w:rsidP="004262E4">
            <w:pPr>
              <w:jc w:val="center"/>
            </w:pPr>
            <w:r>
              <w:t>24</w:t>
            </w:r>
          </w:p>
        </w:tc>
        <w:tc>
          <w:tcPr>
            <w:tcW w:w="549" w:type="pct"/>
            <w:tcBorders>
              <w:top w:val="single" w:sz="4" w:space="0" w:color="00A9DD" w:themeColor="accent2"/>
              <w:left w:val="nil"/>
              <w:bottom w:val="single" w:sz="36" w:space="0" w:color="00A9DD" w:themeColor="accent2"/>
              <w:right w:val="nil"/>
            </w:tcBorders>
            <w:shd w:val="clear" w:color="auto" w:fill="F6FAFE"/>
          </w:tcPr>
          <w:p w14:paraId="7B3D7F60" w14:textId="77777777" w:rsidR="0060062C" w:rsidRDefault="0060062C" w:rsidP="00D51EAE">
            <w:r>
              <w:t>5 minutes</w:t>
            </w:r>
          </w:p>
        </w:tc>
        <w:tc>
          <w:tcPr>
            <w:tcW w:w="1198" w:type="pct"/>
            <w:tcBorders>
              <w:top w:val="single" w:sz="4" w:space="0" w:color="00A9DD" w:themeColor="accent2"/>
              <w:left w:val="nil"/>
              <w:bottom w:val="single" w:sz="36" w:space="0" w:color="00A9DD" w:themeColor="accent2"/>
              <w:right w:val="nil"/>
            </w:tcBorders>
            <w:shd w:val="clear" w:color="auto" w:fill="F6FAFE"/>
          </w:tcPr>
          <w:p w14:paraId="014C80E9" w14:textId="77777777" w:rsidR="0060062C" w:rsidRDefault="0060062C" w:rsidP="00660542">
            <w:pPr>
              <w:pStyle w:val="ListBullet"/>
            </w:pPr>
            <w:r>
              <w:t xml:space="preserve">Licence not required </w:t>
            </w:r>
          </w:p>
          <w:p w14:paraId="6EFA2802" w14:textId="77777777" w:rsidR="0060062C" w:rsidRDefault="0060062C" w:rsidP="00660542">
            <w:pPr>
              <w:pStyle w:val="ListBullet"/>
            </w:pPr>
            <w:r>
              <w:t>Free in public domain</w:t>
            </w:r>
          </w:p>
          <w:p w14:paraId="0DDDCBDE" w14:textId="77777777" w:rsidR="0060062C" w:rsidRDefault="00000000" w:rsidP="00660542">
            <w:pPr>
              <w:pStyle w:val="ListBullet"/>
            </w:pPr>
            <w:hyperlink r:id="rId24" w:history="1">
              <w:r w:rsidR="0060062C">
                <w:rPr>
                  <w:rStyle w:val="Hyperlink"/>
                </w:rPr>
                <w:t>www.rmdq.org</w:t>
              </w:r>
            </w:hyperlink>
          </w:p>
        </w:tc>
        <w:tc>
          <w:tcPr>
            <w:tcW w:w="1022" w:type="pct"/>
            <w:tcBorders>
              <w:top w:val="single" w:sz="4" w:space="0" w:color="00A9DD" w:themeColor="accent2"/>
              <w:left w:val="nil"/>
              <w:bottom w:val="single" w:sz="36" w:space="0" w:color="00A9DD" w:themeColor="accent2"/>
              <w:right w:val="single" w:sz="36" w:space="0" w:color="00A9DD" w:themeColor="accent2"/>
            </w:tcBorders>
            <w:shd w:val="clear" w:color="auto" w:fill="F6FAFE"/>
          </w:tcPr>
          <w:p w14:paraId="10E2BB53" w14:textId="77777777" w:rsidR="0060062C" w:rsidRDefault="0060062C" w:rsidP="00D51EAE">
            <w:r>
              <w:t xml:space="preserve">Scoring guide at </w:t>
            </w:r>
            <w:hyperlink r:id="rId25" w:history="1">
              <w:r>
                <w:rPr>
                  <w:rStyle w:val="Hyperlink"/>
                </w:rPr>
                <w:t>www.rmdq.org</w:t>
              </w:r>
            </w:hyperlink>
            <w:r>
              <w:t xml:space="preserve"> </w:t>
            </w:r>
          </w:p>
        </w:tc>
      </w:tr>
      <w:tr w:rsidR="0009266C" w14:paraId="38E7442C" w14:textId="77777777" w:rsidTr="0009266C">
        <w:trPr>
          <w:trHeight w:hRule="exact" w:val="170"/>
        </w:trPr>
        <w:tc>
          <w:tcPr>
            <w:tcW w:w="933" w:type="pct"/>
            <w:tcBorders>
              <w:top w:val="single" w:sz="36" w:space="0" w:color="00A9DD" w:themeColor="accent2"/>
              <w:left w:val="nil"/>
              <w:bottom w:val="single" w:sz="36" w:space="0" w:color="125370" w:themeColor="accent3"/>
              <w:right w:val="nil"/>
            </w:tcBorders>
          </w:tcPr>
          <w:p w14:paraId="59501EE0" w14:textId="77777777" w:rsidR="0060062C" w:rsidRDefault="0060062C" w:rsidP="00D51EAE">
            <w:pPr>
              <w:pStyle w:val="NoParagraphStyle"/>
              <w:spacing w:line="240" w:lineRule="auto"/>
              <w:textAlignment w:val="auto"/>
              <w:rPr>
                <w:rFonts w:ascii="Arial" w:hAnsi="Arial" w:cs="Arial"/>
                <w:color w:val="auto"/>
              </w:rPr>
            </w:pPr>
          </w:p>
        </w:tc>
        <w:tc>
          <w:tcPr>
            <w:tcW w:w="848" w:type="pct"/>
            <w:tcBorders>
              <w:top w:val="single" w:sz="36" w:space="0" w:color="00A9DD" w:themeColor="accent2"/>
              <w:left w:val="nil"/>
              <w:bottom w:val="single" w:sz="36" w:space="0" w:color="125370" w:themeColor="accent3"/>
              <w:right w:val="nil"/>
            </w:tcBorders>
          </w:tcPr>
          <w:p w14:paraId="71BD5A94" w14:textId="77777777" w:rsidR="0060062C" w:rsidRDefault="0060062C" w:rsidP="00D51EAE">
            <w:pPr>
              <w:pStyle w:val="NoParagraphStyle"/>
              <w:spacing w:line="240" w:lineRule="auto"/>
              <w:textAlignment w:val="auto"/>
              <w:rPr>
                <w:rFonts w:ascii="Arial" w:hAnsi="Arial" w:cs="Arial"/>
                <w:color w:val="auto"/>
              </w:rPr>
            </w:pPr>
          </w:p>
        </w:tc>
        <w:tc>
          <w:tcPr>
            <w:tcW w:w="450" w:type="pct"/>
            <w:tcBorders>
              <w:top w:val="single" w:sz="36" w:space="0" w:color="00A9DD" w:themeColor="accent2"/>
              <w:left w:val="nil"/>
              <w:bottom w:val="single" w:sz="36" w:space="0" w:color="125370" w:themeColor="accent3"/>
              <w:right w:val="nil"/>
            </w:tcBorders>
          </w:tcPr>
          <w:p w14:paraId="0848CC7E" w14:textId="77777777" w:rsidR="0060062C" w:rsidRDefault="0060062C" w:rsidP="004262E4">
            <w:pPr>
              <w:pStyle w:val="NoParagraphStyle"/>
              <w:spacing w:line="240" w:lineRule="auto"/>
              <w:jc w:val="center"/>
              <w:textAlignment w:val="auto"/>
              <w:rPr>
                <w:rFonts w:ascii="Arial" w:hAnsi="Arial" w:cs="Arial"/>
                <w:color w:val="auto"/>
              </w:rPr>
            </w:pPr>
          </w:p>
        </w:tc>
        <w:tc>
          <w:tcPr>
            <w:tcW w:w="549" w:type="pct"/>
            <w:tcBorders>
              <w:top w:val="single" w:sz="36" w:space="0" w:color="00A9DD" w:themeColor="accent2"/>
              <w:left w:val="nil"/>
              <w:bottom w:val="single" w:sz="36" w:space="0" w:color="125370" w:themeColor="accent3"/>
              <w:right w:val="nil"/>
            </w:tcBorders>
          </w:tcPr>
          <w:p w14:paraId="6BD9A077" w14:textId="77777777" w:rsidR="0060062C" w:rsidRDefault="0060062C" w:rsidP="00D51EAE">
            <w:pPr>
              <w:pStyle w:val="NoParagraphStyle"/>
              <w:spacing w:line="240" w:lineRule="auto"/>
              <w:textAlignment w:val="auto"/>
              <w:rPr>
                <w:rFonts w:ascii="Arial" w:hAnsi="Arial" w:cs="Arial"/>
                <w:color w:val="auto"/>
              </w:rPr>
            </w:pPr>
          </w:p>
        </w:tc>
        <w:tc>
          <w:tcPr>
            <w:tcW w:w="1198" w:type="pct"/>
            <w:tcBorders>
              <w:top w:val="single" w:sz="36" w:space="0" w:color="00A9DD" w:themeColor="accent2"/>
              <w:left w:val="nil"/>
              <w:bottom w:val="single" w:sz="36" w:space="0" w:color="125370" w:themeColor="accent3"/>
              <w:right w:val="nil"/>
            </w:tcBorders>
          </w:tcPr>
          <w:p w14:paraId="16EDD2E5" w14:textId="77777777" w:rsidR="0060062C" w:rsidRDefault="0060062C" w:rsidP="00660542">
            <w:pPr>
              <w:pStyle w:val="ListBullet"/>
              <w:rPr>
                <w:rFonts w:ascii="Arial" w:hAnsi="Arial" w:cs="Arial"/>
              </w:rPr>
            </w:pPr>
          </w:p>
        </w:tc>
        <w:tc>
          <w:tcPr>
            <w:tcW w:w="1022" w:type="pct"/>
            <w:tcBorders>
              <w:top w:val="single" w:sz="36" w:space="0" w:color="00A9DD" w:themeColor="accent2"/>
              <w:left w:val="nil"/>
              <w:bottom w:val="single" w:sz="36" w:space="0" w:color="125370" w:themeColor="accent3"/>
              <w:right w:val="nil"/>
            </w:tcBorders>
          </w:tcPr>
          <w:p w14:paraId="3CC050C4" w14:textId="77777777" w:rsidR="0060062C" w:rsidRDefault="0060062C" w:rsidP="00D51EAE">
            <w:pPr>
              <w:pStyle w:val="NoParagraphStyle"/>
              <w:spacing w:line="240" w:lineRule="auto"/>
              <w:textAlignment w:val="auto"/>
              <w:rPr>
                <w:rFonts w:ascii="Arial" w:hAnsi="Arial" w:cs="Arial"/>
                <w:color w:val="auto"/>
              </w:rPr>
            </w:pPr>
          </w:p>
        </w:tc>
      </w:tr>
      <w:tr w:rsidR="004262E4" w14:paraId="450248F1" w14:textId="77777777" w:rsidTr="0009266C">
        <w:trPr>
          <w:trHeight w:val="60"/>
        </w:trPr>
        <w:tc>
          <w:tcPr>
            <w:tcW w:w="933" w:type="pct"/>
            <w:vMerge w:val="restart"/>
            <w:tcBorders>
              <w:top w:val="single" w:sz="36" w:space="0" w:color="125370" w:themeColor="accent3"/>
              <w:left w:val="single" w:sz="36" w:space="0" w:color="125370" w:themeColor="accent3"/>
              <w:bottom w:val="nil"/>
              <w:right w:val="nil"/>
            </w:tcBorders>
            <w:shd w:val="clear" w:color="auto" w:fill="F3F4F7"/>
          </w:tcPr>
          <w:p w14:paraId="1B2F2514" w14:textId="77777777" w:rsidR="0060062C" w:rsidRDefault="0060062C" w:rsidP="0031696F">
            <w:pPr>
              <w:pStyle w:val="PROMboxsubheadingsmall"/>
            </w:pPr>
            <w:r>
              <w:lastRenderedPageBreak/>
              <w:t>Negative affect</w:t>
            </w:r>
          </w:p>
        </w:tc>
        <w:tc>
          <w:tcPr>
            <w:tcW w:w="848" w:type="pct"/>
            <w:tcBorders>
              <w:top w:val="single" w:sz="36" w:space="0" w:color="125370" w:themeColor="accent3"/>
              <w:left w:val="nil"/>
              <w:bottom w:val="single" w:sz="4" w:space="0" w:color="125370" w:themeColor="accent3"/>
              <w:right w:val="nil"/>
            </w:tcBorders>
            <w:shd w:val="clear" w:color="auto" w:fill="F3F4F7"/>
          </w:tcPr>
          <w:p w14:paraId="7AAE229D" w14:textId="77777777" w:rsidR="0060062C" w:rsidRDefault="0060062C" w:rsidP="0031696F">
            <w:r>
              <w:t>Depression Anxiety Stress Scale – 21 items (DASS</w:t>
            </w:r>
            <w:r>
              <w:rPr>
                <w:rFonts w:ascii="Cambria Math" w:hAnsi="Cambria Math" w:cs="Cambria Math"/>
              </w:rPr>
              <w:t>‑</w:t>
            </w:r>
            <w:r>
              <w:t>21)</w:t>
            </w:r>
          </w:p>
        </w:tc>
        <w:tc>
          <w:tcPr>
            <w:tcW w:w="450" w:type="pct"/>
            <w:tcBorders>
              <w:top w:val="single" w:sz="36" w:space="0" w:color="125370" w:themeColor="accent3"/>
              <w:left w:val="nil"/>
              <w:bottom w:val="single" w:sz="4" w:space="0" w:color="125370" w:themeColor="accent3"/>
              <w:right w:val="nil"/>
            </w:tcBorders>
            <w:shd w:val="clear" w:color="auto" w:fill="F3F4F7"/>
          </w:tcPr>
          <w:p w14:paraId="0572E3A4" w14:textId="77777777" w:rsidR="0060062C" w:rsidRDefault="0060062C" w:rsidP="004262E4">
            <w:pPr>
              <w:jc w:val="center"/>
            </w:pPr>
            <w:r>
              <w:t>21</w:t>
            </w:r>
          </w:p>
        </w:tc>
        <w:tc>
          <w:tcPr>
            <w:tcW w:w="549" w:type="pct"/>
            <w:tcBorders>
              <w:top w:val="single" w:sz="36" w:space="0" w:color="125370" w:themeColor="accent3"/>
              <w:left w:val="nil"/>
              <w:bottom w:val="single" w:sz="4" w:space="0" w:color="125370" w:themeColor="accent3"/>
              <w:right w:val="nil"/>
            </w:tcBorders>
            <w:shd w:val="clear" w:color="auto" w:fill="F3F4F7"/>
          </w:tcPr>
          <w:p w14:paraId="2393AEC5" w14:textId="77777777" w:rsidR="0060062C" w:rsidRDefault="0060062C" w:rsidP="0031696F">
            <w:r>
              <w:t>Not assessed in any study</w:t>
            </w:r>
          </w:p>
        </w:tc>
        <w:tc>
          <w:tcPr>
            <w:tcW w:w="1198" w:type="pct"/>
            <w:tcBorders>
              <w:top w:val="single" w:sz="36" w:space="0" w:color="125370" w:themeColor="accent3"/>
              <w:left w:val="nil"/>
              <w:bottom w:val="single" w:sz="4" w:space="0" w:color="125370" w:themeColor="accent3"/>
              <w:right w:val="nil"/>
            </w:tcBorders>
            <w:shd w:val="clear" w:color="auto" w:fill="F3F4F7"/>
          </w:tcPr>
          <w:p w14:paraId="73A48B23" w14:textId="77777777" w:rsidR="0060062C" w:rsidRDefault="0060062C" w:rsidP="0031696F">
            <w:pPr>
              <w:pStyle w:val="ListBullet"/>
            </w:pPr>
            <w:r>
              <w:t xml:space="preserve">Licence not required </w:t>
            </w:r>
          </w:p>
          <w:p w14:paraId="0A7ABA2D" w14:textId="77777777" w:rsidR="0060062C" w:rsidRDefault="0060062C" w:rsidP="0031696F">
            <w:pPr>
              <w:pStyle w:val="ListBullet"/>
            </w:pPr>
            <w:r>
              <w:t>Free in public domain</w:t>
            </w:r>
          </w:p>
          <w:p w14:paraId="2144F896" w14:textId="77777777" w:rsidR="0060062C" w:rsidRDefault="00000000" w:rsidP="0031696F">
            <w:pPr>
              <w:pStyle w:val="ListBullet"/>
            </w:pPr>
            <w:hyperlink r:id="rId26" w:history="1">
              <w:r w:rsidR="0060062C">
                <w:rPr>
                  <w:rStyle w:val="Hyperlink"/>
                </w:rPr>
                <w:t>Psychology Foundation of Australia</w:t>
              </w:r>
            </w:hyperlink>
          </w:p>
        </w:tc>
        <w:tc>
          <w:tcPr>
            <w:tcW w:w="1022" w:type="pct"/>
            <w:tcBorders>
              <w:top w:val="single" w:sz="36" w:space="0" w:color="125370" w:themeColor="accent3"/>
              <w:left w:val="nil"/>
              <w:bottom w:val="single" w:sz="4" w:space="0" w:color="125370" w:themeColor="accent3"/>
              <w:right w:val="single" w:sz="36" w:space="0" w:color="125370" w:themeColor="accent3"/>
            </w:tcBorders>
            <w:shd w:val="clear" w:color="auto" w:fill="F3F4F7"/>
          </w:tcPr>
          <w:p w14:paraId="6E015AB8" w14:textId="77777777" w:rsidR="0060062C" w:rsidRDefault="0060062C" w:rsidP="0031696F">
            <w:r>
              <w:t xml:space="preserve">Scoring key provided at </w:t>
            </w:r>
            <w:hyperlink r:id="rId27" w:history="1">
              <w:r>
                <w:rPr>
                  <w:rStyle w:val="Hyperlink"/>
                </w:rPr>
                <w:t>DASS downloads</w:t>
              </w:r>
            </w:hyperlink>
            <w:r>
              <w:t xml:space="preserve"> and explained in </w:t>
            </w:r>
            <w:hyperlink r:id="rId28" w:history="1">
              <w:r>
                <w:rPr>
                  <w:rStyle w:val="Hyperlink"/>
                </w:rPr>
                <w:t>DASS FAQ #30</w:t>
              </w:r>
            </w:hyperlink>
          </w:p>
        </w:tc>
      </w:tr>
      <w:tr w:rsidR="004262E4" w14:paraId="6DCC4B71" w14:textId="77777777" w:rsidTr="0009266C">
        <w:trPr>
          <w:trHeight w:val="60"/>
        </w:trPr>
        <w:tc>
          <w:tcPr>
            <w:tcW w:w="933" w:type="pct"/>
            <w:vMerge/>
            <w:tcBorders>
              <w:top w:val="nil"/>
              <w:left w:val="single" w:sz="36" w:space="0" w:color="125370" w:themeColor="accent3"/>
              <w:bottom w:val="single" w:sz="36" w:space="0" w:color="125370" w:themeColor="accent3"/>
              <w:right w:val="nil"/>
            </w:tcBorders>
            <w:shd w:val="clear" w:color="auto" w:fill="F3F4F7"/>
          </w:tcPr>
          <w:p w14:paraId="03B52863" w14:textId="77777777" w:rsidR="0060062C" w:rsidRDefault="0060062C" w:rsidP="0031696F">
            <w:pPr>
              <w:pStyle w:val="NoParagraphStyle"/>
              <w:keepLines/>
              <w:spacing w:line="240" w:lineRule="auto"/>
              <w:textAlignment w:val="auto"/>
              <w:rPr>
                <w:rFonts w:ascii="Arial" w:hAnsi="Arial" w:cs="Arial"/>
                <w:color w:val="auto"/>
              </w:rPr>
            </w:pPr>
          </w:p>
        </w:tc>
        <w:tc>
          <w:tcPr>
            <w:tcW w:w="848" w:type="pct"/>
            <w:tcBorders>
              <w:top w:val="single" w:sz="4" w:space="0" w:color="125370" w:themeColor="accent3"/>
              <w:left w:val="nil"/>
              <w:bottom w:val="single" w:sz="36" w:space="0" w:color="125370" w:themeColor="accent3"/>
              <w:right w:val="nil"/>
            </w:tcBorders>
            <w:shd w:val="clear" w:color="auto" w:fill="F3F4F7"/>
          </w:tcPr>
          <w:p w14:paraId="57DB017B" w14:textId="77777777" w:rsidR="0060062C" w:rsidRDefault="0060062C" w:rsidP="0031696F">
            <w:r>
              <w:t>Mayi Kuwayu Modified Kessler 5 (MK-K5)</w:t>
            </w:r>
          </w:p>
          <w:p w14:paraId="07D4A946" w14:textId="77777777" w:rsidR="0060062C" w:rsidRDefault="0060062C" w:rsidP="0031696F">
            <w:r>
              <w:t>(Suitable for Aboriginal and Torres Strait Islander people)</w:t>
            </w:r>
          </w:p>
        </w:tc>
        <w:tc>
          <w:tcPr>
            <w:tcW w:w="450" w:type="pct"/>
            <w:tcBorders>
              <w:top w:val="single" w:sz="4" w:space="0" w:color="125370" w:themeColor="accent3"/>
              <w:left w:val="nil"/>
              <w:bottom w:val="single" w:sz="36" w:space="0" w:color="125370" w:themeColor="accent3"/>
              <w:right w:val="nil"/>
            </w:tcBorders>
            <w:shd w:val="clear" w:color="auto" w:fill="F3F4F7"/>
          </w:tcPr>
          <w:p w14:paraId="046E90E4" w14:textId="77777777" w:rsidR="0060062C" w:rsidRDefault="0060062C" w:rsidP="004262E4">
            <w:pPr>
              <w:jc w:val="center"/>
            </w:pPr>
            <w:r>
              <w:t>5</w:t>
            </w:r>
          </w:p>
        </w:tc>
        <w:tc>
          <w:tcPr>
            <w:tcW w:w="549" w:type="pct"/>
            <w:tcBorders>
              <w:top w:val="single" w:sz="4" w:space="0" w:color="125370" w:themeColor="accent3"/>
              <w:left w:val="nil"/>
              <w:bottom w:val="single" w:sz="36" w:space="0" w:color="125370" w:themeColor="accent3"/>
              <w:right w:val="nil"/>
            </w:tcBorders>
            <w:shd w:val="clear" w:color="auto" w:fill="F3F4F7"/>
          </w:tcPr>
          <w:p w14:paraId="20B91F9F" w14:textId="77777777" w:rsidR="0060062C" w:rsidRDefault="0060062C" w:rsidP="0031696F">
            <w:r>
              <w:t>Not assessed in any study</w:t>
            </w:r>
          </w:p>
        </w:tc>
        <w:tc>
          <w:tcPr>
            <w:tcW w:w="1198" w:type="pct"/>
            <w:tcBorders>
              <w:top w:val="single" w:sz="4" w:space="0" w:color="125370" w:themeColor="accent3"/>
              <w:left w:val="nil"/>
              <w:bottom w:val="single" w:sz="36" w:space="0" w:color="125370" w:themeColor="accent3"/>
              <w:right w:val="nil"/>
            </w:tcBorders>
            <w:shd w:val="clear" w:color="auto" w:fill="F3F4F7"/>
          </w:tcPr>
          <w:p w14:paraId="78FED15A" w14:textId="77777777" w:rsidR="0060062C" w:rsidRDefault="0060062C" w:rsidP="0031696F">
            <w:pPr>
              <w:pStyle w:val="ListBullet"/>
            </w:pPr>
            <w:r>
              <w:t>Licence not required</w:t>
            </w:r>
          </w:p>
          <w:p w14:paraId="62B26B8B" w14:textId="77777777" w:rsidR="0060062C" w:rsidRDefault="0060062C" w:rsidP="0031696F">
            <w:pPr>
              <w:pStyle w:val="ListBullet"/>
            </w:pPr>
            <w:r>
              <w:t>Free</w:t>
            </w:r>
          </w:p>
          <w:p w14:paraId="71D4AB74" w14:textId="77777777" w:rsidR="0060062C" w:rsidRDefault="0060062C" w:rsidP="0031696F">
            <w:pPr>
              <w:pStyle w:val="ListBullet"/>
            </w:pPr>
            <w:r>
              <w:rPr>
                <w:rStyle w:val="Hyperlink"/>
              </w:rPr>
              <w:t>Mayi Kuwayu Modified Kessler 5</w:t>
            </w:r>
          </w:p>
        </w:tc>
        <w:tc>
          <w:tcPr>
            <w:tcW w:w="1022" w:type="pct"/>
            <w:tcBorders>
              <w:top w:val="single" w:sz="4" w:space="0" w:color="125370" w:themeColor="accent3"/>
              <w:left w:val="nil"/>
              <w:bottom w:val="single" w:sz="36" w:space="0" w:color="125370" w:themeColor="accent3"/>
              <w:right w:val="single" w:sz="36" w:space="0" w:color="125370" w:themeColor="accent3"/>
            </w:tcBorders>
            <w:shd w:val="clear" w:color="auto" w:fill="F3F4F7"/>
          </w:tcPr>
          <w:p w14:paraId="06C279EE" w14:textId="77777777" w:rsidR="0060062C" w:rsidRDefault="0060062C" w:rsidP="0031696F">
            <w:r>
              <w:t xml:space="preserve">Scoring guide within </w:t>
            </w:r>
            <w:r>
              <w:rPr>
                <w:rStyle w:val="Hyperlink"/>
              </w:rPr>
              <w:t>Mayi Kuwayu Modified Kessler 5</w:t>
            </w:r>
          </w:p>
        </w:tc>
      </w:tr>
      <w:tr w:rsidR="0009266C" w14:paraId="7E3E6E7C" w14:textId="77777777" w:rsidTr="0009266C">
        <w:trPr>
          <w:trHeight w:hRule="exact" w:val="170"/>
        </w:trPr>
        <w:tc>
          <w:tcPr>
            <w:tcW w:w="933" w:type="pct"/>
            <w:tcBorders>
              <w:top w:val="single" w:sz="36" w:space="0" w:color="125370" w:themeColor="accent3"/>
              <w:left w:val="nil"/>
              <w:bottom w:val="single" w:sz="36" w:space="0" w:color="77572D"/>
              <w:right w:val="nil"/>
            </w:tcBorders>
          </w:tcPr>
          <w:p w14:paraId="51771FCB" w14:textId="77777777" w:rsidR="0060062C" w:rsidRDefault="0060062C" w:rsidP="00D51EAE">
            <w:pPr>
              <w:pStyle w:val="NoParagraphStyle"/>
              <w:spacing w:line="240" w:lineRule="auto"/>
              <w:textAlignment w:val="auto"/>
              <w:rPr>
                <w:rFonts w:ascii="Arial" w:hAnsi="Arial" w:cs="Arial"/>
                <w:color w:val="auto"/>
              </w:rPr>
            </w:pPr>
          </w:p>
        </w:tc>
        <w:tc>
          <w:tcPr>
            <w:tcW w:w="848" w:type="pct"/>
            <w:tcBorders>
              <w:top w:val="single" w:sz="36" w:space="0" w:color="125370" w:themeColor="accent3"/>
              <w:left w:val="nil"/>
              <w:bottom w:val="single" w:sz="36" w:space="0" w:color="77572D"/>
              <w:right w:val="nil"/>
            </w:tcBorders>
          </w:tcPr>
          <w:p w14:paraId="620B7E65" w14:textId="77777777" w:rsidR="0060062C" w:rsidRDefault="0060062C" w:rsidP="00D51EAE">
            <w:pPr>
              <w:pStyle w:val="NoParagraphStyle"/>
              <w:spacing w:line="240" w:lineRule="auto"/>
              <w:textAlignment w:val="auto"/>
              <w:rPr>
                <w:rFonts w:ascii="Arial" w:hAnsi="Arial" w:cs="Arial"/>
                <w:color w:val="auto"/>
              </w:rPr>
            </w:pPr>
          </w:p>
        </w:tc>
        <w:tc>
          <w:tcPr>
            <w:tcW w:w="450" w:type="pct"/>
            <w:tcBorders>
              <w:top w:val="single" w:sz="36" w:space="0" w:color="125370" w:themeColor="accent3"/>
              <w:left w:val="nil"/>
              <w:bottom w:val="single" w:sz="36" w:space="0" w:color="77572D"/>
              <w:right w:val="nil"/>
            </w:tcBorders>
          </w:tcPr>
          <w:p w14:paraId="6DFCC5C0" w14:textId="77777777" w:rsidR="0060062C" w:rsidRDefault="0060062C" w:rsidP="004262E4">
            <w:pPr>
              <w:pStyle w:val="NoParagraphStyle"/>
              <w:spacing w:line="240" w:lineRule="auto"/>
              <w:jc w:val="center"/>
              <w:textAlignment w:val="auto"/>
              <w:rPr>
                <w:rFonts w:ascii="Arial" w:hAnsi="Arial" w:cs="Arial"/>
                <w:color w:val="auto"/>
              </w:rPr>
            </w:pPr>
          </w:p>
        </w:tc>
        <w:tc>
          <w:tcPr>
            <w:tcW w:w="549" w:type="pct"/>
            <w:tcBorders>
              <w:top w:val="single" w:sz="36" w:space="0" w:color="125370" w:themeColor="accent3"/>
              <w:left w:val="nil"/>
              <w:bottom w:val="single" w:sz="36" w:space="0" w:color="77572D"/>
              <w:right w:val="nil"/>
            </w:tcBorders>
          </w:tcPr>
          <w:p w14:paraId="153B4785" w14:textId="77777777" w:rsidR="0060062C" w:rsidRDefault="0060062C" w:rsidP="00D51EAE">
            <w:pPr>
              <w:pStyle w:val="NoParagraphStyle"/>
              <w:spacing w:line="240" w:lineRule="auto"/>
              <w:textAlignment w:val="auto"/>
              <w:rPr>
                <w:rFonts w:ascii="Arial" w:hAnsi="Arial" w:cs="Arial"/>
                <w:color w:val="auto"/>
              </w:rPr>
            </w:pPr>
          </w:p>
        </w:tc>
        <w:tc>
          <w:tcPr>
            <w:tcW w:w="1198" w:type="pct"/>
            <w:tcBorders>
              <w:top w:val="single" w:sz="36" w:space="0" w:color="125370" w:themeColor="accent3"/>
              <w:left w:val="nil"/>
              <w:bottom w:val="single" w:sz="36" w:space="0" w:color="77572D"/>
              <w:right w:val="nil"/>
            </w:tcBorders>
          </w:tcPr>
          <w:p w14:paraId="1E337B08" w14:textId="77777777" w:rsidR="0060062C" w:rsidRDefault="0060062C" w:rsidP="00660542">
            <w:pPr>
              <w:pStyle w:val="ListBullet"/>
              <w:rPr>
                <w:rFonts w:ascii="Arial" w:hAnsi="Arial" w:cs="Arial"/>
              </w:rPr>
            </w:pPr>
          </w:p>
        </w:tc>
        <w:tc>
          <w:tcPr>
            <w:tcW w:w="1022" w:type="pct"/>
            <w:tcBorders>
              <w:top w:val="single" w:sz="36" w:space="0" w:color="125370" w:themeColor="accent3"/>
              <w:left w:val="nil"/>
              <w:bottom w:val="single" w:sz="36" w:space="0" w:color="77572D"/>
              <w:right w:val="nil"/>
            </w:tcBorders>
          </w:tcPr>
          <w:p w14:paraId="3803A0D9" w14:textId="77777777" w:rsidR="0060062C" w:rsidRDefault="0060062C" w:rsidP="00D51EAE">
            <w:pPr>
              <w:pStyle w:val="NoParagraphStyle"/>
              <w:spacing w:line="240" w:lineRule="auto"/>
              <w:textAlignment w:val="auto"/>
              <w:rPr>
                <w:rFonts w:ascii="Arial" w:hAnsi="Arial" w:cs="Arial"/>
                <w:color w:val="auto"/>
              </w:rPr>
            </w:pPr>
          </w:p>
        </w:tc>
      </w:tr>
      <w:tr w:rsidR="0009266C" w14:paraId="187B7C7B" w14:textId="77777777" w:rsidTr="0009266C">
        <w:trPr>
          <w:trHeight w:val="60"/>
        </w:trPr>
        <w:tc>
          <w:tcPr>
            <w:tcW w:w="933" w:type="pct"/>
            <w:tcBorders>
              <w:top w:val="single" w:sz="36" w:space="0" w:color="77572D"/>
              <w:left w:val="single" w:sz="36" w:space="0" w:color="77572D"/>
              <w:bottom w:val="single" w:sz="36" w:space="0" w:color="77572D"/>
              <w:right w:val="nil"/>
            </w:tcBorders>
            <w:shd w:val="clear" w:color="auto" w:fill="F7F3F1"/>
          </w:tcPr>
          <w:p w14:paraId="3C217A17" w14:textId="77777777" w:rsidR="0060062C" w:rsidRDefault="0060062C" w:rsidP="0031696F">
            <w:pPr>
              <w:pStyle w:val="PROMboxsubheadingsmall"/>
            </w:pPr>
            <w:r>
              <w:t>Health-related quality of life</w:t>
            </w:r>
          </w:p>
          <w:p w14:paraId="6B55A5AF" w14:textId="77777777" w:rsidR="0060062C" w:rsidRDefault="0060062C" w:rsidP="00D51EAE">
            <w:r>
              <w:t>(optional)</w:t>
            </w:r>
          </w:p>
        </w:tc>
        <w:tc>
          <w:tcPr>
            <w:tcW w:w="848" w:type="pct"/>
            <w:tcBorders>
              <w:top w:val="single" w:sz="36" w:space="0" w:color="77572D"/>
              <w:left w:val="nil"/>
              <w:bottom w:val="single" w:sz="36" w:space="0" w:color="77572D"/>
              <w:right w:val="nil"/>
            </w:tcBorders>
            <w:shd w:val="clear" w:color="auto" w:fill="F7F3F1"/>
          </w:tcPr>
          <w:p w14:paraId="4FC228E7" w14:textId="77777777" w:rsidR="0060062C" w:rsidRDefault="0060062C" w:rsidP="00D51EAE">
            <w:r>
              <w:t>EuroQol – 5 Dimensions – 5 Levels (EQ-5D-5L)</w:t>
            </w:r>
          </w:p>
          <w:p w14:paraId="66A80959" w14:textId="77777777" w:rsidR="0060062C" w:rsidRDefault="0060062C" w:rsidP="00D51EAE">
            <w:r>
              <w:t>(Suitable for Aboriginal and Torres Strait Islander people)</w:t>
            </w:r>
          </w:p>
        </w:tc>
        <w:tc>
          <w:tcPr>
            <w:tcW w:w="450" w:type="pct"/>
            <w:tcBorders>
              <w:top w:val="single" w:sz="36" w:space="0" w:color="77572D"/>
              <w:left w:val="nil"/>
              <w:bottom w:val="single" w:sz="36" w:space="0" w:color="77572D"/>
              <w:right w:val="nil"/>
            </w:tcBorders>
            <w:shd w:val="clear" w:color="auto" w:fill="F7F3F1"/>
          </w:tcPr>
          <w:p w14:paraId="577B7698" w14:textId="77777777" w:rsidR="0060062C" w:rsidRDefault="0060062C" w:rsidP="004262E4">
            <w:pPr>
              <w:jc w:val="center"/>
            </w:pPr>
            <w:r>
              <w:t>5</w:t>
            </w:r>
          </w:p>
        </w:tc>
        <w:tc>
          <w:tcPr>
            <w:tcW w:w="549" w:type="pct"/>
            <w:tcBorders>
              <w:top w:val="single" w:sz="36" w:space="0" w:color="77572D"/>
              <w:left w:val="nil"/>
              <w:bottom w:val="single" w:sz="36" w:space="0" w:color="77572D"/>
              <w:right w:val="nil"/>
            </w:tcBorders>
            <w:shd w:val="clear" w:color="auto" w:fill="F7F3F1"/>
          </w:tcPr>
          <w:p w14:paraId="36818833" w14:textId="77777777" w:rsidR="0060062C" w:rsidRDefault="0060062C" w:rsidP="00D51EAE">
            <w:r>
              <w:t>Less than 5 minutes</w:t>
            </w:r>
          </w:p>
        </w:tc>
        <w:tc>
          <w:tcPr>
            <w:tcW w:w="1198" w:type="pct"/>
            <w:tcBorders>
              <w:top w:val="single" w:sz="36" w:space="0" w:color="77572D"/>
              <w:left w:val="nil"/>
              <w:bottom w:val="single" w:sz="36" w:space="0" w:color="77572D"/>
              <w:right w:val="nil"/>
            </w:tcBorders>
            <w:shd w:val="clear" w:color="auto" w:fill="F7F3F1"/>
          </w:tcPr>
          <w:p w14:paraId="2252E458" w14:textId="77777777" w:rsidR="0060062C" w:rsidRDefault="0060062C" w:rsidP="00660542">
            <w:pPr>
              <w:pStyle w:val="ListBullet"/>
            </w:pPr>
            <w:r>
              <w:t xml:space="preserve">Licence required </w:t>
            </w:r>
          </w:p>
          <w:p w14:paraId="610ED94F" w14:textId="77777777" w:rsidR="0060062C" w:rsidRDefault="0060062C" w:rsidP="00660542">
            <w:pPr>
              <w:pStyle w:val="ListBullet"/>
            </w:pPr>
            <w:r>
              <w:t>Fees may apply</w:t>
            </w:r>
          </w:p>
          <w:p w14:paraId="11B3A7A2" w14:textId="77777777" w:rsidR="0060062C" w:rsidRDefault="00000000" w:rsidP="00660542">
            <w:pPr>
              <w:pStyle w:val="ListBullet"/>
            </w:pPr>
            <w:hyperlink r:id="rId29" w:history="1">
              <w:r w:rsidR="0060062C">
                <w:rPr>
                  <w:rStyle w:val="Hyperlink"/>
                </w:rPr>
                <w:t>EuroQol Group</w:t>
              </w:r>
            </w:hyperlink>
          </w:p>
        </w:tc>
        <w:tc>
          <w:tcPr>
            <w:tcW w:w="1022" w:type="pct"/>
            <w:tcBorders>
              <w:top w:val="single" w:sz="36" w:space="0" w:color="77572D"/>
              <w:left w:val="nil"/>
              <w:bottom w:val="single" w:sz="36" w:space="0" w:color="77572D"/>
              <w:right w:val="single" w:sz="36" w:space="0" w:color="77572D"/>
            </w:tcBorders>
            <w:shd w:val="clear" w:color="auto" w:fill="F7F3F1"/>
          </w:tcPr>
          <w:p w14:paraId="3432B5F6" w14:textId="77777777" w:rsidR="0060062C" w:rsidRDefault="0060062C" w:rsidP="00D51EAE">
            <w:r>
              <w:t xml:space="preserve">Scoring guide in </w:t>
            </w:r>
            <w:hyperlink r:id="rId30" w:history="1">
              <w:r>
                <w:rPr>
                  <w:rStyle w:val="HyperlinkItalics"/>
                </w:rPr>
                <w:t>EQ-5D-5L User Guide</w:t>
              </w:r>
            </w:hyperlink>
          </w:p>
        </w:tc>
      </w:tr>
    </w:tbl>
    <w:p w14:paraId="7CBDA340" w14:textId="5E9A09A2" w:rsidR="0060062C" w:rsidRDefault="0060062C" w:rsidP="004262E4">
      <w:pPr>
        <w:spacing w:before="240"/>
        <w:rPr>
          <w:rStyle w:val="Hyperlink"/>
        </w:rPr>
      </w:pPr>
      <w:r>
        <w:t xml:space="preserve">Detailed information on the recommended PROMs, including samples for review, is provided in </w:t>
      </w:r>
      <w:r w:rsidR="004739E5" w:rsidRPr="004739E5">
        <w:rPr>
          <w:rStyle w:val="Cross-reference"/>
        </w:rPr>
        <w:fldChar w:fldCharType="begin"/>
      </w:r>
      <w:r w:rsidR="004739E5" w:rsidRPr="004739E5">
        <w:rPr>
          <w:rStyle w:val="Cross-reference"/>
        </w:rPr>
        <w:instrText xml:space="preserve"> REF AA \h </w:instrText>
      </w:r>
      <w:r w:rsidR="004739E5">
        <w:rPr>
          <w:rStyle w:val="Cross-reference"/>
        </w:rPr>
        <w:instrText xml:space="preserve"> \* MERGEFORMAT </w:instrText>
      </w:r>
      <w:r w:rsidR="004739E5" w:rsidRPr="004739E5">
        <w:rPr>
          <w:rStyle w:val="Cross-reference"/>
        </w:rPr>
      </w:r>
      <w:r w:rsidR="004739E5" w:rsidRPr="004739E5">
        <w:rPr>
          <w:rStyle w:val="Cross-reference"/>
        </w:rPr>
        <w:fldChar w:fldCharType="separate"/>
      </w:r>
      <w:r w:rsidR="004739E5" w:rsidRPr="004739E5">
        <w:rPr>
          <w:rStyle w:val="Cross-reference"/>
        </w:rPr>
        <w:t>Appendix A</w:t>
      </w:r>
      <w:r w:rsidR="004739E5" w:rsidRPr="004739E5">
        <w:rPr>
          <w:rStyle w:val="Cross-reference"/>
        </w:rPr>
        <w:fldChar w:fldCharType="end"/>
      </w:r>
      <w:r>
        <w:t>, and guidelines for their use are in</w:t>
      </w:r>
      <w:r w:rsidR="004739E5">
        <w:t xml:space="preserve"> </w:t>
      </w:r>
      <w:r w:rsidR="004739E5" w:rsidRPr="004739E5">
        <w:rPr>
          <w:rStyle w:val="Cross-reference"/>
        </w:rPr>
        <w:fldChar w:fldCharType="begin"/>
      </w:r>
      <w:r w:rsidR="004739E5" w:rsidRPr="004739E5">
        <w:rPr>
          <w:rStyle w:val="Cross-reference"/>
        </w:rPr>
        <w:instrText xml:space="preserve"> REF AB \h </w:instrText>
      </w:r>
      <w:r w:rsidR="004739E5">
        <w:rPr>
          <w:rStyle w:val="Cross-reference"/>
        </w:rPr>
        <w:instrText xml:space="preserve"> \* MERGEFORMAT </w:instrText>
      </w:r>
      <w:r w:rsidR="004739E5" w:rsidRPr="004739E5">
        <w:rPr>
          <w:rStyle w:val="Cross-reference"/>
        </w:rPr>
      </w:r>
      <w:r w:rsidR="004739E5" w:rsidRPr="004739E5">
        <w:rPr>
          <w:rStyle w:val="Cross-reference"/>
        </w:rPr>
        <w:fldChar w:fldCharType="separate"/>
      </w:r>
      <w:r w:rsidR="004739E5" w:rsidRPr="004739E5">
        <w:rPr>
          <w:rStyle w:val="Cross-reference"/>
        </w:rPr>
        <w:t>Appendix B</w:t>
      </w:r>
      <w:r w:rsidR="004739E5" w:rsidRPr="004739E5">
        <w:rPr>
          <w:rStyle w:val="Cross-reference"/>
        </w:rPr>
        <w:fldChar w:fldCharType="end"/>
      </w:r>
      <w:r>
        <w:t>. The development of the PROM recommendations is detailed in Appendices</w:t>
      </w:r>
      <w:r w:rsidR="009B6324">
        <w:t xml:space="preserve"> </w:t>
      </w:r>
      <w:r w:rsidR="009B6324" w:rsidRPr="009B6324">
        <w:rPr>
          <w:rStyle w:val="Cross-reference"/>
        </w:rPr>
        <w:fldChar w:fldCharType="begin"/>
      </w:r>
      <w:r w:rsidR="009B6324" w:rsidRPr="009B6324">
        <w:rPr>
          <w:rStyle w:val="Cross-reference"/>
        </w:rPr>
        <w:instrText xml:space="preserve"> REF AC \h </w:instrText>
      </w:r>
      <w:r w:rsidR="009B6324">
        <w:rPr>
          <w:rStyle w:val="Cross-reference"/>
        </w:rPr>
        <w:instrText xml:space="preserve"> \* MERGEFORMAT </w:instrText>
      </w:r>
      <w:r w:rsidR="009B6324" w:rsidRPr="009B6324">
        <w:rPr>
          <w:rStyle w:val="Cross-reference"/>
        </w:rPr>
      </w:r>
      <w:r w:rsidR="009B6324" w:rsidRPr="009B6324">
        <w:rPr>
          <w:rStyle w:val="Cross-reference"/>
        </w:rPr>
        <w:fldChar w:fldCharType="separate"/>
      </w:r>
      <w:r w:rsidR="009B6324" w:rsidRPr="009B6324">
        <w:rPr>
          <w:rStyle w:val="Cross-reference"/>
        </w:rPr>
        <w:t>C</w:t>
      </w:r>
      <w:r w:rsidR="009B6324" w:rsidRPr="009B6324">
        <w:rPr>
          <w:rStyle w:val="Cross-reference"/>
        </w:rPr>
        <w:fldChar w:fldCharType="end"/>
      </w:r>
      <w:r w:rsidR="009B6324" w:rsidRPr="009B6324">
        <w:t xml:space="preserve">, </w:t>
      </w:r>
      <w:r w:rsidR="009B6324" w:rsidRPr="009B6324">
        <w:rPr>
          <w:rStyle w:val="Cross-reference"/>
        </w:rPr>
        <w:fldChar w:fldCharType="begin"/>
      </w:r>
      <w:r w:rsidR="009B6324" w:rsidRPr="009B6324">
        <w:rPr>
          <w:rStyle w:val="Cross-reference"/>
        </w:rPr>
        <w:instrText xml:space="preserve"> REF AD \h </w:instrText>
      </w:r>
      <w:r w:rsidR="009B6324">
        <w:rPr>
          <w:rStyle w:val="Cross-reference"/>
        </w:rPr>
        <w:instrText xml:space="preserve"> \* MERGEFORMAT </w:instrText>
      </w:r>
      <w:r w:rsidR="009B6324" w:rsidRPr="009B6324">
        <w:rPr>
          <w:rStyle w:val="Cross-reference"/>
        </w:rPr>
      </w:r>
      <w:r w:rsidR="009B6324" w:rsidRPr="009B6324">
        <w:rPr>
          <w:rStyle w:val="Cross-reference"/>
        </w:rPr>
        <w:fldChar w:fldCharType="separate"/>
      </w:r>
      <w:r w:rsidR="009B6324" w:rsidRPr="009B6324">
        <w:rPr>
          <w:rStyle w:val="Cross-reference"/>
        </w:rPr>
        <w:t>D</w:t>
      </w:r>
      <w:r w:rsidR="009B6324" w:rsidRPr="009B6324">
        <w:rPr>
          <w:rStyle w:val="Cross-reference"/>
        </w:rPr>
        <w:fldChar w:fldCharType="end"/>
      </w:r>
      <w:r w:rsidR="009B6324" w:rsidRPr="009B6324">
        <w:t xml:space="preserve">, </w:t>
      </w:r>
      <w:r w:rsidR="009B6324" w:rsidRPr="009B6324">
        <w:rPr>
          <w:rStyle w:val="Cross-reference"/>
        </w:rPr>
        <w:fldChar w:fldCharType="begin"/>
      </w:r>
      <w:r w:rsidR="009B6324" w:rsidRPr="009B6324">
        <w:rPr>
          <w:rStyle w:val="Cross-reference"/>
        </w:rPr>
        <w:instrText xml:space="preserve"> REF AE \h </w:instrText>
      </w:r>
      <w:r w:rsidR="009B6324">
        <w:rPr>
          <w:rStyle w:val="Cross-reference"/>
        </w:rPr>
        <w:instrText xml:space="preserve"> \* MERGEFORMAT </w:instrText>
      </w:r>
      <w:r w:rsidR="009B6324" w:rsidRPr="009B6324">
        <w:rPr>
          <w:rStyle w:val="Cross-reference"/>
        </w:rPr>
      </w:r>
      <w:r w:rsidR="009B6324" w:rsidRPr="009B6324">
        <w:rPr>
          <w:rStyle w:val="Cross-reference"/>
        </w:rPr>
        <w:fldChar w:fldCharType="separate"/>
      </w:r>
      <w:r w:rsidR="009B6324" w:rsidRPr="009B6324">
        <w:rPr>
          <w:rStyle w:val="Cross-reference"/>
        </w:rPr>
        <w:t>E</w:t>
      </w:r>
      <w:r w:rsidR="009B6324" w:rsidRPr="009B6324">
        <w:rPr>
          <w:rStyle w:val="Cross-reference"/>
        </w:rPr>
        <w:fldChar w:fldCharType="end"/>
      </w:r>
      <w:r w:rsidR="009B6324">
        <w:t xml:space="preserve"> and </w:t>
      </w:r>
      <w:r w:rsidR="009B6324" w:rsidRPr="009B6324">
        <w:rPr>
          <w:rStyle w:val="Cross-reference"/>
        </w:rPr>
        <w:fldChar w:fldCharType="begin"/>
      </w:r>
      <w:r w:rsidR="009B6324" w:rsidRPr="009B6324">
        <w:rPr>
          <w:rStyle w:val="Cross-reference"/>
        </w:rPr>
        <w:instrText xml:space="preserve"> REF AF \h </w:instrText>
      </w:r>
      <w:r w:rsidR="009B6324">
        <w:rPr>
          <w:rStyle w:val="Cross-reference"/>
        </w:rPr>
        <w:instrText xml:space="preserve"> \* MERGEFORMAT </w:instrText>
      </w:r>
      <w:r w:rsidR="009B6324" w:rsidRPr="009B6324">
        <w:rPr>
          <w:rStyle w:val="Cross-reference"/>
        </w:rPr>
      </w:r>
      <w:r w:rsidR="009B6324" w:rsidRPr="009B6324">
        <w:rPr>
          <w:rStyle w:val="Cross-reference"/>
        </w:rPr>
        <w:fldChar w:fldCharType="separate"/>
      </w:r>
      <w:r w:rsidR="009B6324" w:rsidRPr="009B6324">
        <w:rPr>
          <w:rStyle w:val="Cross-reference"/>
        </w:rPr>
        <w:t>F</w:t>
      </w:r>
      <w:r w:rsidR="009B6324" w:rsidRPr="009B6324">
        <w:rPr>
          <w:rStyle w:val="Cross-reference"/>
        </w:rPr>
        <w:fldChar w:fldCharType="end"/>
      </w:r>
      <w:r>
        <w:t>.</w:t>
      </w:r>
    </w:p>
    <w:p w14:paraId="1C5957F6" w14:textId="77777777" w:rsidR="0031696F" w:rsidRDefault="0031696F" w:rsidP="0060062C">
      <w:pPr>
        <w:pStyle w:val="Heading1"/>
        <w:sectPr w:rsidR="0031696F" w:rsidSect="0031696F">
          <w:footnotePr>
            <w:numFmt w:val="chicago"/>
            <w:numRestart w:val="eachPage"/>
          </w:footnotePr>
          <w:pgSz w:w="16840" w:h="11900" w:orient="landscape"/>
          <w:pgMar w:top="1418" w:right="1134" w:bottom="1418" w:left="1418" w:header="709" w:footer="709" w:gutter="0"/>
          <w:cols w:space="708"/>
          <w:docGrid w:linePitch="360"/>
        </w:sectPr>
      </w:pPr>
      <w:bookmarkStart w:id="12" w:name="_Toc175215363"/>
    </w:p>
    <w:p w14:paraId="122CD832" w14:textId="77777777" w:rsidR="0060062C" w:rsidRDefault="0060062C" w:rsidP="0060062C">
      <w:pPr>
        <w:pStyle w:val="Heading1"/>
      </w:pPr>
      <w:r>
        <w:lastRenderedPageBreak/>
        <w:t>Equity considerations when using PROMs</w:t>
      </w:r>
      <w:bookmarkEnd w:id="12"/>
    </w:p>
    <w:p w14:paraId="5D6EB913" w14:textId="77777777" w:rsidR="0060062C" w:rsidRDefault="0060062C" w:rsidP="00B73BD3">
      <w:pPr>
        <w:pStyle w:val="Heading2"/>
      </w:pPr>
      <w:r>
        <w:t>Accessibility of PROMs</w:t>
      </w:r>
    </w:p>
    <w:p w14:paraId="7BBEEF9B" w14:textId="77777777" w:rsidR="0060062C" w:rsidRDefault="0060062C" w:rsidP="0060062C">
      <w:r>
        <w:t xml:space="preserve">Patients with disability, low literacy skills or cognitive impairment, or those from diverse linguistic and cultural backgrounds may experience barriers with completing PROMs. The Commission aims to provide recommendations that are accessible. This includes identifying PROMs that have validated translations or that have been validated in specific population groups, and providing advice for using PROMs in specific groups. </w:t>
      </w:r>
    </w:p>
    <w:p w14:paraId="66FB081D" w14:textId="77777777" w:rsidR="0060062C" w:rsidRDefault="0060062C" w:rsidP="0060062C">
      <w:r>
        <w:t>Where the Commission has not given advice for a specific patient group, clinical judgment should be used to assess whether the recommended PROMs support clinician–patient communication and shared decision making.</w:t>
      </w:r>
    </w:p>
    <w:p w14:paraId="477335A6" w14:textId="77777777" w:rsidR="0060062C" w:rsidRDefault="0060062C" w:rsidP="00B73BD3">
      <w:pPr>
        <w:pStyle w:val="Heading2"/>
      </w:pPr>
      <w:r>
        <w:t>Cultural safety</w:t>
      </w:r>
    </w:p>
    <w:p w14:paraId="29DDF779" w14:textId="77777777" w:rsidR="0060062C" w:rsidRDefault="0060062C" w:rsidP="0060062C">
      <w:r>
        <w:t>The development of many PROMs is underpinned by Western biomedical models of health and wellbeing. Many PROMs may not be applicable to the needs of Aboriginal and Torres Strait Islander people</w:t>
      </w:r>
      <w:r>
        <w:rPr>
          <w:rStyle w:val="Superscript"/>
        </w:rPr>
        <w:t>4</w:t>
      </w:r>
      <w:r>
        <w:t>, or compatible with their conception of health and wellbeing.</w:t>
      </w:r>
      <w:r>
        <w:rPr>
          <w:rStyle w:val="Superscript"/>
        </w:rPr>
        <w:t>5</w:t>
      </w:r>
      <w:r>
        <w:t xml:space="preserve"> Other factors that may affect a PROM’s acceptability for Aboriginal and Torres Strait Islander people are the PROM’s length, language, wording and use of scales.</w:t>
      </w:r>
      <w:r>
        <w:rPr>
          <w:rStyle w:val="Superscript"/>
        </w:rPr>
        <w:t>4</w:t>
      </w:r>
      <w:r>
        <w:t xml:space="preserve"> </w:t>
      </w:r>
    </w:p>
    <w:p w14:paraId="436BB273" w14:textId="77777777" w:rsidR="0060062C" w:rsidRDefault="0060062C" w:rsidP="0060062C">
      <w:r>
        <w:t>Some research has engaged with communities on the cultural modification of PROMs and development of PROMs for Aboriginal and Torres Strait Islander people. Further work is needed to translate and culturally validate existing PROMs and design high-quality PROMs with and for Aboriginal and Torres Strait Islander communities.</w:t>
      </w:r>
      <w:r>
        <w:rPr>
          <w:rStyle w:val="Superscript"/>
        </w:rPr>
        <w:t>4</w:t>
      </w:r>
    </w:p>
    <w:p w14:paraId="15A9C949" w14:textId="77777777" w:rsidR="0060062C" w:rsidRDefault="0060062C" w:rsidP="0060062C">
      <w:r>
        <w:t>Where there is evidence of validity and reliability, the recommendations will highlight alternative PROMs that are suitable for Aboriginal and Torres Strait Islander people.</w:t>
      </w:r>
    </w:p>
    <w:p w14:paraId="2D9BB164" w14:textId="77777777" w:rsidR="0060062C" w:rsidRDefault="0060062C" w:rsidP="00B73BD3">
      <w:pPr>
        <w:pStyle w:val="Heading2"/>
      </w:pPr>
      <w:r>
        <w:t>Caveat for data analysis</w:t>
      </w:r>
    </w:p>
    <w:p w14:paraId="48F101D3" w14:textId="77777777" w:rsidR="0060062C" w:rsidRDefault="0060062C" w:rsidP="0060062C">
      <w:r>
        <w:t>If a healthcare service is using data from PROMs for service-level analyses, accommodating the diverse needs of patients may introduce measurement bias and affect the reliability and validity of responses.</w:t>
      </w:r>
      <w:r>
        <w:rPr>
          <w:rStyle w:val="Superscript"/>
        </w:rPr>
        <w:t>6</w:t>
      </w:r>
      <w:r>
        <w:t xml:space="preserve"> Analysis methodology should assess the impact of the potential bias and develop an approach to accommodate limitations.</w:t>
      </w:r>
    </w:p>
    <w:p w14:paraId="60DFD3D7" w14:textId="77777777" w:rsidR="0060062C" w:rsidRDefault="0060062C" w:rsidP="0060062C">
      <w:pPr>
        <w:rPr>
          <w:rStyle w:val="Hyperlink"/>
        </w:rPr>
      </w:pPr>
      <w:r>
        <w:t xml:space="preserve">See Agency for Clinical Innovation resource on </w:t>
      </w:r>
      <w:hyperlink r:id="rId31" w:history="1">
        <w:r>
          <w:rPr>
            <w:rStyle w:val="Hyperlink"/>
          </w:rPr>
          <w:t>Analytic principles for patient-reported outcome measures</w:t>
        </w:r>
      </w:hyperlink>
      <w:r>
        <w:t>.</w:t>
      </w:r>
    </w:p>
    <w:p w14:paraId="05CED74B" w14:textId="77777777" w:rsidR="0060062C" w:rsidRDefault="0060062C" w:rsidP="0060062C">
      <w:pPr>
        <w:pStyle w:val="Heading1"/>
      </w:pPr>
      <w:bookmarkStart w:id="13" w:name="_Toc175215364"/>
      <w:r>
        <w:lastRenderedPageBreak/>
        <w:t>PROM recommendations for low back pain</w:t>
      </w:r>
      <w:bookmarkEnd w:id="13"/>
    </w:p>
    <w:p w14:paraId="6B261935" w14:textId="77777777" w:rsidR="0060062C" w:rsidRDefault="0060062C" w:rsidP="00B73BD3">
      <w:pPr>
        <w:pStyle w:val="Heading2"/>
      </w:pPr>
      <w:r>
        <w:t>Context</w:t>
      </w:r>
    </w:p>
    <w:p w14:paraId="2FA1F29A" w14:textId="77777777" w:rsidR="0060062C" w:rsidRDefault="0060062C" w:rsidP="0060062C">
      <w:r>
        <w:t>Low back pain is a leading and increasing cause of disability and loss of productivity worldwide.</w:t>
      </w:r>
      <w:r>
        <w:rPr>
          <w:rStyle w:val="Superscript"/>
        </w:rPr>
        <w:t>7,8</w:t>
      </w:r>
      <w:r>
        <w:t xml:space="preserve"> It is associated with poor health-related quality of life in comparison to that of the general population, and limitations to mobility, self</w:t>
      </w:r>
      <w:r>
        <w:rPr>
          <w:rFonts w:ascii="Cambria Math" w:hAnsi="Cambria Math" w:cs="Cambria Math"/>
        </w:rPr>
        <w:t>‑</w:t>
      </w:r>
      <w:r>
        <w:t>care, employment, and social participation. In Australia, one in six people report back problems.</w:t>
      </w:r>
      <w:r>
        <w:rPr>
          <w:rStyle w:val="Superscript"/>
        </w:rPr>
        <w:t>2</w:t>
      </w:r>
    </w:p>
    <w:p w14:paraId="72E4CA98" w14:textId="77777777" w:rsidR="0060062C" w:rsidRDefault="0060062C" w:rsidP="0060062C">
      <w:r>
        <w:t xml:space="preserve">Data from the </w:t>
      </w:r>
      <w:hyperlink r:id="rId32" w:history="1">
        <w:r>
          <w:rPr>
            <w:rStyle w:val="Hyperlink"/>
          </w:rPr>
          <w:t>Australian Atlas of Healthcare Variation Series</w:t>
        </w:r>
      </w:hyperlink>
      <w:r>
        <w:t xml:space="preserve"> identified significant service variations across Australia related to low back pain: </w:t>
      </w:r>
    </w:p>
    <w:p w14:paraId="4E3D2274" w14:textId="77777777" w:rsidR="0060062C" w:rsidRDefault="0060062C" w:rsidP="0060062C">
      <w:pPr>
        <w:pStyle w:val="ListParagraph"/>
      </w:pPr>
      <w:r>
        <w:t>In 2013–14, the number of Medicare-funded services for computed tomography imaging of the lumbar spine was 11.8 times higher in the areas with the highest rate compared to the area with the lowest rate.</w:t>
      </w:r>
      <w:r>
        <w:rPr>
          <w:rStyle w:val="Superscript"/>
        </w:rPr>
        <w:t>9</w:t>
      </w:r>
    </w:p>
    <w:p w14:paraId="1A5F9216" w14:textId="77777777" w:rsidR="0060062C" w:rsidRDefault="0060062C" w:rsidP="0060062C">
      <w:pPr>
        <w:pStyle w:val="ListParagraph"/>
      </w:pPr>
      <w:r>
        <w:t>Between 2015 and 2018, there was a 12-fold difference between the highest and lowest rates of lumbar spinal fusion surgery, and over a seven-fold difference in rates of lumbar spinal compression surgery.</w:t>
      </w:r>
      <w:r>
        <w:rPr>
          <w:rStyle w:val="Superscript"/>
        </w:rPr>
        <w:t>10</w:t>
      </w:r>
      <w:r>
        <w:t xml:space="preserve"> </w:t>
      </w:r>
    </w:p>
    <w:p w14:paraId="5F741694" w14:textId="77777777" w:rsidR="0060062C" w:rsidRDefault="0060062C" w:rsidP="0060062C">
      <w:r>
        <w:t xml:space="preserve">In response to these findings, the Commission developed the </w:t>
      </w:r>
      <w:hyperlink r:id="rId33" w:history="1">
        <w:r>
          <w:rPr>
            <w:rStyle w:val="HyperlinkItalics"/>
          </w:rPr>
          <w:t>Low Back Pain Clinical Care Standard</w:t>
        </w:r>
      </w:hyperlink>
      <w:r>
        <w:t>. The standard consists of eight quality statements that describe the key components of care that a patient presenting with a new acute episode of low back pain should receive. This includes early clinical assessment, management, and review and referral. The standard also applies to patients with an acute episode, recurrence, or exacerbation of chronic low back pain.</w:t>
      </w:r>
      <w:r>
        <w:rPr>
          <w:rStyle w:val="Superscript"/>
        </w:rPr>
        <w:t>11</w:t>
      </w:r>
      <w:r>
        <w:t xml:space="preserve"> </w:t>
      </w:r>
    </w:p>
    <w:p w14:paraId="03931BA3" w14:textId="77777777" w:rsidR="0060062C" w:rsidRDefault="0060062C" w:rsidP="0060062C">
      <w:r>
        <w:t xml:space="preserve">The </w:t>
      </w:r>
      <w:hyperlink r:id="rId34" w:history="1">
        <w:r>
          <w:rPr>
            <w:rStyle w:val="HyperlinkItalics"/>
          </w:rPr>
          <w:t>Third Australian Atlas of Healthcare Variation</w:t>
        </w:r>
      </w:hyperlink>
      <w:r>
        <w:t xml:space="preserve"> (2018) also found a 5% increase in opioid prescribing nationally between 2013–14 and 2016–17.</w:t>
      </w:r>
      <w:r>
        <w:rPr>
          <w:rStyle w:val="Superscript"/>
        </w:rPr>
        <w:t>12</w:t>
      </w:r>
      <w:r>
        <w:t xml:space="preserve"> Opioids, which are commonly prescribed for acute low back pain</w:t>
      </w:r>
      <w:r>
        <w:rPr>
          <w:rStyle w:val="Superscript"/>
        </w:rPr>
        <w:t>13</w:t>
      </w:r>
      <w:r>
        <w:t>, are high-risk medicines with potential to cause harm, such as misuse, dependence and overdose. The </w:t>
      </w:r>
      <w:hyperlink r:id="rId35" w:history="1">
        <w:r>
          <w:rPr>
            <w:rStyle w:val="HyperlinkItalics"/>
          </w:rPr>
          <w:t>Opioid Analgesic Stewardship in Acute Pain Clinical Care Standard</w:t>
        </w:r>
      </w:hyperlink>
      <w:r>
        <w:t xml:space="preserve"> was developed to provide guidance on the appropriate use and review of analgesics for managing acute pain, to optimise patient outcomes and reduce the potential for opioid-related harm.</w:t>
      </w:r>
      <w:r>
        <w:rPr>
          <w:rStyle w:val="Superscript"/>
        </w:rPr>
        <w:t>14</w:t>
      </w:r>
      <w:r>
        <w:t xml:space="preserve"> </w:t>
      </w:r>
    </w:p>
    <w:p w14:paraId="3D97F6F6" w14:textId="77777777" w:rsidR="0060062C" w:rsidRDefault="0060062C" w:rsidP="0060062C">
      <w:r>
        <w:t xml:space="preserve">The </w:t>
      </w:r>
      <w:hyperlink r:id="rId36" w:history="1">
        <w:r>
          <w:rPr>
            <w:rStyle w:val="HyperlinkItalics"/>
          </w:rPr>
          <w:t>Fourth Australian Atlas of Healthcare Variation</w:t>
        </w:r>
      </w:hyperlink>
      <w:r>
        <w:t xml:space="preserve"> (2021) recommended addressing the identified service variations by using high-quality research and outcome monitoring, including PROMs, to identify patients who would benefit from spinal surgery rather than more conservative interventions for low back pain. This prompted the Commission to develop recommendations on validated PROMs for low back pain.</w:t>
      </w:r>
      <w:r>
        <w:rPr>
          <w:rStyle w:val="Superscript"/>
        </w:rPr>
        <w:t>10</w:t>
      </w:r>
    </w:p>
    <w:p w14:paraId="09E9FE6E" w14:textId="77777777" w:rsidR="0060062C" w:rsidRDefault="0060062C" w:rsidP="0060062C">
      <w:r>
        <w:t>There are many outcomes that are important to people who present with low back pain, such as improving pain and being able to participate in daily activities.</w:t>
      </w:r>
      <w:r>
        <w:rPr>
          <w:rStyle w:val="Superscript"/>
        </w:rPr>
        <w:t>15,16</w:t>
      </w:r>
      <w:r>
        <w:t xml:space="preserve"> Several PROMs can be used to measure these outcomes, to assist with assessing and monitoring progress from a patient’s perspective.</w:t>
      </w:r>
      <w:r>
        <w:rPr>
          <w:rStyle w:val="Superscript"/>
        </w:rPr>
        <w:t>16-18</w:t>
      </w:r>
    </w:p>
    <w:p w14:paraId="70D28B3D" w14:textId="77777777" w:rsidR="0060062C" w:rsidRDefault="0060062C" w:rsidP="0060062C">
      <w:r>
        <w:t>Patients with low back pain may consult more than one type of clinician and receive multiple interventions for their pain. They may also transition between surgical and non-surgical points of care and can progress to recovery or chronicity. Recommending a set of PROMs for use across clinical areas to collect outcomes from patients with low back pain promotes consistency and a shared understanding between clinicians of a patient’s journey of care.</w:t>
      </w:r>
    </w:p>
    <w:p w14:paraId="583495B9" w14:textId="77777777" w:rsidR="0060062C" w:rsidRDefault="0060062C" w:rsidP="00B73BD3">
      <w:pPr>
        <w:pStyle w:val="Heading2"/>
      </w:pPr>
      <w:r>
        <w:t>Goal</w:t>
      </w:r>
    </w:p>
    <w:p w14:paraId="7460D011" w14:textId="77777777" w:rsidR="0060062C" w:rsidRDefault="0060062C" w:rsidP="0060062C">
      <w:r>
        <w:t>To support clinicians to use PROMs to:</w:t>
      </w:r>
    </w:p>
    <w:p w14:paraId="411B11AA" w14:textId="77777777" w:rsidR="0060062C" w:rsidRDefault="0060062C" w:rsidP="0060062C">
      <w:pPr>
        <w:pStyle w:val="ListParagraph"/>
      </w:pPr>
      <w:r>
        <w:t>Partner with patients in the management of their low back pain</w:t>
      </w:r>
    </w:p>
    <w:p w14:paraId="46817967" w14:textId="77777777" w:rsidR="0060062C" w:rsidRDefault="0060062C" w:rsidP="0060062C">
      <w:pPr>
        <w:pStyle w:val="ListParagraph"/>
      </w:pPr>
      <w:r>
        <w:t xml:space="preserve">Assess and monitor the progress of low back pain and interventions from the patient’s perspective. </w:t>
      </w:r>
    </w:p>
    <w:tbl>
      <w:tblPr>
        <w:tblStyle w:val="PROMchapterbox"/>
        <w:tblW w:w="5000" w:type="pct"/>
        <w:tblLook w:val="0620" w:firstRow="1" w:lastRow="0" w:firstColumn="0" w:lastColumn="0" w:noHBand="1" w:noVBand="1"/>
        <w:tblDescription w:val="Pain &#10;Numerical Pain Rating Scale (NPRS)&#10;"/>
      </w:tblPr>
      <w:tblGrid>
        <w:gridCol w:w="8944"/>
      </w:tblGrid>
      <w:tr w:rsidR="0060062C" w14:paraId="50A93332" w14:textId="77777777" w:rsidTr="00DE18AB">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701B4BAB" w14:textId="77777777" w:rsidR="0060062C" w:rsidRPr="00D90711" w:rsidRDefault="0060062C" w:rsidP="00D90711">
            <w:pPr>
              <w:pStyle w:val="PROMRecommendationsurtitle"/>
            </w:pPr>
            <w:bookmarkStart w:id="14" w:name="_Toc175215365"/>
            <w:r w:rsidRPr="00D90711">
              <w:lastRenderedPageBreak/>
              <w:t>Pain</w:t>
            </w:r>
            <w:bookmarkEnd w:id="14"/>
            <w:r w:rsidRPr="00D90711">
              <w:t xml:space="preserve"> </w:t>
            </w:r>
          </w:p>
          <w:p w14:paraId="6232C47F" w14:textId="77777777" w:rsidR="0060062C" w:rsidRDefault="0060062C" w:rsidP="00DF40B6">
            <w:pPr>
              <w:pStyle w:val="PROMRecommendation"/>
            </w:pPr>
            <w:r w:rsidRPr="0051110E">
              <w:t xml:space="preserve">Numerical Pain </w:t>
            </w:r>
            <w:r w:rsidRPr="00DF40B6">
              <w:t>Rating</w:t>
            </w:r>
            <w:r w:rsidRPr="0051110E">
              <w:t xml:space="preserve"> Scale (NPRS)</w:t>
            </w:r>
          </w:p>
        </w:tc>
      </w:tr>
      <w:tr w:rsidR="0060062C" w14:paraId="1C186B0D" w14:textId="77777777" w:rsidTr="00DE18AB">
        <w:tblPrEx>
          <w:tblCellMar>
            <w:top w:w="57" w:type="dxa"/>
          </w:tblCellMar>
        </w:tblPrEx>
        <w:trPr>
          <w:trHeight w:val="60"/>
        </w:trPr>
        <w:tc>
          <w:tcPr>
            <w:tcW w:w="5000" w:type="pct"/>
          </w:tcPr>
          <w:p w14:paraId="061DF70F" w14:textId="77777777" w:rsidR="0060062C" w:rsidRDefault="0060062C" w:rsidP="00D51EAE">
            <w:pPr>
              <w:pStyle w:val="ListParagraph"/>
            </w:pPr>
            <w:r>
              <w:rPr>
                <w:rStyle w:val="Strong"/>
              </w:rPr>
              <w:t>Number of items</w:t>
            </w:r>
            <w:r>
              <w:t>: 1</w:t>
            </w:r>
          </w:p>
          <w:p w14:paraId="469BB185" w14:textId="77777777" w:rsidR="0060062C" w:rsidRDefault="0060062C" w:rsidP="00D51EAE">
            <w:pPr>
              <w:pStyle w:val="ListParagraph"/>
            </w:pPr>
            <w:r>
              <w:rPr>
                <w:rStyle w:val="Strong"/>
              </w:rPr>
              <w:t>Time to complete</w:t>
            </w:r>
            <w:r>
              <w:t>: Less than 1 minute</w:t>
            </w:r>
          </w:p>
          <w:p w14:paraId="5DF6288F" w14:textId="77777777" w:rsidR="0060062C" w:rsidRPr="00F2023A" w:rsidRDefault="0060062C" w:rsidP="00F2023A">
            <w:pPr>
              <w:pStyle w:val="PROMchapterboxsubheading"/>
            </w:pPr>
            <w:r w:rsidRPr="00F2023A">
              <w:t>Recommendation</w:t>
            </w:r>
          </w:p>
          <w:p w14:paraId="477EEFB5" w14:textId="2D462080" w:rsidR="0060062C" w:rsidRDefault="0060062C" w:rsidP="00D51EAE">
            <w:r>
              <w:t>Reducing pain is the most important outcome reported by patients seeking clinical care for their low back pain.</w:t>
            </w:r>
            <w:r>
              <w:rPr>
                <w:rStyle w:val="Superscript"/>
              </w:rPr>
              <w:t>15,18,19</w:t>
            </w:r>
            <w:r>
              <w:t xml:space="preserve"> The NPRS is recommended to assess pain intensity. It is a commonly used and comprehensible tool, and it is easy to administer either graphically or</w:t>
            </w:r>
            <w:r w:rsidR="00843BBE">
              <w:t> </w:t>
            </w:r>
            <w:r>
              <w:t>verbally.</w:t>
            </w:r>
          </w:p>
          <w:p w14:paraId="6BBED2F6" w14:textId="77777777" w:rsidR="0060062C" w:rsidRDefault="0060062C" w:rsidP="00F2023A">
            <w:pPr>
              <w:pStyle w:val="PROMchapterboxsubheading"/>
            </w:pPr>
            <w:r>
              <w:t>Recall period</w:t>
            </w:r>
          </w:p>
          <w:p w14:paraId="12B009E7" w14:textId="77777777" w:rsidR="0060062C" w:rsidRDefault="0060062C" w:rsidP="00D51EAE">
            <w:r>
              <w:t>The recommended recall period for pain PROMs differs for patients with acute low back pain and chronic or persistent low back pain as follows:</w:t>
            </w:r>
          </w:p>
          <w:p w14:paraId="06789101" w14:textId="77777777" w:rsidR="0060062C" w:rsidRDefault="0060062C" w:rsidP="00D51EAE">
            <w:pPr>
              <w:pStyle w:val="ListParagraph"/>
            </w:pPr>
            <w:r>
              <w:t xml:space="preserve">For patients presenting with </w:t>
            </w:r>
            <w:r>
              <w:rPr>
                <w:rStyle w:val="Strong"/>
              </w:rPr>
              <w:t>acute low back pain</w:t>
            </w:r>
            <w:r>
              <w:t>, measuring pain ‘right now’ and ‘in the past 24 hours’ will provide clinicians with a baseline to aid monitoring of the patient’s progress.</w:t>
            </w:r>
          </w:p>
          <w:p w14:paraId="5A5F7BAC" w14:textId="284EA493" w:rsidR="0060062C" w:rsidRDefault="0060062C" w:rsidP="00D51EAE">
            <w:pPr>
              <w:pStyle w:val="ListParagraph"/>
            </w:pPr>
            <w:r>
              <w:t xml:space="preserve">For patients presenting with </w:t>
            </w:r>
            <w:r>
              <w:rPr>
                <w:rStyle w:val="Strong"/>
              </w:rPr>
              <w:t>chronic or persistent low back pain</w:t>
            </w:r>
            <w:r>
              <w:t>, measuring pain ‘in the past 24 hours’ and ‘in the past week’ will provide clinicians with more information about the patient’s experience of pain over</w:t>
            </w:r>
            <w:r w:rsidR="009019F2">
              <w:t> </w:t>
            </w:r>
            <w:r>
              <w:t>time.</w:t>
            </w:r>
          </w:p>
        </w:tc>
      </w:tr>
    </w:tbl>
    <w:p w14:paraId="072D2797" w14:textId="77777777" w:rsidR="0060062C" w:rsidRPr="00B73BD3" w:rsidRDefault="0060062C" w:rsidP="00F2023A">
      <w:pPr>
        <w:pStyle w:val="Heading2"/>
      </w:pPr>
      <w:r w:rsidRPr="00B73BD3">
        <w:t>Rationale</w:t>
      </w:r>
    </w:p>
    <w:p w14:paraId="6A548B51" w14:textId="77777777" w:rsidR="0060062C" w:rsidRDefault="0060062C" w:rsidP="0060062C">
      <w:r>
        <w:t>Pain intensity is consistently identified as the most important pain domain in low back pain literature and consensus-based development of core outcome domains for low back pain.</w:t>
      </w:r>
      <w:r>
        <w:rPr>
          <w:rStyle w:val="Superscript"/>
        </w:rPr>
        <w:t>18-21</w:t>
      </w:r>
      <w:r>
        <w:t xml:space="preserve"> The NPRS is the most frequently used PROM to measure pain intensity in people with low back pain in clinical practice, clinical trials and clinical quality registries.</w:t>
      </w:r>
      <w:r>
        <w:rPr>
          <w:rStyle w:val="Superscript"/>
        </w:rPr>
        <w:t>3,22</w:t>
      </w:r>
    </w:p>
    <w:p w14:paraId="48719CDC" w14:textId="77777777" w:rsidR="0060062C" w:rsidRDefault="0060062C" w:rsidP="0060062C">
      <w:r>
        <w:t>Consensus-based studies and initiatives have also selected the NPRS to measure pain. For example, it is used in an updated core outcome set for low back pain clinical research</w:t>
      </w:r>
      <w:r>
        <w:rPr>
          <w:rStyle w:val="Superscript"/>
        </w:rPr>
        <w:t>18</w:t>
      </w:r>
      <w:r>
        <w:t>, the International Consortium for Health Outcomes Measurement standard set for low back pain</w:t>
      </w:r>
      <w:r>
        <w:rPr>
          <w:rStyle w:val="Superscript"/>
        </w:rPr>
        <w:t>21</w:t>
      </w:r>
      <w:r>
        <w:t>, the National Institutes of Health Research Task Force’s set of standards for research on chronic low back pain</w:t>
      </w:r>
      <w:r>
        <w:rPr>
          <w:rStyle w:val="Superscript"/>
        </w:rPr>
        <w:t>23</w:t>
      </w:r>
      <w:r>
        <w:t>, and the Initiative on Methods, Measurement, and Pain Assessment in Clinical Trials recommendations for chronic pain clinical trials.</w:t>
      </w:r>
      <w:r>
        <w:rPr>
          <w:rStyle w:val="Superscript"/>
        </w:rPr>
        <w:t>20</w:t>
      </w:r>
      <w:r>
        <w:t xml:space="preserve"> </w:t>
      </w:r>
    </w:p>
    <w:p w14:paraId="499B761E" w14:textId="35E4ED73" w:rsidR="0060062C" w:rsidRDefault="0060062C" w:rsidP="0060062C">
      <w:r>
        <w:t>A systematic review conducted using the COSMIN (COnsensus-based Standards for the selection of health Measurement INstruments) guidelines found that the NPRS had low or very low quality of evidence for content validity.</w:t>
      </w:r>
      <w:r>
        <w:rPr>
          <w:rStyle w:val="Superscript"/>
        </w:rPr>
        <w:t>19</w:t>
      </w:r>
      <w:r>
        <w:t xml:space="preserve"> However, it is still recommended for its simplicity and wide use in clinical practice. For more information and a sample of the NPRS, see </w:t>
      </w:r>
      <w:r w:rsidR="004739E5" w:rsidRPr="004739E5">
        <w:rPr>
          <w:rStyle w:val="Cross-reference"/>
        </w:rPr>
        <w:fldChar w:fldCharType="begin"/>
      </w:r>
      <w:r w:rsidR="004739E5" w:rsidRPr="004739E5">
        <w:rPr>
          <w:rStyle w:val="Cross-reference"/>
        </w:rPr>
        <w:instrText xml:space="preserve"> REF AA \h </w:instrText>
      </w:r>
      <w:r w:rsidR="004739E5">
        <w:rPr>
          <w:rStyle w:val="Cross-reference"/>
        </w:rPr>
        <w:instrText xml:space="preserve"> \* MERGEFORMAT </w:instrText>
      </w:r>
      <w:r w:rsidR="004739E5" w:rsidRPr="004739E5">
        <w:rPr>
          <w:rStyle w:val="Cross-reference"/>
        </w:rPr>
      </w:r>
      <w:r w:rsidR="004739E5" w:rsidRPr="004739E5">
        <w:rPr>
          <w:rStyle w:val="Cross-reference"/>
        </w:rPr>
        <w:fldChar w:fldCharType="separate"/>
      </w:r>
      <w:r w:rsidR="004739E5" w:rsidRPr="004739E5">
        <w:rPr>
          <w:rStyle w:val="Cross-reference"/>
        </w:rPr>
        <w:t>Appendix A</w:t>
      </w:r>
      <w:r w:rsidR="004739E5" w:rsidRPr="004739E5">
        <w:rPr>
          <w:rStyle w:val="Cross-reference"/>
        </w:rPr>
        <w:fldChar w:fldCharType="end"/>
      </w:r>
      <w:r>
        <w:t>.</w:t>
      </w:r>
    </w:p>
    <w:tbl>
      <w:tblPr>
        <w:tblStyle w:val="PROMchapterbox"/>
        <w:tblW w:w="5000" w:type="pct"/>
        <w:tblBorders>
          <w:top w:val="single" w:sz="48" w:space="0" w:color="00A9DD" w:themeColor="accent2"/>
          <w:left w:val="single" w:sz="48" w:space="0" w:color="00A9DD" w:themeColor="accent2"/>
          <w:bottom w:val="single" w:sz="48" w:space="0" w:color="00A9DD" w:themeColor="accent2"/>
          <w:right w:val="single" w:sz="48" w:space="0" w:color="00A9DD" w:themeColor="accent2"/>
        </w:tblBorders>
        <w:shd w:val="clear" w:color="auto" w:fill="F6FAFE"/>
        <w:tblLook w:val="0620" w:firstRow="1" w:lastRow="0" w:firstColumn="0" w:lastColumn="0" w:noHBand="1" w:noVBand="1"/>
        <w:tblDescription w:val="Physical functioning &#10;Oswestry Disability Index (ODI) or Roland Morris Disability Questionnaire (RMDQ)&#10;"/>
      </w:tblPr>
      <w:tblGrid>
        <w:gridCol w:w="8944"/>
      </w:tblGrid>
      <w:tr w:rsidR="0060062C" w14:paraId="3BC813CD" w14:textId="77777777" w:rsidTr="00E87ED7">
        <w:trPr>
          <w:cnfStyle w:val="100000000000" w:firstRow="1" w:lastRow="0" w:firstColumn="0" w:lastColumn="0" w:oddVBand="0" w:evenVBand="0" w:oddHBand="0" w:evenHBand="0" w:firstRowFirstColumn="0" w:firstRowLastColumn="0" w:lastRowFirstColumn="0" w:lastRowLastColumn="0"/>
          <w:trHeight w:val="60"/>
        </w:trPr>
        <w:tc>
          <w:tcPr>
            <w:tcW w:w="5000" w:type="pct"/>
            <w:shd w:val="clear" w:color="auto" w:fill="F6FAFE"/>
          </w:tcPr>
          <w:p w14:paraId="6C0F40B3" w14:textId="77777777" w:rsidR="0060062C" w:rsidRDefault="0060062C" w:rsidP="00D90711">
            <w:pPr>
              <w:pStyle w:val="PROMRecommendationsurtitle"/>
            </w:pPr>
            <w:bookmarkStart w:id="15" w:name="_Toc175215366"/>
            <w:r>
              <w:lastRenderedPageBreak/>
              <w:t>Physical functioning</w:t>
            </w:r>
            <w:bookmarkEnd w:id="15"/>
            <w:r>
              <w:t xml:space="preserve"> </w:t>
            </w:r>
          </w:p>
          <w:p w14:paraId="20321122" w14:textId="77777777" w:rsidR="0060062C" w:rsidRDefault="0060062C" w:rsidP="00DF40B6">
            <w:pPr>
              <w:pStyle w:val="PROMRecommendation"/>
            </w:pPr>
            <w:r>
              <w:t>Oswestry Disability Index (ODI) or Roland Morris Disability Questionnaire (RMDQ)</w:t>
            </w:r>
          </w:p>
        </w:tc>
      </w:tr>
      <w:tr w:rsidR="0060062C" w14:paraId="0BB43F58" w14:textId="77777777" w:rsidTr="00E87ED7">
        <w:tblPrEx>
          <w:tblCellMar>
            <w:top w:w="57" w:type="dxa"/>
          </w:tblCellMar>
        </w:tblPrEx>
        <w:trPr>
          <w:trHeight w:val="60"/>
        </w:trPr>
        <w:tc>
          <w:tcPr>
            <w:tcW w:w="5000" w:type="pct"/>
            <w:shd w:val="clear" w:color="auto" w:fill="F6FAFE"/>
          </w:tcPr>
          <w:p w14:paraId="05AC8022" w14:textId="77777777" w:rsidR="0060062C" w:rsidRDefault="0060062C" w:rsidP="00D51EAE">
            <w:r>
              <w:t xml:space="preserve">ODI: </w:t>
            </w:r>
          </w:p>
          <w:p w14:paraId="45BC57F7" w14:textId="77777777" w:rsidR="0060062C" w:rsidRDefault="0060062C" w:rsidP="00D51EAE">
            <w:pPr>
              <w:pStyle w:val="ListParagraph"/>
            </w:pPr>
            <w:r>
              <w:rPr>
                <w:rStyle w:val="Strong"/>
              </w:rPr>
              <w:t>Number of items</w:t>
            </w:r>
            <w:r>
              <w:t>: 10</w:t>
            </w:r>
          </w:p>
          <w:p w14:paraId="658780BC" w14:textId="77777777" w:rsidR="0060062C" w:rsidRDefault="0060062C" w:rsidP="00D51EAE">
            <w:pPr>
              <w:pStyle w:val="ListParagraph"/>
            </w:pPr>
            <w:r>
              <w:rPr>
                <w:rStyle w:val="Strong"/>
              </w:rPr>
              <w:t>Time to complete</w:t>
            </w:r>
            <w:r>
              <w:t xml:space="preserve">: 3–5 minutes </w:t>
            </w:r>
          </w:p>
          <w:p w14:paraId="1A629C9E" w14:textId="77777777" w:rsidR="0060062C" w:rsidRDefault="0060062C" w:rsidP="00D51EAE">
            <w:r>
              <w:t>RMDQ:</w:t>
            </w:r>
          </w:p>
          <w:p w14:paraId="541F1797" w14:textId="77777777" w:rsidR="0060062C" w:rsidRDefault="0060062C" w:rsidP="00D51EAE">
            <w:pPr>
              <w:pStyle w:val="ListParagraph"/>
            </w:pPr>
            <w:r>
              <w:rPr>
                <w:rStyle w:val="Strong"/>
              </w:rPr>
              <w:t>Number of items</w:t>
            </w:r>
            <w:r>
              <w:t>: 24</w:t>
            </w:r>
          </w:p>
          <w:p w14:paraId="47D8CC8E" w14:textId="77777777" w:rsidR="0060062C" w:rsidRDefault="0060062C" w:rsidP="00D51EAE">
            <w:pPr>
              <w:pStyle w:val="ListParagraph"/>
            </w:pPr>
            <w:r>
              <w:rPr>
                <w:rStyle w:val="Strong"/>
              </w:rPr>
              <w:t>Time to complete</w:t>
            </w:r>
            <w:r>
              <w:t>: 5 minutes</w:t>
            </w:r>
          </w:p>
          <w:p w14:paraId="632C2F1D" w14:textId="77777777" w:rsidR="0060062C" w:rsidRDefault="0060062C" w:rsidP="00A15073">
            <w:pPr>
              <w:pStyle w:val="PROMchapterboxsubheading"/>
            </w:pPr>
            <w:r>
              <w:t>Recommendation</w:t>
            </w:r>
          </w:p>
          <w:p w14:paraId="311848F9" w14:textId="77777777" w:rsidR="0060062C" w:rsidRDefault="0060062C" w:rsidP="00D51EAE">
            <w:r>
              <w:t>Physical functioning is measured to assess the effect of low back pain on activities of daily living, such as walking or moving around, personal care and sleep.</w:t>
            </w:r>
            <w:r>
              <w:rPr>
                <w:rStyle w:val="Superscript"/>
              </w:rPr>
              <w:t>24</w:t>
            </w:r>
            <w:r>
              <w:t xml:space="preserve"> Both the ODI and the RMDQ are recommended to measure this outcome. Although the ODI is the preferred tool, clinicians and healthcare services may choose to use the RMDQ if cost is a barrier.</w:t>
            </w:r>
          </w:p>
        </w:tc>
      </w:tr>
    </w:tbl>
    <w:p w14:paraId="0E48A036" w14:textId="77777777" w:rsidR="0060062C" w:rsidRDefault="0060062C" w:rsidP="00B73BD3">
      <w:pPr>
        <w:pStyle w:val="Heading2"/>
      </w:pPr>
      <w:r>
        <w:t>Rationale</w:t>
      </w:r>
    </w:p>
    <w:p w14:paraId="1336F3CA" w14:textId="77777777" w:rsidR="0060062C" w:rsidRDefault="0060062C" w:rsidP="0060062C">
      <w:r>
        <w:t>Low back pain can affect the ability of patients to participate in day-to-day activities, such as walking, self</w:t>
      </w:r>
      <w:r>
        <w:rPr>
          <w:rFonts w:ascii="Cambria Math" w:hAnsi="Cambria Math" w:cs="Cambria Math"/>
        </w:rPr>
        <w:t>‑</w:t>
      </w:r>
      <w:r>
        <w:t>care and socialising.</w:t>
      </w:r>
      <w:r>
        <w:rPr>
          <w:rStyle w:val="Superscript"/>
        </w:rPr>
        <w:t>2,24</w:t>
      </w:r>
      <w:r>
        <w:t xml:space="preserve"> In conjunction with reducing pain intensity, increasing participation in everyday activities is an important outcome and rehabilitation goal for low back pain interventions.</w:t>
      </w:r>
      <w:r>
        <w:rPr>
          <w:rStyle w:val="Superscript"/>
        </w:rPr>
        <w:t>15</w:t>
      </w:r>
      <w:r>
        <w:t xml:space="preserve"> The ODI and RMDQ are the most frequently used PROMs to measure physical functioning in people with low back pain in clinical practice, clinical trials and clinical quality registries.</w:t>
      </w:r>
      <w:r>
        <w:rPr>
          <w:rStyle w:val="Superscript"/>
        </w:rPr>
        <w:t>3,22,25</w:t>
      </w:r>
    </w:p>
    <w:p w14:paraId="3E333A64" w14:textId="77777777" w:rsidR="0060062C" w:rsidRDefault="0060062C" w:rsidP="0060062C">
      <w:r>
        <w:t>A systematic review conducted using the COSMIN guidelines assessed the psychometric properties of the ODI and RMDQ in people with low back pain and did not find adequate quality evidence for content validity.</w:t>
      </w:r>
      <w:r>
        <w:rPr>
          <w:rStyle w:val="Superscript"/>
        </w:rPr>
        <w:t>25</w:t>
      </w:r>
      <w:r>
        <w:t xml:space="preserve"> The ODI provided marginally superior results in terms of its psychometric properties compared with the RMDQ. The ODI also has the advantage of being shorter and more widely used.</w:t>
      </w:r>
      <w:r>
        <w:rPr>
          <w:rStyle w:val="Superscript"/>
        </w:rPr>
        <w:t>26</w:t>
      </w:r>
      <w:r>
        <w:t xml:space="preserve"> </w:t>
      </w:r>
    </w:p>
    <w:p w14:paraId="4E53D609" w14:textId="77777777" w:rsidR="0060062C" w:rsidRDefault="0060062C" w:rsidP="0060062C">
      <w:r>
        <w:t xml:space="preserve">In the absence of sufficient evidence to support the use of alternative PROMs to measure physical functioning, the ODI and RMDQ are considered to be useful tools to understand how low back pain is affecting a patient’s day-to-day activities. </w:t>
      </w:r>
    </w:p>
    <w:p w14:paraId="0146EA98" w14:textId="77777777" w:rsidR="0060062C" w:rsidRDefault="0060062C" w:rsidP="00B73BD3">
      <w:pPr>
        <w:pStyle w:val="Heading2"/>
      </w:pPr>
      <w:r>
        <w:t>ODI or RMDQ?</w:t>
      </w:r>
    </w:p>
    <w:p w14:paraId="18A27C19" w14:textId="77777777" w:rsidR="0060062C" w:rsidRDefault="0060062C" w:rsidP="0060062C">
      <w:r>
        <w:t>The ODI is the preferred tool for assessing physical functioning. This is because the ODI captures more in-depth information, with multiple domains of daily living across 15 items, which patients can rate along a scale of impact. In comparison, the RMDQ has 24 items with a binary response, which can limit the amount of information that can be collected about the patient’s physical functioning. Additionally, the ODI is the selected PROM to assess physical functioning in standardised outcome sets for both research and clinical practice.</w:t>
      </w:r>
    </w:p>
    <w:p w14:paraId="2C7F8B60" w14:textId="0FC53928" w:rsidR="0060062C" w:rsidRDefault="0060062C" w:rsidP="00CE3FE0">
      <w:pPr>
        <w:spacing w:after="240"/>
      </w:pPr>
      <w:r>
        <w:lastRenderedPageBreak/>
        <w:t xml:space="preserve">However, licensing requirements for the ODI may be a barrier for some clinicians and healthcare services, where fees may apply according to the conditions of use. The RMDQ is given as an option that is free in the public domain. For more information and samples of the ODI and RMDQ, see </w:t>
      </w:r>
      <w:r w:rsidR="004739E5" w:rsidRPr="004739E5">
        <w:rPr>
          <w:rStyle w:val="Cross-reference"/>
        </w:rPr>
        <w:fldChar w:fldCharType="begin"/>
      </w:r>
      <w:r w:rsidR="004739E5" w:rsidRPr="004739E5">
        <w:rPr>
          <w:rStyle w:val="Cross-reference"/>
        </w:rPr>
        <w:instrText xml:space="preserve"> REF AA \h </w:instrText>
      </w:r>
      <w:r w:rsidR="004739E5">
        <w:rPr>
          <w:rStyle w:val="Cross-reference"/>
        </w:rPr>
        <w:instrText xml:space="preserve"> \* MERGEFORMAT </w:instrText>
      </w:r>
      <w:r w:rsidR="004739E5" w:rsidRPr="004739E5">
        <w:rPr>
          <w:rStyle w:val="Cross-reference"/>
        </w:rPr>
      </w:r>
      <w:r w:rsidR="004739E5" w:rsidRPr="004739E5">
        <w:rPr>
          <w:rStyle w:val="Cross-reference"/>
        </w:rPr>
        <w:fldChar w:fldCharType="separate"/>
      </w:r>
      <w:r w:rsidR="004739E5" w:rsidRPr="004739E5">
        <w:rPr>
          <w:rStyle w:val="Cross-reference"/>
        </w:rPr>
        <w:t>Appendix A</w:t>
      </w:r>
      <w:r w:rsidR="004739E5" w:rsidRPr="004739E5">
        <w:rPr>
          <w:rStyle w:val="Cross-reference"/>
        </w:rPr>
        <w:fldChar w:fldCharType="end"/>
      </w:r>
      <w:r>
        <w:t xml:space="preserve">. </w:t>
      </w:r>
    </w:p>
    <w:tbl>
      <w:tblPr>
        <w:tblStyle w:val="PROMorangebox"/>
        <w:tblW w:w="9638" w:type="dxa"/>
        <w:tblLayout w:type="fixed"/>
        <w:tblLook w:val="06A0" w:firstRow="1" w:lastRow="0" w:firstColumn="1" w:lastColumn="0" w:noHBand="1" w:noVBand="1"/>
        <w:tblDescription w:val="Implementation tip"/>
      </w:tblPr>
      <w:tblGrid>
        <w:gridCol w:w="2835"/>
        <w:gridCol w:w="6803"/>
      </w:tblGrid>
      <w:tr w:rsidR="002255B0" w:rsidRPr="00F62FE4" w14:paraId="2DDBAEC8" w14:textId="77777777" w:rsidTr="00F7728D">
        <w:trPr>
          <w:cnfStyle w:val="100000000000" w:firstRow="1" w:lastRow="0" w:firstColumn="0" w:lastColumn="0" w:oddVBand="0" w:evenVBand="0" w:oddHBand="0" w:evenHBand="0" w:firstRowFirstColumn="0" w:firstRowLastColumn="0" w:lastRowFirstColumn="0" w:lastRowLastColumn="0"/>
          <w:trHeight w:hRule="exact" w:val="20"/>
        </w:trPr>
        <w:tc>
          <w:tcPr>
            <w:cnfStyle w:val="001000000000" w:firstRow="0" w:lastRow="0" w:firstColumn="1" w:lastColumn="0" w:oddVBand="0" w:evenVBand="0" w:oddHBand="0" w:evenHBand="0" w:firstRowFirstColumn="0" w:firstRowLastColumn="0" w:lastRowFirstColumn="0" w:lastRowLastColumn="0"/>
            <w:tcW w:w="9638" w:type="dxa"/>
            <w:gridSpan w:val="2"/>
          </w:tcPr>
          <w:p w14:paraId="55E0D86D" w14:textId="2BDFE7FA" w:rsidR="002255B0" w:rsidRPr="00F62FE4" w:rsidRDefault="00117DAC" w:rsidP="00F62FE4">
            <w:r w:rsidRPr="00F62FE4">
              <w:t>Implementation tip</w:t>
            </w:r>
            <w:r w:rsidRPr="00C2239F">
              <w:t xml:space="preserve"> </w:t>
            </w:r>
          </w:p>
        </w:tc>
      </w:tr>
      <w:tr w:rsidR="00367EFE" w14:paraId="69681DB4" w14:textId="77777777" w:rsidTr="00655F1B">
        <w:trPr>
          <w:trHeight w:val="60"/>
        </w:trPr>
        <w:tc>
          <w:tcPr>
            <w:cnfStyle w:val="001000000000" w:firstRow="0" w:lastRow="0" w:firstColumn="1" w:lastColumn="0" w:oddVBand="0" w:evenVBand="0" w:oddHBand="0" w:evenHBand="0" w:firstRowFirstColumn="0" w:firstRowLastColumn="0" w:lastRowFirstColumn="0" w:lastRowLastColumn="0"/>
            <w:tcW w:w="2835" w:type="dxa"/>
          </w:tcPr>
          <w:p w14:paraId="34129B02" w14:textId="0ABBEA54" w:rsidR="0060062C" w:rsidRDefault="00C2239F" w:rsidP="00634E56">
            <w:r w:rsidRPr="00C2239F">
              <w:rPr>
                <w:noProof/>
              </w:rPr>
              <w:drawing>
                <wp:inline distT="0" distB="0" distL="0" distR="0" wp14:anchorId="66193D87" wp14:editId="3383047D">
                  <wp:extent cx="825500" cy="825500"/>
                  <wp:effectExtent l="0" t="0" r="0" b="0"/>
                  <wp:docPr id="7008729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72967" name="Picture 1">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825500" cy="825500"/>
                          </a:xfrm>
                          <a:prstGeom prst="rect">
                            <a:avLst/>
                          </a:prstGeom>
                        </pic:spPr>
                      </pic:pic>
                    </a:graphicData>
                  </a:graphic>
                </wp:inline>
              </w:drawing>
            </w:r>
          </w:p>
          <w:p w14:paraId="48D1759A" w14:textId="77777777" w:rsidR="0060062C" w:rsidRDefault="0060062C" w:rsidP="00C2239F">
            <w:r w:rsidRPr="00C2239F">
              <w:t>Implementation</w:t>
            </w:r>
            <w:r>
              <w:t xml:space="preserve"> tip</w:t>
            </w:r>
          </w:p>
        </w:tc>
        <w:tc>
          <w:tcPr>
            <w:tcW w:w="6803" w:type="dxa"/>
          </w:tcPr>
          <w:p w14:paraId="26997D49"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 xml:space="preserve">The low back pain PROMs recommended in this document can be applied as an entire questionnaire set. However, to minimise survey burden and maximise clinical usefulness, clinicians can prioritise measuring pain and physical functioning to assess and monitor a patient’s progress. </w:t>
            </w:r>
          </w:p>
        </w:tc>
      </w:tr>
    </w:tbl>
    <w:p w14:paraId="5A486778" w14:textId="77777777" w:rsidR="0060062C" w:rsidRDefault="0060062C" w:rsidP="00CE3FE0">
      <w:pPr>
        <w:spacing w:after="0"/>
      </w:pPr>
    </w:p>
    <w:tbl>
      <w:tblPr>
        <w:tblStyle w:val="PROMorangebox"/>
        <w:tblW w:w="9638" w:type="dxa"/>
        <w:tblLayout w:type="fixed"/>
        <w:tblLook w:val="06A0" w:firstRow="1" w:lastRow="0" w:firstColumn="1" w:lastColumn="0" w:noHBand="1" w:noVBand="1"/>
        <w:tblDescription w:val="Clinician communication tip"/>
      </w:tblPr>
      <w:tblGrid>
        <w:gridCol w:w="2835"/>
        <w:gridCol w:w="6803"/>
      </w:tblGrid>
      <w:tr w:rsidR="009B7E0D" w:rsidRPr="00F62FE4" w14:paraId="7648D081" w14:textId="77777777" w:rsidTr="00F1598B">
        <w:trPr>
          <w:cnfStyle w:val="100000000000" w:firstRow="1" w:lastRow="0" w:firstColumn="0" w:lastColumn="0" w:oddVBand="0" w:evenVBand="0" w:oddHBand="0" w:evenHBand="0" w:firstRowFirstColumn="0" w:firstRowLastColumn="0" w:lastRowFirstColumn="0" w:lastRowLastColumn="0"/>
          <w:trHeight w:hRule="exact" w:val="20"/>
        </w:trPr>
        <w:tc>
          <w:tcPr>
            <w:cnfStyle w:val="001000000000" w:firstRow="0" w:lastRow="0" w:firstColumn="1" w:lastColumn="0" w:oddVBand="0" w:evenVBand="0" w:oddHBand="0" w:evenHBand="0" w:firstRowFirstColumn="0" w:firstRowLastColumn="0" w:lastRowFirstColumn="0" w:lastRowLastColumn="0"/>
            <w:tcW w:w="9638" w:type="dxa"/>
            <w:gridSpan w:val="2"/>
          </w:tcPr>
          <w:p w14:paraId="5E762A7C" w14:textId="3D166C43" w:rsidR="009B7E0D" w:rsidRPr="009B7E0D" w:rsidRDefault="00117DAC" w:rsidP="009B7E0D">
            <w:r w:rsidRPr="00C2239F">
              <w:t>Clinician</w:t>
            </w:r>
            <w:r>
              <w:t xml:space="preserve"> communication tip</w:t>
            </w:r>
          </w:p>
        </w:tc>
      </w:tr>
      <w:tr w:rsidR="00F7728D" w14:paraId="2D19DF98" w14:textId="77777777" w:rsidTr="00F7728D">
        <w:trPr>
          <w:trHeight w:val="60"/>
        </w:trPr>
        <w:tc>
          <w:tcPr>
            <w:cnfStyle w:val="001000000000" w:firstRow="0" w:lastRow="0" w:firstColumn="1" w:lastColumn="0" w:oddVBand="0" w:evenVBand="0" w:oddHBand="0" w:evenHBand="0" w:firstRowFirstColumn="0" w:firstRowLastColumn="0" w:lastRowFirstColumn="0" w:lastRowLastColumn="0"/>
            <w:tcW w:w="2835" w:type="dxa"/>
          </w:tcPr>
          <w:p w14:paraId="06216637" w14:textId="0E952362" w:rsidR="00C2239F" w:rsidRPr="00C2239F" w:rsidRDefault="00C2239F" w:rsidP="00C2239F">
            <w:pPr>
              <w:rPr>
                <w:lang w:val="en-US" w:eastAsia="en-GB"/>
              </w:rPr>
            </w:pPr>
            <w:r w:rsidRPr="00C2239F">
              <w:rPr>
                <w:noProof/>
                <w:lang w:val="en-US" w:eastAsia="en-GB"/>
              </w:rPr>
              <w:drawing>
                <wp:inline distT="0" distB="0" distL="0" distR="0" wp14:anchorId="0A7B209A" wp14:editId="35D47B17">
                  <wp:extent cx="825500" cy="825500"/>
                  <wp:effectExtent l="0" t="0" r="0" b="0"/>
                  <wp:docPr id="2909025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02538" name="Picture 1">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825500" cy="825500"/>
                          </a:xfrm>
                          <a:prstGeom prst="rect">
                            <a:avLst/>
                          </a:prstGeom>
                        </pic:spPr>
                      </pic:pic>
                    </a:graphicData>
                  </a:graphic>
                </wp:inline>
              </w:drawing>
            </w:r>
          </w:p>
          <w:p w14:paraId="390391CC" w14:textId="77777777" w:rsidR="0060062C" w:rsidRDefault="0060062C" w:rsidP="00C2239F">
            <w:r w:rsidRPr="00C2239F">
              <w:t>Clinician</w:t>
            </w:r>
            <w:r>
              <w:t xml:space="preserve"> communication tip</w:t>
            </w:r>
          </w:p>
        </w:tc>
        <w:tc>
          <w:tcPr>
            <w:tcW w:w="6803" w:type="dxa"/>
          </w:tcPr>
          <w:p w14:paraId="58FD1F2B" w14:textId="64FB44BC" w:rsidR="0060062C" w:rsidRDefault="0060062C" w:rsidP="00D51EAE">
            <w:pPr>
              <w:cnfStyle w:val="000000000000" w:firstRow="0" w:lastRow="0" w:firstColumn="0" w:lastColumn="0" w:oddVBand="0" w:evenVBand="0" w:oddHBand="0" w:evenHBand="0" w:firstRowFirstColumn="0" w:firstRowLastColumn="0" w:lastRowFirstColumn="0" w:lastRowLastColumn="0"/>
            </w:pPr>
            <w:r>
              <w:rPr>
                <w:rStyle w:val="Strong"/>
              </w:rPr>
              <w:t>Patients with low literacy skills</w:t>
            </w:r>
            <w:r>
              <w:t xml:space="preserve"> may be unable to complete a PROM themselves due to sentence length and unfamiliar words.</w:t>
            </w:r>
            <w:r>
              <w:rPr>
                <w:rStyle w:val="Superscript"/>
              </w:rPr>
              <w:t>6</w:t>
            </w:r>
            <w:r>
              <w:t xml:space="preserve"> Although PROMs are designed to be completed by the patient without interpretation of the patient’s response by a clinician or anyone else, clinicians may consider supporting patients with low literacy by reading through each item. This can be used as an opportunity to educate patients about the nature of low back pain, and how their pain experience may affect their mood and quality of</w:t>
            </w:r>
            <w:r w:rsidR="00D369CC">
              <w:t> </w:t>
            </w:r>
            <w:r>
              <w:t>life.</w:t>
            </w:r>
          </w:p>
          <w:p w14:paraId="01A18938"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 xml:space="preserve">Related resource: </w:t>
            </w:r>
            <w:hyperlink r:id="rId39" w:history="1">
              <w:r>
                <w:rPr>
                  <w:rStyle w:val="Hyperlink"/>
                </w:rPr>
                <w:t>Supportive resources on health literacy</w:t>
              </w:r>
            </w:hyperlink>
          </w:p>
        </w:tc>
      </w:tr>
    </w:tbl>
    <w:p w14:paraId="54A3912D" w14:textId="77777777" w:rsidR="0060062C" w:rsidRDefault="0060062C" w:rsidP="0060062C"/>
    <w:tbl>
      <w:tblPr>
        <w:tblStyle w:val="PROMchapterbox"/>
        <w:tblW w:w="5000" w:type="pct"/>
        <w:tblBorders>
          <w:top w:val="single" w:sz="48" w:space="0" w:color="125370" w:themeColor="accent3"/>
          <w:left w:val="single" w:sz="48" w:space="0" w:color="125370" w:themeColor="accent3"/>
          <w:bottom w:val="single" w:sz="48" w:space="0" w:color="125370" w:themeColor="accent3"/>
          <w:right w:val="single" w:sz="48" w:space="0" w:color="125370" w:themeColor="accent3"/>
        </w:tblBorders>
        <w:shd w:val="clear" w:color="auto" w:fill="F3F4F7"/>
        <w:tblLook w:val="0620" w:firstRow="1" w:lastRow="0" w:firstColumn="0" w:lastColumn="0" w:noHBand="1" w:noVBand="1"/>
        <w:tblDescription w:val="Negative affect &#10;Depression Anxiety Stress Scale – 21 items (DASS‑21)&#10;"/>
      </w:tblPr>
      <w:tblGrid>
        <w:gridCol w:w="8944"/>
      </w:tblGrid>
      <w:tr w:rsidR="0060062C" w14:paraId="22004314" w14:textId="77777777" w:rsidTr="00E87ED7">
        <w:trPr>
          <w:cnfStyle w:val="100000000000" w:firstRow="1" w:lastRow="0" w:firstColumn="0" w:lastColumn="0" w:oddVBand="0" w:evenVBand="0" w:oddHBand="0" w:evenHBand="0" w:firstRowFirstColumn="0" w:firstRowLastColumn="0" w:lastRowFirstColumn="0" w:lastRowLastColumn="0"/>
          <w:trHeight w:val="60"/>
        </w:trPr>
        <w:tc>
          <w:tcPr>
            <w:tcW w:w="5000" w:type="pct"/>
            <w:shd w:val="clear" w:color="auto" w:fill="F3F4F7"/>
          </w:tcPr>
          <w:p w14:paraId="22055137" w14:textId="77777777" w:rsidR="0060062C" w:rsidRDefault="0060062C" w:rsidP="00D90711">
            <w:pPr>
              <w:pStyle w:val="PROMRecommendationsurtitle"/>
            </w:pPr>
            <w:bookmarkStart w:id="16" w:name="_Toc175215367"/>
            <w:r>
              <w:lastRenderedPageBreak/>
              <w:t>Negative affect</w:t>
            </w:r>
            <w:bookmarkEnd w:id="16"/>
            <w:r>
              <w:t xml:space="preserve"> </w:t>
            </w:r>
          </w:p>
          <w:p w14:paraId="41096F51" w14:textId="77777777" w:rsidR="0060062C" w:rsidRDefault="0060062C" w:rsidP="00DF40B6">
            <w:pPr>
              <w:pStyle w:val="PROMRecommendation"/>
            </w:pPr>
            <w:r>
              <w:t>Depression Anxiety Stress Scale – 21 items (DASS</w:t>
            </w:r>
            <w:r>
              <w:rPr>
                <w:rFonts w:ascii="Cambria Math" w:hAnsi="Cambria Math" w:cs="Cambria Math"/>
              </w:rPr>
              <w:t>‑</w:t>
            </w:r>
            <w:r>
              <w:t>21)</w:t>
            </w:r>
          </w:p>
        </w:tc>
      </w:tr>
      <w:tr w:rsidR="0060062C" w14:paraId="0CC89E51" w14:textId="77777777" w:rsidTr="00E87ED7">
        <w:tblPrEx>
          <w:tblCellMar>
            <w:top w:w="57" w:type="dxa"/>
          </w:tblCellMar>
        </w:tblPrEx>
        <w:trPr>
          <w:trHeight w:val="60"/>
        </w:trPr>
        <w:tc>
          <w:tcPr>
            <w:tcW w:w="5000" w:type="pct"/>
            <w:shd w:val="clear" w:color="auto" w:fill="F3F4F7"/>
          </w:tcPr>
          <w:p w14:paraId="7F1A2922" w14:textId="77777777" w:rsidR="0060062C" w:rsidRDefault="0060062C" w:rsidP="00D51EAE">
            <w:pPr>
              <w:pStyle w:val="ListParagraph"/>
            </w:pPr>
            <w:r>
              <w:rPr>
                <w:rStyle w:val="Strong"/>
              </w:rPr>
              <w:t>Number of items</w:t>
            </w:r>
            <w:r>
              <w:t>: 21</w:t>
            </w:r>
          </w:p>
          <w:p w14:paraId="29A8F982" w14:textId="77777777" w:rsidR="0060062C" w:rsidRDefault="0060062C" w:rsidP="00D51EAE">
            <w:pPr>
              <w:pStyle w:val="ListParagraph"/>
            </w:pPr>
            <w:r>
              <w:rPr>
                <w:rStyle w:val="Strong"/>
              </w:rPr>
              <w:t>Time to complete</w:t>
            </w:r>
            <w:r>
              <w:t>: Not assessed in any study</w:t>
            </w:r>
          </w:p>
          <w:p w14:paraId="5278C951" w14:textId="77777777" w:rsidR="0060062C" w:rsidRDefault="0060062C" w:rsidP="006F05C5">
            <w:pPr>
              <w:pStyle w:val="PROMchapterboxsubheading"/>
            </w:pPr>
            <w:r>
              <w:t>Recommendation</w:t>
            </w:r>
          </w:p>
          <w:p w14:paraId="7ED00123" w14:textId="77777777" w:rsidR="0060062C" w:rsidRDefault="0060062C" w:rsidP="00D51EAE">
            <w:r>
              <w:t>Negative affect refers to the subjective experience of negative emotional states, such as anxiety, depression, stress, sadness, worry and anger. There is a link between negative affect and chronic low back pain. Low back pain can affect mood, and mood can increase the likelihood of chronicity.</w:t>
            </w:r>
            <w:r>
              <w:rPr>
                <w:rStyle w:val="Superscript"/>
              </w:rPr>
              <w:t>27</w:t>
            </w:r>
            <w:r>
              <w:t xml:space="preserve"> The DASS</w:t>
            </w:r>
            <w:r>
              <w:rPr>
                <w:rFonts w:ascii="Cambria Math" w:hAnsi="Cambria Math" w:cs="Cambria Math"/>
              </w:rPr>
              <w:t>‑</w:t>
            </w:r>
            <w:r>
              <w:t xml:space="preserve">21 can be used to measure three categories of negative affect: depression, anxiety and stress. It can be used in people who present with a history of chronic low back pain, and in people with ongoing management of low back pain persisting more than 12 weeks beyond initial management of an acute exacerbation. </w:t>
            </w:r>
          </w:p>
        </w:tc>
      </w:tr>
    </w:tbl>
    <w:p w14:paraId="2E9893C2" w14:textId="77777777" w:rsidR="0060062C" w:rsidRDefault="0060062C" w:rsidP="00B73BD3">
      <w:pPr>
        <w:pStyle w:val="Heading2"/>
      </w:pPr>
      <w:r>
        <w:t>Rationale</w:t>
      </w:r>
    </w:p>
    <w:p w14:paraId="2E694F92" w14:textId="77777777" w:rsidR="0060062C" w:rsidRDefault="0060062C" w:rsidP="0060062C">
      <w:r>
        <w:t>There is a reciprocal relationship between mood and the experience of pain, and people with chronic low back pain are reported to have higher incidences of mental health comorbidities.</w:t>
      </w:r>
      <w:r>
        <w:rPr>
          <w:rStyle w:val="Superscript"/>
        </w:rPr>
        <w:t>11,27,28</w:t>
      </w:r>
      <w:r>
        <w:t xml:space="preserve"> Measuring a patient’s emotional state, or more specifically their negative affect, in conjunction with measuring pain intensity and physical functioning, can provide clinicians with a biopsychosocial understanding of a patient’s experience of pain, and assist in assessing and managing low back pain.</w:t>
      </w:r>
    </w:p>
    <w:p w14:paraId="191E6291" w14:textId="77777777" w:rsidR="0060062C" w:rsidRDefault="0060062C" w:rsidP="0060062C">
      <w:r>
        <w:t>In Australia, the DASS</w:t>
      </w:r>
      <w:r>
        <w:rPr>
          <w:rFonts w:ascii="Cambria Math" w:hAnsi="Cambria Math" w:cs="Cambria Math"/>
        </w:rPr>
        <w:t>‑</w:t>
      </w:r>
      <w:r>
        <w:t>21 is commonly used in patients with chronic low back pain who present to specialist pain services. A persistent pain collaboration that collects a standard set of data from specialist pain services in Australia and New Zealand includes the DASS</w:t>
      </w:r>
      <w:r>
        <w:rPr>
          <w:rFonts w:ascii="Cambria Math" w:hAnsi="Cambria Math" w:cs="Cambria Math"/>
        </w:rPr>
        <w:t>‑</w:t>
      </w:r>
      <w:r>
        <w:t>21 to measure patient outcomes as a result of treatment.</w:t>
      </w:r>
      <w:r>
        <w:rPr>
          <w:rStyle w:val="Superscript"/>
        </w:rPr>
        <w:t>22,29</w:t>
      </w:r>
    </w:p>
    <w:p w14:paraId="3DB815F0" w14:textId="77777777" w:rsidR="0060062C" w:rsidRDefault="0060062C" w:rsidP="0060062C">
      <w:r>
        <w:t>At the time of publishing these recommendations, no systematic review had been conducted to assess the psychometric properties of the DASS</w:t>
      </w:r>
      <w:r>
        <w:rPr>
          <w:rFonts w:ascii="Cambria Math" w:hAnsi="Cambria Math" w:cs="Cambria Math"/>
        </w:rPr>
        <w:t>‑</w:t>
      </w:r>
      <w:r>
        <w:t>21 or other mood/distress PROMs using the COSMIN guidelines in people with low back pain or chronic pain. However, for the general population, the DASS</w:t>
      </w:r>
      <w:r>
        <w:rPr>
          <w:rFonts w:ascii="Cambria Math" w:hAnsi="Cambria Math" w:cs="Cambria Math"/>
        </w:rPr>
        <w:t>‑</w:t>
      </w:r>
      <w:r>
        <w:t>21 has sufficient evidence for content validity and has been assessed to be psychometrically robust.</w:t>
      </w:r>
      <w:r>
        <w:rPr>
          <w:rStyle w:val="Superscript"/>
        </w:rPr>
        <w:t>30</w:t>
      </w:r>
      <w:r>
        <w:t xml:space="preserve"> </w:t>
      </w:r>
    </w:p>
    <w:p w14:paraId="5A2E7A0B" w14:textId="3AF62C1D" w:rsidR="0060062C" w:rsidRDefault="0060062C" w:rsidP="00174C2B">
      <w:pPr>
        <w:spacing w:after="240"/>
      </w:pPr>
      <w:r>
        <w:t>The DASS</w:t>
      </w:r>
      <w:r>
        <w:rPr>
          <w:rFonts w:ascii="Cambria Math" w:hAnsi="Cambria Math" w:cs="Cambria Math"/>
        </w:rPr>
        <w:t>‑</w:t>
      </w:r>
      <w:r>
        <w:t>21 was developed with no specific population in mind and has wide applicability to different patient populations.</w:t>
      </w:r>
      <w:r>
        <w:rPr>
          <w:rStyle w:val="Superscript"/>
        </w:rPr>
        <w:t>30-32</w:t>
      </w:r>
      <w:r>
        <w:t xml:space="preserve"> It is recommended for use with people who have or who may be at risk of developing chronic low back pain. For more information and a sample of the DASS</w:t>
      </w:r>
      <w:r>
        <w:rPr>
          <w:rFonts w:ascii="Cambria Math" w:hAnsi="Cambria Math" w:cs="Cambria Math"/>
        </w:rPr>
        <w:t>‑</w:t>
      </w:r>
      <w:r>
        <w:t>21, see </w:t>
      </w:r>
      <w:r w:rsidR="004739E5" w:rsidRPr="004739E5">
        <w:rPr>
          <w:rStyle w:val="Cross-reference"/>
        </w:rPr>
        <w:fldChar w:fldCharType="begin"/>
      </w:r>
      <w:r w:rsidR="004739E5" w:rsidRPr="004739E5">
        <w:rPr>
          <w:rStyle w:val="Cross-reference"/>
        </w:rPr>
        <w:instrText xml:space="preserve"> REF AA \h </w:instrText>
      </w:r>
      <w:r w:rsidR="004739E5">
        <w:rPr>
          <w:rStyle w:val="Cross-reference"/>
        </w:rPr>
        <w:instrText xml:space="preserve"> \* MERGEFORMAT </w:instrText>
      </w:r>
      <w:r w:rsidR="004739E5" w:rsidRPr="004739E5">
        <w:rPr>
          <w:rStyle w:val="Cross-reference"/>
        </w:rPr>
      </w:r>
      <w:r w:rsidR="004739E5" w:rsidRPr="004739E5">
        <w:rPr>
          <w:rStyle w:val="Cross-reference"/>
        </w:rPr>
        <w:fldChar w:fldCharType="separate"/>
      </w:r>
      <w:r w:rsidR="004739E5" w:rsidRPr="004739E5">
        <w:rPr>
          <w:rStyle w:val="Cross-reference"/>
        </w:rPr>
        <w:t>Appendix A</w:t>
      </w:r>
      <w:r w:rsidR="004739E5" w:rsidRPr="004739E5">
        <w:rPr>
          <w:rStyle w:val="Cross-reference"/>
        </w:rPr>
        <w:fldChar w:fldCharType="end"/>
      </w:r>
      <w:r>
        <w:t>.</w:t>
      </w:r>
    </w:p>
    <w:tbl>
      <w:tblPr>
        <w:tblStyle w:val="PROMorangebox"/>
        <w:tblW w:w="5000" w:type="pct"/>
        <w:tblLook w:val="06A0" w:firstRow="1" w:lastRow="0" w:firstColumn="1" w:lastColumn="0" w:noHBand="1" w:noVBand="1"/>
        <w:tblDescription w:val="Cultural consideration"/>
      </w:tblPr>
      <w:tblGrid>
        <w:gridCol w:w="2667"/>
        <w:gridCol w:w="6397"/>
      </w:tblGrid>
      <w:tr w:rsidR="00502D30" w14:paraId="09F93530" w14:textId="77777777" w:rsidTr="00F1598B">
        <w:trPr>
          <w:cnfStyle w:val="100000000000" w:firstRow="1" w:lastRow="0" w:firstColumn="0" w:lastColumn="0" w:oddVBand="0" w:evenVBand="0" w:oddHBand="0" w:evenHBand="0" w:firstRowFirstColumn="0" w:firstRowLastColumn="0" w:lastRowFirstColumn="0" w:lastRowLastColumn="0"/>
          <w:trHeight w:hRule="exact" w:val="20"/>
        </w:trPr>
        <w:tc>
          <w:tcPr>
            <w:cnfStyle w:val="001000000000" w:firstRow="0" w:lastRow="0" w:firstColumn="1" w:lastColumn="0" w:oddVBand="0" w:evenVBand="0" w:oddHBand="0" w:evenHBand="0" w:firstRowFirstColumn="0" w:firstRowLastColumn="0" w:lastRowFirstColumn="0" w:lastRowLastColumn="0"/>
            <w:tcW w:w="5000" w:type="pct"/>
            <w:gridSpan w:val="2"/>
          </w:tcPr>
          <w:p w14:paraId="7DB453A1" w14:textId="7C4F87F8" w:rsidR="00502D30" w:rsidRDefault="00502D30" w:rsidP="001962A3">
            <w:pPr>
              <w:spacing w:after="0"/>
            </w:pPr>
            <w:r w:rsidRPr="00634E56">
              <w:lastRenderedPageBreak/>
              <w:t>Cultural</w:t>
            </w:r>
            <w:r>
              <w:t xml:space="preserve"> consideration</w:t>
            </w:r>
          </w:p>
        </w:tc>
      </w:tr>
      <w:tr w:rsidR="00367EFE" w14:paraId="7A512B74" w14:textId="77777777" w:rsidTr="00037454">
        <w:trPr>
          <w:trHeight w:val="60"/>
        </w:trPr>
        <w:tc>
          <w:tcPr>
            <w:cnfStyle w:val="001000000000" w:firstRow="0" w:lastRow="0" w:firstColumn="1" w:lastColumn="0" w:oddVBand="0" w:evenVBand="0" w:oddHBand="0" w:evenHBand="0" w:firstRowFirstColumn="0" w:firstRowLastColumn="0" w:lastRowFirstColumn="0" w:lastRowLastColumn="0"/>
            <w:tcW w:w="1471" w:type="pct"/>
          </w:tcPr>
          <w:p w14:paraId="440CDA61" w14:textId="0B38EDF5" w:rsidR="0060062C" w:rsidRPr="00634E56" w:rsidRDefault="00634E56" w:rsidP="00634E56">
            <w:r w:rsidRPr="00634E56">
              <w:rPr>
                <w:noProof/>
              </w:rPr>
              <w:drawing>
                <wp:inline distT="0" distB="0" distL="0" distR="0" wp14:anchorId="220D7B64" wp14:editId="2C77C97D">
                  <wp:extent cx="825500" cy="825500"/>
                  <wp:effectExtent l="0" t="0" r="0" b="0"/>
                  <wp:docPr id="180505970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59706" name="Picture 1">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825500" cy="825500"/>
                          </a:xfrm>
                          <a:prstGeom prst="rect">
                            <a:avLst/>
                          </a:prstGeom>
                        </pic:spPr>
                      </pic:pic>
                    </a:graphicData>
                  </a:graphic>
                </wp:inline>
              </w:drawing>
            </w:r>
          </w:p>
          <w:p w14:paraId="3C2281AC" w14:textId="77777777" w:rsidR="0060062C" w:rsidRDefault="0060062C" w:rsidP="00634E56">
            <w:r w:rsidRPr="00634E56">
              <w:t>Cultural</w:t>
            </w:r>
            <w:r>
              <w:t xml:space="preserve"> consideration</w:t>
            </w:r>
          </w:p>
        </w:tc>
        <w:tc>
          <w:tcPr>
            <w:tcW w:w="3529" w:type="pct"/>
          </w:tcPr>
          <w:p w14:paraId="12D57370"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 xml:space="preserve">The </w:t>
            </w:r>
            <w:r>
              <w:rPr>
                <w:rStyle w:val="Strong"/>
              </w:rPr>
              <w:t>Mayi Kuwayu Modified Kessler 5 (MK-K5)</w:t>
            </w:r>
            <w:r>
              <w:t xml:space="preserve"> is a measure of psychological distress that has been culturally modified and validated for Aboriginal and Torres Strait Islander people.</w:t>
            </w:r>
            <w:r>
              <w:rPr>
                <w:rStyle w:val="Superscript"/>
              </w:rPr>
              <w:t>33</w:t>
            </w:r>
            <w:r>
              <w:t xml:space="preserve"> It was modified from a five-item Kessler Psychological Distress Scale, which was adapted from the 10</w:t>
            </w:r>
            <w:r>
              <w:rPr>
                <w:rFonts w:ascii="Cambria Math" w:hAnsi="Cambria Math" w:cs="Cambria Math"/>
              </w:rPr>
              <w:t>‑</w:t>
            </w:r>
            <w:r>
              <w:t>item version by Aboriginal and Torres Strait Islander representation at a social and wellbeing workshop. It was modified to be culturally sensitive and short for use in the National Aboriginal and Torres Strait Islander Health Survey.</w:t>
            </w:r>
            <w:r>
              <w:rPr>
                <w:rStyle w:val="Superscript"/>
              </w:rPr>
              <w:t>34</w:t>
            </w:r>
          </w:p>
          <w:p w14:paraId="21BA3BE6"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The MK</w:t>
            </w:r>
            <w:r>
              <w:rPr>
                <w:rFonts w:ascii="Cambria Math" w:hAnsi="Cambria Math" w:cs="Cambria Math"/>
              </w:rPr>
              <w:t>‑</w:t>
            </w:r>
            <w:r>
              <w:t>K5 can be used as a culturally sensitive and shorter alternative to the DASS</w:t>
            </w:r>
            <w:r>
              <w:rPr>
                <w:rFonts w:ascii="Cambria Math" w:hAnsi="Cambria Math" w:cs="Cambria Math"/>
              </w:rPr>
              <w:t>‑</w:t>
            </w:r>
            <w:r>
              <w:t>21 for Aboriginal and Torres Strait Islander people.</w:t>
            </w:r>
          </w:p>
          <w:p w14:paraId="0098A07A" w14:textId="5CF23A61" w:rsidR="0060062C" w:rsidRDefault="0060062C" w:rsidP="00D51EAE">
            <w:pPr>
              <w:cnfStyle w:val="000000000000" w:firstRow="0" w:lastRow="0" w:firstColumn="0" w:lastColumn="0" w:oddVBand="0" w:evenVBand="0" w:oddHBand="0" w:evenHBand="0" w:firstRowFirstColumn="0" w:firstRowLastColumn="0" w:lastRowFirstColumn="0" w:lastRowLastColumn="0"/>
            </w:pPr>
            <w:r>
              <w:t xml:space="preserve">For more information and a sample of the MK-K5, see </w:t>
            </w:r>
            <w:r w:rsidR="004739E5" w:rsidRPr="004739E5">
              <w:rPr>
                <w:rStyle w:val="Cross-reference"/>
              </w:rPr>
              <w:fldChar w:fldCharType="begin"/>
            </w:r>
            <w:r w:rsidR="004739E5" w:rsidRPr="004739E5">
              <w:rPr>
                <w:rStyle w:val="Cross-reference"/>
              </w:rPr>
              <w:instrText xml:space="preserve"> REF AA \h </w:instrText>
            </w:r>
            <w:r w:rsidR="004739E5">
              <w:rPr>
                <w:rStyle w:val="Cross-reference"/>
              </w:rPr>
              <w:instrText xml:space="preserve"> \* MERGEFORMAT </w:instrText>
            </w:r>
            <w:r w:rsidR="004739E5" w:rsidRPr="004739E5">
              <w:rPr>
                <w:rStyle w:val="Cross-reference"/>
              </w:rPr>
            </w:r>
            <w:r w:rsidR="004739E5" w:rsidRPr="004739E5">
              <w:rPr>
                <w:rStyle w:val="Cross-reference"/>
              </w:rPr>
              <w:fldChar w:fldCharType="separate"/>
            </w:r>
            <w:r w:rsidR="004739E5" w:rsidRPr="004739E5">
              <w:rPr>
                <w:rStyle w:val="Cross-reference"/>
              </w:rPr>
              <w:t>Appendix A</w:t>
            </w:r>
            <w:r w:rsidR="004739E5" w:rsidRPr="004739E5">
              <w:rPr>
                <w:rStyle w:val="Cross-reference"/>
              </w:rPr>
              <w:fldChar w:fldCharType="end"/>
            </w:r>
            <w:r>
              <w:t>.</w:t>
            </w:r>
          </w:p>
        </w:tc>
      </w:tr>
    </w:tbl>
    <w:p w14:paraId="16FCF7C2" w14:textId="77777777" w:rsidR="0060062C" w:rsidRDefault="0060062C" w:rsidP="00965EDF">
      <w:pPr>
        <w:spacing w:after="0"/>
      </w:pPr>
    </w:p>
    <w:tbl>
      <w:tblPr>
        <w:tblStyle w:val="PROMorangebox"/>
        <w:tblW w:w="5000" w:type="pct"/>
        <w:tblLook w:val="06A0" w:firstRow="1" w:lastRow="0" w:firstColumn="1" w:lastColumn="0" w:noHBand="1" w:noVBand="1"/>
        <w:tblDescription w:val="Psychosocial assessment tools"/>
      </w:tblPr>
      <w:tblGrid>
        <w:gridCol w:w="2667"/>
        <w:gridCol w:w="6397"/>
      </w:tblGrid>
      <w:tr w:rsidR="00502D30" w14:paraId="623B3A6B" w14:textId="77777777" w:rsidTr="00F1598B">
        <w:trPr>
          <w:cnfStyle w:val="100000000000" w:firstRow="1" w:lastRow="0" w:firstColumn="0" w:lastColumn="0" w:oddVBand="0" w:evenVBand="0" w:oddHBand="0" w:evenHBand="0" w:firstRowFirstColumn="0" w:firstRowLastColumn="0" w:lastRowFirstColumn="0" w:lastRowLastColumn="0"/>
          <w:trHeight w:hRule="exact" w:val="20"/>
        </w:trPr>
        <w:tc>
          <w:tcPr>
            <w:cnfStyle w:val="001000000000" w:firstRow="0" w:lastRow="0" w:firstColumn="1" w:lastColumn="0" w:oddVBand="0" w:evenVBand="0" w:oddHBand="0" w:evenHBand="0" w:firstRowFirstColumn="0" w:firstRowLastColumn="0" w:lastRowFirstColumn="0" w:lastRowLastColumn="0"/>
            <w:tcW w:w="5000" w:type="pct"/>
            <w:gridSpan w:val="2"/>
          </w:tcPr>
          <w:p w14:paraId="5DE2D611" w14:textId="2EE5BC4F" w:rsidR="00502D30" w:rsidRDefault="00502D30" w:rsidP="001962A3">
            <w:pPr>
              <w:spacing w:after="0"/>
            </w:pPr>
            <w:r w:rsidRPr="00634E56">
              <w:t>Psychosocial as</w:t>
            </w:r>
            <w:r>
              <w:t>sessment tools</w:t>
            </w:r>
          </w:p>
        </w:tc>
      </w:tr>
      <w:tr w:rsidR="0033120F" w14:paraId="58531500" w14:textId="77777777" w:rsidTr="0033120F">
        <w:trPr>
          <w:trHeight w:val="60"/>
        </w:trPr>
        <w:tc>
          <w:tcPr>
            <w:cnfStyle w:val="001000000000" w:firstRow="0" w:lastRow="0" w:firstColumn="1" w:lastColumn="0" w:oddVBand="0" w:evenVBand="0" w:oddHBand="0" w:evenHBand="0" w:firstRowFirstColumn="0" w:firstRowLastColumn="0" w:lastRowFirstColumn="0" w:lastRowLastColumn="0"/>
            <w:tcW w:w="1471" w:type="pct"/>
          </w:tcPr>
          <w:p w14:paraId="01B97AD0" w14:textId="6BA8BD59" w:rsidR="0060062C" w:rsidRPr="00634E56" w:rsidRDefault="00634E56" w:rsidP="00634E56">
            <w:r w:rsidRPr="00634E56">
              <w:rPr>
                <w:noProof/>
              </w:rPr>
              <w:drawing>
                <wp:inline distT="0" distB="0" distL="0" distR="0" wp14:anchorId="4374EF33" wp14:editId="0A798439">
                  <wp:extent cx="825500" cy="825500"/>
                  <wp:effectExtent l="0" t="0" r="0" b="0"/>
                  <wp:docPr id="8918690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869031" name="Picture 1">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825500" cy="825500"/>
                          </a:xfrm>
                          <a:prstGeom prst="rect">
                            <a:avLst/>
                          </a:prstGeom>
                        </pic:spPr>
                      </pic:pic>
                    </a:graphicData>
                  </a:graphic>
                </wp:inline>
              </w:drawing>
            </w:r>
          </w:p>
          <w:p w14:paraId="43A92CEB" w14:textId="77777777" w:rsidR="0060062C" w:rsidRDefault="0060062C" w:rsidP="00634E56">
            <w:r w:rsidRPr="00634E56">
              <w:t>Psychosocial as</w:t>
            </w:r>
            <w:r>
              <w:t>sessment tools</w:t>
            </w:r>
          </w:p>
        </w:tc>
        <w:tc>
          <w:tcPr>
            <w:tcW w:w="3529" w:type="pct"/>
          </w:tcPr>
          <w:p w14:paraId="4C2D056B"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Psychosocial factors are associated with an increased risk of developing disability in people presenting with low back pain. These factors and emotional responses to pain are associated with delayed recovery, and their presence indicates the need for further assessment and appropriate intervention.</w:t>
            </w:r>
            <w:r>
              <w:rPr>
                <w:rStyle w:val="Superscript"/>
              </w:rPr>
              <w:t>35</w:t>
            </w:r>
            <w:r>
              <w:t xml:space="preserve"> </w:t>
            </w:r>
          </w:p>
          <w:p w14:paraId="7635C6BD"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 xml:space="preserve">Assessment tools used to identify unhelpful beliefs about pain and other psychosocial factors are clinically useful, but these tools are not PROMs. </w:t>
            </w:r>
          </w:p>
          <w:p w14:paraId="08163DF2"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 xml:space="preserve">For more information about using ‘yellow flag’ assessment tools, see </w:t>
            </w:r>
            <w:r>
              <w:rPr>
                <w:rStyle w:val="Strong"/>
              </w:rPr>
              <w:t>Quality statement 2 – Psychosocial assessment</w:t>
            </w:r>
            <w:r>
              <w:t xml:space="preserve"> in the </w:t>
            </w:r>
            <w:hyperlink r:id="rId42" w:history="1">
              <w:r>
                <w:rPr>
                  <w:rStyle w:val="HyperlinkItalics"/>
                </w:rPr>
                <w:t>Low Back Pain Clinical Care Standard</w:t>
              </w:r>
            </w:hyperlink>
            <w:r>
              <w:t>.</w:t>
            </w:r>
          </w:p>
        </w:tc>
      </w:tr>
    </w:tbl>
    <w:p w14:paraId="701D8C22" w14:textId="77777777" w:rsidR="00117DAC" w:rsidRDefault="00117DAC" w:rsidP="00174C2B">
      <w:pPr>
        <w:spacing w:after="0"/>
      </w:pPr>
    </w:p>
    <w:p w14:paraId="065981A9" w14:textId="28E4E478" w:rsidR="00965EDF" w:rsidRDefault="00965EDF" w:rsidP="00174C2B">
      <w:pPr>
        <w:spacing w:after="0"/>
      </w:pPr>
      <w:r>
        <w:br w:type="page"/>
      </w:r>
    </w:p>
    <w:tbl>
      <w:tblPr>
        <w:tblStyle w:val="PROMorangebox"/>
        <w:tblW w:w="5000" w:type="pct"/>
        <w:tblLook w:val="06A0" w:firstRow="1" w:lastRow="0" w:firstColumn="1" w:lastColumn="0" w:noHBand="1" w:noVBand="1"/>
        <w:tblDescription w:val="Clinician communication tip"/>
      </w:tblPr>
      <w:tblGrid>
        <w:gridCol w:w="2667"/>
        <w:gridCol w:w="6397"/>
      </w:tblGrid>
      <w:tr w:rsidR="00502D30" w14:paraId="11843092" w14:textId="77777777" w:rsidTr="00F1598B">
        <w:trPr>
          <w:cnfStyle w:val="100000000000" w:firstRow="1" w:lastRow="0" w:firstColumn="0" w:lastColumn="0" w:oddVBand="0" w:evenVBand="0" w:oddHBand="0" w:evenHBand="0" w:firstRowFirstColumn="0" w:firstRowLastColumn="0" w:lastRowFirstColumn="0" w:lastRowLastColumn="0"/>
          <w:trHeight w:hRule="exact" w:val="20"/>
        </w:trPr>
        <w:tc>
          <w:tcPr>
            <w:cnfStyle w:val="001000000000" w:firstRow="0" w:lastRow="0" w:firstColumn="1" w:lastColumn="0" w:oddVBand="0" w:evenVBand="0" w:oddHBand="0" w:evenHBand="0" w:firstRowFirstColumn="0" w:firstRowLastColumn="0" w:lastRowFirstColumn="0" w:lastRowLastColumn="0"/>
            <w:tcW w:w="5000" w:type="pct"/>
            <w:gridSpan w:val="2"/>
          </w:tcPr>
          <w:p w14:paraId="7A3655BD" w14:textId="6E9687E2" w:rsidR="00502D30" w:rsidRPr="00502D30" w:rsidRDefault="00502D30" w:rsidP="001962A3">
            <w:pPr>
              <w:spacing w:after="0"/>
            </w:pPr>
            <w:r w:rsidRPr="00634E56">
              <w:lastRenderedPageBreak/>
              <w:t>Clinician communication tip</w:t>
            </w:r>
          </w:p>
        </w:tc>
      </w:tr>
      <w:tr w:rsidR="0033120F" w14:paraId="37C3E9D3" w14:textId="77777777" w:rsidTr="0033120F">
        <w:trPr>
          <w:trHeight w:val="60"/>
        </w:trPr>
        <w:tc>
          <w:tcPr>
            <w:cnfStyle w:val="001000000000" w:firstRow="0" w:lastRow="0" w:firstColumn="1" w:lastColumn="0" w:oddVBand="0" w:evenVBand="0" w:oddHBand="0" w:evenHBand="0" w:firstRowFirstColumn="0" w:firstRowLastColumn="0" w:lastRowFirstColumn="0" w:lastRowLastColumn="0"/>
            <w:tcW w:w="1471" w:type="pct"/>
          </w:tcPr>
          <w:p w14:paraId="32CFF003" w14:textId="65F68655" w:rsidR="0060062C" w:rsidRPr="00634E56" w:rsidRDefault="00634E56" w:rsidP="00634E56">
            <w:r w:rsidRPr="00C2239F">
              <w:rPr>
                <w:noProof/>
                <w:lang w:val="en-US" w:eastAsia="en-GB"/>
              </w:rPr>
              <w:drawing>
                <wp:inline distT="0" distB="0" distL="0" distR="0" wp14:anchorId="3D8C55A7" wp14:editId="4BBEBB4A">
                  <wp:extent cx="825500" cy="825500"/>
                  <wp:effectExtent l="0" t="0" r="0" b="0"/>
                  <wp:docPr id="17324476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02538" name="Picture 1">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825500" cy="825500"/>
                          </a:xfrm>
                          <a:prstGeom prst="rect">
                            <a:avLst/>
                          </a:prstGeom>
                        </pic:spPr>
                      </pic:pic>
                    </a:graphicData>
                  </a:graphic>
                </wp:inline>
              </w:drawing>
            </w:r>
          </w:p>
          <w:p w14:paraId="6E375EBB" w14:textId="77777777" w:rsidR="0060062C" w:rsidRPr="00634E56" w:rsidRDefault="0060062C" w:rsidP="00634E56">
            <w:r w:rsidRPr="00634E56">
              <w:t>Clinician communication tip</w:t>
            </w:r>
          </w:p>
        </w:tc>
        <w:tc>
          <w:tcPr>
            <w:tcW w:w="3529" w:type="pct"/>
          </w:tcPr>
          <w:p w14:paraId="5D3A1C40" w14:textId="77777777" w:rsidR="0060062C" w:rsidRDefault="0060062C" w:rsidP="007A2C87">
            <w:pPr>
              <w:pStyle w:val="PROMboxsubheadingsmall"/>
              <w:cnfStyle w:val="000000000000" w:firstRow="0" w:lastRow="0" w:firstColumn="0" w:lastColumn="0" w:oddVBand="0" w:evenVBand="0" w:oddHBand="0" w:evenHBand="0" w:firstRowFirstColumn="0" w:firstRowLastColumn="0" w:lastRowFirstColumn="0" w:lastRowLastColumn="0"/>
            </w:pPr>
            <w:r>
              <w:t xml:space="preserve">Explaining </w:t>
            </w:r>
            <w:r w:rsidRPr="00531A2F">
              <w:t>negative</w:t>
            </w:r>
            <w:r>
              <w:t xml:space="preserve"> affect </w:t>
            </w:r>
            <w:r w:rsidRPr="007A2C87">
              <w:t>to</w:t>
            </w:r>
            <w:r>
              <w:t xml:space="preserve"> patients</w:t>
            </w:r>
          </w:p>
          <w:p w14:paraId="195AA7E2"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 xml:space="preserve">There is a risk that patients may misinterpret a negative affect PROM as the clinician believing the pain is ‘all in their head’, and so may disengage. </w:t>
            </w:r>
          </w:p>
          <w:p w14:paraId="45E73A68"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Before completing the questionnaire, explain to the patient that pain can affect both the body and the mind, and vice versa. Some simple questionnaires can help identify their concerns and help in developing the best treatment and support for them. For example:</w:t>
            </w:r>
          </w:p>
          <w:p w14:paraId="52B86F30" w14:textId="77777777" w:rsidR="0060062C" w:rsidRDefault="0060062C" w:rsidP="00D51EAE">
            <w:pPr>
              <w:pStyle w:val="NormalQuoteInset"/>
              <w:cnfStyle w:val="000000000000" w:firstRow="0" w:lastRow="0" w:firstColumn="0" w:lastColumn="0" w:oddVBand="0" w:evenVBand="0" w:oddHBand="0" w:evenHBand="0" w:firstRowFirstColumn="0" w:firstRowLastColumn="0" w:lastRowFirstColumn="0" w:lastRowLastColumn="0"/>
            </w:pPr>
            <w:r>
              <w:t xml:space="preserve">‘Pain can cause us to feel stressed or sad, and feeling stressed or sad can make us feel more pain. It is like the volume is turned up on pain and other symptoms. Filling in this questionnaire can help me understand how the pain is affecting the way you feel and help figure out the best way to help you.’ </w:t>
            </w:r>
          </w:p>
          <w:p w14:paraId="088E6240"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Listen to the patient, and validate that their thoughts and feelings are understandable, and the pain they are experiencing is real.</w:t>
            </w:r>
          </w:p>
          <w:p w14:paraId="595BF49C"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 xml:space="preserve">For more useful communication tips, see the </w:t>
            </w:r>
            <w:hyperlink r:id="rId43" w:history="1">
              <w:r w:rsidRPr="00634E56">
                <w:rPr>
                  <w:rStyle w:val="Hyperlink"/>
                </w:rPr>
                <w:t>Low Back Pain Clinical Care Standard</w:t>
              </w:r>
            </w:hyperlink>
            <w:r>
              <w:t>.</w:t>
            </w:r>
          </w:p>
        </w:tc>
      </w:tr>
    </w:tbl>
    <w:p w14:paraId="71EE25BB" w14:textId="77777777" w:rsidR="0060062C" w:rsidRDefault="0060062C" w:rsidP="0060062C"/>
    <w:tbl>
      <w:tblPr>
        <w:tblStyle w:val="PROMchapterbox"/>
        <w:tblW w:w="5000" w:type="pct"/>
        <w:tblBorders>
          <w:top w:val="single" w:sz="48" w:space="0" w:color="77572D"/>
          <w:left w:val="single" w:sz="48" w:space="0" w:color="77572D"/>
          <w:bottom w:val="single" w:sz="48" w:space="0" w:color="77572D"/>
          <w:right w:val="single" w:sz="48" w:space="0" w:color="77572D"/>
        </w:tblBorders>
        <w:tblLook w:val="0620" w:firstRow="1" w:lastRow="0" w:firstColumn="0" w:lastColumn="0" w:noHBand="1" w:noVBand="1"/>
        <w:tblDescription w:val="Health-related quality of life &#10;EuroQol – 5 Dimensions – 5 Levels (EQ‑5D‑5L)&#10;"/>
      </w:tblPr>
      <w:tblGrid>
        <w:gridCol w:w="8944"/>
      </w:tblGrid>
      <w:tr w:rsidR="0060062C" w14:paraId="3882B55E" w14:textId="77777777" w:rsidTr="00C07F44">
        <w:trPr>
          <w:cnfStyle w:val="100000000000" w:firstRow="1" w:lastRow="0" w:firstColumn="0" w:lastColumn="0" w:oddVBand="0" w:evenVBand="0" w:oddHBand="0" w:evenHBand="0" w:firstRowFirstColumn="0" w:firstRowLastColumn="0" w:lastRowFirstColumn="0" w:lastRowLastColumn="0"/>
          <w:trHeight w:val="60"/>
        </w:trPr>
        <w:tc>
          <w:tcPr>
            <w:tcW w:w="5000" w:type="pct"/>
            <w:shd w:val="clear" w:color="auto" w:fill="F7F3F1"/>
          </w:tcPr>
          <w:p w14:paraId="582A6E38" w14:textId="77777777" w:rsidR="0060062C" w:rsidRDefault="0060062C" w:rsidP="00D90711">
            <w:pPr>
              <w:pStyle w:val="PROMRecommendationsurtitle"/>
            </w:pPr>
            <w:bookmarkStart w:id="17" w:name="_Toc175215368"/>
            <w:r>
              <w:lastRenderedPageBreak/>
              <w:t>Health-related quality of life</w:t>
            </w:r>
            <w:bookmarkEnd w:id="17"/>
            <w:r>
              <w:t xml:space="preserve"> </w:t>
            </w:r>
          </w:p>
          <w:p w14:paraId="6ED33AC6" w14:textId="77777777" w:rsidR="0060062C" w:rsidRDefault="0060062C" w:rsidP="00DF40B6">
            <w:pPr>
              <w:pStyle w:val="PROMRecommendation"/>
            </w:pPr>
            <w:r>
              <w:t>EuroQol – 5 Dimensions – 5 Levels (EQ</w:t>
            </w:r>
            <w:r>
              <w:rPr>
                <w:rFonts w:ascii="Cambria Math" w:hAnsi="Cambria Math" w:cs="Cambria Math"/>
              </w:rPr>
              <w:t>‑</w:t>
            </w:r>
            <w:r>
              <w:t>5D</w:t>
            </w:r>
            <w:r>
              <w:rPr>
                <w:rFonts w:ascii="Cambria Math" w:hAnsi="Cambria Math" w:cs="Cambria Math"/>
              </w:rPr>
              <w:t>‑</w:t>
            </w:r>
            <w:r>
              <w:t>5L)</w:t>
            </w:r>
          </w:p>
        </w:tc>
      </w:tr>
      <w:tr w:rsidR="0060062C" w14:paraId="05A80D2B" w14:textId="77777777" w:rsidTr="00C07F44">
        <w:tblPrEx>
          <w:tblCellMar>
            <w:top w:w="57" w:type="dxa"/>
          </w:tblCellMar>
        </w:tblPrEx>
        <w:trPr>
          <w:trHeight w:val="60"/>
        </w:trPr>
        <w:tc>
          <w:tcPr>
            <w:tcW w:w="5000" w:type="pct"/>
            <w:shd w:val="clear" w:color="auto" w:fill="F7F3F1"/>
          </w:tcPr>
          <w:p w14:paraId="09749F4F" w14:textId="77777777" w:rsidR="0060062C" w:rsidRDefault="0060062C" w:rsidP="00D51EAE">
            <w:pPr>
              <w:pStyle w:val="ListParagraph"/>
            </w:pPr>
            <w:r>
              <w:rPr>
                <w:rStyle w:val="Strong"/>
              </w:rPr>
              <w:t>Number of items</w:t>
            </w:r>
            <w:r>
              <w:t>: 5</w:t>
            </w:r>
          </w:p>
          <w:p w14:paraId="5A104A1A" w14:textId="77777777" w:rsidR="0060062C" w:rsidRDefault="0060062C" w:rsidP="00D51EAE">
            <w:pPr>
              <w:pStyle w:val="ListParagraph"/>
            </w:pPr>
            <w:r>
              <w:rPr>
                <w:rStyle w:val="Strong"/>
              </w:rPr>
              <w:t>Time to complete</w:t>
            </w:r>
            <w:r>
              <w:t>: Less than 5 minutes</w:t>
            </w:r>
          </w:p>
          <w:p w14:paraId="3DF7AE53" w14:textId="77777777" w:rsidR="0060062C" w:rsidRDefault="0060062C" w:rsidP="00B73BD3">
            <w:pPr>
              <w:pStyle w:val="Heading2"/>
            </w:pPr>
            <w:r>
              <w:t>Recommendation</w:t>
            </w:r>
          </w:p>
          <w:p w14:paraId="61E768B0" w14:textId="77777777" w:rsidR="0060062C" w:rsidRDefault="0060062C" w:rsidP="00D51EAE">
            <w:r>
              <w:t>Low back pain is associated with poor health-related quality of life (HRQoL) in comparison to the general population.</w:t>
            </w:r>
            <w:r>
              <w:rPr>
                <w:rStyle w:val="Superscript"/>
              </w:rPr>
              <w:t>15,36</w:t>
            </w:r>
            <w:r>
              <w:t xml:space="preserve"> HRQoL may be measured if there is an interest in global health outcomes. However, to minimise survey burden, clinicians should prioritise measuring pain and physical functioning as they are the most immediately important outcomes for patients with low back pain. The EQ</w:t>
            </w:r>
            <w:r>
              <w:rPr>
                <w:rFonts w:ascii="Cambria Math" w:hAnsi="Cambria Math" w:cs="Cambria Math"/>
              </w:rPr>
              <w:t>‑</w:t>
            </w:r>
            <w:r>
              <w:t>5D</w:t>
            </w:r>
            <w:r>
              <w:rPr>
                <w:rFonts w:ascii="Cambria Math" w:hAnsi="Cambria Math" w:cs="Cambria Math"/>
              </w:rPr>
              <w:t>‑</w:t>
            </w:r>
            <w:r>
              <w:t>5L is recommended to measure HRQoL in people with low back pain.</w:t>
            </w:r>
          </w:p>
        </w:tc>
      </w:tr>
    </w:tbl>
    <w:p w14:paraId="0055BC81" w14:textId="77777777" w:rsidR="0060062C" w:rsidRDefault="0060062C" w:rsidP="00B73BD3">
      <w:pPr>
        <w:pStyle w:val="Heading2"/>
      </w:pPr>
      <w:r>
        <w:t>Rationale</w:t>
      </w:r>
    </w:p>
    <w:p w14:paraId="742D5B4E" w14:textId="77777777" w:rsidR="0060062C" w:rsidRDefault="0060062C" w:rsidP="0060062C">
      <w:r>
        <w:t>Low back pain is associated with poor HRQoL in comparison to the general population.</w:t>
      </w:r>
      <w:r>
        <w:rPr>
          <w:rStyle w:val="Superscript"/>
        </w:rPr>
        <w:t>15,36</w:t>
      </w:r>
      <w:r>
        <w:t xml:space="preserve"> HRQoL is a commonly recommended outcome in clinical trials, but is less commonly used in clinical settings.</w:t>
      </w:r>
    </w:p>
    <w:p w14:paraId="0B14B341" w14:textId="77777777" w:rsidR="0060062C" w:rsidRDefault="0060062C" w:rsidP="0060062C">
      <w:r>
        <w:t>There is sufficient but very low-quality evidence for the relevance, comprehensibility and comprehensiveness of the EQ-5D-5L in people with low back pain. All other measurement properties have not been assessed in people with low back pain.</w:t>
      </w:r>
      <w:r>
        <w:rPr>
          <w:rStyle w:val="Superscript"/>
        </w:rPr>
        <w:t>36</w:t>
      </w:r>
      <w:r>
        <w:t xml:space="preserve"> </w:t>
      </w:r>
    </w:p>
    <w:p w14:paraId="342D867A" w14:textId="77777777" w:rsidR="0060062C" w:rsidRDefault="0060062C" w:rsidP="0060062C">
      <w:r>
        <w:t>Despite the lack of evidence of other psychometric properties of the EQ</w:t>
      </w:r>
      <w:r>
        <w:rPr>
          <w:rFonts w:ascii="Cambria Math" w:hAnsi="Cambria Math" w:cs="Cambria Math"/>
        </w:rPr>
        <w:t>‑</w:t>
      </w:r>
      <w:r>
        <w:t>5D-5L in people with low back pain, it is still recommended by the International Consortium for Health Outcomes Measurement for the low back pain standard set due to its large evidence base for other patient populations and the general population, and the extensive availability of validated translations.</w:t>
      </w:r>
      <w:r>
        <w:rPr>
          <w:rStyle w:val="Superscript"/>
        </w:rPr>
        <w:t>21</w:t>
      </w:r>
      <w:r>
        <w:t xml:space="preserve"> In addition, the EQ</w:t>
      </w:r>
      <w:r>
        <w:rPr>
          <w:rFonts w:ascii="Cambria Math" w:hAnsi="Cambria Math" w:cs="Cambria Math"/>
        </w:rPr>
        <w:t>‑</w:t>
      </w:r>
      <w:r>
        <w:t>5D-5L is shorter and relatively inexpensive compared with other commonly used HRQoL tools.</w:t>
      </w:r>
    </w:p>
    <w:p w14:paraId="518CC332" w14:textId="27C54C64" w:rsidR="0060062C" w:rsidRDefault="0060062C" w:rsidP="0060062C">
      <w:r>
        <w:t>For more information and a sample of the EQ-5D-5L, see</w:t>
      </w:r>
      <w:r w:rsidR="004739E5">
        <w:t xml:space="preserve"> </w:t>
      </w:r>
      <w:r w:rsidR="004739E5" w:rsidRPr="004739E5">
        <w:rPr>
          <w:rStyle w:val="Cross-reference"/>
        </w:rPr>
        <w:fldChar w:fldCharType="begin"/>
      </w:r>
      <w:r w:rsidR="004739E5" w:rsidRPr="004739E5">
        <w:rPr>
          <w:rStyle w:val="Cross-reference"/>
        </w:rPr>
        <w:instrText xml:space="preserve"> REF AA \h </w:instrText>
      </w:r>
      <w:r w:rsidR="004739E5">
        <w:rPr>
          <w:rStyle w:val="Cross-reference"/>
        </w:rPr>
        <w:instrText xml:space="preserve"> \* MERGEFORMAT </w:instrText>
      </w:r>
      <w:r w:rsidR="004739E5" w:rsidRPr="004739E5">
        <w:rPr>
          <w:rStyle w:val="Cross-reference"/>
        </w:rPr>
      </w:r>
      <w:r w:rsidR="004739E5" w:rsidRPr="004739E5">
        <w:rPr>
          <w:rStyle w:val="Cross-reference"/>
        </w:rPr>
        <w:fldChar w:fldCharType="separate"/>
      </w:r>
      <w:r w:rsidR="004739E5" w:rsidRPr="004739E5">
        <w:rPr>
          <w:rStyle w:val="Cross-reference"/>
        </w:rPr>
        <w:t>Appendix A</w:t>
      </w:r>
      <w:r w:rsidR="004739E5" w:rsidRPr="004739E5">
        <w:rPr>
          <w:rStyle w:val="Cross-reference"/>
        </w:rPr>
        <w:fldChar w:fldCharType="end"/>
      </w:r>
      <w:r>
        <w:t>.</w:t>
      </w:r>
    </w:p>
    <w:p w14:paraId="20293CF1" w14:textId="77777777" w:rsidR="0060062C" w:rsidRDefault="0060062C" w:rsidP="00B73BD3">
      <w:pPr>
        <w:pStyle w:val="Heading3"/>
        <w:rPr>
          <w:rStyle w:val="Designernotes"/>
        </w:rPr>
      </w:pPr>
      <w:r>
        <w:t>Psychometric evaluation of EQ</w:t>
      </w:r>
      <w:r>
        <w:rPr>
          <w:rFonts w:ascii="Cambria Math" w:hAnsi="Cambria Math" w:cs="Cambria Math"/>
        </w:rPr>
        <w:t>‑</w:t>
      </w:r>
      <w:r>
        <w:t>5D</w:t>
      </w:r>
      <w:r>
        <w:rPr>
          <w:rFonts w:ascii="Cambria Math" w:hAnsi="Cambria Math" w:cs="Cambria Math"/>
        </w:rPr>
        <w:t>‑</w:t>
      </w:r>
      <w:r>
        <w:t>5L in Aboriginal and Torres Strait Islander people</w:t>
      </w:r>
    </w:p>
    <w:p w14:paraId="6913B2FA" w14:textId="77777777" w:rsidR="0060062C" w:rsidRDefault="0060062C" w:rsidP="0060062C">
      <w:r>
        <w:t>At the time of publishing these recommendations, there is no culturally appropriate HRQoL instrument available that has been designed by and validated specifically for use by Aboriginal and Torres Strait Islander people. Measurement of HRQoL within the Aboriginal and Torres Strait Islander framework of health and wellbeing must include domains of family and community, and constructs of connectedness beyond the individual.</w:t>
      </w:r>
      <w:r>
        <w:rPr>
          <w:rStyle w:val="Superscript"/>
        </w:rPr>
        <w:t>37</w:t>
      </w:r>
      <w:r>
        <w:t xml:space="preserve"> </w:t>
      </w:r>
    </w:p>
    <w:p w14:paraId="33C62153" w14:textId="77777777" w:rsidR="0060062C" w:rsidRDefault="0060062C" w:rsidP="0060062C">
      <w:r>
        <w:t>To determine whether meaningful data on HRQoL could be captured in this population, a study assessed the construct validity and reliability of the EQ</w:t>
      </w:r>
      <w:r>
        <w:rPr>
          <w:rFonts w:ascii="Cambria Math" w:hAnsi="Cambria Math" w:cs="Cambria Math"/>
        </w:rPr>
        <w:t>‑</w:t>
      </w:r>
      <w:r>
        <w:t>5D</w:t>
      </w:r>
      <w:r>
        <w:rPr>
          <w:rFonts w:ascii="Cambria Math" w:hAnsi="Cambria Math" w:cs="Cambria Math"/>
        </w:rPr>
        <w:t>‑</w:t>
      </w:r>
      <w:r>
        <w:t>5L in 1,012 Aboriginal adults across several distinct language groups. It found adequate reliability and good discriminant validity, and concluded that the EQ</w:t>
      </w:r>
      <w:r>
        <w:rPr>
          <w:rFonts w:ascii="Cambria Math" w:hAnsi="Cambria Math" w:cs="Cambria Math"/>
        </w:rPr>
        <w:t>‑</w:t>
      </w:r>
      <w:r>
        <w:t>5D</w:t>
      </w:r>
      <w:r>
        <w:rPr>
          <w:rFonts w:ascii="Cambria Math" w:hAnsi="Cambria Math" w:cs="Cambria Math"/>
        </w:rPr>
        <w:t>‑</w:t>
      </w:r>
      <w:r>
        <w:t>5L is a suitable tool for measuring HRQoL in Aboriginal and Torres Strait Islander people.</w:t>
      </w:r>
      <w:r>
        <w:rPr>
          <w:rStyle w:val="Superscript"/>
        </w:rPr>
        <w:t>38</w:t>
      </w:r>
    </w:p>
    <w:p w14:paraId="52F93455" w14:textId="77777777" w:rsidR="0060062C" w:rsidRDefault="0060062C" w:rsidP="0060062C">
      <w:pPr>
        <w:pStyle w:val="Heading1"/>
        <w:spacing w:after="454"/>
      </w:pPr>
      <w:bookmarkStart w:id="18" w:name="_Toc175215369"/>
      <w:bookmarkStart w:id="19" w:name="CTP"/>
      <w:r>
        <w:lastRenderedPageBreak/>
        <w:t>Collection time points</w:t>
      </w:r>
      <w:bookmarkEnd w:id="18"/>
      <w:bookmarkEnd w:id="19"/>
    </w:p>
    <w:p w14:paraId="3D599026" w14:textId="77777777" w:rsidR="0060062C" w:rsidRDefault="0060062C" w:rsidP="0060062C">
      <w:r>
        <w:t xml:space="preserve">The time frames for collecting data from PROMs will vary depending on the acuity of the low back pain presentation, the goals of the patient and the clinician, and the intervention. </w:t>
      </w:r>
    </w:p>
    <w:p w14:paraId="2FFBD188" w14:textId="77777777" w:rsidR="0060062C" w:rsidRDefault="0060062C" w:rsidP="0060062C">
      <w:r>
        <w:t>To assess the effect of an intervention, it is recommended that, at a minimum and where practical, clinicians use PROMs to collect information from patients at the start and end of treatment (for example, at the first or second visit, and when the patient returns for follow</w:t>
      </w:r>
      <w:r>
        <w:rPr>
          <w:rFonts w:ascii="Cambria Math" w:hAnsi="Cambria Math" w:cs="Cambria Math"/>
        </w:rPr>
        <w:t>‑</w:t>
      </w:r>
      <w:r>
        <w:t>up appointments). If it is practicable, collecting at least three data points will establish a trend to determine whether a patient’s outcome score improves in response to an intervention.</w:t>
      </w:r>
    </w:p>
    <w:p w14:paraId="6AA20C12" w14:textId="77777777" w:rsidR="0060062C" w:rsidRDefault="0060062C" w:rsidP="00B73BD3">
      <w:pPr>
        <w:pStyle w:val="Heading2"/>
      </w:pPr>
      <w:r>
        <w:t>Acute presentation</w:t>
      </w:r>
    </w:p>
    <w:p w14:paraId="65B5FB2F" w14:textId="77777777" w:rsidR="0060062C" w:rsidRDefault="0060062C" w:rsidP="0060062C">
      <w:r>
        <w:t>Acute presentations of low back pain or interventions that provide short-term relief (such as analgesics) may not require extensive follow</w:t>
      </w:r>
      <w:r>
        <w:rPr>
          <w:rFonts w:ascii="Cambria Math" w:hAnsi="Cambria Math" w:cs="Cambria Math"/>
        </w:rPr>
        <w:t>‑</w:t>
      </w:r>
      <w:r>
        <w:t>up administration of PROMs. PROMs may be used in the short term (such as when the patient returns for a follow</w:t>
      </w:r>
      <w:r>
        <w:rPr>
          <w:rFonts w:ascii="Cambria Math" w:hAnsi="Cambria Math" w:cs="Cambria Math"/>
        </w:rPr>
        <w:t>‑</w:t>
      </w:r>
      <w:r>
        <w:t xml:space="preserve">up visit) to ensure an intervention is effective. </w:t>
      </w:r>
    </w:p>
    <w:p w14:paraId="11722274" w14:textId="77777777" w:rsidR="0060062C" w:rsidRDefault="0060062C" w:rsidP="00B73BD3">
      <w:pPr>
        <w:pStyle w:val="Heading2"/>
      </w:pPr>
      <w:r>
        <w:t>Longer-term collection</w:t>
      </w:r>
    </w:p>
    <w:p w14:paraId="62A07097" w14:textId="77777777" w:rsidR="0060062C" w:rsidRDefault="0060062C" w:rsidP="0060062C">
      <w:r>
        <w:t>Regular and longer-term collection of patient-reported outcomes using PROMs is recommended for patients with longer-term rehabilitation goals, for example, after surgical intervention or an episode of multidisciplinary care for chronic low back pain. If resources are available and patients are not lost to follow</w:t>
      </w:r>
      <w:r>
        <w:rPr>
          <w:rFonts w:ascii="Cambria Math" w:hAnsi="Cambria Math" w:cs="Cambria Math"/>
        </w:rPr>
        <w:t>‑</w:t>
      </w:r>
      <w:r>
        <w:t xml:space="preserve">up, continued use of PROMs for more than six months after treatment is recommended to assess the longer-term outcomes of the intervention. </w:t>
      </w:r>
    </w:p>
    <w:p w14:paraId="400C3064" w14:textId="1E2AB37C" w:rsidR="0060062C" w:rsidRDefault="0060062C" w:rsidP="0060062C">
      <w:r>
        <w:t xml:space="preserve">See </w:t>
      </w:r>
      <w:r w:rsidR="005E3041" w:rsidRPr="005E3041">
        <w:rPr>
          <w:rStyle w:val="Cross-reference"/>
        </w:rPr>
        <w:fldChar w:fldCharType="begin"/>
      </w:r>
      <w:r w:rsidR="005E3041" w:rsidRPr="005E3041">
        <w:rPr>
          <w:rStyle w:val="Cross-reference"/>
        </w:rPr>
        <w:instrText xml:space="preserve"> REF F2 \h </w:instrText>
      </w:r>
      <w:r w:rsidR="005E3041">
        <w:rPr>
          <w:rStyle w:val="Cross-reference"/>
        </w:rPr>
        <w:instrText xml:space="preserve"> \* MERGEFORMAT </w:instrText>
      </w:r>
      <w:r w:rsidR="005E3041" w:rsidRPr="005E3041">
        <w:rPr>
          <w:rStyle w:val="Cross-reference"/>
        </w:rPr>
      </w:r>
      <w:r w:rsidR="005E3041" w:rsidRPr="005E3041">
        <w:rPr>
          <w:rStyle w:val="Cross-reference"/>
        </w:rPr>
        <w:fldChar w:fldCharType="separate"/>
      </w:r>
      <w:r w:rsidR="005E3041" w:rsidRPr="005E3041">
        <w:rPr>
          <w:rStyle w:val="Cross-reference"/>
        </w:rPr>
        <w:t>Figure 2</w:t>
      </w:r>
      <w:r w:rsidR="005E3041" w:rsidRPr="005E3041">
        <w:rPr>
          <w:rStyle w:val="Cross-reference"/>
        </w:rPr>
        <w:fldChar w:fldCharType="end"/>
      </w:r>
      <w:r>
        <w:t xml:space="preserve"> for recommended collection time points for longer-term rehabilitation goals. </w:t>
      </w:r>
    </w:p>
    <w:p w14:paraId="2EA93682" w14:textId="77777777" w:rsidR="0060062C" w:rsidRDefault="0060062C" w:rsidP="0060062C">
      <w:pPr>
        <w:pStyle w:val="Caption"/>
        <w:spacing w:before="283"/>
      </w:pPr>
      <w:bookmarkStart w:id="20" w:name="F2"/>
      <w:r>
        <w:t>Figure 2</w:t>
      </w:r>
      <w:bookmarkEnd w:id="20"/>
      <w:r>
        <w:t xml:space="preserve">: Recommended collection time points for low back pain PROMs for </w:t>
      </w:r>
      <w:r>
        <w:rPr>
          <w:b w:val="0"/>
          <w:bCs/>
        </w:rPr>
        <w:t>longer-term rehabilitation goals</w:t>
      </w:r>
    </w:p>
    <w:p w14:paraId="2C9CEC53" w14:textId="275B46F4" w:rsidR="0060062C" w:rsidRDefault="00BF794C" w:rsidP="00BF794C">
      <w:pPr>
        <w:ind w:hanging="284"/>
      </w:pPr>
      <w:r w:rsidRPr="00BF794C">
        <w:rPr>
          <w:noProof/>
        </w:rPr>
        <w:drawing>
          <wp:inline distT="0" distB="0" distL="0" distR="0" wp14:anchorId="73BDD2EF" wp14:editId="4F1B31DA">
            <wp:extent cx="6109022" cy="2507244"/>
            <wp:effectExtent l="0" t="0" r="0" b="0"/>
            <wp:docPr id="1583046353" name="Picture 1" descr="Figure 2: Recommended collection time points for low back pain PROMs for longer-term rehabilitation goals&#10;&#10;First visit&#10;&#10;2 weeks&#10;&#10;1 month&#10;&#10;3 months&#10;&#10;6 months&#10;&#10;12 months&#10;&#10;24 month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046353" name="Picture 1" descr="Figure 2: Recommended collection time points for low back pain PROMs for longer-term rehabilitation goals&#10;&#10;First visit&#10;&#10;2 weeks&#10;&#10;1 month&#10;&#10;3 months&#10;&#10;6 months&#10;&#10;12 months&#10;&#10;24 months&#10;&#10;"/>
                    <pic:cNvPicPr/>
                  </pic:nvPicPr>
                  <pic:blipFill>
                    <a:blip r:embed="rId44">
                      <a:extLst>
                        <a:ext uri="{28A0092B-C50C-407E-A947-70E740481C1C}">
                          <a14:useLocalDpi xmlns:a14="http://schemas.microsoft.com/office/drawing/2010/main" val="0"/>
                        </a:ext>
                      </a:extLst>
                    </a:blip>
                    <a:stretch>
                      <a:fillRect/>
                    </a:stretch>
                  </pic:blipFill>
                  <pic:spPr>
                    <a:xfrm>
                      <a:off x="0" y="0"/>
                      <a:ext cx="6109022" cy="2507244"/>
                    </a:xfrm>
                    <a:prstGeom prst="rect">
                      <a:avLst/>
                    </a:prstGeom>
                  </pic:spPr>
                </pic:pic>
              </a:graphicData>
            </a:graphic>
          </wp:inline>
        </w:drawing>
      </w:r>
    </w:p>
    <w:tbl>
      <w:tblPr>
        <w:tblStyle w:val="PROMorangebox"/>
        <w:tblW w:w="5000" w:type="pct"/>
        <w:tblLook w:val="06A0" w:firstRow="1" w:lastRow="0" w:firstColumn="1" w:lastColumn="0" w:noHBand="1" w:noVBand="1"/>
        <w:tblDescription w:val="Risk factor for persistent spinal syndrome"/>
      </w:tblPr>
      <w:tblGrid>
        <w:gridCol w:w="2667"/>
        <w:gridCol w:w="1865"/>
        <w:gridCol w:w="4532"/>
      </w:tblGrid>
      <w:tr w:rsidR="00DA097D" w:rsidRPr="00261098" w14:paraId="63A1EFA5" w14:textId="77777777" w:rsidTr="00F1598B">
        <w:trPr>
          <w:cnfStyle w:val="100000000000" w:firstRow="1" w:lastRow="0" w:firstColumn="0" w:lastColumn="0" w:oddVBand="0" w:evenVBand="0" w:oddHBand="0" w:evenHBand="0" w:firstRowFirstColumn="0" w:firstRowLastColumn="0" w:lastRowFirstColumn="0" w:lastRowLastColumn="0"/>
          <w:trHeight w:hRule="exact" w:val="20"/>
        </w:trPr>
        <w:tc>
          <w:tcPr>
            <w:cnfStyle w:val="001000000000" w:firstRow="0" w:lastRow="0" w:firstColumn="1" w:lastColumn="0" w:oddVBand="0" w:evenVBand="0" w:oddHBand="0" w:evenHBand="0" w:firstRowFirstColumn="0" w:firstRowLastColumn="0" w:lastRowFirstColumn="0" w:lastRowLastColumn="0"/>
            <w:tcW w:w="2500" w:type="pct"/>
            <w:gridSpan w:val="2"/>
          </w:tcPr>
          <w:p w14:paraId="21DA79E5" w14:textId="77777777" w:rsidR="00DA097D" w:rsidRPr="00261098" w:rsidRDefault="00DA097D" w:rsidP="00965EDF">
            <w:pPr>
              <w:spacing w:after="0"/>
              <w:rPr>
                <w:color w:val="000000" w:themeColor="text1"/>
                <w:sz w:val="14"/>
              </w:rPr>
            </w:pPr>
            <w:r w:rsidRPr="00261098">
              <w:lastRenderedPageBreak/>
              <w:t>Risk factor for persistent spinal syndrome</w:t>
            </w:r>
          </w:p>
        </w:tc>
        <w:tc>
          <w:tcPr>
            <w:tcW w:w="2500" w:type="pct"/>
          </w:tcPr>
          <w:p w14:paraId="4E1A57AA" w14:textId="25F0CC4D" w:rsidR="00DA097D" w:rsidRPr="00261098" w:rsidRDefault="00DA097D" w:rsidP="00965EDF">
            <w:pPr>
              <w:spacing w:after="0"/>
              <w:cnfStyle w:val="100000000000" w:firstRow="1" w:lastRow="0" w:firstColumn="0" w:lastColumn="0" w:oddVBand="0" w:evenVBand="0" w:oddHBand="0" w:evenHBand="0" w:firstRowFirstColumn="0" w:firstRowLastColumn="0" w:lastRowFirstColumn="0" w:lastRowLastColumn="0"/>
            </w:pPr>
          </w:p>
        </w:tc>
      </w:tr>
      <w:tr w:rsidR="00261098" w:rsidRPr="00261098" w14:paraId="6056DF5E" w14:textId="77777777" w:rsidTr="00CA755E">
        <w:trPr>
          <w:trHeight w:val="60"/>
        </w:trPr>
        <w:tc>
          <w:tcPr>
            <w:cnfStyle w:val="001000000000" w:firstRow="0" w:lastRow="0" w:firstColumn="1" w:lastColumn="0" w:oddVBand="0" w:evenVBand="0" w:oddHBand="0" w:evenHBand="0" w:firstRowFirstColumn="0" w:firstRowLastColumn="0" w:lastRowFirstColumn="0" w:lastRowLastColumn="0"/>
            <w:tcW w:w="1471" w:type="pct"/>
          </w:tcPr>
          <w:p w14:paraId="1B22F07D" w14:textId="7142A52C" w:rsidR="0060062C" w:rsidRPr="00261098" w:rsidRDefault="00105631" w:rsidP="00261098">
            <w:r w:rsidRPr="00105631">
              <w:rPr>
                <w:noProof/>
              </w:rPr>
              <w:drawing>
                <wp:inline distT="0" distB="0" distL="0" distR="0" wp14:anchorId="24C78046" wp14:editId="0419A193">
                  <wp:extent cx="825500" cy="825500"/>
                  <wp:effectExtent l="0" t="0" r="0" b="0"/>
                  <wp:docPr id="114726691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266914" name="Picture 1">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825500" cy="825500"/>
                          </a:xfrm>
                          <a:prstGeom prst="rect">
                            <a:avLst/>
                          </a:prstGeom>
                        </pic:spPr>
                      </pic:pic>
                    </a:graphicData>
                  </a:graphic>
                </wp:inline>
              </w:drawing>
            </w:r>
          </w:p>
          <w:p w14:paraId="2670B810" w14:textId="77777777" w:rsidR="0060062C" w:rsidRPr="00261098" w:rsidRDefault="0060062C" w:rsidP="00261098">
            <w:r w:rsidRPr="00261098">
              <w:t>Risk factor for persistent spinal syndrome</w:t>
            </w:r>
          </w:p>
        </w:tc>
        <w:tc>
          <w:tcPr>
            <w:tcW w:w="3529" w:type="pct"/>
            <w:gridSpan w:val="2"/>
          </w:tcPr>
          <w:p w14:paraId="4D5210AF" w14:textId="77777777" w:rsidR="0060062C" w:rsidRPr="00261098" w:rsidRDefault="0060062C" w:rsidP="00261098">
            <w:pPr>
              <w:cnfStyle w:val="000000000000" w:firstRow="0" w:lastRow="0" w:firstColumn="0" w:lastColumn="0" w:oddVBand="0" w:evenVBand="0" w:oddHBand="0" w:evenHBand="0" w:firstRowFirstColumn="0" w:firstRowLastColumn="0" w:lastRowFirstColumn="0" w:lastRowLastColumn="0"/>
            </w:pPr>
            <w:r w:rsidRPr="00261098">
              <w:t xml:space="preserve">It is recommended that patients receiving surgery have their pain measured </w:t>
            </w:r>
            <w:r w:rsidRPr="00261098">
              <w:rPr>
                <w:rStyle w:val="Strong"/>
              </w:rPr>
              <w:t>two weeks</w:t>
            </w:r>
            <w:r w:rsidRPr="00261098">
              <w:t xml:space="preserve"> after surgery to identify those who are experiencing severe pain. Patients with unidentified and unmanaged severe pain two weeks after surgery may have an increased risk of developing persistent spinal syndrome (formerly failed back surgery syndrome</w:t>
            </w:r>
            <w:r w:rsidRPr="001C0224">
              <w:rPr>
                <w:rStyle w:val="Superscript"/>
              </w:rPr>
              <w:t>39</w:t>
            </w:r>
            <w:r w:rsidRPr="00261098">
              <w:t>).</w:t>
            </w:r>
          </w:p>
        </w:tc>
      </w:tr>
    </w:tbl>
    <w:p w14:paraId="7FC3F229" w14:textId="77777777" w:rsidR="0060062C" w:rsidRDefault="0060062C" w:rsidP="0060062C"/>
    <w:p w14:paraId="1B2E0702" w14:textId="77777777" w:rsidR="0060062C" w:rsidRDefault="0060062C" w:rsidP="0060062C">
      <w:pPr>
        <w:pStyle w:val="Heading1"/>
      </w:pPr>
      <w:bookmarkStart w:id="21" w:name="AA"/>
      <w:bookmarkStart w:id="22" w:name="_Toc175215370"/>
      <w:r>
        <w:lastRenderedPageBreak/>
        <w:t>Appendix A</w:t>
      </w:r>
      <w:bookmarkEnd w:id="21"/>
      <w:r>
        <w:t>: Detailed information about recommended PROMs</w:t>
      </w:r>
      <w:bookmarkEnd w:id="22"/>
    </w:p>
    <w:p w14:paraId="4FCF91CC" w14:textId="77777777" w:rsidR="0060062C" w:rsidRDefault="0060062C" w:rsidP="0060062C">
      <w:r>
        <w:t>Please note that all versions of PROMs included in this appendix are samples and are for information purposes only to determine suitability for clinical use. Unless it is specified that the PROM is free in the public domain, the samples cannot be used without respective authorisation from distributors, copyright holders or developers. Refer to the licensing requirements for information on how to obtain authorised clinical use of PROMs.</w:t>
      </w:r>
    </w:p>
    <w:p w14:paraId="6919102E" w14:textId="77777777" w:rsidR="0060062C" w:rsidRDefault="0060062C" w:rsidP="00B73BD3">
      <w:pPr>
        <w:pStyle w:val="Heading2"/>
      </w:pPr>
      <w:r>
        <w:t>Numerical Pain Rating Scale (NPRS)</w:t>
      </w:r>
    </w:p>
    <w:p w14:paraId="018EA316" w14:textId="77777777" w:rsidR="0060062C" w:rsidRDefault="0060062C" w:rsidP="00B73BD3">
      <w:pPr>
        <w:pStyle w:val="Heading3"/>
      </w:pPr>
      <w:r>
        <w:t>PROM description</w:t>
      </w:r>
    </w:p>
    <w:p w14:paraId="58132575" w14:textId="43C241FF" w:rsidR="0060062C" w:rsidRDefault="0060062C" w:rsidP="0060062C">
      <w:r>
        <w:t xml:space="preserve">The NPRS (detailed in </w:t>
      </w:r>
      <w:r w:rsidR="008E39B6" w:rsidRPr="008E39B6">
        <w:rPr>
          <w:rStyle w:val="Cross-reference"/>
        </w:rPr>
        <w:fldChar w:fldCharType="begin"/>
      </w:r>
      <w:r w:rsidR="008E39B6" w:rsidRPr="008E39B6">
        <w:rPr>
          <w:rStyle w:val="Cross-reference"/>
        </w:rPr>
        <w:instrText xml:space="preserve"> REF T2 \h </w:instrText>
      </w:r>
      <w:r w:rsidR="008E39B6">
        <w:rPr>
          <w:rStyle w:val="Cross-reference"/>
        </w:rPr>
        <w:instrText xml:space="preserve"> \* MERGEFORMAT </w:instrText>
      </w:r>
      <w:r w:rsidR="008E39B6" w:rsidRPr="008E39B6">
        <w:rPr>
          <w:rStyle w:val="Cross-reference"/>
        </w:rPr>
      </w:r>
      <w:r w:rsidR="008E39B6" w:rsidRPr="008E39B6">
        <w:rPr>
          <w:rStyle w:val="Cross-reference"/>
        </w:rPr>
        <w:fldChar w:fldCharType="separate"/>
      </w:r>
      <w:r w:rsidR="008E39B6" w:rsidRPr="008E39B6">
        <w:rPr>
          <w:rStyle w:val="Cross-reference"/>
        </w:rPr>
        <w:t>Table 2</w:t>
      </w:r>
      <w:r w:rsidR="008E39B6" w:rsidRPr="008E39B6">
        <w:rPr>
          <w:rStyle w:val="Cross-reference"/>
        </w:rPr>
        <w:fldChar w:fldCharType="end"/>
      </w:r>
      <w:r>
        <w:t>) is a self</w:t>
      </w:r>
      <w:r>
        <w:rPr>
          <w:rFonts w:ascii="Cambria Math" w:hAnsi="Cambria Math" w:cs="Cambria Math"/>
        </w:rPr>
        <w:t>‑</w:t>
      </w:r>
      <w:r>
        <w:t>reported pain rating along an 11</w:t>
      </w:r>
      <w:r>
        <w:rPr>
          <w:rFonts w:ascii="Cambria Math" w:hAnsi="Cambria Math" w:cs="Cambria Math"/>
        </w:rPr>
        <w:t>‑</w:t>
      </w:r>
      <w:r>
        <w:t xml:space="preserve">point Likert scale, ranging from 0 (no pain) to 10 (pain as bad as you can imagine or worst pain imaginable; see </w:t>
      </w:r>
      <w:r w:rsidR="005E3041" w:rsidRPr="005E3041">
        <w:rPr>
          <w:rStyle w:val="Cross-reference"/>
        </w:rPr>
        <w:fldChar w:fldCharType="begin"/>
      </w:r>
      <w:r w:rsidR="005E3041" w:rsidRPr="005E3041">
        <w:rPr>
          <w:rStyle w:val="Cross-reference"/>
        </w:rPr>
        <w:instrText xml:space="preserve"> REF F3 \h </w:instrText>
      </w:r>
      <w:r w:rsidR="005E3041">
        <w:rPr>
          <w:rStyle w:val="Cross-reference"/>
        </w:rPr>
        <w:instrText xml:space="preserve"> \* MERGEFORMAT </w:instrText>
      </w:r>
      <w:r w:rsidR="005E3041" w:rsidRPr="005E3041">
        <w:rPr>
          <w:rStyle w:val="Cross-reference"/>
        </w:rPr>
      </w:r>
      <w:r w:rsidR="005E3041" w:rsidRPr="005E3041">
        <w:rPr>
          <w:rStyle w:val="Cross-reference"/>
        </w:rPr>
        <w:fldChar w:fldCharType="separate"/>
      </w:r>
      <w:r w:rsidR="005E3041" w:rsidRPr="005E3041">
        <w:rPr>
          <w:rStyle w:val="Cross-reference"/>
        </w:rPr>
        <w:t>Figure 3</w:t>
      </w:r>
      <w:r w:rsidR="005E3041" w:rsidRPr="005E3041">
        <w:rPr>
          <w:rStyle w:val="Cross-reference"/>
        </w:rPr>
        <w:fldChar w:fldCharType="end"/>
      </w:r>
      <w:r>
        <w:t>). The descriptors of the anchor statements that refer to pain intensity vary. Patients are asked to circle a number that best represents their pain intensity. There may be introductory questions with or without recall periods. The most common recall variations include asking patients to report their pain currently, in the last 24 hours or in the last week.</w:t>
      </w:r>
      <w:r>
        <w:rPr>
          <w:rStyle w:val="Superscript"/>
        </w:rPr>
        <w:t>19</w:t>
      </w:r>
    </w:p>
    <w:p w14:paraId="7190E89F" w14:textId="77777777" w:rsidR="0060062C" w:rsidRDefault="0060062C" w:rsidP="00B73BD3">
      <w:pPr>
        <w:pStyle w:val="Heading3"/>
      </w:pPr>
      <w:r>
        <w:t>Development</w:t>
      </w:r>
    </w:p>
    <w:p w14:paraId="5F390F60" w14:textId="77777777" w:rsidR="0060062C" w:rsidRDefault="0060062C" w:rsidP="0060062C">
      <w:r>
        <w:t xml:space="preserve">No publications were found with information about the development of the NPRS. </w:t>
      </w:r>
    </w:p>
    <w:p w14:paraId="2B0FBA35" w14:textId="77777777" w:rsidR="0060062C" w:rsidRDefault="0060062C" w:rsidP="0060062C">
      <w:pPr>
        <w:pStyle w:val="Caption"/>
        <w:rPr>
          <w:rStyle w:val="Designernotes"/>
        </w:rPr>
      </w:pPr>
      <w:bookmarkStart w:id="23" w:name="T2"/>
      <w:r>
        <w:t>Table 2</w:t>
      </w:r>
      <w:bookmarkEnd w:id="23"/>
      <w:r>
        <w:t>: Detailed information about Numerical Pain Rating Scale</w:t>
      </w:r>
    </w:p>
    <w:tbl>
      <w:tblPr>
        <w:tblStyle w:val="PROMTable"/>
        <w:tblW w:w="5000" w:type="pct"/>
        <w:tblLook w:val="06A0" w:firstRow="1" w:lastRow="0" w:firstColumn="1" w:lastColumn="0" w:noHBand="1" w:noVBand="1"/>
        <w:tblDescription w:val="Table 2: Detailed information about Numerical Pain Rating Scale"/>
      </w:tblPr>
      <w:tblGrid>
        <w:gridCol w:w="2491"/>
        <w:gridCol w:w="6563"/>
      </w:tblGrid>
      <w:tr w:rsidR="0060062C" w14:paraId="24537E90" w14:textId="77777777" w:rsidTr="006955B1">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23" w:type="pct"/>
          </w:tcPr>
          <w:p w14:paraId="15673F0D" w14:textId="77777777" w:rsidR="0060062C" w:rsidRDefault="0060062C" w:rsidP="00D51EAE">
            <w:r>
              <w:t>Characteristic</w:t>
            </w:r>
          </w:p>
        </w:tc>
        <w:tc>
          <w:tcPr>
            <w:tcW w:w="3677" w:type="pct"/>
          </w:tcPr>
          <w:p w14:paraId="34EA8740" w14:textId="77777777" w:rsidR="0060062C" w:rsidRDefault="0060062C" w:rsidP="00D51EAE">
            <w:pPr>
              <w:cnfStyle w:val="100000000000" w:firstRow="1" w:lastRow="0" w:firstColumn="0" w:lastColumn="0" w:oddVBand="0" w:evenVBand="0" w:oddHBand="0" w:evenHBand="0" w:firstRowFirstColumn="0" w:firstRowLastColumn="0" w:lastRowFirstColumn="0" w:lastRowLastColumn="0"/>
            </w:pPr>
            <w:r>
              <w:t>Details</w:t>
            </w:r>
          </w:p>
        </w:tc>
      </w:tr>
      <w:tr w:rsidR="0060062C" w14:paraId="0C8BF6BE" w14:textId="77777777" w:rsidTr="006955B1">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322B2BC3" w14:textId="77777777" w:rsidR="0060062C" w:rsidRDefault="0060062C" w:rsidP="00D51EAE">
            <w:r>
              <w:t>Name</w:t>
            </w:r>
          </w:p>
        </w:tc>
        <w:tc>
          <w:tcPr>
            <w:tcW w:w="3677" w:type="pct"/>
          </w:tcPr>
          <w:p w14:paraId="3D3A9C53"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Numerical Pain Rating Scale</w:t>
            </w:r>
          </w:p>
        </w:tc>
      </w:tr>
      <w:tr w:rsidR="0060062C" w14:paraId="366C9BAA" w14:textId="77777777" w:rsidTr="006955B1">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7085A1A6" w14:textId="77777777" w:rsidR="0060062C" w:rsidRDefault="0060062C" w:rsidP="00D51EAE">
            <w:r>
              <w:t>Abbreviation</w:t>
            </w:r>
          </w:p>
        </w:tc>
        <w:tc>
          <w:tcPr>
            <w:tcW w:w="3677" w:type="pct"/>
          </w:tcPr>
          <w:p w14:paraId="51975A36"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NPRS</w:t>
            </w:r>
          </w:p>
        </w:tc>
      </w:tr>
      <w:tr w:rsidR="0060062C" w14:paraId="246E3FE0" w14:textId="77777777" w:rsidTr="006955B1">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7F9C9E9F" w14:textId="77777777" w:rsidR="0060062C" w:rsidRDefault="0060062C" w:rsidP="00D51EAE">
            <w:r>
              <w:t>Country developed</w:t>
            </w:r>
          </w:p>
        </w:tc>
        <w:tc>
          <w:tcPr>
            <w:tcW w:w="3677" w:type="pct"/>
          </w:tcPr>
          <w:p w14:paraId="367E401C"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Not known</w:t>
            </w:r>
          </w:p>
        </w:tc>
      </w:tr>
      <w:tr w:rsidR="0060062C" w14:paraId="6BE54ECF" w14:textId="77777777" w:rsidTr="006955B1">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349535B7" w14:textId="77777777" w:rsidR="0060062C" w:rsidRDefault="0060062C" w:rsidP="00D51EAE">
            <w:r>
              <w:t>Year validated</w:t>
            </w:r>
          </w:p>
        </w:tc>
        <w:tc>
          <w:tcPr>
            <w:tcW w:w="3677" w:type="pct"/>
          </w:tcPr>
          <w:p w14:paraId="5B3A6FF1"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Not known</w:t>
            </w:r>
          </w:p>
        </w:tc>
      </w:tr>
      <w:tr w:rsidR="0060062C" w14:paraId="56CB2B63" w14:textId="77777777" w:rsidTr="006955B1">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570D485E" w14:textId="77777777" w:rsidR="0060062C" w:rsidRDefault="0060062C" w:rsidP="00D51EAE">
            <w:r>
              <w:t>Short summary</w:t>
            </w:r>
          </w:p>
        </w:tc>
        <w:tc>
          <w:tcPr>
            <w:tcW w:w="3677" w:type="pct"/>
          </w:tcPr>
          <w:p w14:paraId="339E3104"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Subjective measure for acute and chronic pain. It is a segmented, numerical version of the visual analogue scale.</w:t>
            </w:r>
          </w:p>
        </w:tc>
      </w:tr>
      <w:tr w:rsidR="0060062C" w14:paraId="3C05AC7E" w14:textId="77777777" w:rsidTr="006955B1">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4B4C5300" w14:textId="77777777" w:rsidR="0060062C" w:rsidRDefault="0060062C" w:rsidP="00D51EAE">
            <w:r>
              <w:t>Domains/dimensions</w:t>
            </w:r>
          </w:p>
        </w:tc>
        <w:tc>
          <w:tcPr>
            <w:tcW w:w="3677" w:type="pct"/>
          </w:tcPr>
          <w:p w14:paraId="4A18FF44"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Unidimensional</w:t>
            </w:r>
          </w:p>
        </w:tc>
      </w:tr>
      <w:tr w:rsidR="0060062C" w14:paraId="5142D47A" w14:textId="77777777" w:rsidTr="006955B1">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40B740FB" w14:textId="77777777" w:rsidR="0060062C" w:rsidRDefault="0060062C" w:rsidP="00D51EAE">
            <w:r>
              <w:t>Number of items</w:t>
            </w:r>
          </w:p>
        </w:tc>
        <w:tc>
          <w:tcPr>
            <w:tcW w:w="3677" w:type="pct"/>
          </w:tcPr>
          <w:p w14:paraId="5144A38A"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1</w:t>
            </w:r>
          </w:p>
        </w:tc>
      </w:tr>
      <w:tr w:rsidR="0060062C" w14:paraId="577668A8" w14:textId="77777777" w:rsidTr="006955B1">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0BDE2304" w14:textId="77777777" w:rsidR="0060062C" w:rsidRDefault="0060062C" w:rsidP="00D51EAE">
            <w:r>
              <w:t xml:space="preserve">Time to complete </w:t>
            </w:r>
          </w:p>
        </w:tc>
        <w:tc>
          <w:tcPr>
            <w:tcW w:w="3677" w:type="pct"/>
          </w:tcPr>
          <w:p w14:paraId="63F209FF"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Less than 1 minute</w:t>
            </w:r>
          </w:p>
        </w:tc>
      </w:tr>
      <w:tr w:rsidR="0060062C" w14:paraId="76226AF7" w14:textId="77777777" w:rsidTr="006955B1">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7499D9E2" w14:textId="77777777" w:rsidR="0060062C" w:rsidRDefault="0060062C" w:rsidP="00D51EAE">
            <w:r>
              <w:t>Response type and range</w:t>
            </w:r>
          </w:p>
        </w:tc>
        <w:tc>
          <w:tcPr>
            <w:tcW w:w="3677" w:type="pct"/>
          </w:tcPr>
          <w:p w14:paraId="4D489FAC"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11-point Likert scale, from 0 (no pain) to 10 (pain as bad as you can imagine or worst pain imaginable)</w:t>
            </w:r>
          </w:p>
        </w:tc>
      </w:tr>
      <w:tr w:rsidR="0060062C" w14:paraId="1442F8E8" w14:textId="77777777" w:rsidTr="006955B1">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216E6BA3" w14:textId="77777777" w:rsidR="0060062C" w:rsidRDefault="0060062C" w:rsidP="00D51EAE">
            <w:r>
              <w:t>Scoring guide</w:t>
            </w:r>
          </w:p>
        </w:tc>
        <w:tc>
          <w:tcPr>
            <w:tcW w:w="3677" w:type="pct"/>
          </w:tcPr>
          <w:p w14:paraId="242400E4"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Not applicable</w:t>
            </w:r>
          </w:p>
        </w:tc>
      </w:tr>
      <w:tr w:rsidR="0060062C" w14:paraId="6E45BB1A" w14:textId="77777777" w:rsidTr="006955B1">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68539A18" w14:textId="77777777" w:rsidR="0060062C" w:rsidRDefault="0060062C" w:rsidP="00D51EAE">
            <w:r>
              <w:t>Translations</w:t>
            </w:r>
          </w:p>
        </w:tc>
        <w:tc>
          <w:tcPr>
            <w:tcW w:w="3677" w:type="pct"/>
          </w:tcPr>
          <w:p w14:paraId="6A4B854D"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Minimal language translation is required</w:t>
            </w:r>
          </w:p>
        </w:tc>
      </w:tr>
      <w:tr w:rsidR="0060062C" w14:paraId="4F4C5470" w14:textId="77777777" w:rsidTr="006955B1">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0427D660" w14:textId="77777777" w:rsidR="0060062C" w:rsidRDefault="0060062C" w:rsidP="00D51EAE">
            <w:r>
              <w:t>Licence required</w:t>
            </w:r>
          </w:p>
        </w:tc>
        <w:tc>
          <w:tcPr>
            <w:tcW w:w="3677" w:type="pct"/>
          </w:tcPr>
          <w:p w14:paraId="0757D328"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No</w:t>
            </w:r>
          </w:p>
        </w:tc>
      </w:tr>
      <w:tr w:rsidR="0060062C" w14:paraId="33AB6C46" w14:textId="77777777" w:rsidTr="006955B1">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3E501B4A" w14:textId="77777777" w:rsidR="0060062C" w:rsidRDefault="0060062C" w:rsidP="00D51EAE">
            <w:r>
              <w:lastRenderedPageBreak/>
              <w:t>Fees</w:t>
            </w:r>
          </w:p>
        </w:tc>
        <w:tc>
          <w:tcPr>
            <w:tcW w:w="3677" w:type="pct"/>
          </w:tcPr>
          <w:p w14:paraId="2233AE1E"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No – free in public domain</w:t>
            </w:r>
          </w:p>
        </w:tc>
      </w:tr>
      <w:tr w:rsidR="0060062C" w14:paraId="74B19004" w14:textId="77777777" w:rsidTr="006955B1">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526575D2" w14:textId="77777777" w:rsidR="0060062C" w:rsidRDefault="0060062C" w:rsidP="00D51EAE">
            <w:r>
              <w:t>Copyright</w:t>
            </w:r>
          </w:p>
        </w:tc>
        <w:tc>
          <w:tcPr>
            <w:tcW w:w="3677" w:type="pct"/>
          </w:tcPr>
          <w:p w14:paraId="1965E291"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 xml:space="preserve">No copyright </w:t>
            </w:r>
          </w:p>
        </w:tc>
      </w:tr>
      <w:tr w:rsidR="0060062C" w14:paraId="36782186" w14:textId="77777777" w:rsidTr="006955B1">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5AEEE442" w14:textId="77777777" w:rsidR="0060062C" w:rsidRDefault="0060062C" w:rsidP="00D51EAE">
            <w:r>
              <w:t>References to the original papers</w:t>
            </w:r>
          </w:p>
        </w:tc>
        <w:tc>
          <w:tcPr>
            <w:tcW w:w="3677" w:type="pct"/>
          </w:tcPr>
          <w:p w14:paraId="19B7AD18"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Not applicable</w:t>
            </w:r>
          </w:p>
        </w:tc>
      </w:tr>
    </w:tbl>
    <w:p w14:paraId="39AAE72C" w14:textId="77777777" w:rsidR="0060062C" w:rsidRDefault="0060062C" w:rsidP="0060062C"/>
    <w:p w14:paraId="6C73667D" w14:textId="77777777" w:rsidR="0060062C" w:rsidRDefault="0060062C" w:rsidP="0060062C">
      <w:pPr>
        <w:pStyle w:val="Caption"/>
      </w:pPr>
      <w:bookmarkStart w:id="24" w:name="F3"/>
      <w:r>
        <w:t>Figure 3</w:t>
      </w:r>
      <w:bookmarkEnd w:id="24"/>
      <w:r>
        <w:t>: Numerical Pain Rating Scale – Pain score 0–10</w:t>
      </w:r>
    </w:p>
    <w:p w14:paraId="222FABA5" w14:textId="15514D87" w:rsidR="0060062C" w:rsidRPr="00080F1E" w:rsidRDefault="00D45B02" w:rsidP="00080F1E">
      <w:pPr>
        <w:ind w:hanging="426"/>
      </w:pPr>
      <w:r w:rsidRPr="00080F1E">
        <w:rPr>
          <w:noProof/>
        </w:rPr>
        <w:drawing>
          <wp:inline distT="0" distB="0" distL="0" distR="0" wp14:anchorId="6B17F84D" wp14:editId="145F5982">
            <wp:extent cx="6301270" cy="1479650"/>
            <wp:effectExtent l="0" t="0" r="0" b="0"/>
            <wp:docPr id="1295324925" name="Picture 1" descr="Figure 3: Numerical Pain Rating Scale – Pain score 0–10&#10;&#10;No pain = 0&#10;&#10;Moderate pain = 5&#10;&#10;Worst pain possible = 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324925" name="Picture 1" descr="Figure 3: Numerical Pain Rating Scale – Pain score 0–10&#10;&#10;No pain = 0&#10;&#10;Moderate pain = 5&#10;&#10;Worst pain possible = 10&#10;&#10;"/>
                    <pic:cNvPicPr/>
                  </pic:nvPicPr>
                  <pic:blipFill>
                    <a:blip r:embed="rId46">
                      <a:extLst>
                        <a:ext uri="{28A0092B-C50C-407E-A947-70E740481C1C}">
                          <a14:useLocalDpi xmlns:a14="http://schemas.microsoft.com/office/drawing/2010/main" val="0"/>
                        </a:ext>
                      </a:extLst>
                    </a:blip>
                    <a:stretch>
                      <a:fillRect/>
                    </a:stretch>
                  </pic:blipFill>
                  <pic:spPr>
                    <a:xfrm>
                      <a:off x="0" y="0"/>
                      <a:ext cx="6301270" cy="1479650"/>
                    </a:xfrm>
                    <a:prstGeom prst="rect">
                      <a:avLst/>
                    </a:prstGeom>
                  </pic:spPr>
                </pic:pic>
              </a:graphicData>
            </a:graphic>
          </wp:inline>
        </w:drawing>
      </w:r>
    </w:p>
    <w:p w14:paraId="19D89184" w14:textId="77777777" w:rsidR="0060062C" w:rsidRDefault="0060062C" w:rsidP="00B73BD3">
      <w:pPr>
        <w:pStyle w:val="Heading2"/>
      </w:pPr>
      <w:r>
        <w:t>Oswestry Disability Index (ODI)</w:t>
      </w:r>
    </w:p>
    <w:p w14:paraId="24532DC0" w14:textId="77777777" w:rsidR="0060062C" w:rsidRDefault="0060062C" w:rsidP="00B73BD3">
      <w:pPr>
        <w:pStyle w:val="Heading3"/>
      </w:pPr>
      <w:r>
        <w:t>PROM description</w:t>
      </w:r>
    </w:p>
    <w:p w14:paraId="260EEC74" w14:textId="08ED1D8A" w:rsidR="0060062C" w:rsidRDefault="0060062C" w:rsidP="0060062C">
      <w:r>
        <w:t xml:space="preserve">The ODI 2.1b (detailed in </w:t>
      </w:r>
      <w:r w:rsidR="005E3041" w:rsidRPr="005E3041">
        <w:rPr>
          <w:rStyle w:val="Cross-reference"/>
        </w:rPr>
        <w:fldChar w:fldCharType="begin"/>
      </w:r>
      <w:r w:rsidR="005E3041" w:rsidRPr="005E3041">
        <w:rPr>
          <w:rStyle w:val="Cross-reference"/>
        </w:rPr>
        <w:instrText xml:space="preserve"> REF T3 \h </w:instrText>
      </w:r>
      <w:r w:rsidR="005E3041">
        <w:rPr>
          <w:rStyle w:val="Cross-reference"/>
        </w:rPr>
        <w:instrText xml:space="preserve"> \* MERGEFORMAT </w:instrText>
      </w:r>
      <w:r w:rsidR="005E3041" w:rsidRPr="005E3041">
        <w:rPr>
          <w:rStyle w:val="Cross-reference"/>
        </w:rPr>
      </w:r>
      <w:r w:rsidR="005E3041" w:rsidRPr="005E3041">
        <w:rPr>
          <w:rStyle w:val="Cross-reference"/>
        </w:rPr>
        <w:fldChar w:fldCharType="separate"/>
      </w:r>
      <w:r w:rsidR="005E3041" w:rsidRPr="005E3041">
        <w:rPr>
          <w:rStyle w:val="Cross-reference"/>
        </w:rPr>
        <w:t>Table 3</w:t>
      </w:r>
      <w:r w:rsidR="005E3041" w:rsidRPr="005E3041">
        <w:rPr>
          <w:rStyle w:val="Cross-reference"/>
        </w:rPr>
        <w:fldChar w:fldCharType="end"/>
      </w:r>
      <w:r>
        <w:t>) consists of 10 sections (pain intensity, personal care, lifting, walking, sitting, standing, sleeping, sex life, social life, travelling), each containing six statements ranging in intensity (scored from 0 to 5); patients select the statement that best represents their situation (</w:t>
      </w:r>
      <w:r w:rsidR="005E3041" w:rsidRPr="005E3041">
        <w:rPr>
          <w:rStyle w:val="Cross-reference"/>
        </w:rPr>
        <w:fldChar w:fldCharType="begin"/>
      </w:r>
      <w:r w:rsidR="005E3041" w:rsidRPr="005E3041">
        <w:rPr>
          <w:rStyle w:val="Cross-reference"/>
        </w:rPr>
        <w:instrText xml:space="preserve"> REF F4 \h </w:instrText>
      </w:r>
      <w:r w:rsidR="005E3041">
        <w:rPr>
          <w:rStyle w:val="Cross-reference"/>
        </w:rPr>
        <w:instrText xml:space="preserve"> \* MERGEFORMAT </w:instrText>
      </w:r>
      <w:r w:rsidR="005E3041" w:rsidRPr="005E3041">
        <w:rPr>
          <w:rStyle w:val="Cross-reference"/>
        </w:rPr>
      </w:r>
      <w:r w:rsidR="005E3041" w:rsidRPr="005E3041">
        <w:rPr>
          <w:rStyle w:val="Cross-reference"/>
        </w:rPr>
        <w:fldChar w:fldCharType="separate"/>
      </w:r>
      <w:r w:rsidR="005E3041" w:rsidRPr="005E3041">
        <w:rPr>
          <w:rStyle w:val="Cross-reference"/>
        </w:rPr>
        <w:t>Figure 4</w:t>
      </w:r>
      <w:r w:rsidR="005E3041" w:rsidRPr="005E3041">
        <w:rPr>
          <w:rStyle w:val="Cross-reference"/>
        </w:rPr>
        <w:fldChar w:fldCharType="end"/>
      </w:r>
      <w:r>
        <w:t>). Scores on each of the 10 sections are summed, giving a maximum score of 50. The total score is then converted into a percentage (index) by multiplying it by two. Scores are stratified into severity: 0–20, minimal disability; 21–40, moderate disability; 41–60, severe disability; 61–80, crippling back pain; 81–100, patients are either bed-bound or have an exaggeration of their symptoms. A change in the patient’s score of 10% or more is considered a clinically significant result.</w:t>
      </w:r>
    </w:p>
    <w:p w14:paraId="2591DF7B" w14:textId="77777777" w:rsidR="0060062C" w:rsidRDefault="0060062C" w:rsidP="00B73BD3">
      <w:pPr>
        <w:pStyle w:val="Heading3"/>
      </w:pPr>
      <w:r>
        <w:t xml:space="preserve">Development </w:t>
      </w:r>
    </w:p>
    <w:p w14:paraId="68373425" w14:textId="77777777" w:rsidR="0060062C" w:rsidRDefault="0060062C" w:rsidP="0060062C">
      <w:r>
        <w:t>The ODI was first developed by specialist clinician John O’Brien in 1976 and later published by Jeremy Fairbank in 1980. The ODI was originally developed through patient interviews to identify the disturbance to activities of daily living caused by chronic back pain. It was designed for use with client groups that had acute, subacute or chronic back pain. The ODI was later modified by a Medical Research Council group in the United Kingdom, removing references to medication from the pain and sleeping items to improve the relevance of these items to people not taking medication. In 2000, the original ODI developer made additional modifications that led to version 2.0 (an option was added for ‘no pain’ in the pain intensity section), and then version 2.1 (alteration made to the travel section) and 2.1a (one-word adjustment to the opening statement).</w:t>
      </w:r>
      <w:r>
        <w:rPr>
          <w:rStyle w:val="Superscript"/>
        </w:rPr>
        <w:t>40</w:t>
      </w:r>
      <w:r>
        <w:t xml:space="preserve"> ODI 2.1b was developed with a one-word alteration made to the personal care section. </w:t>
      </w:r>
    </w:p>
    <w:p w14:paraId="28D84DB4" w14:textId="77777777" w:rsidR="0060062C" w:rsidRDefault="0060062C" w:rsidP="0060062C">
      <w:pPr>
        <w:pStyle w:val="Caption"/>
        <w:rPr>
          <w:rStyle w:val="Designernotes"/>
        </w:rPr>
      </w:pPr>
      <w:bookmarkStart w:id="25" w:name="T3"/>
      <w:r>
        <w:lastRenderedPageBreak/>
        <w:t>Table 3</w:t>
      </w:r>
      <w:bookmarkEnd w:id="25"/>
      <w:r>
        <w:t>: Detailed information about Oswestry Disability Index</w:t>
      </w:r>
    </w:p>
    <w:tbl>
      <w:tblPr>
        <w:tblStyle w:val="PROMTable"/>
        <w:tblW w:w="5000" w:type="pct"/>
        <w:tblLook w:val="06A0" w:firstRow="1" w:lastRow="0" w:firstColumn="1" w:lastColumn="0" w:noHBand="1" w:noVBand="1"/>
        <w:tblDescription w:val="Table 3: Detailed information about Oswestry Disability Index"/>
      </w:tblPr>
      <w:tblGrid>
        <w:gridCol w:w="2491"/>
        <w:gridCol w:w="6563"/>
      </w:tblGrid>
      <w:tr w:rsidR="0060062C" w14:paraId="249565F9" w14:textId="77777777" w:rsidTr="00F413C0">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23" w:type="pct"/>
          </w:tcPr>
          <w:p w14:paraId="0D29B934" w14:textId="77777777" w:rsidR="0060062C" w:rsidRDefault="0060062C" w:rsidP="00D51EAE">
            <w:r>
              <w:t>Characteristic</w:t>
            </w:r>
          </w:p>
        </w:tc>
        <w:tc>
          <w:tcPr>
            <w:tcW w:w="3677" w:type="pct"/>
          </w:tcPr>
          <w:p w14:paraId="14B2A5F5" w14:textId="77777777" w:rsidR="0060062C" w:rsidRDefault="0060062C" w:rsidP="00D51EAE">
            <w:pPr>
              <w:cnfStyle w:val="100000000000" w:firstRow="1" w:lastRow="0" w:firstColumn="0" w:lastColumn="0" w:oddVBand="0" w:evenVBand="0" w:oddHBand="0" w:evenHBand="0" w:firstRowFirstColumn="0" w:firstRowLastColumn="0" w:lastRowFirstColumn="0" w:lastRowLastColumn="0"/>
            </w:pPr>
            <w:r>
              <w:t>Details</w:t>
            </w:r>
          </w:p>
        </w:tc>
      </w:tr>
      <w:tr w:rsidR="0060062C" w14:paraId="34ACF964" w14:textId="77777777" w:rsidTr="00F413C0">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1275BD41" w14:textId="77777777" w:rsidR="0060062C" w:rsidRDefault="0060062C" w:rsidP="00D51EAE">
            <w:r>
              <w:t>Name</w:t>
            </w:r>
          </w:p>
        </w:tc>
        <w:tc>
          <w:tcPr>
            <w:tcW w:w="3677" w:type="pct"/>
          </w:tcPr>
          <w:p w14:paraId="49EA1824"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Oswestry Disability Index</w:t>
            </w:r>
          </w:p>
        </w:tc>
      </w:tr>
      <w:tr w:rsidR="0060062C" w14:paraId="72FCFD07" w14:textId="77777777" w:rsidTr="00F413C0">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6AE842C6" w14:textId="77777777" w:rsidR="0060062C" w:rsidRDefault="0060062C" w:rsidP="00D51EAE">
            <w:r>
              <w:t>Abbreviation</w:t>
            </w:r>
          </w:p>
        </w:tc>
        <w:tc>
          <w:tcPr>
            <w:tcW w:w="3677" w:type="pct"/>
          </w:tcPr>
          <w:p w14:paraId="6B5690C6"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ODI</w:t>
            </w:r>
          </w:p>
        </w:tc>
      </w:tr>
      <w:tr w:rsidR="0060062C" w14:paraId="37FBC489" w14:textId="77777777" w:rsidTr="00F413C0">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6E83F48B" w14:textId="77777777" w:rsidR="0060062C" w:rsidRDefault="0060062C" w:rsidP="00D51EAE">
            <w:r>
              <w:t>Country developed</w:t>
            </w:r>
          </w:p>
        </w:tc>
        <w:tc>
          <w:tcPr>
            <w:tcW w:w="3677" w:type="pct"/>
          </w:tcPr>
          <w:p w14:paraId="57497434"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United Kingdom</w:t>
            </w:r>
          </w:p>
        </w:tc>
      </w:tr>
      <w:tr w:rsidR="0060062C" w14:paraId="2059B3E6" w14:textId="77777777" w:rsidTr="00F413C0">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50AF86D9" w14:textId="77777777" w:rsidR="0060062C" w:rsidRDefault="0060062C" w:rsidP="00D51EAE">
            <w:r>
              <w:t>Year validated</w:t>
            </w:r>
          </w:p>
        </w:tc>
        <w:tc>
          <w:tcPr>
            <w:tcW w:w="3677" w:type="pct"/>
          </w:tcPr>
          <w:p w14:paraId="78D50CD1"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1980</w:t>
            </w:r>
          </w:p>
        </w:tc>
      </w:tr>
      <w:tr w:rsidR="0060062C" w14:paraId="171E89DC" w14:textId="77777777" w:rsidTr="00F413C0">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2C574FB4" w14:textId="77777777" w:rsidR="0060062C" w:rsidRDefault="0060062C" w:rsidP="00D51EAE">
            <w:r>
              <w:t>Short summary</w:t>
            </w:r>
          </w:p>
        </w:tc>
        <w:tc>
          <w:tcPr>
            <w:tcW w:w="3677" w:type="pct"/>
          </w:tcPr>
          <w:p w14:paraId="2C997B5E"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Measures pain-related disability for low back pain and spinal disorders more generally and is the preferred choice in severe disability when compared with the Roland Morris Disability Questionnaire. It is available in multiple versions and its items are included in the Patient-Reported Outcomes Measurement Information System</w:t>
            </w:r>
            <w:r>
              <w:rPr>
                <w:rStyle w:val="Superscript"/>
              </w:rPr>
              <w:t>®</w:t>
            </w:r>
            <w:r>
              <w:t xml:space="preserve"> (PROMIS</w:t>
            </w:r>
            <w:r>
              <w:rPr>
                <w:rStyle w:val="Superscript"/>
              </w:rPr>
              <w:t>®</w:t>
            </w:r>
            <w:r>
              <w:t>).</w:t>
            </w:r>
          </w:p>
        </w:tc>
      </w:tr>
      <w:tr w:rsidR="0060062C" w14:paraId="7A72A55C" w14:textId="77777777" w:rsidTr="00F413C0">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099B860E" w14:textId="77777777" w:rsidR="0060062C" w:rsidRDefault="0060062C" w:rsidP="00D51EAE">
            <w:r>
              <w:t>Domains/dimensions</w:t>
            </w:r>
          </w:p>
        </w:tc>
        <w:tc>
          <w:tcPr>
            <w:tcW w:w="3677" w:type="pct"/>
          </w:tcPr>
          <w:p w14:paraId="2E72855A"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Unidimensional</w:t>
            </w:r>
          </w:p>
        </w:tc>
      </w:tr>
      <w:tr w:rsidR="0060062C" w14:paraId="6F965344" w14:textId="77777777" w:rsidTr="00F413C0">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1B3EA832" w14:textId="77777777" w:rsidR="0060062C" w:rsidRDefault="0060062C" w:rsidP="00D51EAE">
            <w:r>
              <w:t>Number of items</w:t>
            </w:r>
          </w:p>
        </w:tc>
        <w:tc>
          <w:tcPr>
            <w:tcW w:w="3677" w:type="pct"/>
          </w:tcPr>
          <w:p w14:paraId="4DC73DAF"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10</w:t>
            </w:r>
          </w:p>
        </w:tc>
      </w:tr>
      <w:tr w:rsidR="0060062C" w14:paraId="149BA776" w14:textId="77777777" w:rsidTr="00F413C0">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750538BB" w14:textId="77777777" w:rsidR="0060062C" w:rsidRDefault="0060062C" w:rsidP="00D51EAE">
            <w:r>
              <w:t>Time to complete</w:t>
            </w:r>
          </w:p>
        </w:tc>
        <w:tc>
          <w:tcPr>
            <w:tcW w:w="3677" w:type="pct"/>
          </w:tcPr>
          <w:p w14:paraId="645E66D3"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3–5 minutes</w:t>
            </w:r>
          </w:p>
        </w:tc>
      </w:tr>
      <w:tr w:rsidR="0060062C" w14:paraId="2B4D2548" w14:textId="77777777" w:rsidTr="00F413C0">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3274288B" w14:textId="4295FD5C" w:rsidR="0060062C" w:rsidRDefault="0060062C" w:rsidP="00D51EAE">
            <w:r>
              <w:t>Response type and</w:t>
            </w:r>
            <w:r w:rsidR="00F413C0">
              <w:t> </w:t>
            </w:r>
            <w:r>
              <w:t>range</w:t>
            </w:r>
          </w:p>
        </w:tc>
        <w:tc>
          <w:tcPr>
            <w:tcW w:w="3677" w:type="pct"/>
          </w:tcPr>
          <w:p w14:paraId="2D442BB2"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Six-point Likert scales with various anchors</w:t>
            </w:r>
          </w:p>
        </w:tc>
      </w:tr>
      <w:tr w:rsidR="0060062C" w14:paraId="5F69CE83" w14:textId="77777777" w:rsidTr="00F413C0">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499BF7EC" w14:textId="77777777" w:rsidR="0060062C" w:rsidRDefault="0060062C" w:rsidP="00D51EAE">
            <w:r>
              <w:t>Scoring guide</w:t>
            </w:r>
          </w:p>
        </w:tc>
        <w:tc>
          <w:tcPr>
            <w:tcW w:w="3677" w:type="pct"/>
          </w:tcPr>
          <w:p w14:paraId="7F82FE7C" w14:textId="77777777" w:rsidR="0060062C" w:rsidRDefault="00000000" w:rsidP="00D51EAE">
            <w:pPr>
              <w:cnfStyle w:val="000000000000" w:firstRow="0" w:lastRow="0" w:firstColumn="0" w:lastColumn="0" w:oddVBand="0" w:evenVBand="0" w:oddHBand="0" w:evenHBand="0" w:firstRowFirstColumn="0" w:firstRowLastColumn="0" w:lastRowFirstColumn="0" w:lastRowLastColumn="0"/>
            </w:pPr>
            <w:hyperlink r:id="rId47" w:history="1">
              <w:r w:rsidR="0060062C">
                <w:rPr>
                  <w:rStyle w:val="Hyperlink"/>
                </w:rPr>
                <w:t>MAPI Research Trust ePROVIDE™</w:t>
              </w:r>
            </w:hyperlink>
          </w:p>
        </w:tc>
      </w:tr>
      <w:tr w:rsidR="0060062C" w14:paraId="59E1AB45" w14:textId="77777777" w:rsidTr="00F413C0">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79244DFB" w14:textId="77777777" w:rsidR="0060062C" w:rsidRDefault="0060062C" w:rsidP="00D51EAE">
            <w:r>
              <w:t>Translations</w:t>
            </w:r>
          </w:p>
        </w:tc>
        <w:tc>
          <w:tcPr>
            <w:tcW w:w="3677" w:type="pct"/>
          </w:tcPr>
          <w:p w14:paraId="00D08096" w14:textId="77777777" w:rsidR="0060062C" w:rsidRDefault="00000000" w:rsidP="00D51EAE">
            <w:pPr>
              <w:cnfStyle w:val="000000000000" w:firstRow="0" w:lastRow="0" w:firstColumn="0" w:lastColumn="0" w:oddVBand="0" w:evenVBand="0" w:oddHBand="0" w:evenHBand="0" w:firstRowFirstColumn="0" w:firstRowLastColumn="0" w:lastRowFirstColumn="0" w:lastRowLastColumn="0"/>
            </w:pPr>
            <w:hyperlink r:id="rId48" w:anchor="languages" w:history="1">
              <w:r w:rsidR="0060062C">
                <w:rPr>
                  <w:rStyle w:val="Hyperlink"/>
                </w:rPr>
                <w:t>45 translations, including English for Australia</w:t>
              </w:r>
            </w:hyperlink>
          </w:p>
        </w:tc>
      </w:tr>
      <w:tr w:rsidR="0060062C" w14:paraId="75E3E65B" w14:textId="77777777" w:rsidTr="00F413C0">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4174596C" w14:textId="77777777" w:rsidR="0060062C" w:rsidRDefault="0060062C" w:rsidP="00D51EAE">
            <w:r>
              <w:t>Licence required</w:t>
            </w:r>
          </w:p>
        </w:tc>
        <w:tc>
          <w:tcPr>
            <w:tcW w:w="3677" w:type="pct"/>
          </w:tcPr>
          <w:p w14:paraId="279763FF"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Yes</w:t>
            </w:r>
          </w:p>
        </w:tc>
      </w:tr>
      <w:tr w:rsidR="0060062C" w14:paraId="490CA634" w14:textId="77777777" w:rsidTr="00F413C0">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43091E28" w14:textId="77777777" w:rsidR="0060062C" w:rsidRDefault="0060062C" w:rsidP="00D51EAE">
            <w:r>
              <w:t>Fees</w:t>
            </w:r>
          </w:p>
        </w:tc>
        <w:tc>
          <w:tcPr>
            <w:tcW w:w="3677" w:type="pct"/>
          </w:tcPr>
          <w:p w14:paraId="4FD6A9FD" w14:textId="77777777" w:rsidR="0060062C" w:rsidRDefault="0060062C" w:rsidP="00D51EAE">
            <w:pPr>
              <w:pStyle w:val="ListParagraph"/>
              <w:cnfStyle w:val="000000000000" w:firstRow="0" w:lastRow="0" w:firstColumn="0" w:lastColumn="0" w:oddVBand="0" w:evenVBand="0" w:oddHBand="0" w:evenHBand="0" w:firstRowFirstColumn="0" w:firstRowLastColumn="0" w:lastRowFirstColumn="0" w:lastRowLastColumn="0"/>
            </w:pPr>
            <w:r>
              <w:t>Free for clinical practice</w:t>
            </w:r>
          </w:p>
          <w:p w14:paraId="7944375B" w14:textId="77777777" w:rsidR="0060062C" w:rsidRDefault="0060062C" w:rsidP="00D51EAE">
            <w:pPr>
              <w:pStyle w:val="ListParagraph"/>
              <w:cnfStyle w:val="000000000000" w:firstRow="0" w:lastRow="0" w:firstColumn="0" w:lastColumn="0" w:oddVBand="0" w:evenVBand="0" w:oddHBand="0" w:evenHBand="0" w:firstRowFirstColumn="0" w:firstRowLastColumn="0" w:lastRowFirstColumn="0" w:lastRowLastColumn="0"/>
            </w:pPr>
            <w:r>
              <w:t xml:space="preserve">Fees may apply to healthcare organisations </w:t>
            </w:r>
          </w:p>
        </w:tc>
      </w:tr>
      <w:tr w:rsidR="0060062C" w14:paraId="57C6387C" w14:textId="77777777" w:rsidTr="00F413C0">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0550F462" w14:textId="77777777" w:rsidR="0060062C" w:rsidRDefault="0060062C" w:rsidP="00D51EAE">
            <w:r>
              <w:t>Distributors | Weblink</w:t>
            </w:r>
          </w:p>
        </w:tc>
        <w:tc>
          <w:tcPr>
            <w:tcW w:w="3677" w:type="pct"/>
          </w:tcPr>
          <w:p w14:paraId="0DBBFEC3"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 xml:space="preserve">ODI Contact information and permission to use: </w:t>
            </w:r>
          </w:p>
          <w:p w14:paraId="00294A4C" w14:textId="77777777" w:rsidR="0060062C" w:rsidRDefault="0060062C" w:rsidP="00D51EAE">
            <w:pPr>
              <w:pStyle w:val="ListParagraph"/>
              <w:cnfStyle w:val="000000000000" w:firstRow="0" w:lastRow="0" w:firstColumn="0" w:lastColumn="0" w:oddVBand="0" w:evenVBand="0" w:oddHBand="0" w:evenHBand="0" w:firstRowFirstColumn="0" w:firstRowLastColumn="0" w:lastRowFirstColumn="0" w:lastRowLastColumn="0"/>
            </w:pPr>
            <w:r>
              <w:t xml:space="preserve">Mapi Research Trust, Lyon, France </w:t>
            </w:r>
          </w:p>
          <w:p w14:paraId="4B13F5B7" w14:textId="77777777" w:rsidR="0060062C" w:rsidRDefault="00000000" w:rsidP="00D51EAE">
            <w:pPr>
              <w:pStyle w:val="ListParagraph"/>
              <w:cnfStyle w:val="000000000000" w:firstRow="0" w:lastRow="0" w:firstColumn="0" w:lastColumn="0" w:oddVBand="0" w:evenVBand="0" w:oddHBand="0" w:evenHBand="0" w:firstRowFirstColumn="0" w:firstRowLastColumn="0" w:lastRowFirstColumn="0" w:lastRowLastColumn="0"/>
            </w:pPr>
            <w:hyperlink r:id="rId49" w:history="1">
              <w:r w:rsidR="0060062C">
                <w:rPr>
                  <w:rStyle w:val="Hyperlink"/>
                </w:rPr>
                <w:t>eprovide.mapi-trust.org</w:t>
              </w:r>
            </w:hyperlink>
            <w:r w:rsidR="0060062C">
              <w:t xml:space="preserve"> </w:t>
            </w:r>
          </w:p>
        </w:tc>
      </w:tr>
      <w:tr w:rsidR="0060062C" w14:paraId="3D241310" w14:textId="77777777" w:rsidTr="00F413C0">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6A71CE74" w14:textId="77777777" w:rsidR="0060062C" w:rsidRDefault="0060062C" w:rsidP="00D51EAE">
            <w:r>
              <w:t>Copyright</w:t>
            </w:r>
          </w:p>
        </w:tc>
        <w:tc>
          <w:tcPr>
            <w:tcW w:w="3677" w:type="pct"/>
          </w:tcPr>
          <w:p w14:paraId="2B0A1714"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ODI © Jeremy Fairbank, 1980. All rights reserved.</w:t>
            </w:r>
          </w:p>
        </w:tc>
      </w:tr>
      <w:tr w:rsidR="0060062C" w14:paraId="58622EB5" w14:textId="77777777" w:rsidTr="00F413C0">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2BFC1A84" w14:textId="77777777" w:rsidR="0060062C" w:rsidRDefault="0060062C" w:rsidP="00D51EAE">
            <w:r>
              <w:t>Author(s)</w:t>
            </w:r>
          </w:p>
        </w:tc>
        <w:tc>
          <w:tcPr>
            <w:tcW w:w="3677" w:type="pct"/>
          </w:tcPr>
          <w:p w14:paraId="0191FB4B"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Fairbank JC</w:t>
            </w:r>
          </w:p>
        </w:tc>
      </w:tr>
      <w:tr w:rsidR="0060062C" w14:paraId="1FB1D6FB" w14:textId="77777777" w:rsidTr="00F413C0">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49A6B404" w14:textId="77777777" w:rsidR="0060062C" w:rsidRDefault="0060062C" w:rsidP="00D51EAE">
            <w:r>
              <w:t>References to the original papers</w:t>
            </w:r>
          </w:p>
        </w:tc>
        <w:tc>
          <w:tcPr>
            <w:tcW w:w="3677" w:type="pct"/>
          </w:tcPr>
          <w:p w14:paraId="1B54CFBA"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Fairbank JC, Couper J, Davies JB, O’Brien JP. The Oswestry low back pain disability questionnaire. Physiotherapy 1980;66(8):271–3.</w:t>
            </w:r>
          </w:p>
        </w:tc>
      </w:tr>
    </w:tbl>
    <w:p w14:paraId="04912ECF" w14:textId="77777777" w:rsidR="0060062C" w:rsidRDefault="0060062C" w:rsidP="0060062C"/>
    <w:p w14:paraId="50BD6396" w14:textId="77777777" w:rsidR="0060062C" w:rsidRDefault="0060062C" w:rsidP="0060062C">
      <w:pPr>
        <w:pStyle w:val="Caption"/>
      </w:pPr>
      <w:bookmarkStart w:id="26" w:name="F4"/>
      <w:r>
        <w:lastRenderedPageBreak/>
        <w:t>Figure 4</w:t>
      </w:r>
      <w:bookmarkEnd w:id="26"/>
      <w:r>
        <w:t>: Oswestry Disability Index Version 2.1b</w:t>
      </w:r>
    </w:p>
    <w:p w14:paraId="0CA247AA" w14:textId="0F4FF4B1" w:rsidR="0060062C" w:rsidRPr="00012DD5" w:rsidRDefault="004D5308" w:rsidP="00012DD5">
      <w:r w:rsidRPr="00012DD5">
        <w:rPr>
          <w:noProof/>
        </w:rPr>
        <w:drawing>
          <wp:inline distT="0" distB="0" distL="0" distR="0" wp14:anchorId="096AD0AB" wp14:editId="676F70F2">
            <wp:extent cx="5755640" cy="8055354"/>
            <wp:effectExtent l="0" t="0" r="0" b="0"/>
            <wp:docPr id="793886389" name="Picture 1" descr="Figure 4: Oswestry Disability Index Version 2.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86389" name="Picture 1" descr="Figure 4: Oswestry Disability Index Version 2.1b"/>
                    <pic:cNvPicPr/>
                  </pic:nvPicPr>
                  <pic:blipFill>
                    <a:blip r:embed="rId50">
                      <a:extLst>
                        <a:ext uri="{28A0092B-C50C-407E-A947-70E740481C1C}">
                          <a14:useLocalDpi xmlns:a14="http://schemas.microsoft.com/office/drawing/2010/main" val="0"/>
                        </a:ext>
                      </a:extLst>
                    </a:blip>
                    <a:stretch>
                      <a:fillRect/>
                    </a:stretch>
                  </pic:blipFill>
                  <pic:spPr>
                    <a:xfrm>
                      <a:off x="0" y="0"/>
                      <a:ext cx="5755640" cy="8055354"/>
                    </a:xfrm>
                    <a:prstGeom prst="rect">
                      <a:avLst/>
                    </a:prstGeom>
                  </pic:spPr>
                </pic:pic>
              </a:graphicData>
            </a:graphic>
          </wp:inline>
        </w:drawing>
      </w:r>
    </w:p>
    <w:p w14:paraId="48A3F3E3" w14:textId="77777777" w:rsidR="0060062C" w:rsidRDefault="0060062C" w:rsidP="0056329D">
      <w:pPr>
        <w:spacing w:after="0"/>
        <w:jc w:val="right"/>
      </w:pPr>
      <w:r>
        <w:t>(continued)</w:t>
      </w:r>
    </w:p>
    <w:p w14:paraId="54D02EF8" w14:textId="77777777" w:rsidR="0060062C" w:rsidRDefault="0060062C" w:rsidP="0060062C">
      <w:pPr>
        <w:pStyle w:val="Caption"/>
      </w:pPr>
      <w:r>
        <w:lastRenderedPageBreak/>
        <w:t>Figure 4: Oswestry Disability Index Version 2.1b (continued)</w:t>
      </w:r>
    </w:p>
    <w:p w14:paraId="51A6C253" w14:textId="636B08EF" w:rsidR="0060062C" w:rsidRPr="00080F1E" w:rsidRDefault="00080F1E" w:rsidP="00080F1E">
      <w:r w:rsidRPr="00080F1E">
        <w:rPr>
          <w:noProof/>
        </w:rPr>
        <w:drawing>
          <wp:inline distT="0" distB="0" distL="0" distR="0" wp14:anchorId="1C42A493" wp14:editId="3EB6653E">
            <wp:extent cx="5755640" cy="8017238"/>
            <wp:effectExtent l="0" t="0" r="0" b="0"/>
            <wp:docPr id="1758668811" name="Picture 1" descr="Figure 4: Oswestry Disability Index Version 2.1b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668811" name="Picture 1" descr="Figure 4: Oswestry Disability Index Version 2.1b (continued)"/>
                    <pic:cNvPicPr/>
                  </pic:nvPicPr>
                  <pic:blipFill>
                    <a:blip r:embed="rId51">
                      <a:extLst>
                        <a:ext uri="{28A0092B-C50C-407E-A947-70E740481C1C}">
                          <a14:useLocalDpi xmlns:a14="http://schemas.microsoft.com/office/drawing/2010/main" val="0"/>
                        </a:ext>
                      </a:extLst>
                    </a:blip>
                    <a:stretch>
                      <a:fillRect/>
                    </a:stretch>
                  </pic:blipFill>
                  <pic:spPr>
                    <a:xfrm>
                      <a:off x="0" y="0"/>
                      <a:ext cx="5755640" cy="8017238"/>
                    </a:xfrm>
                    <a:prstGeom prst="rect">
                      <a:avLst/>
                    </a:prstGeom>
                  </pic:spPr>
                </pic:pic>
              </a:graphicData>
            </a:graphic>
          </wp:inline>
        </w:drawing>
      </w:r>
    </w:p>
    <w:p w14:paraId="0579C904" w14:textId="77777777" w:rsidR="0060062C" w:rsidRDefault="0060062C" w:rsidP="00B73BD3">
      <w:pPr>
        <w:pStyle w:val="Heading2"/>
      </w:pPr>
      <w:r>
        <w:lastRenderedPageBreak/>
        <w:t>Roland Morris Disability Questionnaire (RMDQ)</w:t>
      </w:r>
    </w:p>
    <w:p w14:paraId="2C215048" w14:textId="77777777" w:rsidR="0060062C" w:rsidRDefault="0060062C" w:rsidP="00B73BD3">
      <w:pPr>
        <w:pStyle w:val="Heading3"/>
      </w:pPr>
      <w:r>
        <w:t>PROM description</w:t>
      </w:r>
    </w:p>
    <w:p w14:paraId="1511ABFB" w14:textId="69893FED" w:rsidR="0060062C" w:rsidRDefault="0060062C" w:rsidP="0060062C">
      <w:r>
        <w:t xml:space="preserve">Patients completing the RMDQ (detailed in </w:t>
      </w:r>
      <w:r w:rsidR="00C33B87" w:rsidRPr="00C33B87">
        <w:rPr>
          <w:rStyle w:val="Cross-reference"/>
        </w:rPr>
        <w:fldChar w:fldCharType="begin"/>
      </w:r>
      <w:r w:rsidR="00C33B87" w:rsidRPr="00C33B87">
        <w:rPr>
          <w:rStyle w:val="Cross-reference"/>
        </w:rPr>
        <w:instrText xml:space="preserve"> REF T4 \h </w:instrText>
      </w:r>
      <w:r w:rsidR="00C33B87">
        <w:rPr>
          <w:rStyle w:val="Cross-reference"/>
        </w:rPr>
        <w:instrText xml:space="preserve"> \* MERGEFORMAT </w:instrText>
      </w:r>
      <w:r w:rsidR="00C33B87" w:rsidRPr="00C33B87">
        <w:rPr>
          <w:rStyle w:val="Cross-reference"/>
        </w:rPr>
      </w:r>
      <w:r w:rsidR="00C33B87" w:rsidRPr="00C33B87">
        <w:rPr>
          <w:rStyle w:val="Cross-reference"/>
        </w:rPr>
        <w:fldChar w:fldCharType="separate"/>
      </w:r>
      <w:r w:rsidR="00C33B87" w:rsidRPr="00C33B87">
        <w:rPr>
          <w:rStyle w:val="Cross-reference"/>
        </w:rPr>
        <w:t>Table 4</w:t>
      </w:r>
      <w:r w:rsidR="00C33B87" w:rsidRPr="00C33B87">
        <w:rPr>
          <w:rStyle w:val="Cross-reference"/>
        </w:rPr>
        <w:fldChar w:fldCharType="end"/>
      </w:r>
      <w:r>
        <w:t>) are asked to place a check mark beside a statement if it applies to them ‘today’ (</w:t>
      </w:r>
      <w:r w:rsidR="00C33B87" w:rsidRPr="00C33B87">
        <w:rPr>
          <w:rStyle w:val="Cross-reference"/>
        </w:rPr>
        <w:fldChar w:fldCharType="begin"/>
      </w:r>
      <w:r w:rsidR="00C33B87" w:rsidRPr="00C33B87">
        <w:rPr>
          <w:rStyle w:val="Cross-reference"/>
        </w:rPr>
        <w:instrText xml:space="preserve"> REF F5 \h </w:instrText>
      </w:r>
      <w:r w:rsidR="00C33B87">
        <w:rPr>
          <w:rStyle w:val="Cross-reference"/>
        </w:rPr>
        <w:instrText xml:space="preserve"> \* MERGEFORMAT </w:instrText>
      </w:r>
      <w:r w:rsidR="00C33B87" w:rsidRPr="00C33B87">
        <w:rPr>
          <w:rStyle w:val="Cross-reference"/>
        </w:rPr>
      </w:r>
      <w:r w:rsidR="00C33B87" w:rsidRPr="00C33B87">
        <w:rPr>
          <w:rStyle w:val="Cross-reference"/>
        </w:rPr>
        <w:fldChar w:fldCharType="separate"/>
      </w:r>
      <w:r w:rsidR="00C33B87" w:rsidRPr="00C33B87">
        <w:rPr>
          <w:rStyle w:val="Cross-reference"/>
        </w:rPr>
        <w:t>Figure 5</w:t>
      </w:r>
      <w:r w:rsidR="00C33B87" w:rsidRPr="00C33B87">
        <w:rPr>
          <w:rStyle w:val="Cross-reference"/>
        </w:rPr>
        <w:fldChar w:fldCharType="end"/>
      </w:r>
      <w:r>
        <w:t>). This approach was chosen to make it suitable for observing short-term changes in back pain. The score is calculated by adding up the number of items checked, with total scores ranging from zero (no disability) to 24 (maximum disability).</w:t>
      </w:r>
    </w:p>
    <w:p w14:paraId="61FF7D25" w14:textId="77777777" w:rsidR="0060062C" w:rsidRDefault="0060062C" w:rsidP="00B73BD3">
      <w:pPr>
        <w:pStyle w:val="Heading3"/>
      </w:pPr>
      <w:r>
        <w:t xml:space="preserve">Development </w:t>
      </w:r>
    </w:p>
    <w:p w14:paraId="2170E0CA" w14:textId="77777777" w:rsidR="0060062C" w:rsidRDefault="0060062C" w:rsidP="0060062C">
      <w:r>
        <w:t xml:space="preserve">The RMDQ was first published in 1983, and was originally designed and tested for use in primary care settings for low back pain. It has since been used in a variety of other settings (for example, research, healthcare specialists). </w:t>
      </w:r>
    </w:p>
    <w:p w14:paraId="026C71E4" w14:textId="77777777" w:rsidR="0060062C" w:rsidRDefault="0060062C" w:rsidP="0060062C">
      <w:r>
        <w:t>Multiple versions of the RMDQ have been developed; however, the content between the different versions of the RMDQ varies considerably. These deviations make comparisons across studies challenging, with international experts calling for use of the original 24</w:t>
      </w:r>
      <w:r>
        <w:rPr>
          <w:rFonts w:ascii="Cambria Math" w:hAnsi="Cambria Math" w:cs="Cambria Math"/>
        </w:rPr>
        <w:t>‑</w:t>
      </w:r>
      <w:r>
        <w:t>item version because of its widespread use and benefits in standardisation.</w:t>
      </w:r>
      <w:r>
        <w:rPr>
          <w:rStyle w:val="Superscript"/>
        </w:rPr>
        <w:t>41</w:t>
      </w:r>
    </w:p>
    <w:p w14:paraId="1559D667" w14:textId="77777777" w:rsidR="0060062C" w:rsidRDefault="0060062C" w:rsidP="0060062C">
      <w:pPr>
        <w:pStyle w:val="Caption"/>
        <w:rPr>
          <w:rStyle w:val="Designernotes"/>
        </w:rPr>
      </w:pPr>
      <w:bookmarkStart w:id="27" w:name="T4"/>
      <w:r>
        <w:t>Table 4</w:t>
      </w:r>
      <w:bookmarkEnd w:id="27"/>
      <w:r>
        <w:t>: Detailed information about Roland Morris Disability Questionnaire</w:t>
      </w:r>
    </w:p>
    <w:tbl>
      <w:tblPr>
        <w:tblStyle w:val="PROMTable"/>
        <w:tblW w:w="5000" w:type="pct"/>
        <w:tblLook w:val="06A0" w:firstRow="1" w:lastRow="0" w:firstColumn="1" w:lastColumn="0" w:noHBand="1" w:noVBand="1"/>
        <w:tblDescription w:val="Table 4: Detailed information about Roland Morris Disability Questionnaire"/>
      </w:tblPr>
      <w:tblGrid>
        <w:gridCol w:w="2491"/>
        <w:gridCol w:w="6563"/>
      </w:tblGrid>
      <w:tr w:rsidR="0060062C" w14:paraId="0554D3DA" w14:textId="77777777" w:rsidTr="00955B9A">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23" w:type="pct"/>
          </w:tcPr>
          <w:p w14:paraId="3282E518" w14:textId="77777777" w:rsidR="0060062C" w:rsidRDefault="0060062C" w:rsidP="00D51EAE">
            <w:r>
              <w:t>Characteristic</w:t>
            </w:r>
          </w:p>
        </w:tc>
        <w:tc>
          <w:tcPr>
            <w:tcW w:w="3677" w:type="pct"/>
          </w:tcPr>
          <w:p w14:paraId="629B929F" w14:textId="77777777" w:rsidR="0060062C" w:rsidRDefault="0060062C" w:rsidP="00D51EAE">
            <w:pPr>
              <w:cnfStyle w:val="100000000000" w:firstRow="1" w:lastRow="0" w:firstColumn="0" w:lastColumn="0" w:oddVBand="0" w:evenVBand="0" w:oddHBand="0" w:evenHBand="0" w:firstRowFirstColumn="0" w:firstRowLastColumn="0" w:lastRowFirstColumn="0" w:lastRowLastColumn="0"/>
            </w:pPr>
            <w:r>
              <w:t>Details</w:t>
            </w:r>
          </w:p>
        </w:tc>
      </w:tr>
      <w:tr w:rsidR="0060062C" w14:paraId="07953E0E" w14:textId="77777777" w:rsidTr="00955B9A">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22500FDD" w14:textId="77777777" w:rsidR="0060062C" w:rsidRDefault="0060062C" w:rsidP="00D51EAE">
            <w:r>
              <w:t>Name</w:t>
            </w:r>
          </w:p>
        </w:tc>
        <w:tc>
          <w:tcPr>
            <w:tcW w:w="3677" w:type="pct"/>
          </w:tcPr>
          <w:p w14:paraId="747D5791"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Roland Morris Disability Questionnaire</w:t>
            </w:r>
          </w:p>
        </w:tc>
      </w:tr>
      <w:tr w:rsidR="0060062C" w14:paraId="511D7A68" w14:textId="77777777" w:rsidTr="00955B9A">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037A539D" w14:textId="77777777" w:rsidR="0060062C" w:rsidRDefault="0060062C" w:rsidP="00D51EAE">
            <w:r>
              <w:t>Abbreviation</w:t>
            </w:r>
          </w:p>
        </w:tc>
        <w:tc>
          <w:tcPr>
            <w:tcW w:w="3677" w:type="pct"/>
          </w:tcPr>
          <w:p w14:paraId="06E66E2D"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RMDQ</w:t>
            </w:r>
          </w:p>
        </w:tc>
      </w:tr>
      <w:tr w:rsidR="0060062C" w14:paraId="0DB3CD16" w14:textId="77777777" w:rsidTr="00955B9A">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72EDBB40" w14:textId="77777777" w:rsidR="0060062C" w:rsidRDefault="0060062C" w:rsidP="00D51EAE">
            <w:r>
              <w:t>Country developed</w:t>
            </w:r>
          </w:p>
        </w:tc>
        <w:tc>
          <w:tcPr>
            <w:tcW w:w="3677" w:type="pct"/>
          </w:tcPr>
          <w:p w14:paraId="25356D6E"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United Kingdom</w:t>
            </w:r>
          </w:p>
        </w:tc>
      </w:tr>
      <w:tr w:rsidR="0060062C" w14:paraId="5013125C" w14:textId="77777777" w:rsidTr="00955B9A">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45CF7A57" w14:textId="77777777" w:rsidR="0060062C" w:rsidRDefault="0060062C" w:rsidP="00D51EAE">
            <w:r>
              <w:t>Year validated</w:t>
            </w:r>
          </w:p>
        </w:tc>
        <w:tc>
          <w:tcPr>
            <w:tcW w:w="3677" w:type="pct"/>
          </w:tcPr>
          <w:p w14:paraId="43954208"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1983</w:t>
            </w:r>
          </w:p>
        </w:tc>
      </w:tr>
      <w:tr w:rsidR="0060062C" w14:paraId="467324C2" w14:textId="77777777" w:rsidTr="00955B9A">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06B42B04" w14:textId="77777777" w:rsidR="0060062C" w:rsidRDefault="0060062C" w:rsidP="00D51EAE">
            <w:r>
              <w:t>Short summary</w:t>
            </w:r>
          </w:p>
        </w:tc>
        <w:tc>
          <w:tcPr>
            <w:tcW w:w="3677" w:type="pct"/>
          </w:tcPr>
          <w:p w14:paraId="48E2F8E4"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A short measure of disability, particularly caused by low back pain. It is primarily recommended for mild to moderate disability, and focuses only on physical problems. It is available in a number of forms and uses a checklist format. 24-, 18- and 11-item questionnaires are available.</w:t>
            </w:r>
          </w:p>
        </w:tc>
      </w:tr>
      <w:tr w:rsidR="0060062C" w14:paraId="2DF538D7" w14:textId="77777777" w:rsidTr="00955B9A">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4A560FD3" w14:textId="77777777" w:rsidR="0060062C" w:rsidRDefault="0060062C" w:rsidP="00D51EAE">
            <w:r>
              <w:t>Domains/dimensions</w:t>
            </w:r>
          </w:p>
        </w:tc>
        <w:tc>
          <w:tcPr>
            <w:tcW w:w="3677" w:type="pct"/>
          </w:tcPr>
          <w:p w14:paraId="62A9FA53"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Unidimensional</w:t>
            </w:r>
          </w:p>
        </w:tc>
      </w:tr>
      <w:tr w:rsidR="0060062C" w14:paraId="29F3D5A1" w14:textId="77777777" w:rsidTr="00955B9A">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33925F28" w14:textId="77777777" w:rsidR="0060062C" w:rsidRDefault="0060062C" w:rsidP="00D51EAE">
            <w:r>
              <w:t>Number of items</w:t>
            </w:r>
          </w:p>
        </w:tc>
        <w:tc>
          <w:tcPr>
            <w:tcW w:w="3677" w:type="pct"/>
          </w:tcPr>
          <w:p w14:paraId="11594D36"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24</w:t>
            </w:r>
          </w:p>
        </w:tc>
      </w:tr>
      <w:tr w:rsidR="0060062C" w14:paraId="5CAC1F84" w14:textId="77777777" w:rsidTr="00955B9A">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0A574022" w14:textId="77777777" w:rsidR="0060062C" w:rsidRDefault="0060062C" w:rsidP="00D51EAE">
            <w:r>
              <w:t>Time to complete</w:t>
            </w:r>
          </w:p>
        </w:tc>
        <w:tc>
          <w:tcPr>
            <w:tcW w:w="3677" w:type="pct"/>
          </w:tcPr>
          <w:p w14:paraId="50440622"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5 minutes</w:t>
            </w:r>
          </w:p>
        </w:tc>
      </w:tr>
      <w:tr w:rsidR="0060062C" w14:paraId="556452BB" w14:textId="77777777" w:rsidTr="00955B9A">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5241EAA3" w14:textId="77777777" w:rsidR="0060062C" w:rsidRDefault="0060062C" w:rsidP="00D51EAE">
            <w:r>
              <w:t>Response type and range</w:t>
            </w:r>
          </w:p>
        </w:tc>
        <w:tc>
          <w:tcPr>
            <w:tcW w:w="3677" w:type="pct"/>
          </w:tcPr>
          <w:p w14:paraId="45D34755"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Respondents select from a list only those items that describe current function.</w:t>
            </w:r>
          </w:p>
        </w:tc>
      </w:tr>
      <w:tr w:rsidR="0060062C" w14:paraId="04843BA5" w14:textId="77777777" w:rsidTr="00955B9A">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04C6BB62" w14:textId="77777777" w:rsidR="0060062C" w:rsidRDefault="0060062C" w:rsidP="00D51EAE">
            <w:r>
              <w:t>Scoring guide</w:t>
            </w:r>
          </w:p>
        </w:tc>
        <w:tc>
          <w:tcPr>
            <w:tcW w:w="3677" w:type="pct"/>
          </w:tcPr>
          <w:p w14:paraId="570F6435" w14:textId="77777777" w:rsidR="0060062C" w:rsidRDefault="00000000" w:rsidP="00D51EAE">
            <w:pPr>
              <w:cnfStyle w:val="000000000000" w:firstRow="0" w:lastRow="0" w:firstColumn="0" w:lastColumn="0" w:oddVBand="0" w:evenVBand="0" w:oddHBand="0" w:evenHBand="0" w:firstRowFirstColumn="0" w:firstRowLastColumn="0" w:lastRowFirstColumn="0" w:lastRowLastColumn="0"/>
            </w:pPr>
            <w:hyperlink r:id="rId52" w:history="1">
              <w:r w:rsidR="0060062C">
                <w:rPr>
                  <w:rStyle w:val="Hyperlink"/>
                </w:rPr>
                <w:t>www.rmdq.org</w:t>
              </w:r>
            </w:hyperlink>
          </w:p>
        </w:tc>
      </w:tr>
      <w:tr w:rsidR="0060062C" w14:paraId="4E67F453" w14:textId="77777777" w:rsidTr="00955B9A">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5FF0DC1E" w14:textId="77777777" w:rsidR="0060062C" w:rsidRDefault="0060062C" w:rsidP="00D51EAE">
            <w:r>
              <w:t>Translations</w:t>
            </w:r>
          </w:p>
        </w:tc>
        <w:tc>
          <w:tcPr>
            <w:tcW w:w="3677" w:type="pct"/>
          </w:tcPr>
          <w:p w14:paraId="36394710" w14:textId="77777777" w:rsidR="0060062C" w:rsidRDefault="00000000" w:rsidP="00D51EAE">
            <w:pPr>
              <w:cnfStyle w:val="000000000000" w:firstRow="0" w:lastRow="0" w:firstColumn="0" w:lastColumn="0" w:oddVBand="0" w:evenVBand="0" w:oddHBand="0" w:evenHBand="0" w:firstRowFirstColumn="0" w:firstRowLastColumn="0" w:lastRowFirstColumn="0" w:lastRowLastColumn="0"/>
            </w:pPr>
            <w:hyperlink r:id="rId53" w:history="1">
              <w:r w:rsidR="0060062C">
                <w:rPr>
                  <w:rStyle w:val="Hyperlink"/>
                </w:rPr>
                <w:t>57 translations, including English for Australia</w:t>
              </w:r>
            </w:hyperlink>
          </w:p>
        </w:tc>
      </w:tr>
      <w:tr w:rsidR="0060062C" w14:paraId="6B578C6F" w14:textId="77777777" w:rsidTr="00955B9A">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0514E0E2" w14:textId="77777777" w:rsidR="0060062C" w:rsidRDefault="0060062C" w:rsidP="00D51EAE">
            <w:r>
              <w:t>Licence required</w:t>
            </w:r>
          </w:p>
        </w:tc>
        <w:tc>
          <w:tcPr>
            <w:tcW w:w="3677" w:type="pct"/>
          </w:tcPr>
          <w:p w14:paraId="0D03F195"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No</w:t>
            </w:r>
          </w:p>
        </w:tc>
      </w:tr>
      <w:tr w:rsidR="0060062C" w14:paraId="3341F466" w14:textId="77777777" w:rsidTr="00955B9A">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18B37E14" w14:textId="77777777" w:rsidR="0060062C" w:rsidRDefault="0060062C" w:rsidP="00D51EAE">
            <w:r>
              <w:t>Fees</w:t>
            </w:r>
          </w:p>
        </w:tc>
        <w:tc>
          <w:tcPr>
            <w:tcW w:w="3677" w:type="pct"/>
          </w:tcPr>
          <w:p w14:paraId="38F89391"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No – free in public domain</w:t>
            </w:r>
          </w:p>
        </w:tc>
      </w:tr>
      <w:tr w:rsidR="0060062C" w14:paraId="277081EB" w14:textId="77777777" w:rsidTr="00955B9A">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0449B4EA" w14:textId="77777777" w:rsidR="0060062C" w:rsidRDefault="0060062C" w:rsidP="00D51EAE">
            <w:r>
              <w:lastRenderedPageBreak/>
              <w:t>Distributors | Weblink</w:t>
            </w:r>
          </w:p>
        </w:tc>
        <w:tc>
          <w:tcPr>
            <w:tcW w:w="3677" w:type="pct"/>
          </w:tcPr>
          <w:p w14:paraId="1AAE2FE7" w14:textId="77777777" w:rsidR="0060062C" w:rsidRDefault="00000000" w:rsidP="00D51EAE">
            <w:pPr>
              <w:cnfStyle w:val="000000000000" w:firstRow="0" w:lastRow="0" w:firstColumn="0" w:lastColumn="0" w:oddVBand="0" w:evenVBand="0" w:oddHBand="0" w:evenHBand="0" w:firstRowFirstColumn="0" w:firstRowLastColumn="0" w:lastRowFirstColumn="0" w:lastRowLastColumn="0"/>
            </w:pPr>
            <w:hyperlink r:id="rId54" w:history="1">
              <w:r w:rsidR="0060062C">
                <w:rPr>
                  <w:rStyle w:val="Hyperlink"/>
                </w:rPr>
                <w:t>www.rmdq.org</w:t>
              </w:r>
            </w:hyperlink>
          </w:p>
        </w:tc>
      </w:tr>
      <w:tr w:rsidR="0060062C" w14:paraId="78808976" w14:textId="77777777" w:rsidTr="00955B9A">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2234D569" w14:textId="77777777" w:rsidR="0060062C" w:rsidRDefault="0060062C" w:rsidP="00D51EAE">
            <w:r>
              <w:t>Copyright</w:t>
            </w:r>
          </w:p>
        </w:tc>
        <w:tc>
          <w:tcPr>
            <w:tcW w:w="3677" w:type="pct"/>
          </w:tcPr>
          <w:p w14:paraId="5FEBEA18"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Available in public domain and can be used without permission</w:t>
            </w:r>
          </w:p>
        </w:tc>
      </w:tr>
      <w:tr w:rsidR="0060062C" w14:paraId="69CA82E9" w14:textId="77777777" w:rsidTr="00955B9A">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76265F89" w14:textId="77777777" w:rsidR="0060062C" w:rsidRDefault="0060062C" w:rsidP="00D51EAE">
            <w:r>
              <w:t>Author(s)</w:t>
            </w:r>
          </w:p>
        </w:tc>
        <w:tc>
          <w:tcPr>
            <w:tcW w:w="3677" w:type="pct"/>
          </w:tcPr>
          <w:p w14:paraId="392C0BB9"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Morris R and Roland MO</w:t>
            </w:r>
          </w:p>
        </w:tc>
      </w:tr>
      <w:tr w:rsidR="0060062C" w14:paraId="2C0E6DF6" w14:textId="77777777" w:rsidTr="00955B9A">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190D0228" w14:textId="77777777" w:rsidR="0060062C" w:rsidRDefault="0060062C" w:rsidP="00D51EAE">
            <w:r>
              <w:t>References to the original papers</w:t>
            </w:r>
          </w:p>
        </w:tc>
        <w:tc>
          <w:tcPr>
            <w:tcW w:w="3677" w:type="pct"/>
          </w:tcPr>
          <w:p w14:paraId="23188662" w14:textId="77777777" w:rsidR="0060062C" w:rsidRDefault="0060062C" w:rsidP="00955B9A">
            <w:pPr>
              <w:pStyle w:val="ListParagraph"/>
              <w:cnfStyle w:val="000000000000" w:firstRow="0" w:lastRow="0" w:firstColumn="0" w:lastColumn="0" w:oddVBand="0" w:evenVBand="0" w:oddHBand="0" w:evenHBand="0" w:firstRowFirstColumn="0" w:firstRowLastColumn="0" w:lastRowFirstColumn="0" w:lastRowLastColumn="0"/>
            </w:pPr>
            <w:r>
              <w:t>Roland M, Morris R. A study of the natural history of back pain. Part I: Development of a reliable and sensitive measure of disability in low</w:t>
            </w:r>
            <w:r w:rsidRPr="00955B9A">
              <w:rPr>
                <w:rFonts w:ascii="Cambria Math" w:hAnsi="Cambria Math" w:cs="Cambria Math"/>
              </w:rPr>
              <w:t>‑</w:t>
            </w:r>
            <w:r>
              <w:t>back pain. Spine 1983;8(2):141–4.</w:t>
            </w:r>
          </w:p>
          <w:p w14:paraId="7EE82CDF" w14:textId="77777777" w:rsidR="0060062C" w:rsidRDefault="0060062C" w:rsidP="00955B9A">
            <w:pPr>
              <w:pStyle w:val="ListParagraph"/>
              <w:cnfStyle w:val="000000000000" w:firstRow="0" w:lastRow="0" w:firstColumn="0" w:lastColumn="0" w:oddVBand="0" w:evenVBand="0" w:oddHBand="0" w:evenHBand="0" w:firstRowFirstColumn="0" w:firstRowLastColumn="0" w:lastRowFirstColumn="0" w:lastRowLastColumn="0"/>
            </w:pPr>
            <w:r>
              <w:t xml:space="preserve">Roland M, Fairbank JC. The Roland–Morris disability questionnaire and the Oswestry disability questionnaire. Spine 2000;25(24):3115–24. </w:t>
            </w:r>
          </w:p>
        </w:tc>
      </w:tr>
    </w:tbl>
    <w:p w14:paraId="409D2F17" w14:textId="77777777" w:rsidR="0060062C" w:rsidRDefault="0060062C" w:rsidP="0060062C"/>
    <w:p w14:paraId="69244C16" w14:textId="77777777" w:rsidR="0060062C" w:rsidRDefault="0060062C" w:rsidP="0060062C">
      <w:pPr>
        <w:pStyle w:val="Caption"/>
      </w:pPr>
      <w:bookmarkStart w:id="28" w:name="F5"/>
      <w:r>
        <w:lastRenderedPageBreak/>
        <w:t>Figure 5</w:t>
      </w:r>
      <w:bookmarkEnd w:id="28"/>
      <w:r>
        <w:t>: Roland Morris Disability Questionnaire</w:t>
      </w:r>
    </w:p>
    <w:p w14:paraId="3087D3D1" w14:textId="0BBDC5AC" w:rsidR="0060062C" w:rsidRPr="0071609E" w:rsidRDefault="0071609E" w:rsidP="0071609E">
      <w:r w:rsidRPr="0071609E">
        <w:rPr>
          <w:noProof/>
        </w:rPr>
        <w:drawing>
          <wp:inline distT="0" distB="0" distL="0" distR="0" wp14:anchorId="0A551993" wp14:editId="42E9E4EB">
            <wp:extent cx="5755640" cy="8284055"/>
            <wp:effectExtent l="0" t="0" r="0" b="0"/>
            <wp:docPr id="562365842" name="Picture 1" descr="Figure 5: Roland Morris Disability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65842" name="Picture 1" descr="Figure 5: Roland Morris Disability Questionnaire"/>
                    <pic:cNvPicPr/>
                  </pic:nvPicPr>
                  <pic:blipFill>
                    <a:blip r:embed="rId55">
                      <a:extLst>
                        <a:ext uri="{28A0092B-C50C-407E-A947-70E740481C1C}">
                          <a14:useLocalDpi xmlns:a14="http://schemas.microsoft.com/office/drawing/2010/main" val="0"/>
                        </a:ext>
                      </a:extLst>
                    </a:blip>
                    <a:stretch>
                      <a:fillRect/>
                    </a:stretch>
                  </pic:blipFill>
                  <pic:spPr>
                    <a:xfrm>
                      <a:off x="0" y="0"/>
                      <a:ext cx="5755640" cy="8284055"/>
                    </a:xfrm>
                    <a:prstGeom prst="rect">
                      <a:avLst/>
                    </a:prstGeom>
                  </pic:spPr>
                </pic:pic>
              </a:graphicData>
            </a:graphic>
          </wp:inline>
        </w:drawing>
      </w:r>
    </w:p>
    <w:p w14:paraId="65D5BB03" w14:textId="77777777" w:rsidR="0060062C" w:rsidRDefault="0060062C" w:rsidP="00B73BD3">
      <w:pPr>
        <w:pStyle w:val="Heading2"/>
      </w:pPr>
      <w:r>
        <w:lastRenderedPageBreak/>
        <w:t>Depression Anxiety Stress Scale – 21 items (DASS</w:t>
      </w:r>
      <w:r>
        <w:rPr>
          <w:rFonts w:ascii="Cambria Math" w:hAnsi="Cambria Math" w:cs="Cambria Math"/>
        </w:rPr>
        <w:t>‑</w:t>
      </w:r>
      <w:r>
        <w:t>21)</w:t>
      </w:r>
    </w:p>
    <w:p w14:paraId="537443DF" w14:textId="77777777" w:rsidR="0060062C" w:rsidRDefault="0060062C" w:rsidP="00B73BD3">
      <w:pPr>
        <w:pStyle w:val="Heading3"/>
      </w:pPr>
      <w:r>
        <w:t>PROM description</w:t>
      </w:r>
    </w:p>
    <w:p w14:paraId="2E5C9D6D" w14:textId="1407A1D4" w:rsidR="0060062C" w:rsidRDefault="0060062C" w:rsidP="0060062C">
      <w:r>
        <w:t>The DASS</w:t>
      </w:r>
      <w:r>
        <w:rPr>
          <w:rFonts w:ascii="Cambria Math" w:hAnsi="Cambria Math" w:cs="Cambria Math"/>
        </w:rPr>
        <w:t>‑</w:t>
      </w:r>
      <w:r>
        <w:t xml:space="preserve">21 (detailed in </w:t>
      </w:r>
      <w:r w:rsidR="00C33B87" w:rsidRPr="00C33B87">
        <w:rPr>
          <w:rStyle w:val="Cross-reference"/>
        </w:rPr>
        <w:fldChar w:fldCharType="begin"/>
      </w:r>
      <w:r w:rsidR="00C33B87" w:rsidRPr="00C33B87">
        <w:rPr>
          <w:rStyle w:val="Cross-reference"/>
        </w:rPr>
        <w:instrText xml:space="preserve"> REF T5 \h </w:instrText>
      </w:r>
      <w:r w:rsidR="00C33B87">
        <w:rPr>
          <w:rStyle w:val="Cross-reference"/>
        </w:rPr>
        <w:instrText xml:space="preserve"> \* MERGEFORMAT </w:instrText>
      </w:r>
      <w:r w:rsidR="00C33B87" w:rsidRPr="00C33B87">
        <w:rPr>
          <w:rStyle w:val="Cross-reference"/>
        </w:rPr>
      </w:r>
      <w:r w:rsidR="00C33B87" w:rsidRPr="00C33B87">
        <w:rPr>
          <w:rStyle w:val="Cross-reference"/>
        </w:rPr>
        <w:fldChar w:fldCharType="separate"/>
      </w:r>
      <w:r w:rsidR="00C33B87" w:rsidRPr="00C33B87">
        <w:rPr>
          <w:rStyle w:val="Cross-reference"/>
        </w:rPr>
        <w:t>Table 5</w:t>
      </w:r>
      <w:r w:rsidR="00C33B87" w:rsidRPr="00C33B87">
        <w:rPr>
          <w:rStyle w:val="Cross-reference"/>
        </w:rPr>
        <w:fldChar w:fldCharType="end"/>
      </w:r>
      <w:r>
        <w:t>) is a measure of negative emotional states of depression, anxiety and stress (</w:t>
      </w:r>
      <w:r w:rsidR="00C33B87" w:rsidRPr="00C33B87">
        <w:rPr>
          <w:rStyle w:val="Cross-reference"/>
        </w:rPr>
        <w:fldChar w:fldCharType="begin"/>
      </w:r>
      <w:r w:rsidR="00C33B87" w:rsidRPr="00C33B87">
        <w:rPr>
          <w:rStyle w:val="Cross-reference"/>
        </w:rPr>
        <w:instrText xml:space="preserve"> REF F6 \h </w:instrText>
      </w:r>
      <w:r w:rsidR="00C33B87">
        <w:rPr>
          <w:rStyle w:val="Cross-reference"/>
        </w:rPr>
        <w:instrText xml:space="preserve"> \* MERGEFORMAT </w:instrText>
      </w:r>
      <w:r w:rsidR="00C33B87" w:rsidRPr="00C33B87">
        <w:rPr>
          <w:rStyle w:val="Cross-reference"/>
        </w:rPr>
      </w:r>
      <w:r w:rsidR="00C33B87" w:rsidRPr="00C33B87">
        <w:rPr>
          <w:rStyle w:val="Cross-reference"/>
        </w:rPr>
        <w:fldChar w:fldCharType="separate"/>
      </w:r>
      <w:r w:rsidR="00C33B87" w:rsidRPr="00C33B87">
        <w:rPr>
          <w:rStyle w:val="Cross-reference"/>
        </w:rPr>
        <w:t>Figure 6</w:t>
      </w:r>
      <w:r w:rsidR="00C33B87" w:rsidRPr="00C33B87">
        <w:rPr>
          <w:rStyle w:val="Cross-reference"/>
        </w:rPr>
        <w:fldChar w:fldCharType="end"/>
      </w:r>
      <w:r>
        <w:t>). The patient indicates the presence of a symptom over the previous week. Each item is scored from 0 (did not apply to me at all over the last week) to 3 (applied to me very much or most of the time over the past week). The essential function of the DASS</w:t>
      </w:r>
      <w:r>
        <w:rPr>
          <w:rFonts w:ascii="Cambria Math" w:hAnsi="Cambria Math" w:cs="Cambria Math"/>
        </w:rPr>
        <w:t>‑</w:t>
      </w:r>
      <w:r>
        <w:t xml:space="preserve">21 is to assess the severity of the core symptoms of depression, anxiety and stress. </w:t>
      </w:r>
    </w:p>
    <w:p w14:paraId="32102927" w14:textId="77777777" w:rsidR="0060062C" w:rsidRDefault="0060062C" w:rsidP="0060062C">
      <w:r>
        <w:t>Although the DASS may contribute to the diagnosis of anxiety or depression, it is not designed as a diagnostic tool. Indeed, symptoms typical of depression, such as sleep, appetite and sexual disturbances, are not covered by the DASS and will need to be assessed independently. The DASS is not meant to replace a comprehensive clinical interview.</w:t>
      </w:r>
    </w:p>
    <w:p w14:paraId="31078CBE" w14:textId="77777777" w:rsidR="0060062C" w:rsidRDefault="0060062C" w:rsidP="00B73BD3">
      <w:pPr>
        <w:pStyle w:val="Heading3"/>
      </w:pPr>
      <w:r>
        <w:t xml:space="preserve">Development </w:t>
      </w:r>
    </w:p>
    <w:p w14:paraId="09AF2B1F" w14:textId="77777777" w:rsidR="0060062C" w:rsidRDefault="0060062C" w:rsidP="0060062C">
      <w:r>
        <w:t>The DASS was developed in 1995 by Lovibond and Lovibond, who identified a broad range of core symptoms of depression and anxiety, and identified stress as a separate factor with a different range of core symptoms. Based on these findings, Lovibond and Lovibond developed the DASS to assess the core symptoms of depression, anxiety and stress, and a brief 21</w:t>
      </w:r>
      <w:r>
        <w:rPr>
          <w:rFonts w:ascii="Cambria Math" w:hAnsi="Cambria Math" w:cs="Cambria Math"/>
        </w:rPr>
        <w:t>‑</w:t>
      </w:r>
      <w:r>
        <w:t>item version, the DASS</w:t>
      </w:r>
      <w:r>
        <w:rPr>
          <w:rFonts w:ascii="Cambria Math" w:hAnsi="Cambria Math" w:cs="Cambria Math"/>
        </w:rPr>
        <w:t>‑</w:t>
      </w:r>
      <w:r>
        <w:t>21.</w:t>
      </w:r>
      <w:r>
        <w:rPr>
          <w:rStyle w:val="Superscript"/>
        </w:rPr>
        <w:t>42</w:t>
      </w:r>
    </w:p>
    <w:p w14:paraId="2015EC6D" w14:textId="77777777" w:rsidR="0060062C" w:rsidRDefault="0060062C" w:rsidP="0060062C">
      <w:pPr>
        <w:pStyle w:val="Caption"/>
        <w:rPr>
          <w:rStyle w:val="Designernotes"/>
        </w:rPr>
      </w:pPr>
      <w:bookmarkStart w:id="29" w:name="T5"/>
      <w:r>
        <w:t>Table 5</w:t>
      </w:r>
      <w:bookmarkEnd w:id="29"/>
      <w:r>
        <w:t>: Detailed information about Depression Anxiety Stress Scale – 21 items</w:t>
      </w:r>
    </w:p>
    <w:tbl>
      <w:tblPr>
        <w:tblStyle w:val="PROMTable"/>
        <w:tblW w:w="5000" w:type="pct"/>
        <w:tblLook w:val="0620" w:firstRow="1" w:lastRow="0" w:firstColumn="0" w:lastColumn="0" w:noHBand="1" w:noVBand="1"/>
        <w:tblDescription w:val="Table 5: Detailed information about Depression Anxiety Stress Scale – 21 items"/>
      </w:tblPr>
      <w:tblGrid>
        <w:gridCol w:w="2396"/>
        <w:gridCol w:w="6658"/>
      </w:tblGrid>
      <w:tr w:rsidR="0060062C" w14:paraId="3AEA6BAD" w14:textId="77777777" w:rsidTr="00B27F44">
        <w:trPr>
          <w:cnfStyle w:val="100000000000" w:firstRow="1" w:lastRow="0" w:firstColumn="0" w:lastColumn="0" w:oddVBand="0" w:evenVBand="0" w:oddHBand="0" w:evenHBand="0" w:firstRowFirstColumn="0" w:firstRowLastColumn="0" w:lastRowFirstColumn="0" w:lastRowLastColumn="0"/>
          <w:trHeight w:val="60"/>
        </w:trPr>
        <w:tc>
          <w:tcPr>
            <w:tcW w:w="1323" w:type="pct"/>
          </w:tcPr>
          <w:p w14:paraId="041BD2DD" w14:textId="77777777" w:rsidR="0060062C" w:rsidRDefault="0060062C" w:rsidP="00D51EAE">
            <w:r>
              <w:t>Characteristic</w:t>
            </w:r>
          </w:p>
        </w:tc>
        <w:tc>
          <w:tcPr>
            <w:tcW w:w="3677" w:type="pct"/>
          </w:tcPr>
          <w:p w14:paraId="3A7523C7" w14:textId="77777777" w:rsidR="0060062C" w:rsidRDefault="0060062C" w:rsidP="00D51EAE">
            <w:r>
              <w:t>Details</w:t>
            </w:r>
          </w:p>
        </w:tc>
      </w:tr>
      <w:tr w:rsidR="0060062C" w14:paraId="5F357261" w14:textId="77777777" w:rsidTr="00B27F44">
        <w:trPr>
          <w:trHeight w:val="60"/>
        </w:trPr>
        <w:tc>
          <w:tcPr>
            <w:tcW w:w="1323" w:type="pct"/>
          </w:tcPr>
          <w:p w14:paraId="4E319248" w14:textId="77777777" w:rsidR="0060062C" w:rsidRDefault="0060062C" w:rsidP="00D51EAE">
            <w:r>
              <w:t>Name</w:t>
            </w:r>
          </w:p>
        </w:tc>
        <w:tc>
          <w:tcPr>
            <w:tcW w:w="3677" w:type="pct"/>
          </w:tcPr>
          <w:p w14:paraId="5EC5A41A" w14:textId="77777777" w:rsidR="0060062C" w:rsidRDefault="0060062C" w:rsidP="00D51EAE">
            <w:r>
              <w:t>Depression Anxiety Stress Scale – 21 items</w:t>
            </w:r>
          </w:p>
        </w:tc>
      </w:tr>
      <w:tr w:rsidR="0060062C" w14:paraId="4529E82D" w14:textId="77777777" w:rsidTr="00B27F44">
        <w:trPr>
          <w:trHeight w:val="60"/>
        </w:trPr>
        <w:tc>
          <w:tcPr>
            <w:tcW w:w="1323" w:type="pct"/>
          </w:tcPr>
          <w:p w14:paraId="2071D386" w14:textId="77777777" w:rsidR="0060062C" w:rsidRDefault="0060062C" w:rsidP="00D51EAE">
            <w:r>
              <w:t>Abbreviation</w:t>
            </w:r>
          </w:p>
        </w:tc>
        <w:tc>
          <w:tcPr>
            <w:tcW w:w="3677" w:type="pct"/>
          </w:tcPr>
          <w:p w14:paraId="49CC7ED1" w14:textId="77777777" w:rsidR="0060062C" w:rsidRDefault="0060062C" w:rsidP="00D51EAE">
            <w:r>
              <w:t>DASS</w:t>
            </w:r>
            <w:r>
              <w:rPr>
                <w:rFonts w:ascii="Cambria Math" w:hAnsi="Cambria Math" w:cs="Cambria Math"/>
              </w:rPr>
              <w:t>‑</w:t>
            </w:r>
            <w:r>
              <w:t>21</w:t>
            </w:r>
          </w:p>
        </w:tc>
      </w:tr>
      <w:tr w:rsidR="0060062C" w14:paraId="4343FA8D" w14:textId="77777777" w:rsidTr="00B27F44">
        <w:trPr>
          <w:trHeight w:val="60"/>
        </w:trPr>
        <w:tc>
          <w:tcPr>
            <w:tcW w:w="1323" w:type="pct"/>
          </w:tcPr>
          <w:p w14:paraId="73BCCE6D" w14:textId="77777777" w:rsidR="0060062C" w:rsidRDefault="0060062C" w:rsidP="00D51EAE">
            <w:r>
              <w:t>Country developed</w:t>
            </w:r>
          </w:p>
        </w:tc>
        <w:tc>
          <w:tcPr>
            <w:tcW w:w="3677" w:type="pct"/>
          </w:tcPr>
          <w:p w14:paraId="2D4821C3" w14:textId="77777777" w:rsidR="0060062C" w:rsidRDefault="0060062C" w:rsidP="00D51EAE">
            <w:r>
              <w:t>Australia</w:t>
            </w:r>
          </w:p>
        </w:tc>
      </w:tr>
      <w:tr w:rsidR="0060062C" w14:paraId="451B20D2" w14:textId="77777777" w:rsidTr="00B27F44">
        <w:trPr>
          <w:trHeight w:val="60"/>
        </w:trPr>
        <w:tc>
          <w:tcPr>
            <w:tcW w:w="1323" w:type="pct"/>
          </w:tcPr>
          <w:p w14:paraId="21EFBC5B" w14:textId="77777777" w:rsidR="0060062C" w:rsidRDefault="0060062C" w:rsidP="00D51EAE">
            <w:r>
              <w:t>Year validated</w:t>
            </w:r>
          </w:p>
        </w:tc>
        <w:tc>
          <w:tcPr>
            <w:tcW w:w="3677" w:type="pct"/>
          </w:tcPr>
          <w:p w14:paraId="0519AD54" w14:textId="77777777" w:rsidR="0060062C" w:rsidRDefault="0060062C" w:rsidP="00D51EAE">
            <w:r>
              <w:t>1995</w:t>
            </w:r>
          </w:p>
        </w:tc>
      </w:tr>
      <w:tr w:rsidR="0060062C" w14:paraId="42C044AE" w14:textId="77777777" w:rsidTr="00B27F44">
        <w:trPr>
          <w:trHeight w:val="60"/>
        </w:trPr>
        <w:tc>
          <w:tcPr>
            <w:tcW w:w="1323" w:type="pct"/>
          </w:tcPr>
          <w:p w14:paraId="3CC6DFB2" w14:textId="77777777" w:rsidR="0060062C" w:rsidRDefault="0060062C" w:rsidP="00D51EAE">
            <w:r>
              <w:t>Short summary</w:t>
            </w:r>
          </w:p>
        </w:tc>
        <w:tc>
          <w:tcPr>
            <w:tcW w:w="3677" w:type="pct"/>
          </w:tcPr>
          <w:p w14:paraId="34808D7A" w14:textId="77777777" w:rsidR="0060062C" w:rsidRDefault="0060062C" w:rsidP="00D51EAE">
            <w:r>
              <w:t>A 21-item measure to assess the negative emotional states of depression, anxiety and stress. The DASS</w:t>
            </w:r>
            <w:r>
              <w:rPr>
                <w:rFonts w:ascii="Cambria Math" w:hAnsi="Cambria Math" w:cs="Cambria Math"/>
              </w:rPr>
              <w:t>‑</w:t>
            </w:r>
            <w:r>
              <w:t>21 is a shorter version of the DASS-42.</w:t>
            </w:r>
          </w:p>
        </w:tc>
      </w:tr>
      <w:tr w:rsidR="0060062C" w14:paraId="1C840E93" w14:textId="77777777" w:rsidTr="00B27F44">
        <w:trPr>
          <w:trHeight w:val="60"/>
        </w:trPr>
        <w:tc>
          <w:tcPr>
            <w:tcW w:w="1323" w:type="pct"/>
          </w:tcPr>
          <w:p w14:paraId="6517AC5D" w14:textId="77777777" w:rsidR="0060062C" w:rsidRDefault="0060062C" w:rsidP="00D51EAE">
            <w:r>
              <w:t>Domains/dimensions</w:t>
            </w:r>
          </w:p>
        </w:tc>
        <w:tc>
          <w:tcPr>
            <w:tcW w:w="3677" w:type="pct"/>
          </w:tcPr>
          <w:p w14:paraId="583C4DDD" w14:textId="77777777" w:rsidR="0060062C" w:rsidRDefault="0060062C" w:rsidP="00D51EAE">
            <w:r>
              <w:t>3: Depression, anxiety, tension/stress</w:t>
            </w:r>
          </w:p>
        </w:tc>
      </w:tr>
      <w:tr w:rsidR="0060062C" w14:paraId="46A910EA" w14:textId="77777777" w:rsidTr="00B27F44">
        <w:trPr>
          <w:trHeight w:val="60"/>
        </w:trPr>
        <w:tc>
          <w:tcPr>
            <w:tcW w:w="1323" w:type="pct"/>
          </w:tcPr>
          <w:p w14:paraId="112FD77A" w14:textId="77777777" w:rsidR="0060062C" w:rsidRDefault="0060062C" w:rsidP="00D51EAE">
            <w:r>
              <w:t>Number of items</w:t>
            </w:r>
          </w:p>
        </w:tc>
        <w:tc>
          <w:tcPr>
            <w:tcW w:w="3677" w:type="pct"/>
          </w:tcPr>
          <w:p w14:paraId="736A0E07" w14:textId="77777777" w:rsidR="0060062C" w:rsidRDefault="0060062C" w:rsidP="00D51EAE">
            <w:r>
              <w:t>21</w:t>
            </w:r>
          </w:p>
        </w:tc>
      </w:tr>
      <w:tr w:rsidR="0060062C" w14:paraId="4F60FAF6" w14:textId="77777777" w:rsidTr="00B27F44">
        <w:trPr>
          <w:trHeight w:val="60"/>
        </w:trPr>
        <w:tc>
          <w:tcPr>
            <w:tcW w:w="1323" w:type="pct"/>
          </w:tcPr>
          <w:p w14:paraId="5EFAA9E9" w14:textId="77777777" w:rsidR="0060062C" w:rsidRDefault="0060062C" w:rsidP="00D51EAE">
            <w:r>
              <w:t>Time to complete</w:t>
            </w:r>
          </w:p>
        </w:tc>
        <w:tc>
          <w:tcPr>
            <w:tcW w:w="3677" w:type="pct"/>
          </w:tcPr>
          <w:p w14:paraId="515545BB" w14:textId="77777777" w:rsidR="0060062C" w:rsidRDefault="0060062C" w:rsidP="00D51EAE">
            <w:r>
              <w:t>Not assessed in any study</w:t>
            </w:r>
          </w:p>
        </w:tc>
      </w:tr>
      <w:tr w:rsidR="0060062C" w14:paraId="1AE93B0C" w14:textId="77777777" w:rsidTr="00B27F44">
        <w:trPr>
          <w:trHeight w:val="60"/>
        </w:trPr>
        <w:tc>
          <w:tcPr>
            <w:tcW w:w="1323" w:type="pct"/>
          </w:tcPr>
          <w:p w14:paraId="56889C03" w14:textId="77777777" w:rsidR="0060062C" w:rsidRDefault="0060062C" w:rsidP="00D51EAE">
            <w:r>
              <w:t>Response type and range</w:t>
            </w:r>
          </w:p>
        </w:tc>
        <w:tc>
          <w:tcPr>
            <w:tcW w:w="3677" w:type="pct"/>
          </w:tcPr>
          <w:p w14:paraId="51D60777" w14:textId="77777777" w:rsidR="0060062C" w:rsidRDefault="0060062C" w:rsidP="00D51EAE">
            <w:r>
              <w:t>Four-point Likert scale, from 0 (did not apply to me) to 3 (applied to me very much or most of the time)</w:t>
            </w:r>
          </w:p>
        </w:tc>
      </w:tr>
      <w:tr w:rsidR="0060062C" w14:paraId="71CF8096" w14:textId="77777777" w:rsidTr="00B27F44">
        <w:trPr>
          <w:trHeight w:val="60"/>
        </w:trPr>
        <w:tc>
          <w:tcPr>
            <w:tcW w:w="1323" w:type="pct"/>
          </w:tcPr>
          <w:p w14:paraId="008AF489" w14:textId="77777777" w:rsidR="0060062C" w:rsidRDefault="0060062C" w:rsidP="00D51EAE">
            <w:r>
              <w:t>Scoring guide</w:t>
            </w:r>
          </w:p>
        </w:tc>
        <w:tc>
          <w:tcPr>
            <w:tcW w:w="3677" w:type="pct"/>
          </w:tcPr>
          <w:p w14:paraId="6DD3CF95" w14:textId="77777777" w:rsidR="0060062C" w:rsidRDefault="0060062C" w:rsidP="00D51EAE">
            <w:r>
              <w:t xml:space="preserve">Scoring key provided at </w:t>
            </w:r>
            <w:hyperlink r:id="rId56" w:history="1">
              <w:r>
                <w:rPr>
                  <w:rStyle w:val="Hyperlink"/>
                </w:rPr>
                <w:t>DASS downloads</w:t>
              </w:r>
            </w:hyperlink>
            <w:r>
              <w:t xml:space="preserve"> and explained in </w:t>
            </w:r>
            <w:hyperlink r:id="rId57" w:history="1">
              <w:r>
                <w:rPr>
                  <w:rStyle w:val="Hyperlink"/>
                </w:rPr>
                <w:t>DASS FAQ #30</w:t>
              </w:r>
            </w:hyperlink>
          </w:p>
        </w:tc>
      </w:tr>
      <w:tr w:rsidR="0060062C" w14:paraId="53D512EF" w14:textId="77777777" w:rsidTr="00B27F44">
        <w:trPr>
          <w:trHeight w:val="60"/>
        </w:trPr>
        <w:tc>
          <w:tcPr>
            <w:tcW w:w="1323" w:type="pct"/>
          </w:tcPr>
          <w:p w14:paraId="4084F0CE" w14:textId="77777777" w:rsidR="0060062C" w:rsidRDefault="0060062C" w:rsidP="00D51EAE">
            <w:r>
              <w:t>Translations</w:t>
            </w:r>
          </w:p>
        </w:tc>
        <w:tc>
          <w:tcPr>
            <w:tcW w:w="3677" w:type="pct"/>
          </w:tcPr>
          <w:p w14:paraId="4716E17B" w14:textId="77777777" w:rsidR="0060062C" w:rsidRDefault="00000000" w:rsidP="00D51EAE">
            <w:hyperlink r:id="rId58" w:history="1">
              <w:r w:rsidR="0060062C">
                <w:rPr>
                  <w:rStyle w:val="Hyperlink"/>
                </w:rPr>
                <w:t>57 translations</w:t>
              </w:r>
            </w:hyperlink>
          </w:p>
        </w:tc>
      </w:tr>
      <w:tr w:rsidR="0060062C" w14:paraId="09751B84" w14:textId="77777777" w:rsidTr="00B27F44">
        <w:trPr>
          <w:trHeight w:val="60"/>
        </w:trPr>
        <w:tc>
          <w:tcPr>
            <w:tcW w:w="1323" w:type="pct"/>
          </w:tcPr>
          <w:p w14:paraId="30444034" w14:textId="77777777" w:rsidR="0060062C" w:rsidRDefault="0060062C" w:rsidP="00D51EAE">
            <w:r>
              <w:lastRenderedPageBreak/>
              <w:t>Licence required</w:t>
            </w:r>
          </w:p>
        </w:tc>
        <w:tc>
          <w:tcPr>
            <w:tcW w:w="3677" w:type="pct"/>
          </w:tcPr>
          <w:p w14:paraId="455FDB83" w14:textId="77777777" w:rsidR="0060062C" w:rsidRDefault="0060062C" w:rsidP="00D51EAE">
            <w:r>
              <w:t>No</w:t>
            </w:r>
          </w:p>
        </w:tc>
      </w:tr>
      <w:tr w:rsidR="0060062C" w14:paraId="263DCE0E" w14:textId="77777777" w:rsidTr="00B27F44">
        <w:trPr>
          <w:trHeight w:val="60"/>
        </w:trPr>
        <w:tc>
          <w:tcPr>
            <w:tcW w:w="1323" w:type="pct"/>
          </w:tcPr>
          <w:p w14:paraId="6CAD5225" w14:textId="77777777" w:rsidR="0060062C" w:rsidRDefault="0060062C" w:rsidP="00D51EAE">
            <w:r>
              <w:t>Fees</w:t>
            </w:r>
          </w:p>
        </w:tc>
        <w:tc>
          <w:tcPr>
            <w:tcW w:w="3677" w:type="pct"/>
          </w:tcPr>
          <w:p w14:paraId="50354250" w14:textId="77777777" w:rsidR="0060062C" w:rsidRDefault="0060062C" w:rsidP="00D51EAE">
            <w:r>
              <w:t>No – free in public domain</w:t>
            </w:r>
          </w:p>
        </w:tc>
      </w:tr>
      <w:tr w:rsidR="0060062C" w14:paraId="65A7E068" w14:textId="77777777" w:rsidTr="00B27F44">
        <w:trPr>
          <w:trHeight w:val="60"/>
        </w:trPr>
        <w:tc>
          <w:tcPr>
            <w:tcW w:w="1323" w:type="pct"/>
          </w:tcPr>
          <w:p w14:paraId="2C16C481" w14:textId="77777777" w:rsidR="0060062C" w:rsidRDefault="0060062C" w:rsidP="00D51EAE">
            <w:r>
              <w:t>Distributors | Weblink</w:t>
            </w:r>
          </w:p>
        </w:tc>
        <w:tc>
          <w:tcPr>
            <w:tcW w:w="3677" w:type="pct"/>
          </w:tcPr>
          <w:p w14:paraId="007D6567" w14:textId="77777777" w:rsidR="0060062C" w:rsidRDefault="00000000" w:rsidP="00D51EAE">
            <w:hyperlink r:id="rId59" w:history="1">
              <w:r w:rsidR="0060062C">
                <w:rPr>
                  <w:rStyle w:val="Hyperlink"/>
                </w:rPr>
                <w:t>Psychology Foundation of Australia</w:t>
              </w:r>
            </w:hyperlink>
            <w:r w:rsidR="0060062C">
              <w:t xml:space="preserve"> </w:t>
            </w:r>
          </w:p>
        </w:tc>
      </w:tr>
      <w:tr w:rsidR="0060062C" w14:paraId="7A3E6538" w14:textId="77777777" w:rsidTr="00B27F44">
        <w:trPr>
          <w:trHeight w:val="60"/>
        </w:trPr>
        <w:tc>
          <w:tcPr>
            <w:tcW w:w="1323" w:type="pct"/>
          </w:tcPr>
          <w:p w14:paraId="7458D444" w14:textId="77777777" w:rsidR="0060062C" w:rsidRDefault="0060062C" w:rsidP="00D51EAE">
            <w:r>
              <w:t>Copyright</w:t>
            </w:r>
          </w:p>
        </w:tc>
        <w:tc>
          <w:tcPr>
            <w:tcW w:w="3677" w:type="pct"/>
          </w:tcPr>
          <w:p w14:paraId="0ED41BE2" w14:textId="77777777" w:rsidR="0060062C" w:rsidRDefault="0060062C" w:rsidP="00D51EAE">
            <w:r>
              <w:t>Available in public domain and can be used without permission</w:t>
            </w:r>
          </w:p>
        </w:tc>
      </w:tr>
      <w:tr w:rsidR="0060062C" w14:paraId="4B502B10" w14:textId="77777777" w:rsidTr="00B27F44">
        <w:trPr>
          <w:trHeight w:val="60"/>
        </w:trPr>
        <w:tc>
          <w:tcPr>
            <w:tcW w:w="1323" w:type="pct"/>
          </w:tcPr>
          <w:p w14:paraId="46BE176B" w14:textId="77777777" w:rsidR="0060062C" w:rsidRDefault="0060062C" w:rsidP="00D51EAE">
            <w:r>
              <w:t>Author(s)</w:t>
            </w:r>
          </w:p>
        </w:tc>
        <w:tc>
          <w:tcPr>
            <w:tcW w:w="3677" w:type="pct"/>
          </w:tcPr>
          <w:p w14:paraId="05954A4D" w14:textId="77777777" w:rsidR="0060062C" w:rsidRDefault="0060062C" w:rsidP="00D51EAE">
            <w:r>
              <w:t>Lovibond PF and Lovibond SH</w:t>
            </w:r>
          </w:p>
        </w:tc>
      </w:tr>
      <w:tr w:rsidR="0060062C" w14:paraId="364D4047" w14:textId="77777777" w:rsidTr="00B27F44">
        <w:trPr>
          <w:trHeight w:val="60"/>
        </w:trPr>
        <w:tc>
          <w:tcPr>
            <w:tcW w:w="1323" w:type="pct"/>
          </w:tcPr>
          <w:p w14:paraId="5D90DC67" w14:textId="77777777" w:rsidR="0060062C" w:rsidRDefault="0060062C" w:rsidP="00D51EAE">
            <w:r>
              <w:t>References to the original papers</w:t>
            </w:r>
          </w:p>
        </w:tc>
        <w:tc>
          <w:tcPr>
            <w:tcW w:w="3677" w:type="pct"/>
          </w:tcPr>
          <w:p w14:paraId="19644239" w14:textId="77777777" w:rsidR="0060062C" w:rsidRDefault="0060062C" w:rsidP="00D51EAE">
            <w:r>
              <w:t>Lovibond PF, Lovibond SH. The structure of negative emotional states: comparison of the Depression Anxiety Stress Scales (DASS) with the Beck Depression and Anxiety Inventories. Behav Res Ther 1995;33(3):335–43.</w:t>
            </w:r>
          </w:p>
        </w:tc>
      </w:tr>
    </w:tbl>
    <w:p w14:paraId="4CA7A6C7" w14:textId="77777777" w:rsidR="0060062C" w:rsidRDefault="0060062C" w:rsidP="0060062C"/>
    <w:p w14:paraId="56B608F7" w14:textId="77777777" w:rsidR="0060062C" w:rsidRDefault="0060062C" w:rsidP="0060062C">
      <w:pPr>
        <w:pStyle w:val="Caption"/>
      </w:pPr>
      <w:bookmarkStart w:id="30" w:name="F6"/>
      <w:r>
        <w:lastRenderedPageBreak/>
        <w:t>Figure 6</w:t>
      </w:r>
      <w:bookmarkEnd w:id="30"/>
      <w:r>
        <w:t>: Depression Anxiety Stress Scale – 21 items</w:t>
      </w:r>
    </w:p>
    <w:p w14:paraId="2082E26B" w14:textId="74CFDDCE" w:rsidR="0060062C" w:rsidRPr="00FF736F" w:rsidRDefault="00FF736F" w:rsidP="00FF736F">
      <w:pPr>
        <w:ind w:hanging="142"/>
      </w:pPr>
      <w:r w:rsidRPr="00FF736F">
        <w:rPr>
          <w:noProof/>
        </w:rPr>
        <w:drawing>
          <wp:inline distT="0" distB="0" distL="0" distR="0" wp14:anchorId="657D0E1C" wp14:editId="76B41F73">
            <wp:extent cx="5899873" cy="7832591"/>
            <wp:effectExtent l="0" t="0" r="0" b="0"/>
            <wp:docPr id="811208344" name="Picture 1" descr="Figure 6: Depression Anxiety Stress Scale – 21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08344" name="Picture 1" descr="Figure 6: Depression Anxiety Stress Scale – 21 items"/>
                    <pic:cNvPicPr/>
                  </pic:nvPicPr>
                  <pic:blipFill>
                    <a:blip r:embed="rId60">
                      <a:extLst>
                        <a:ext uri="{28A0092B-C50C-407E-A947-70E740481C1C}">
                          <a14:useLocalDpi xmlns:a14="http://schemas.microsoft.com/office/drawing/2010/main" val="0"/>
                        </a:ext>
                      </a:extLst>
                    </a:blip>
                    <a:stretch>
                      <a:fillRect/>
                    </a:stretch>
                  </pic:blipFill>
                  <pic:spPr>
                    <a:xfrm>
                      <a:off x="0" y="0"/>
                      <a:ext cx="5899873" cy="7832591"/>
                    </a:xfrm>
                    <a:prstGeom prst="rect">
                      <a:avLst/>
                    </a:prstGeom>
                  </pic:spPr>
                </pic:pic>
              </a:graphicData>
            </a:graphic>
          </wp:inline>
        </w:drawing>
      </w:r>
    </w:p>
    <w:p w14:paraId="5834F1EB" w14:textId="77777777" w:rsidR="0060062C" w:rsidRDefault="0060062C" w:rsidP="00B73BD3">
      <w:pPr>
        <w:pStyle w:val="Heading2"/>
      </w:pPr>
      <w:r>
        <w:lastRenderedPageBreak/>
        <w:t>Mayi Kuwayu Modified Kessler 5 (MK-K5)</w:t>
      </w:r>
    </w:p>
    <w:p w14:paraId="0231B66B" w14:textId="77777777" w:rsidR="0060062C" w:rsidRDefault="0060062C" w:rsidP="00B73BD3">
      <w:pPr>
        <w:pStyle w:val="Heading3"/>
      </w:pPr>
      <w:r>
        <w:t>PROM description</w:t>
      </w:r>
    </w:p>
    <w:p w14:paraId="482FC584" w14:textId="32C953E6" w:rsidR="0060062C" w:rsidRDefault="0060062C" w:rsidP="0060062C">
      <w:r>
        <w:t>The MK</w:t>
      </w:r>
      <w:r>
        <w:rPr>
          <w:rFonts w:ascii="Cambria Math" w:hAnsi="Cambria Math" w:cs="Cambria Math"/>
        </w:rPr>
        <w:t>‑</w:t>
      </w:r>
      <w:r>
        <w:t xml:space="preserve">K5 (detailed in </w:t>
      </w:r>
      <w:r w:rsidR="00424DD6" w:rsidRPr="00424DD6">
        <w:rPr>
          <w:rStyle w:val="Cross-reference"/>
        </w:rPr>
        <w:fldChar w:fldCharType="begin"/>
      </w:r>
      <w:r w:rsidR="00424DD6" w:rsidRPr="00424DD6">
        <w:rPr>
          <w:rStyle w:val="Cross-reference"/>
        </w:rPr>
        <w:instrText xml:space="preserve"> REF T6 \h </w:instrText>
      </w:r>
      <w:r w:rsidR="00424DD6">
        <w:rPr>
          <w:rStyle w:val="Cross-reference"/>
        </w:rPr>
        <w:instrText xml:space="preserve"> \* MERGEFORMAT </w:instrText>
      </w:r>
      <w:r w:rsidR="00424DD6" w:rsidRPr="00424DD6">
        <w:rPr>
          <w:rStyle w:val="Cross-reference"/>
        </w:rPr>
      </w:r>
      <w:r w:rsidR="00424DD6" w:rsidRPr="00424DD6">
        <w:rPr>
          <w:rStyle w:val="Cross-reference"/>
        </w:rPr>
        <w:fldChar w:fldCharType="separate"/>
      </w:r>
      <w:r w:rsidR="00424DD6" w:rsidRPr="00424DD6">
        <w:rPr>
          <w:rStyle w:val="Cross-reference"/>
        </w:rPr>
        <w:t>Table 6</w:t>
      </w:r>
      <w:r w:rsidR="00424DD6" w:rsidRPr="00424DD6">
        <w:rPr>
          <w:rStyle w:val="Cross-reference"/>
        </w:rPr>
        <w:fldChar w:fldCharType="end"/>
      </w:r>
      <w:r>
        <w:t>) is a culturally modified and validated version of the Kessler Psychological Distress Scale 5 (K5) for Aboriginal and Torres Strait Islander people, which assesses psychological distress (</w:t>
      </w:r>
      <w:r w:rsidR="00C33B87" w:rsidRPr="00C33B87">
        <w:rPr>
          <w:rStyle w:val="Cross-reference"/>
        </w:rPr>
        <w:fldChar w:fldCharType="begin"/>
      </w:r>
      <w:r w:rsidR="00C33B87" w:rsidRPr="00C33B87">
        <w:rPr>
          <w:rStyle w:val="Cross-reference"/>
        </w:rPr>
        <w:instrText xml:space="preserve"> REF F7 \h </w:instrText>
      </w:r>
      <w:r w:rsidR="00C33B87">
        <w:rPr>
          <w:rStyle w:val="Cross-reference"/>
        </w:rPr>
        <w:instrText xml:space="preserve"> \* MERGEFORMAT </w:instrText>
      </w:r>
      <w:r w:rsidR="00C33B87" w:rsidRPr="00C33B87">
        <w:rPr>
          <w:rStyle w:val="Cross-reference"/>
        </w:rPr>
      </w:r>
      <w:r w:rsidR="00C33B87" w:rsidRPr="00C33B87">
        <w:rPr>
          <w:rStyle w:val="Cross-reference"/>
        </w:rPr>
        <w:fldChar w:fldCharType="separate"/>
      </w:r>
      <w:r w:rsidR="00C33B87" w:rsidRPr="00C33B87">
        <w:rPr>
          <w:rStyle w:val="Cross-reference"/>
        </w:rPr>
        <w:t>Figure 7</w:t>
      </w:r>
      <w:r w:rsidR="00C33B87" w:rsidRPr="00C33B87">
        <w:rPr>
          <w:rStyle w:val="Cross-reference"/>
        </w:rPr>
        <w:fldChar w:fldCharType="end"/>
      </w:r>
      <w:r>
        <w:t xml:space="preserve">). </w:t>
      </w:r>
    </w:p>
    <w:p w14:paraId="6BB93DF5" w14:textId="77777777" w:rsidR="0060062C" w:rsidRDefault="0060062C" w:rsidP="00B73BD3">
      <w:pPr>
        <w:pStyle w:val="Heading3"/>
      </w:pPr>
      <w:r>
        <w:t xml:space="preserve">Development </w:t>
      </w:r>
    </w:p>
    <w:p w14:paraId="3C8ACB27" w14:textId="77777777" w:rsidR="0060062C" w:rsidRDefault="0060062C" w:rsidP="0060062C">
      <w:r>
        <w:t xml:space="preserve">The Kessler Psychological Distress Scale 10 (K10) was developed in 1992 by Ron Kessler and Dan Mroczek. Kessler and Mroczek reviewed approximately 500 psychological distress items from various sources, reducing these to 45 items. Based on United States surveys, the scale was further refined to 32 items, and then two sets: one with six items (K6) and one with 10 items (K10). </w:t>
      </w:r>
    </w:p>
    <w:p w14:paraId="33A0676B" w14:textId="77777777" w:rsidR="0060062C" w:rsidRDefault="0060062C" w:rsidP="0060062C">
      <w:r>
        <w:t>In 2003, Aboriginal and Torres Strait Islander stakeholders at a social and emotional wellbeing workshop raised concerns about the cultural appropriateness of the word ‘worthless’ in the K10, which might be considered offensive to some Aboriginal and Torres Strait Islander people. Professor Kessler and state and territory health authorities gave support for the inclusion of five questions to measure psychological distress among Aboriginal and Torres Strait Islander people.</w:t>
      </w:r>
    </w:p>
    <w:p w14:paraId="2BAC3BF4" w14:textId="77777777" w:rsidR="0060062C" w:rsidRDefault="0060062C" w:rsidP="0060062C">
      <w:r>
        <w:t>Alterations were also made to two items to improve cultural comprehension: feeling ‘hopeless’ was changed to feeling ‘without hope’; and feeling ‘restless or fidgety’ was changed to feeling ‘restless or jumpy’.</w:t>
      </w:r>
      <w:r>
        <w:rPr>
          <w:rStyle w:val="Superscript"/>
        </w:rPr>
        <w:t>34</w:t>
      </w:r>
      <w:r>
        <w:t xml:space="preserve"> However, there was a lack of robust evidence for the validity of the modified version in Aboriginal and Torres Strait Islander peoples, especially younger adults, and for those residing outside of New South Wales.</w:t>
      </w:r>
      <w:r>
        <w:rPr>
          <w:rStyle w:val="Superscript"/>
        </w:rPr>
        <w:t>33</w:t>
      </w:r>
    </w:p>
    <w:p w14:paraId="0984CF71" w14:textId="77777777" w:rsidR="0060062C" w:rsidRDefault="0060062C" w:rsidP="0060062C">
      <w:r>
        <w:t>The MK</w:t>
      </w:r>
      <w:r>
        <w:rPr>
          <w:rFonts w:ascii="Cambria Math" w:hAnsi="Cambria Math" w:cs="Cambria Math"/>
        </w:rPr>
        <w:t>‑</w:t>
      </w:r>
      <w:r>
        <w:t xml:space="preserve">K5 was developed and validated with further modifications to support comprehensibility in the Aboriginal and Torres Strait Islander population. </w:t>
      </w:r>
    </w:p>
    <w:p w14:paraId="4716E6AF" w14:textId="77777777" w:rsidR="0060062C" w:rsidRDefault="0060062C" w:rsidP="0060062C">
      <w:pPr>
        <w:pStyle w:val="Caption"/>
        <w:rPr>
          <w:rStyle w:val="Designernotes"/>
        </w:rPr>
      </w:pPr>
      <w:bookmarkStart w:id="31" w:name="T6"/>
      <w:r>
        <w:t>Table 6</w:t>
      </w:r>
      <w:bookmarkEnd w:id="31"/>
      <w:r>
        <w:t>: Detailed information about Mayi Kuwayu Modified Kessler 5</w:t>
      </w:r>
    </w:p>
    <w:tbl>
      <w:tblPr>
        <w:tblStyle w:val="PROMTable"/>
        <w:tblW w:w="5000" w:type="pct"/>
        <w:tblLook w:val="06A0" w:firstRow="1" w:lastRow="0" w:firstColumn="1" w:lastColumn="0" w:noHBand="1" w:noVBand="1"/>
        <w:tblDescription w:val="Table 6: Detailed information about Mayi Kuwayu Modified Kessler 5"/>
      </w:tblPr>
      <w:tblGrid>
        <w:gridCol w:w="2491"/>
        <w:gridCol w:w="6563"/>
      </w:tblGrid>
      <w:tr w:rsidR="0060062C" w14:paraId="55F99DAB" w14:textId="77777777" w:rsidTr="00184584">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23" w:type="pct"/>
          </w:tcPr>
          <w:p w14:paraId="549CB019" w14:textId="77777777" w:rsidR="0060062C" w:rsidRDefault="0060062C" w:rsidP="00D51EAE">
            <w:r>
              <w:t>Characteristic</w:t>
            </w:r>
          </w:p>
        </w:tc>
        <w:tc>
          <w:tcPr>
            <w:tcW w:w="3677" w:type="pct"/>
          </w:tcPr>
          <w:p w14:paraId="1A1C97D6" w14:textId="77777777" w:rsidR="0060062C" w:rsidRDefault="0060062C" w:rsidP="00D51EAE">
            <w:pPr>
              <w:cnfStyle w:val="100000000000" w:firstRow="1" w:lastRow="0" w:firstColumn="0" w:lastColumn="0" w:oddVBand="0" w:evenVBand="0" w:oddHBand="0" w:evenHBand="0" w:firstRowFirstColumn="0" w:firstRowLastColumn="0" w:lastRowFirstColumn="0" w:lastRowLastColumn="0"/>
            </w:pPr>
            <w:r>
              <w:t>Details</w:t>
            </w:r>
          </w:p>
        </w:tc>
      </w:tr>
      <w:tr w:rsidR="0060062C" w14:paraId="473E75CD" w14:textId="77777777" w:rsidTr="00184584">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64229A69" w14:textId="77777777" w:rsidR="0060062C" w:rsidRDefault="0060062C" w:rsidP="00D51EAE">
            <w:r>
              <w:t>Name</w:t>
            </w:r>
          </w:p>
        </w:tc>
        <w:tc>
          <w:tcPr>
            <w:tcW w:w="3677" w:type="pct"/>
          </w:tcPr>
          <w:p w14:paraId="1E8AA090"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 xml:space="preserve">Mayi Kuwayu Modified Kessler 5 </w:t>
            </w:r>
          </w:p>
        </w:tc>
      </w:tr>
      <w:tr w:rsidR="0060062C" w14:paraId="67B7A876" w14:textId="77777777" w:rsidTr="00184584">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423A09DF" w14:textId="77777777" w:rsidR="0060062C" w:rsidRDefault="0060062C" w:rsidP="00D51EAE">
            <w:r>
              <w:t>Abbreviation</w:t>
            </w:r>
          </w:p>
        </w:tc>
        <w:tc>
          <w:tcPr>
            <w:tcW w:w="3677" w:type="pct"/>
          </w:tcPr>
          <w:p w14:paraId="47998607"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MK-K5</w:t>
            </w:r>
          </w:p>
        </w:tc>
      </w:tr>
      <w:tr w:rsidR="0060062C" w14:paraId="2159A7DC" w14:textId="77777777" w:rsidTr="00184584">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0BC6A29E" w14:textId="77777777" w:rsidR="0060062C" w:rsidRDefault="0060062C" w:rsidP="00D51EAE">
            <w:r>
              <w:t>Country developed</w:t>
            </w:r>
          </w:p>
        </w:tc>
        <w:tc>
          <w:tcPr>
            <w:tcW w:w="3677" w:type="pct"/>
          </w:tcPr>
          <w:p w14:paraId="5E594284"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Australia</w:t>
            </w:r>
          </w:p>
        </w:tc>
      </w:tr>
      <w:tr w:rsidR="0060062C" w14:paraId="7DF34F35" w14:textId="77777777" w:rsidTr="00184584">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0789579A" w14:textId="77777777" w:rsidR="0060062C" w:rsidRDefault="0060062C" w:rsidP="00D51EAE">
            <w:r>
              <w:t>Year validated</w:t>
            </w:r>
          </w:p>
        </w:tc>
        <w:tc>
          <w:tcPr>
            <w:tcW w:w="3677" w:type="pct"/>
          </w:tcPr>
          <w:p w14:paraId="3AF256A8"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2021</w:t>
            </w:r>
          </w:p>
        </w:tc>
      </w:tr>
      <w:tr w:rsidR="0060062C" w14:paraId="58AC0803" w14:textId="77777777" w:rsidTr="00184584">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7A329ED5" w14:textId="77777777" w:rsidR="0060062C" w:rsidRDefault="0060062C" w:rsidP="00D51EAE">
            <w:r>
              <w:t>Short summary</w:t>
            </w:r>
          </w:p>
        </w:tc>
        <w:tc>
          <w:tcPr>
            <w:tcW w:w="3677" w:type="pct"/>
          </w:tcPr>
          <w:p w14:paraId="030457E1"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 xml:space="preserve">A culturally modified Kessler 5 instrument that can be used to assess the psychological distress levels of Aboriginal and Torres Strait Islander people. </w:t>
            </w:r>
          </w:p>
        </w:tc>
      </w:tr>
      <w:tr w:rsidR="0060062C" w14:paraId="7C534FD6" w14:textId="77777777" w:rsidTr="00184584">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5ABC3A8D" w14:textId="77777777" w:rsidR="0060062C" w:rsidRDefault="0060062C" w:rsidP="00D51EAE">
            <w:r>
              <w:t>Domains/dimensions</w:t>
            </w:r>
          </w:p>
        </w:tc>
        <w:tc>
          <w:tcPr>
            <w:tcW w:w="3677" w:type="pct"/>
          </w:tcPr>
          <w:p w14:paraId="021F0D71"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Unidimensional</w:t>
            </w:r>
          </w:p>
        </w:tc>
      </w:tr>
      <w:tr w:rsidR="0060062C" w14:paraId="2888F5C6" w14:textId="77777777" w:rsidTr="00184584">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232AAFE5" w14:textId="77777777" w:rsidR="0060062C" w:rsidRDefault="0060062C" w:rsidP="00D51EAE">
            <w:r>
              <w:t>Number of items</w:t>
            </w:r>
          </w:p>
        </w:tc>
        <w:tc>
          <w:tcPr>
            <w:tcW w:w="3677" w:type="pct"/>
          </w:tcPr>
          <w:p w14:paraId="37AAA501"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5</w:t>
            </w:r>
          </w:p>
        </w:tc>
      </w:tr>
      <w:tr w:rsidR="0060062C" w14:paraId="2455ADFD" w14:textId="77777777" w:rsidTr="00184584">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294981AD" w14:textId="77777777" w:rsidR="0060062C" w:rsidRDefault="0060062C" w:rsidP="00D51EAE">
            <w:r>
              <w:t>Time to complete</w:t>
            </w:r>
          </w:p>
        </w:tc>
        <w:tc>
          <w:tcPr>
            <w:tcW w:w="3677" w:type="pct"/>
          </w:tcPr>
          <w:p w14:paraId="04008E09"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Not assessed in any study</w:t>
            </w:r>
          </w:p>
        </w:tc>
      </w:tr>
      <w:tr w:rsidR="0060062C" w14:paraId="79229FBE" w14:textId="77777777" w:rsidTr="00184584">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060077AA" w14:textId="77777777" w:rsidR="0060062C" w:rsidRDefault="0060062C" w:rsidP="00D51EAE">
            <w:r>
              <w:t>Response type and range</w:t>
            </w:r>
          </w:p>
        </w:tc>
        <w:tc>
          <w:tcPr>
            <w:tcW w:w="3677" w:type="pct"/>
          </w:tcPr>
          <w:p w14:paraId="5AFB6370" w14:textId="7972DDA2" w:rsidR="0060062C" w:rsidRDefault="0060062C" w:rsidP="00D51EAE">
            <w:pPr>
              <w:cnfStyle w:val="000000000000" w:firstRow="0" w:lastRow="0" w:firstColumn="0" w:lastColumn="0" w:oddVBand="0" w:evenVBand="0" w:oddHBand="0" w:evenHBand="0" w:firstRowFirstColumn="0" w:firstRowLastColumn="0" w:lastRowFirstColumn="0" w:lastRowLastColumn="0"/>
            </w:pPr>
            <w:r>
              <w:t>Five-point Likert scale, from 1 (none of the time) to 5 (all of the</w:t>
            </w:r>
            <w:r w:rsidR="00184584">
              <w:t> </w:t>
            </w:r>
            <w:r>
              <w:t>time)</w:t>
            </w:r>
          </w:p>
        </w:tc>
      </w:tr>
      <w:tr w:rsidR="0060062C" w14:paraId="2BD193F0" w14:textId="77777777" w:rsidTr="00184584">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405736FB" w14:textId="77777777" w:rsidR="0060062C" w:rsidRDefault="0060062C" w:rsidP="00D51EAE">
            <w:r>
              <w:lastRenderedPageBreak/>
              <w:t>Scoring guide</w:t>
            </w:r>
          </w:p>
        </w:tc>
        <w:tc>
          <w:tcPr>
            <w:tcW w:w="3677" w:type="pct"/>
          </w:tcPr>
          <w:p w14:paraId="6CE517DE"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 xml:space="preserve">Scoring guide within </w:t>
            </w:r>
            <w:r>
              <w:rPr>
                <w:rStyle w:val="Hyperlink"/>
              </w:rPr>
              <w:t>Mayi Kuwayu Modified Kessler 5</w:t>
            </w:r>
          </w:p>
        </w:tc>
      </w:tr>
      <w:tr w:rsidR="0060062C" w14:paraId="626FDA9E" w14:textId="77777777" w:rsidTr="00184584">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2225346F" w14:textId="77777777" w:rsidR="0060062C" w:rsidRDefault="0060062C" w:rsidP="00D51EAE">
            <w:r>
              <w:t>Translations</w:t>
            </w:r>
          </w:p>
        </w:tc>
        <w:tc>
          <w:tcPr>
            <w:tcW w:w="3677" w:type="pct"/>
          </w:tcPr>
          <w:p w14:paraId="08593C6D"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Unknown</w:t>
            </w:r>
          </w:p>
        </w:tc>
      </w:tr>
      <w:tr w:rsidR="0060062C" w14:paraId="178B6C0E" w14:textId="77777777" w:rsidTr="00184584">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7822C200" w14:textId="77777777" w:rsidR="0060062C" w:rsidRDefault="0060062C" w:rsidP="00D51EAE">
            <w:r>
              <w:t>Licence required</w:t>
            </w:r>
          </w:p>
        </w:tc>
        <w:tc>
          <w:tcPr>
            <w:tcW w:w="3677" w:type="pct"/>
          </w:tcPr>
          <w:p w14:paraId="68797BB3"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No</w:t>
            </w:r>
          </w:p>
        </w:tc>
      </w:tr>
      <w:tr w:rsidR="0060062C" w14:paraId="140922BD" w14:textId="77777777" w:rsidTr="00184584">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5ABD0962" w14:textId="77777777" w:rsidR="0060062C" w:rsidRDefault="0060062C" w:rsidP="00D51EAE">
            <w:r>
              <w:t>Fees</w:t>
            </w:r>
          </w:p>
        </w:tc>
        <w:tc>
          <w:tcPr>
            <w:tcW w:w="3677" w:type="pct"/>
          </w:tcPr>
          <w:p w14:paraId="211DEC90"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No</w:t>
            </w:r>
          </w:p>
        </w:tc>
      </w:tr>
      <w:tr w:rsidR="0060062C" w14:paraId="2EEB824A" w14:textId="77777777" w:rsidTr="00184584">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3D8658A5" w14:textId="77777777" w:rsidR="0060062C" w:rsidRDefault="0060062C" w:rsidP="00D51EAE">
            <w:r>
              <w:t>Distributors | Weblink</w:t>
            </w:r>
          </w:p>
        </w:tc>
        <w:tc>
          <w:tcPr>
            <w:tcW w:w="3677" w:type="pct"/>
          </w:tcPr>
          <w:p w14:paraId="66037D51" w14:textId="77777777" w:rsidR="0060062C" w:rsidRDefault="00000000" w:rsidP="00D51EAE">
            <w:pPr>
              <w:cnfStyle w:val="000000000000" w:firstRow="0" w:lastRow="0" w:firstColumn="0" w:lastColumn="0" w:oddVBand="0" w:evenVBand="0" w:oddHBand="0" w:evenHBand="0" w:firstRowFirstColumn="0" w:firstRowLastColumn="0" w:lastRowFirstColumn="0" w:lastRowLastColumn="0"/>
            </w:pPr>
            <w:hyperlink r:id="rId61" w:history="1">
              <w:r w:rsidR="0060062C">
                <w:rPr>
                  <w:rStyle w:val="Hyperlink"/>
                </w:rPr>
                <w:t>Mayi Kuwaya – The National Study of Aboriginal and Torres Strait Islander Wellbeing</w:t>
              </w:r>
            </w:hyperlink>
          </w:p>
        </w:tc>
      </w:tr>
      <w:tr w:rsidR="0060062C" w14:paraId="743486C3" w14:textId="77777777" w:rsidTr="00184584">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1BF22002" w14:textId="77777777" w:rsidR="0060062C" w:rsidRDefault="0060062C" w:rsidP="00D51EAE">
            <w:r>
              <w:t>Copyright</w:t>
            </w:r>
          </w:p>
        </w:tc>
        <w:tc>
          <w:tcPr>
            <w:tcW w:w="3677" w:type="pct"/>
          </w:tcPr>
          <w:p w14:paraId="32C2BF60"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Can be used without permission</w:t>
            </w:r>
          </w:p>
        </w:tc>
      </w:tr>
      <w:tr w:rsidR="0060062C" w14:paraId="258EDE87" w14:textId="77777777" w:rsidTr="00184584">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1E22CC38" w14:textId="77777777" w:rsidR="0060062C" w:rsidRDefault="0060062C" w:rsidP="00D51EAE">
            <w:r>
              <w:t xml:space="preserve">Author(s) </w:t>
            </w:r>
          </w:p>
        </w:tc>
        <w:tc>
          <w:tcPr>
            <w:tcW w:w="3677" w:type="pct"/>
          </w:tcPr>
          <w:p w14:paraId="3801510B"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Brinckley M, Calabria B, Walker J, Thurber KA and Lovett R</w:t>
            </w:r>
          </w:p>
        </w:tc>
      </w:tr>
      <w:tr w:rsidR="0060062C" w14:paraId="01713535" w14:textId="77777777" w:rsidTr="00184584">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74FB981D" w14:textId="77777777" w:rsidR="0060062C" w:rsidRDefault="0060062C" w:rsidP="00D51EAE">
            <w:r>
              <w:t>References to the original papers</w:t>
            </w:r>
          </w:p>
        </w:tc>
        <w:tc>
          <w:tcPr>
            <w:tcW w:w="3677" w:type="pct"/>
          </w:tcPr>
          <w:p w14:paraId="73077DC7"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 xml:space="preserve">Brinckley M, Calabria B, Walker J, Thurber KA, Lovett R. Reliability, validity, and clinical utility of a culturally modified Kessler scale (MK-K5) in the Aboriginal and Torres Strait Islander population. BMC Public Health 2021;21:1111. </w:t>
            </w:r>
          </w:p>
        </w:tc>
      </w:tr>
    </w:tbl>
    <w:p w14:paraId="6F12D3BF" w14:textId="77777777" w:rsidR="0060062C" w:rsidRDefault="0060062C" w:rsidP="0060062C"/>
    <w:p w14:paraId="405227A5" w14:textId="77777777" w:rsidR="0060062C" w:rsidRDefault="0060062C" w:rsidP="0060062C">
      <w:pPr>
        <w:pStyle w:val="Caption"/>
      </w:pPr>
      <w:bookmarkStart w:id="32" w:name="F7"/>
      <w:r>
        <w:lastRenderedPageBreak/>
        <w:t>Figure 7</w:t>
      </w:r>
      <w:bookmarkEnd w:id="32"/>
      <w:r>
        <w:t>: Mayi Kuwayu Modified Kessler 5</w:t>
      </w:r>
    </w:p>
    <w:p w14:paraId="2AC7C17B" w14:textId="4E3DB7CA" w:rsidR="0060062C" w:rsidRPr="00F6017A" w:rsidRDefault="00F6017A" w:rsidP="00F6017A">
      <w:r w:rsidRPr="00F6017A">
        <w:rPr>
          <w:noProof/>
        </w:rPr>
        <w:drawing>
          <wp:inline distT="0" distB="0" distL="0" distR="0" wp14:anchorId="30C0AE87" wp14:editId="499BEF7E">
            <wp:extent cx="5755640" cy="8284055"/>
            <wp:effectExtent l="0" t="0" r="0" b="0"/>
            <wp:docPr id="776142377" name="Picture 1" descr="Figure 7: Mayi Kuwayu Modified Kessl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42377" name="Picture 1" descr="Figure 7: Mayi Kuwayu Modified Kessler 5"/>
                    <pic:cNvPicPr/>
                  </pic:nvPicPr>
                  <pic:blipFill>
                    <a:blip r:embed="rId62">
                      <a:extLst>
                        <a:ext uri="{28A0092B-C50C-407E-A947-70E740481C1C}">
                          <a14:useLocalDpi xmlns:a14="http://schemas.microsoft.com/office/drawing/2010/main" val="0"/>
                        </a:ext>
                      </a:extLst>
                    </a:blip>
                    <a:stretch>
                      <a:fillRect/>
                    </a:stretch>
                  </pic:blipFill>
                  <pic:spPr>
                    <a:xfrm>
                      <a:off x="0" y="0"/>
                      <a:ext cx="5755640" cy="8284055"/>
                    </a:xfrm>
                    <a:prstGeom prst="rect">
                      <a:avLst/>
                    </a:prstGeom>
                  </pic:spPr>
                </pic:pic>
              </a:graphicData>
            </a:graphic>
          </wp:inline>
        </w:drawing>
      </w:r>
    </w:p>
    <w:p w14:paraId="4C564BAC" w14:textId="77777777" w:rsidR="0060062C" w:rsidRDefault="0060062C" w:rsidP="00B73BD3">
      <w:pPr>
        <w:pStyle w:val="Heading2"/>
      </w:pPr>
      <w:r>
        <w:lastRenderedPageBreak/>
        <w:t>EuroQol – 5 Dimensions – 5 Levels (EQ-5D-5L)</w:t>
      </w:r>
    </w:p>
    <w:p w14:paraId="25A1E3F9" w14:textId="77777777" w:rsidR="0060062C" w:rsidRDefault="0060062C" w:rsidP="00B73BD3">
      <w:pPr>
        <w:pStyle w:val="Heading3"/>
      </w:pPr>
      <w:r>
        <w:t>PROM description</w:t>
      </w:r>
    </w:p>
    <w:p w14:paraId="4EB37CCE" w14:textId="4C247F28" w:rsidR="0060062C" w:rsidRDefault="0060062C" w:rsidP="0060062C">
      <w:r>
        <w:t>The EQ</w:t>
      </w:r>
      <w:r>
        <w:rPr>
          <w:rFonts w:ascii="Cambria Math" w:hAnsi="Cambria Math" w:cs="Cambria Math"/>
        </w:rPr>
        <w:t>‑</w:t>
      </w:r>
      <w:r>
        <w:t>5D</w:t>
      </w:r>
      <w:r>
        <w:rPr>
          <w:rFonts w:ascii="Cambria Math" w:hAnsi="Cambria Math" w:cs="Cambria Math"/>
        </w:rPr>
        <w:t>‑</w:t>
      </w:r>
      <w:r>
        <w:t>5L is a measure of health-related quality of life (HRQoL). The first part of the EQ</w:t>
      </w:r>
      <w:r>
        <w:rPr>
          <w:rFonts w:ascii="Cambria Math" w:hAnsi="Cambria Math" w:cs="Cambria Math"/>
        </w:rPr>
        <w:t>‑</w:t>
      </w:r>
      <w:r>
        <w:t>5D</w:t>
      </w:r>
      <w:r>
        <w:rPr>
          <w:rFonts w:ascii="Cambria Math" w:hAnsi="Cambria Math" w:cs="Cambria Math"/>
        </w:rPr>
        <w:t>‑</w:t>
      </w:r>
      <w:r>
        <w:t>5L consists of five items measuring mobility, self</w:t>
      </w:r>
      <w:r>
        <w:rPr>
          <w:rFonts w:ascii="Cambria Math" w:hAnsi="Cambria Math" w:cs="Cambria Math"/>
        </w:rPr>
        <w:t>‑</w:t>
      </w:r>
      <w:r>
        <w:t>care, usual activities, pain/discomfort and anxiety/depression, with five descriptive response options each corresponding to severity. The second part consists of a 0–100 vertical visual analogue scale that scores self</w:t>
      </w:r>
      <w:r>
        <w:rPr>
          <w:rFonts w:ascii="Cambria Math" w:hAnsi="Cambria Math" w:cs="Cambria Math"/>
        </w:rPr>
        <w:t>‑</w:t>
      </w:r>
      <w:r>
        <w:t>rated health from the best imaginable health state to the worst imaginable health state (</w:t>
      </w:r>
      <w:r w:rsidR="00424DD6" w:rsidRPr="00424DD6">
        <w:rPr>
          <w:rStyle w:val="Cross-reference"/>
        </w:rPr>
        <w:fldChar w:fldCharType="begin"/>
      </w:r>
      <w:r w:rsidR="00424DD6" w:rsidRPr="00424DD6">
        <w:rPr>
          <w:rStyle w:val="Cross-reference"/>
        </w:rPr>
        <w:instrText xml:space="preserve"> REF F8 \h </w:instrText>
      </w:r>
      <w:r w:rsidR="00424DD6">
        <w:rPr>
          <w:rStyle w:val="Cross-reference"/>
        </w:rPr>
        <w:instrText xml:space="preserve"> \* MERGEFORMAT </w:instrText>
      </w:r>
      <w:r w:rsidR="00424DD6" w:rsidRPr="00424DD6">
        <w:rPr>
          <w:rStyle w:val="Cross-reference"/>
        </w:rPr>
      </w:r>
      <w:r w:rsidR="00424DD6" w:rsidRPr="00424DD6">
        <w:rPr>
          <w:rStyle w:val="Cross-reference"/>
        </w:rPr>
        <w:fldChar w:fldCharType="separate"/>
      </w:r>
      <w:r w:rsidR="00424DD6" w:rsidRPr="00424DD6">
        <w:rPr>
          <w:rStyle w:val="Cross-reference"/>
        </w:rPr>
        <w:t>Figure 8</w:t>
      </w:r>
      <w:r w:rsidR="00424DD6" w:rsidRPr="00424DD6">
        <w:rPr>
          <w:rStyle w:val="Cross-reference"/>
        </w:rPr>
        <w:fldChar w:fldCharType="end"/>
      </w:r>
      <w:r>
        <w:t>).</w:t>
      </w:r>
    </w:p>
    <w:p w14:paraId="56C7D143" w14:textId="77777777" w:rsidR="0060062C" w:rsidRDefault="0060062C" w:rsidP="00B73BD3">
      <w:pPr>
        <w:pStyle w:val="Heading3"/>
      </w:pPr>
      <w:r>
        <w:t>Development</w:t>
      </w:r>
    </w:p>
    <w:p w14:paraId="4AB3DCCB" w14:textId="77777777" w:rsidR="0060062C" w:rsidRDefault="0060062C" w:rsidP="0060062C">
      <w:r>
        <w:t>The EQ</w:t>
      </w:r>
      <w:r>
        <w:rPr>
          <w:rFonts w:ascii="Cambria Math" w:hAnsi="Cambria Math" w:cs="Cambria Math"/>
        </w:rPr>
        <w:t>‑</w:t>
      </w:r>
      <w:r>
        <w:t>5D was developed by the EuroQol Group in the 1980s as a HRQoL measure to be used in large</w:t>
      </w:r>
      <w:r>
        <w:rPr>
          <w:rFonts w:ascii="Cambria Math" w:hAnsi="Cambria Math" w:cs="Cambria Math"/>
        </w:rPr>
        <w:t>‑</w:t>
      </w:r>
      <w:r>
        <w:t>scale surveys to enable cross-national comparisons of health state valuations. Each dimension had three response options corresponding to severity (the EQ</w:t>
      </w:r>
      <w:r>
        <w:rPr>
          <w:rFonts w:ascii="Cambria Math" w:hAnsi="Cambria Math" w:cs="Cambria Math"/>
        </w:rPr>
        <w:t>‑</w:t>
      </w:r>
      <w:r>
        <w:t>5D</w:t>
      </w:r>
      <w:r>
        <w:rPr>
          <w:rFonts w:ascii="Cambria Math" w:hAnsi="Cambria Math" w:cs="Cambria Math"/>
        </w:rPr>
        <w:t>‑</w:t>
      </w:r>
      <w:r>
        <w:t>3L). In 2011, the EuroQol Group developed and tested a new five-level severity description system to improve sensitivity and reliability, which was renamed the EQ</w:t>
      </w:r>
      <w:r>
        <w:rPr>
          <w:rFonts w:ascii="Cambria Math" w:hAnsi="Cambria Math" w:cs="Cambria Math"/>
        </w:rPr>
        <w:t>‑</w:t>
      </w:r>
      <w:r>
        <w:t>5D</w:t>
      </w:r>
      <w:r>
        <w:rPr>
          <w:rFonts w:ascii="Cambria Math" w:hAnsi="Cambria Math" w:cs="Cambria Math"/>
        </w:rPr>
        <w:t>‑</w:t>
      </w:r>
      <w:r>
        <w:t>5L.</w:t>
      </w:r>
      <w:r>
        <w:rPr>
          <w:rStyle w:val="Superscript"/>
        </w:rPr>
        <w:t>43</w:t>
      </w:r>
      <w:r>
        <w:t xml:space="preserve"> </w:t>
      </w:r>
    </w:p>
    <w:p w14:paraId="712A2F56" w14:textId="77777777" w:rsidR="0060062C" w:rsidRDefault="0060062C" w:rsidP="0060062C">
      <w:pPr>
        <w:pStyle w:val="Caption"/>
        <w:rPr>
          <w:rStyle w:val="Designernotes"/>
        </w:rPr>
      </w:pPr>
      <w:bookmarkStart w:id="33" w:name="T7"/>
      <w:r>
        <w:t>Table 7</w:t>
      </w:r>
      <w:bookmarkEnd w:id="33"/>
      <w:r>
        <w:t xml:space="preserve">: Detailed information about EuroQol – 5 Dimensions – 5 Levels </w:t>
      </w:r>
    </w:p>
    <w:tbl>
      <w:tblPr>
        <w:tblStyle w:val="PROMTable"/>
        <w:tblW w:w="5000" w:type="pct"/>
        <w:tblLook w:val="06A0" w:firstRow="1" w:lastRow="0" w:firstColumn="1" w:lastColumn="0" w:noHBand="1" w:noVBand="1"/>
        <w:tblDescription w:val="Table 7: Detailed information about EuroQol – 5 Dimensions – 5 Levels "/>
      </w:tblPr>
      <w:tblGrid>
        <w:gridCol w:w="2491"/>
        <w:gridCol w:w="6563"/>
      </w:tblGrid>
      <w:tr w:rsidR="0060062C" w14:paraId="066DFD87" w14:textId="77777777" w:rsidTr="00D50522">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23" w:type="pct"/>
          </w:tcPr>
          <w:p w14:paraId="7A66DD0A" w14:textId="77777777" w:rsidR="0060062C" w:rsidRDefault="0060062C" w:rsidP="00D51EAE">
            <w:r>
              <w:t>Characteristic</w:t>
            </w:r>
          </w:p>
        </w:tc>
        <w:tc>
          <w:tcPr>
            <w:tcW w:w="3677" w:type="pct"/>
          </w:tcPr>
          <w:p w14:paraId="573AD0ED" w14:textId="77777777" w:rsidR="0060062C" w:rsidRDefault="0060062C" w:rsidP="00D51EAE">
            <w:pPr>
              <w:cnfStyle w:val="100000000000" w:firstRow="1" w:lastRow="0" w:firstColumn="0" w:lastColumn="0" w:oddVBand="0" w:evenVBand="0" w:oddHBand="0" w:evenHBand="0" w:firstRowFirstColumn="0" w:firstRowLastColumn="0" w:lastRowFirstColumn="0" w:lastRowLastColumn="0"/>
            </w:pPr>
            <w:r>
              <w:t>Details</w:t>
            </w:r>
          </w:p>
        </w:tc>
      </w:tr>
      <w:tr w:rsidR="0060062C" w14:paraId="63078B76" w14:textId="77777777" w:rsidTr="00D50522">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44A3C6F6" w14:textId="77777777" w:rsidR="0060062C" w:rsidRDefault="0060062C" w:rsidP="00D51EAE">
            <w:r>
              <w:t>Name</w:t>
            </w:r>
          </w:p>
        </w:tc>
        <w:tc>
          <w:tcPr>
            <w:tcW w:w="3677" w:type="pct"/>
          </w:tcPr>
          <w:p w14:paraId="5A149791"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 xml:space="preserve">EuroQol – 5 Dimensions – 5 Levels </w:t>
            </w:r>
          </w:p>
        </w:tc>
      </w:tr>
      <w:tr w:rsidR="0060062C" w14:paraId="7C6E64CF" w14:textId="77777777" w:rsidTr="00D50522">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337E1C63" w14:textId="77777777" w:rsidR="0060062C" w:rsidRDefault="0060062C" w:rsidP="00D51EAE">
            <w:r>
              <w:t>Abbreviation</w:t>
            </w:r>
          </w:p>
        </w:tc>
        <w:tc>
          <w:tcPr>
            <w:tcW w:w="3677" w:type="pct"/>
          </w:tcPr>
          <w:p w14:paraId="0813D8BC"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EQ-5D-5L</w:t>
            </w:r>
          </w:p>
        </w:tc>
      </w:tr>
      <w:tr w:rsidR="0060062C" w14:paraId="56F825BF" w14:textId="77777777" w:rsidTr="00D50522">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321E421A" w14:textId="77777777" w:rsidR="0060062C" w:rsidRDefault="0060062C" w:rsidP="00D51EAE">
            <w:r>
              <w:t>Country developed</w:t>
            </w:r>
          </w:p>
        </w:tc>
        <w:tc>
          <w:tcPr>
            <w:tcW w:w="3677" w:type="pct"/>
          </w:tcPr>
          <w:p w14:paraId="4DDA9E4F"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Europe: Denmark, England, Italy, the Netherlands, Poland and Scotland</w:t>
            </w:r>
          </w:p>
        </w:tc>
      </w:tr>
      <w:tr w:rsidR="0060062C" w14:paraId="03E31576" w14:textId="77777777" w:rsidTr="00D50522">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08CD038E" w14:textId="77777777" w:rsidR="0060062C" w:rsidRDefault="0060062C" w:rsidP="00D51EAE">
            <w:r>
              <w:t>Year developed</w:t>
            </w:r>
          </w:p>
        </w:tc>
        <w:tc>
          <w:tcPr>
            <w:tcW w:w="3677" w:type="pct"/>
          </w:tcPr>
          <w:p w14:paraId="3C0E1908"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2011</w:t>
            </w:r>
          </w:p>
        </w:tc>
      </w:tr>
      <w:tr w:rsidR="0060062C" w14:paraId="0383BB15" w14:textId="77777777" w:rsidTr="00D50522">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39BB0345" w14:textId="77777777" w:rsidR="0060062C" w:rsidRDefault="0060062C" w:rsidP="00D51EAE">
            <w:r>
              <w:t>Short summary</w:t>
            </w:r>
          </w:p>
        </w:tc>
        <w:tc>
          <w:tcPr>
            <w:tcW w:w="3677" w:type="pct"/>
          </w:tcPr>
          <w:p w14:paraId="567938C5"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Group of instruments that have been developed to describe and value health across a wide range of disease areas. A visual analogue scale records self</w:t>
            </w:r>
            <w:r>
              <w:rPr>
                <w:rFonts w:ascii="Cambria Math" w:hAnsi="Cambria Math" w:cs="Cambria Math"/>
              </w:rPr>
              <w:t>‑</w:t>
            </w:r>
            <w:r>
              <w:t xml:space="preserve">rated health on a vertical scale with two end points. </w:t>
            </w:r>
          </w:p>
        </w:tc>
      </w:tr>
      <w:tr w:rsidR="0060062C" w14:paraId="7B5C6AB7" w14:textId="77777777" w:rsidTr="00D50522">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6FACBC1D" w14:textId="77777777" w:rsidR="0060062C" w:rsidRDefault="0060062C" w:rsidP="00D51EAE">
            <w:r>
              <w:t>Domains/dimensions</w:t>
            </w:r>
          </w:p>
        </w:tc>
        <w:tc>
          <w:tcPr>
            <w:tcW w:w="3677" w:type="pct"/>
          </w:tcPr>
          <w:p w14:paraId="50B99A2C"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5: Mobility, self</w:t>
            </w:r>
            <w:r>
              <w:rPr>
                <w:rFonts w:ascii="Cambria Math" w:hAnsi="Cambria Math" w:cs="Cambria Math"/>
              </w:rPr>
              <w:t>‑</w:t>
            </w:r>
            <w:r>
              <w:t>care, usual activities, pain/discomfort, anxiety/depression</w:t>
            </w:r>
          </w:p>
        </w:tc>
      </w:tr>
      <w:tr w:rsidR="0060062C" w14:paraId="4753991E" w14:textId="77777777" w:rsidTr="00D50522">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2376DB6E" w14:textId="77777777" w:rsidR="0060062C" w:rsidRDefault="0060062C" w:rsidP="00D51EAE">
            <w:r>
              <w:t>Number of items</w:t>
            </w:r>
          </w:p>
        </w:tc>
        <w:tc>
          <w:tcPr>
            <w:tcW w:w="3677" w:type="pct"/>
          </w:tcPr>
          <w:p w14:paraId="21CCC2A3"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5</w:t>
            </w:r>
          </w:p>
        </w:tc>
      </w:tr>
      <w:tr w:rsidR="0060062C" w14:paraId="1249F4CD" w14:textId="77777777" w:rsidTr="00D50522">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6D25ECB0" w14:textId="77777777" w:rsidR="0060062C" w:rsidRDefault="0060062C" w:rsidP="00D51EAE">
            <w:r>
              <w:t>Time to complete</w:t>
            </w:r>
          </w:p>
        </w:tc>
        <w:tc>
          <w:tcPr>
            <w:tcW w:w="3677" w:type="pct"/>
          </w:tcPr>
          <w:p w14:paraId="62F5FF24"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Less than 5 minutes</w:t>
            </w:r>
          </w:p>
        </w:tc>
      </w:tr>
      <w:tr w:rsidR="0060062C" w14:paraId="61EE3049" w14:textId="77777777" w:rsidTr="00D50522">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3A412574" w14:textId="77777777" w:rsidR="0060062C" w:rsidRDefault="0060062C" w:rsidP="00D51EAE">
            <w:r>
              <w:t>Response type and range</w:t>
            </w:r>
          </w:p>
        </w:tc>
        <w:tc>
          <w:tcPr>
            <w:tcW w:w="3677" w:type="pct"/>
          </w:tcPr>
          <w:p w14:paraId="7046A9D4"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 xml:space="preserve">Descriptive system comprising five dimensions. Respondents check the box corresponding to the level of severity that describes their health state in the given dimension. </w:t>
            </w:r>
          </w:p>
        </w:tc>
      </w:tr>
      <w:tr w:rsidR="0060062C" w14:paraId="481D2F1E" w14:textId="77777777" w:rsidTr="00D50522">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09BF4D8B" w14:textId="77777777" w:rsidR="0060062C" w:rsidRDefault="0060062C" w:rsidP="00D51EAE">
            <w:r>
              <w:t>Scoring guide</w:t>
            </w:r>
          </w:p>
        </w:tc>
        <w:tc>
          <w:tcPr>
            <w:tcW w:w="3677" w:type="pct"/>
          </w:tcPr>
          <w:p w14:paraId="0B0E8BFD"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 xml:space="preserve">Scoring guide in </w:t>
            </w:r>
            <w:hyperlink r:id="rId63" w:history="1">
              <w:r>
                <w:rPr>
                  <w:rStyle w:val="HyperlinkItalics"/>
                </w:rPr>
                <w:t xml:space="preserve">EQ-5D-5L User </w:t>
              </w:r>
              <w:r w:rsidRPr="00D50522">
                <w:rPr>
                  <w:rStyle w:val="HyperlinkItalics"/>
                </w:rPr>
                <w:t>Guide</w:t>
              </w:r>
            </w:hyperlink>
          </w:p>
        </w:tc>
      </w:tr>
      <w:tr w:rsidR="0060062C" w14:paraId="3F0B743A" w14:textId="77777777" w:rsidTr="00D50522">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22A5734F" w14:textId="77777777" w:rsidR="0060062C" w:rsidRDefault="0060062C" w:rsidP="00D51EAE">
            <w:r>
              <w:t>Translations</w:t>
            </w:r>
          </w:p>
        </w:tc>
        <w:tc>
          <w:tcPr>
            <w:tcW w:w="3677" w:type="pct"/>
          </w:tcPr>
          <w:p w14:paraId="40455645"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More than 150 translations, including English for Australia</w:t>
            </w:r>
          </w:p>
        </w:tc>
      </w:tr>
      <w:tr w:rsidR="0060062C" w14:paraId="336DE487" w14:textId="77777777" w:rsidTr="00D50522">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3576A2C6" w14:textId="77777777" w:rsidR="0060062C" w:rsidRDefault="0060062C" w:rsidP="00D51EAE">
            <w:r>
              <w:t>Licence required</w:t>
            </w:r>
          </w:p>
        </w:tc>
        <w:tc>
          <w:tcPr>
            <w:tcW w:w="3677" w:type="pct"/>
          </w:tcPr>
          <w:p w14:paraId="234F4745"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Yes</w:t>
            </w:r>
          </w:p>
        </w:tc>
      </w:tr>
      <w:tr w:rsidR="0060062C" w14:paraId="7A72D3F9" w14:textId="77777777" w:rsidTr="00D50522">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19E4ED4E" w14:textId="77777777" w:rsidR="0060062C" w:rsidRDefault="0060062C" w:rsidP="00D51EAE">
            <w:r>
              <w:lastRenderedPageBreak/>
              <w:t>Fees</w:t>
            </w:r>
          </w:p>
        </w:tc>
        <w:tc>
          <w:tcPr>
            <w:tcW w:w="3677" w:type="pct"/>
          </w:tcPr>
          <w:p w14:paraId="7E709024" w14:textId="77777777" w:rsidR="0060062C" w:rsidRDefault="0060062C" w:rsidP="00D51EAE">
            <w:pPr>
              <w:pStyle w:val="ListParagraph"/>
              <w:cnfStyle w:val="000000000000" w:firstRow="0" w:lastRow="0" w:firstColumn="0" w:lastColumn="0" w:oddVBand="0" w:evenVBand="0" w:oddHBand="0" w:evenHBand="0" w:firstRowFirstColumn="0" w:firstRowLastColumn="0" w:lastRowFirstColumn="0" w:lastRowLastColumn="0"/>
            </w:pPr>
            <w:r>
              <w:t>Yes – fees may apply</w:t>
            </w:r>
          </w:p>
          <w:p w14:paraId="3F56A7DE" w14:textId="77777777" w:rsidR="0060062C" w:rsidRDefault="0060062C" w:rsidP="00D51EAE">
            <w:pPr>
              <w:pStyle w:val="ListParagraph"/>
              <w:cnfStyle w:val="000000000000" w:firstRow="0" w:lastRow="0" w:firstColumn="0" w:lastColumn="0" w:oddVBand="0" w:evenVBand="0" w:oddHBand="0" w:evenHBand="0" w:firstRowFirstColumn="0" w:firstRowLastColumn="0" w:lastRowFirstColumn="0" w:lastRowLastColumn="0"/>
            </w:pPr>
            <w:r>
              <w:t>Licensing fees are determined by the EuroQol Office based on the user information provided in the registration form. You are not obliged to purchase the EQ</w:t>
            </w:r>
            <w:r>
              <w:rPr>
                <w:rFonts w:ascii="Cambria Math" w:hAnsi="Cambria Math" w:cs="Cambria Math"/>
              </w:rPr>
              <w:t>‑</w:t>
            </w:r>
            <w:r>
              <w:t>5D by registering.</w:t>
            </w:r>
          </w:p>
        </w:tc>
      </w:tr>
      <w:tr w:rsidR="0060062C" w14:paraId="239D6F2C" w14:textId="77777777" w:rsidTr="00D50522">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223AFFFB" w14:textId="77777777" w:rsidR="0060062C" w:rsidRDefault="0060062C" w:rsidP="00D51EAE">
            <w:r>
              <w:t>Distributors | Weblink</w:t>
            </w:r>
          </w:p>
        </w:tc>
        <w:tc>
          <w:tcPr>
            <w:tcW w:w="3677" w:type="pct"/>
          </w:tcPr>
          <w:p w14:paraId="4C7AF1DC" w14:textId="77777777" w:rsidR="0060062C" w:rsidRDefault="00000000" w:rsidP="00D51EAE">
            <w:pPr>
              <w:cnfStyle w:val="000000000000" w:firstRow="0" w:lastRow="0" w:firstColumn="0" w:lastColumn="0" w:oddVBand="0" w:evenVBand="0" w:oddHBand="0" w:evenHBand="0" w:firstRowFirstColumn="0" w:firstRowLastColumn="0" w:lastRowFirstColumn="0" w:lastRowLastColumn="0"/>
            </w:pPr>
            <w:hyperlink r:id="rId64" w:history="1">
              <w:r w:rsidR="0060062C">
                <w:rPr>
                  <w:rStyle w:val="Hyperlink"/>
                </w:rPr>
                <w:t>EuroQol Group</w:t>
              </w:r>
            </w:hyperlink>
          </w:p>
        </w:tc>
      </w:tr>
      <w:tr w:rsidR="0060062C" w14:paraId="0B4A09D1" w14:textId="77777777" w:rsidTr="00D50522">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69BEB430" w14:textId="77777777" w:rsidR="0060062C" w:rsidRDefault="0060062C" w:rsidP="00D51EAE">
            <w:r>
              <w:t>Copyright</w:t>
            </w:r>
          </w:p>
        </w:tc>
        <w:tc>
          <w:tcPr>
            <w:tcW w:w="3677" w:type="pct"/>
          </w:tcPr>
          <w:p w14:paraId="54138109"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 EuroQol Research Foundation. EQ</w:t>
            </w:r>
            <w:r>
              <w:rPr>
                <w:rFonts w:ascii="Cambria Math" w:hAnsi="Cambria Math" w:cs="Cambria Math"/>
              </w:rPr>
              <w:t>‑</w:t>
            </w:r>
            <w:r>
              <w:t>5D™ is a trademark of the EuroQol Research Foundation.</w:t>
            </w:r>
          </w:p>
        </w:tc>
      </w:tr>
      <w:tr w:rsidR="0060062C" w14:paraId="6D3F1B1D" w14:textId="77777777" w:rsidTr="00D50522">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32675EB5" w14:textId="77777777" w:rsidR="0060062C" w:rsidRDefault="0060062C" w:rsidP="00D51EAE">
            <w:r>
              <w:t>Author(s)</w:t>
            </w:r>
          </w:p>
        </w:tc>
        <w:tc>
          <w:tcPr>
            <w:tcW w:w="3677" w:type="pct"/>
          </w:tcPr>
          <w:p w14:paraId="42A9200B"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The EuroQol Group</w:t>
            </w:r>
          </w:p>
        </w:tc>
      </w:tr>
      <w:tr w:rsidR="0060062C" w14:paraId="3EE52DE0" w14:textId="77777777" w:rsidTr="00D50522">
        <w:trPr>
          <w:trHeight w:val="60"/>
        </w:trPr>
        <w:tc>
          <w:tcPr>
            <w:cnfStyle w:val="001000000000" w:firstRow="0" w:lastRow="0" w:firstColumn="1" w:lastColumn="0" w:oddVBand="0" w:evenVBand="0" w:oddHBand="0" w:evenHBand="0" w:firstRowFirstColumn="0" w:firstRowLastColumn="0" w:lastRowFirstColumn="0" w:lastRowLastColumn="0"/>
            <w:tcW w:w="1323" w:type="pct"/>
          </w:tcPr>
          <w:p w14:paraId="29000E90" w14:textId="77777777" w:rsidR="0060062C" w:rsidRDefault="0060062C" w:rsidP="00D51EAE">
            <w:r>
              <w:t>References to the original papers</w:t>
            </w:r>
          </w:p>
        </w:tc>
        <w:tc>
          <w:tcPr>
            <w:tcW w:w="3677" w:type="pct"/>
          </w:tcPr>
          <w:p w14:paraId="023B7ADD"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Herdman M, Gudex C, Lloyd A, Janssen M, Kind P, Parkin D, Bonsel G, Badia X. Development and preliminary testing of the new five-level version of EQ</w:t>
            </w:r>
            <w:r>
              <w:rPr>
                <w:rFonts w:ascii="Cambria Math" w:hAnsi="Cambria Math" w:cs="Cambria Math"/>
              </w:rPr>
              <w:t>‑</w:t>
            </w:r>
            <w:r>
              <w:t>5D (EQ</w:t>
            </w:r>
            <w:r>
              <w:rPr>
                <w:rFonts w:ascii="Cambria Math" w:hAnsi="Cambria Math" w:cs="Cambria Math"/>
              </w:rPr>
              <w:t>‑</w:t>
            </w:r>
            <w:r>
              <w:t>5D</w:t>
            </w:r>
            <w:r>
              <w:rPr>
                <w:rFonts w:ascii="Cambria Math" w:hAnsi="Cambria Math" w:cs="Cambria Math"/>
              </w:rPr>
              <w:t>‑</w:t>
            </w:r>
            <w:r>
              <w:t>5L). Qual Life Res 2011;20(10):1727–36.</w:t>
            </w:r>
          </w:p>
        </w:tc>
      </w:tr>
    </w:tbl>
    <w:p w14:paraId="791DD00D" w14:textId="77777777" w:rsidR="0060062C" w:rsidRDefault="0060062C" w:rsidP="0060062C"/>
    <w:p w14:paraId="07C3863A" w14:textId="77777777" w:rsidR="0060062C" w:rsidRDefault="0060062C" w:rsidP="0060062C">
      <w:pPr>
        <w:pStyle w:val="Caption"/>
        <w:rPr>
          <w:rStyle w:val="Designernotes"/>
        </w:rPr>
      </w:pPr>
      <w:bookmarkStart w:id="34" w:name="F8"/>
      <w:r>
        <w:lastRenderedPageBreak/>
        <w:t>Figure 8</w:t>
      </w:r>
      <w:bookmarkEnd w:id="34"/>
      <w:r>
        <w:t>: EuroQol – 5 Dimensions – 5 Levels – Health Questionnaire – English version for Australia</w:t>
      </w:r>
    </w:p>
    <w:p w14:paraId="73010A27" w14:textId="45C3ECB9" w:rsidR="0060062C" w:rsidRPr="00BC1647" w:rsidRDefault="00BC1647" w:rsidP="00BC1647">
      <w:r w:rsidRPr="00BC1647">
        <w:rPr>
          <w:noProof/>
        </w:rPr>
        <w:drawing>
          <wp:inline distT="0" distB="0" distL="0" distR="0" wp14:anchorId="085D4A08" wp14:editId="104500E6">
            <wp:extent cx="5754938" cy="7952740"/>
            <wp:effectExtent l="0" t="0" r="0" b="0"/>
            <wp:docPr id="66290539" name="Picture 1" descr="Figure 8: EuroQol – 5 Dimensions – 5 Levels – Health Questionnaire – English version for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0539" name="Picture 1" descr="Figure 8: EuroQol – 5 Dimensions – 5 Levels – Health Questionnaire – English version for Australia"/>
                    <pic:cNvPicPr/>
                  </pic:nvPicPr>
                  <pic:blipFill>
                    <a:blip r:embed="rId65">
                      <a:extLst>
                        <a:ext uri="{28A0092B-C50C-407E-A947-70E740481C1C}">
                          <a14:useLocalDpi xmlns:a14="http://schemas.microsoft.com/office/drawing/2010/main" val="0"/>
                        </a:ext>
                      </a:extLst>
                    </a:blip>
                    <a:stretch>
                      <a:fillRect/>
                    </a:stretch>
                  </pic:blipFill>
                  <pic:spPr>
                    <a:xfrm>
                      <a:off x="0" y="0"/>
                      <a:ext cx="5754938" cy="7952740"/>
                    </a:xfrm>
                    <a:prstGeom prst="rect">
                      <a:avLst/>
                    </a:prstGeom>
                  </pic:spPr>
                </pic:pic>
              </a:graphicData>
            </a:graphic>
          </wp:inline>
        </w:drawing>
      </w:r>
    </w:p>
    <w:p w14:paraId="09EF6505" w14:textId="77777777" w:rsidR="0060062C" w:rsidRDefault="0060062C" w:rsidP="0060062C">
      <w:pPr>
        <w:spacing w:after="0"/>
        <w:jc w:val="right"/>
      </w:pPr>
      <w:r>
        <w:t>(continued)</w:t>
      </w:r>
    </w:p>
    <w:p w14:paraId="40032531" w14:textId="77777777" w:rsidR="0060062C" w:rsidRDefault="0060062C" w:rsidP="0060062C">
      <w:pPr>
        <w:pStyle w:val="Caption"/>
        <w:rPr>
          <w:rStyle w:val="Designernotes"/>
        </w:rPr>
      </w:pPr>
      <w:r>
        <w:lastRenderedPageBreak/>
        <w:t>Figure 8: EuroQol – 5 Dimensions – 5 Levels – Health Questionnaire – English version for Australia (continued)</w:t>
      </w:r>
    </w:p>
    <w:p w14:paraId="53B6A15D" w14:textId="73CF2420" w:rsidR="0060062C" w:rsidRPr="00FE754C" w:rsidRDefault="00FE754C" w:rsidP="00FE754C">
      <w:r w:rsidRPr="00FE754C">
        <w:rPr>
          <w:noProof/>
        </w:rPr>
        <w:drawing>
          <wp:inline distT="0" distB="0" distL="0" distR="0" wp14:anchorId="6CA9E419" wp14:editId="4EFEDFDE">
            <wp:extent cx="5755521" cy="7546975"/>
            <wp:effectExtent l="0" t="0" r="0" b="0"/>
            <wp:docPr id="665158239" name="Picture 1" descr="Figure 8: EuroQol – 5 Dimensions – 5 Levels – Health Questionnaire – English version for Australia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158239" name="Picture 1" descr="Figure 8: EuroQol – 5 Dimensions – 5 Levels – Health Questionnaire – English version for Australia (continued)"/>
                    <pic:cNvPicPr/>
                  </pic:nvPicPr>
                  <pic:blipFill>
                    <a:blip r:embed="rId66">
                      <a:extLst>
                        <a:ext uri="{28A0092B-C50C-407E-A947-70E740481C1C}">
                          <a14:useLocalDpi xmlns:a14="http://schemas.microsoft.com/office/drawing/2010/main" val="0"/>
                        </a:ext>
                      </a:extLst>
                    </a:blip>
                    <a:stretch>
                      <a:fillRect/>
                    </a:stretch>
                  </pic:blipFill>
                  <pic:spPr>
                    <a:xfrm>
                      <a:off x="0" y="0"/>
                      <a:ext cx="5755521" cy="7546975"/>
                    </a:xfrm>
                    <a:prstGeom prst="rect">
                      <a:avLst/>
                    </a:prstGeom>
                  </pic:spPr>
                </pic:pic>
              </a:graphicData>
            </a:graphic>
          </wp:inline>
        </w:drawing>
      </w:r>
    </w:p>
    <w:p w14:paraId="20596173" w14:textId="77777777" w:rsidR="0060062C" w:rsidRDefault="0060062C" w:rsidP="0060062C">
      <w:pPr>
        <w:pStyle w:val="Caption"/>
      </w:pPr>
      <w:r>
        <w:t xml:space="preserve">Reproduction of this EurQol instrument is not allowed. For use of this EuroQol instrument and any other EuroQol instrument, please submit a request by using the online registration page at </w:t>
      </w:r>
      <w:r>
        <w:br/>
      </w:r>
      <w:hyperlink r:id="rId67" w:history="1">
        <w:r>
          <w:rPr>
            <w:rStyle w:val="Hyperlink"/>
            <w:b w:val="0"/>
            <w:bCs/>
          </w:rPr>
          <w:t>www.euroqol.org</w:t>
        </w:r>
      </w:hyperlink>
      <w:r>
        <w:t>.</w:t>
      </w:r>
    </w:p>
    <w:p w14:paraId="1FFC4B80" w14:textId="77777777" w:rsidR="0060062C" w:rsidRDefault="0060062C" w:rsidP="0060062C">
      <w:pPr>
        <w:pStyle w:val="Heading1"/>
      </w:pPr>
      <w:bookmarkStart w:id="35" w:name="AB"/>
      <w:bookmarkStart w:id="36" w:name="_Toc175215371"/>
      <w:r>
        <w:lastRenderedPageBreak/>
        <w:t>Appendix B</w:t>
      </w:r>
      <w:bookmarkEnd w:id="35"/>
      <w:r>
        <w:t>: Using PROM recommendations</w:t>
      </w:r>
      <w:bookmarkEnd w:id="36"/>
    </w:p>
    <w:p w14:paraId="2CE9355C" w14:textId="77777777" w:rsidR="0060062C" w:rsidRPr="00D50522" w:rsidRDefault="0060062C" w:rsidP="00B73BD3">
      <w:pPr>
        <w:pStyle w:val="Heading2"/>
      </w:pPr>
      <w:r w:rsidRPr="00D50522">
        <w:t>Measurement for improvement</w:t>
      </w:r>
    </w:p>
    <w:p w14:paraId="09B0C552" w14:textId="34E1467E" w:rsidR="0060062C" w:rsidRDefault="0060062C" w:rsidP="0060062C">
      <w:r>
        <w:t xml:space="preserve">Healthcare services and clinicians can implement PROM recommendations as part of localised quality improvement. To monitor quality improvement, it is recommended that PROMs are used at specified and standard time points (see </w:t>
      </w:r>
      <w:r w:rsidR="001E29DC" w:rsidRPr="001E29DC">
        <w:rPr>
          <w:rStyle w:val="Cross-reference"/>
        </w:rPr>
        <w:fldChar w:fldCharType="begin"/>
      </w:r>
      <w:r w:rsidR="001E29DC" w:rsidRPr="001E29DC">
        <w:rPr>
          <w:rStyle w:val="Cross-reference"/>
        </w:rPr>
        <w:instrText xml:space="preserve"> REF CTP \h </w:instrText>
      </w:r>
      <w:r w:rsidR="001E29DC">
        <w:rPr>
          <w:rStyle w:val="Cross-reference"/>
        </w:rPr>
        <w:instrText xml:space="preserve"> \* MERGEFORMAT </w:instrText>
      </w:r>
      <w:r w:rsidR="001E29DC" w:rsidRPr="001E29DC">
        <w:rPr>
          <w:rStyle w:val="Cross-reference"/>
        </w:rPr>
      </w:r>
      <w:r w:rsidR="001E29DC" w:rsidRPr="001E29DC">
        <w:rPr>
          <w:rStyle w:val="Cross-reference"/>
        </w:rPr>
        <w:fldChar w:fldCharType="separate"/>
      </w:r>
      <w:r w:rsidR="001E29DC" w:rsidRPr="001E29DC">
        <w:rPr>
          <w:rStyle w:val="Cross-reference"/>
        </w:rPr>
        <w:t>Collection time points</w:t>
      </w:r>
      <w:r w:rsidR="001E29DC" w:rsidRPr="001E29DC">
        <w:rPr>
          <w:rStyle w:val="Cross-reference"/>
        </w:rPr>
        <w:fldChar w:fldCharType="end"/>
      </w:r>
      <w:r>
        <w:t>). This will enable comparative analysis and reporting, such as by intervention and by provider.</w:t>
      </w:r>
    </w:p>
    <w:p w14:paraId="5D8E856C" w14:textId="77777777" w:rsidR="0060062C" w:rsidRPr="00D50522" w:rsidRDefault="0060062C" w:rsidP="00B73BD3">
      <w:pPr>
        <w:pStyle w:val="Heading3"/>
      </w:pPr>
      <w:r w:rsidRPr="00D50522">
        <w:t>Using PROMs to meet national standards and accreditation</w:t>
      </w:r>
    </w:p>
    <w:p w14:paraId="3FA167A3" w14:textId="77777777" w:rsidR="0060062C" w:rsidRDefault="0060062C" w:rsidP="0060062C">
      <w:r>
        <w:t>Implementing PROM recommendations for quality improvement can also support healthcare services to meet the requirements for the following criteria:</w:t>
      </w:r>
    </w:p>
    <w:p w14:paraId="2E11A52B" w14:textId="77777777" w:rsidR="0060062C" w:rsidRPr="00D50522" w:rsidRDefault="0060062C" w:rsidP="00D50522">
      <w:pPr>
        <w:pStyle w:val="Heading4"/>
      </w:pPr>
      <w:r w:rsidRPr="00D50522">
        <w:t>National Safety and Quality Health Service Standards</w:t>
      </w:r>
    </w:p>
    <w:p w14:paraId="75FA2B00" w14:textId="0EEC5EAC" w:rsidR="0060062C" w:rsidRPr="001D09AF" w:rsidRDefault="0060062C" w:rsidP="001D09AF">
      <w:pPr>
        <w:pStyle w:val="ListParagraph"/>
        <w:numPr>
          <w:ilvl w:val="0"/>
          <w:numId w:val="18"/>
        </w:numPr>
        <w:rPr>
          <w:rStyle w:val="Hyperlink"/>
        </w:rPr>
      </w:pPr>
      <w:r w:rsidRPr="001D09AF">
        <w:fldChar w:fldCharType="begin"/>
      </w:r>
      <w:r w:rsidRPr="001D09AF">
        <w:instrText>HYPERLINK  "https://www.safetyandquality.gov.au/standards/nsqhs-standards/clinical-governance-standard/patient-safety-and-quality-systems/action-108"</w:instrText>
      </w:r>
      <w:r w:rsidRPr="001D09AF">
        <w:fldChar w:fldCharType="separate"/>
      </w:r>
      <w:r w:rsidRPr="001D09AF">
        <w:rPr>
          <w:rStyle w:val="Hyperlink"/>
        </w:rPr>
        <w:t>Action 1.08: Safety and quality systems – Measurement and quality improvement</w:t>
      </w:r>
    </w:p>
    <w:p w14:paraId="19508AAD" w14:textId="58744BC3" w:rsidR="0060062C" w:rsidRPr="001D09AF" w:rsidRDefault="0060062C" w:rsidP="001D09AF">
      <w:pPr>
        <w:pStyle w:val="ListParagraph"/>
        <w:numPr>
          <w:ilvl w:val="0"/>
          <w:numId w:val="18"/>
        </w:numPr>
      </w:pPr>
      <w:r w:rsidRPr="001D09AF">
        <w:fldChar w:fldCharType="end"/>
      </w:r>
      <w:hyperlink r:id="rId68" w:history="1">
        <w:r w:rsidRPr="001D09AF">
          <w:rPr>
            <w:rStyle w:val="Hyperlink"/>
          </w:rPr>
          <w:t xml:space="preserve">Action 1.28: Clinical performance and effectiveness – Variation in clinical practice and </w:t>
        </w:r>
        <w:r w:rsidR="001D09AF">
          <w:rPr>
            <w:rStyle w:val="Hyperlink"/>
          </w:rPr>
          <w:t>h</w:t>
        </w:r>
        <w:r w:rsidR="001D09AF" w:rsidRPr="001D09AF">
          <w:rPr>
            <w:rStyle w:val="Hyperlink"/>
          </w:rPr>
          <w:t xml:space="preserve">ealth outcomes </w:t>
        </w:r>
      </w:hyperlink>
    </w:p>
    <w:p w14:paraId="41E4C313" w14:textId="77777777" w:rsidR="0060062C" w:rsidRDefault="0060062C" w:rsidP="00D50522">
      <w:pPr>
        <w:pStyle w:val="Heading4"/>
      </w:pPr>
      <w:r>
        <w:t xml:space="preserve">National Safety and Quality Primary and Community Healthcare Standards </w:t>
      </w:r>
    </w:p>
    <w:p w14:paraId="001C7A89" w14:textId="657BB932" w:rsidR="0060062C" w:rsidRDefault="0060062C" w:rsidP="0060062C">
      <w:pPr>
        <w:pStyle w:val="ListParagraph"/>
        <w:rPr>
          <w:rStyle w:val="Hyperlink"/>
        </w:rPr>
      </w:pPr>
      <w:r>
        <w:rPr>
          <w:rStyle w:val="Hyperlink"/>
        </w:rPr>
        <w:fldChar w:fldCharType="begin"/>
      </w:r>
      <w:r>
        <w:rPr>
          <w:rStyle w:val="Hyperlink"/>
        </w:rPr>
        <w:instrText>HYPERLINK  "https://www.safetyandquality.gov.au/standards/primary-and-community-healthcare/clinical-governance-standard"</w:instrText>
      </w:r>
      <w:r>
        <w:rPr>
          <w:rStyle w:val="Hyperlink"/>
        </w:rPr>
      </w:r>
      <w:r>
        <w:rPr>
          <w:rStyle w:val="Hyperlink"/>
        </w:rPr>
        <w:fldChar w:fldCharType="separate"/>
      </w:r>
      <w:r>
        <w:rPr>
          <w:rStyle w:val="Hyperlink"/>
        </w:rPr>
        <w:t>Action 1.03: Patient safety and quality systems – Measurement and quality improvement</w:t>
      </w:r>
    </w:p>
    <w:p w14:paraId="5F9589F2" w14:textId="77777777" w:rsidR="0060062C" w:rsidRDefault="0060062C" w:rsidP="0060062C">
      <w:pPr>
        <w:pStyle w:val="ListParagraph"/>
      </w:pPr>
      <w:r>
        <w:rPr>
          <w:rStyle w:val="Hyperlink"/>
        </w:rPr>
        <w:fldChar w:fldCharType="end"/>
      </w:r>
      <w:hyperlink r:id="rId69" w:history="1">
        <w:r>
          <w:rPr>
            <w:rStyle w:val="Hyperlink"/>
          </w:rPr>
          <w:t>Action 1.21: Clinical performance and effectiveness – Variation in care delivered and health outcomes</w:t>
        </w:r>
      </w:hyperlink>
    </w:p>
    <w:p w14:paraId="06DA0141" w14:textId="77777777" w:rsidR="0060062C" w:rsidRDefault="0060062C" w:rsidP="00B73BD3">
      <w:pPr>
        <w:pStyle w:val="Heading3"/>
      </w:pPr>
      <w:r>
        <w:t>PROMs in clinical quality registries</w:t>
      </w:r>
    </w:p>
    <w:p w14:paraId="746ED188" w14:textId="77777777" w:rsidR="0060062C" w:rsidRDefault="0060062C" w:rsidP="0060062C">
      <w:r>
        <w:t xml:space="preserve">The routine collection, analysis and reporting of patient-reported outcomes is increasingly being adopted by clinical quality registries (CQRs). CQRs systematically monitor the quality of health care within specific clinical domains. The information generated can be used to improve care of an eligible population, and risk-adjusted reports can be generated in a format that can be used for quality improvement activities. Clinicians and healthcare services may consider participating in national and/or international CQRs to inform quality improvement activities. </w:t>
      </w:r>
    </w:p>
    <w:p w14:paraId="5A695414" w14:textId="77777777" w:rsidR="0060062C" w:rsidRDefault="0060062C" w:rsidP="0060062C">
      <w:r>
        <w:t xml:space="preserve">See the </w:t>
      </w:r>
      <w:hyperlink r:id="rId70" w:history="1">
        <w:r>
          <w:rPr>
            <w:rStyle w:val="Hyperlink"/>
          </w:rPr>
          <w:t>Australian Register of Clinical Registries</w:t>
        </w:r>
      </w:hyperlink>
      <w:r>
        <w:t xml:space="preserve"> to search for Australian CQRs by condition. </w:t>
      </w:r>
    </w:p>
    <w:p w14:paraId="15CB5EE8" w14:textId="77777777" w:rsidR="0060062C" w:rsidRDefault="0060062C" w:rsidP="00B73BD3">
      <w:pPr>
        <w:pStyle w:val="Heading2"/>
      </w:pPr>
      <w:r>
        <w:t>Clinical care standards</w:t>
      </w:r>
    </w:p>
    <w:p w14:paraId="3604A361" w14:textId="77777777" w:rsidR="0060062C" w:rsidRDefault="0060062C" w:rsidP="0060062C">
      <w:r>
        <w:t xml:space="preserve">PROM recommendations are aligned with and can be used to complement relevant </w:t>
      </w:r>
      <w:hyperlink r:id="rId71" w:history="1">
        <w:r>
          <w:rPr>
            <w:rStyle w:val="Hyperlink"/>
          </w:rPr>
          <w:t>clinical care standards</w:t>
        </w:r>
      </w:hyperlink>
      <w:r>
        <w:t>. Clinical care standards contain quality statements that provide guidance on the delivery of evidence-based care, and sometimes include advice on using validated tools to assess and monitor a patient-reported outcome. Clinicians and healthcare services may choose to implement PROMs from these recommendations or consider suggestions within the relevant standard as part of developing a systematic approach to using PROMs.</w:t>
      </w:r>
    </w:p>
    <w:p w14:paraId="6AFC8372" w14:textId="77777777" w:rsidR="0060062C" w:rsidRDefault="0060062C" w:rsidP="0060062C">
      <w:pPr>
        <w:pStyle w:val="Heading1"/>
      </w:pPr>
      <w:bookmarkStart w:id="37" w:name="AC"/>
      <w:bookmarkStart w:id="38" w:name="_Toc175215372"/>
      <w:r>
        <w:lastRenderedPageBreak/>
        <w:t>Appendix C</w:t>
      </w:r>
      <w:bookmarkEnd w:id="37"/>
      <w:r>
        <w:t>: Approach to developing condition-specific PROM recommendations</w:t>
      </w:r>
      <w:bookmarkEnd w:id="38"/>
    </w:p>
    <w:p w14:paraId="744BA9FE" w14:textId="77777777" w:rsidR="0060062C" w:rsidRDefault="0060062C" w:rsidP="0060062C">
      <w:r>
        <w:t xml:space="preserve">There are numerous resources that support the selection of the most suitable PROMs to use in clinical practice. Key considerations when selecting a PROM include its psychometric properties, its acceptability to patients and its feasibility in clinical practice (see the Commission’s advice on </w:t>
      </w:r>
      <w:hyperlink r:id="rId72" w:history="1">
        <w:r>
          <w:rPr>
            <w:rStyle w:val="Hyperlink"/>
          </w:rPr>
          <w:t>selecting PROMs</w:t>
        </w:r>
      </w:hyperlink>
      <w:r>
        <w:t xml:space="preserve"> for a list of resources and key considerations for selecting PROMs). </w:t>
      </w:r>
    </w:p>
    <w:p w14:paraId="15C55F99" w14:textId="77777777" w:rsidR="0060062C" w:rsidRDefault="0060062C" w:rsidP="0060062C">
      <w:r>
        <w:t>There are hundreds of validated PROMs available for clinicians and healthcare services to select from, and the development of new PROMs is increasing. The Commission aims to support clinicians and healthcare services with selecting PROMs for specific conditions, to promote consistency across clinical areas and types of interventions. We do this by developing evidence- and consensus-based recommendations on:</w:t>
      </w:r>
    </w:p>
    <w:p w14:paraId="4FF140D4" w14:textId="77777777" w:rsidR="0060062C" w:rsidRDefault="0060062C" w:rsidP="0060062C">
      <w:pPr>
        <w:pStyle w:val="ListParagraph"/>
      </w:pPr>
      <w:r>
        <w:t>Outcomes that are relevant to people with a specific condition</w:t>
      </w:r>
    </w:p>
    <w:p w14:paraId="7550F375" w14:textId="77777777" w:rsidR="0060062C" w:rsidRDefault="0060062C" w:rsidP="0060062C">
      <w:pPr>
        <w:pStyle w:val="ListParagraph"/>
      </w:pPr>
      <w:r>
        <w:t>Existing and validated PROMs that best measure those outcomes</w:t>
      </w:r>
    </w:p>
    <w:p w14:paraId="3D98C5AB" w14:textId="77777777" w:rsidR="0060062C" w:rsidRDefault="0060062C" w:rsidP="0060062C">
      <w:pPr>
        <w:pStyle w:val="ListParagraph"/>
      </w:pPr>
      <w:r>
        <w:t>When to use PROMs to collect these outcomes.</w:t>
      </w:r>
    </w:p>
    <w:p w14:paraId="28E3F5D5" w14:textId="77777777" w:rsidR="0060062C" w:rsidRDefault="0060062C" w:rsidP="0060062C">
      <w:r>
        <w:t>To develop the recommendations, the Commission conducts a literature review and environmental scan to identify existing PROMs for a specific condition. Candidate PROMs are selected based on their psychometric properties, which are assessed using definitions and gradings adopted from the COSMIN (COnsensus-based Standards for the selection of health Measurement INstruments) guidelines.</w:t>
      </w:r>
      <w:r>
        <w:rPr>
          <w:rStyle w:val="Superscript"/>
        </w:rPr>
        <w:t>44-46</w:t>
      </w:r>
      <w:r>
        <w:t xml:space="preserve"> A panel consisting of clinicians and consumers with lived experience consider the evidence to build consensus on which PROMs to use for the specific condition.</w:t>
      </w:r>
    </w:p>
    <w:p w14:paraId="4C5AB582" w14:textId="46B18C3F" w:rsidR="0060062C" w:rsidRDefault="0060062C" w:rsidP="0060062C">
      <w:r>
        <w:t xml:space="preserve">See </w:t>
      </w:r>
      <w:r w:rsidR="00164AFE" w:rsidRPr="00164AFE">
        <w:rPr>
          <w:rStyle w:val="Cross-reference"/>
        </w:rPr>
        <w:fldChar w:fldCharType="begin"/>
      </w:r>
      <w:r w:rsidR="00164AFE" w:rsidRPr="00164AFE">
        <w:rPr>
          <w:rStyle w:val="Cross-reference"/>
        </w:rPr>
        <w:instrText xml:space="preserve"> REF F9 \h </w:instrText>
      </w:r>
      <w:r w:rsidR="00164AFE">
        <w:rPr>
          <w:rStyle w:val="Cross-reference"/>
        </w:rPr>
        <w:instrText xml:space="preserve"> \* MERGEFORMAT </w:instrText>
      </w:r>
      <w:r w:rsidR="00164AFE" w:rsidRPr="00164AFE">
        <w:rPr>
          <w:rStyle w:val="Cross-reference"/>
        </w:rPr>
      </w:r>
      <w:r w:rsidR="00164AFE" w:rsidRPr="00164AFE">
        <w:rPr>
          <w:rStyle w:val="Cross-reference"/>
        </w:rPr>
        <w:fldChar w:fldCharType="separate"/>
      </w:r>
      <w:r w:rsidR="00164AFE" w:rsidRPr="00164AFE">
        <w:rPr>
          <w:rStyle w:val="Cross-reference"/>
        </w:rPr>
        <w:t>Figure 9</w:t>
      </w:r>
      <w:r w:rsidR="00164AFE" w:rsidRPr="00164AFE">
        <w:rPr>
          <w:rStyle w:val="Cross-reference"/>
        </w:rPr>
        <w:fldChar w:fldCharType="end"/>
      </w:r>
      <w:r>
        <w:t xml:space="preserve"> for details on the approach to developing PROM recommendations.</w:t>
      </w:r>
    </w:p>
    <w:p w14:paraId="4EF220DB" w14:textId="77777777" w:rsidR="0060062C" w:rsidRDefault="0060062C" w:rsidP="0060062C">
      <w:pPr>
        <w:pStyle w:val="Caption"/>
      </w:pPr>
      <w:bookmarkStart w:id="39" w:name="F9"/>
      <w:r>
        <w:lastRenderedPageBreak/>
        <w:t>Figure 9</w:t>
      </w:r>
      <w:bookmarkEnd w:id="39"/>
      <w:r>
        <w:t>: Approach to developing condition-specific PROM recommendations</w:t>
      </w:r>
    </w:p>
    <w:p w14:paraId="39E3493A" w14:textId="413498E6" w:rsidR="0060062C" w:rsidRPr="005B48B7" w:rsidRDefault="005B48B7" w:rsidP="005B48B7">
      <w:pPr>
        <w:ind w:hanging="426"/>
      </w:pPr>
      <w:r w:rsidRPr="005B48B7">
        <w:rPr>
          <w:noProof/>
        </w:rPr>
        <w:drawing>
          <wp:inline distT="0" distB="0" distL="0" distR="0" wp14:anchorId="19DA9157" wp14:editId="64B3EB9A">
            <wp:extent cx="6244956" cy="7958511"/>
            <wp:effectExtent l="0" t="0" r="0" b="0"/>
            <wp:docPr id="1992876007" name="Picture 1" descr="Figure 9: Approach to developing condition-specific PROM recommendations&#10;&#10;Literature review: &#10;A literature review is conducted to identify existing PROMs for a specific condition. &#10;&#10;Environmental scan: &#10;An environmental scan is conducted to identify existing PROMs, collection practices, programs and standards across Australia and internationally. This scan is supplemented by interviews with experts in collecting outcomes and using PROMs for the specified condition. &#10;&#10;Psychometric assessment: &#10;Based on the findings of the literature review and environmental scan, the psychometric properties of candidate PROMs are graded using the COSMIN guidelines. The criteria used to assess evidence of psy-chometric properties, such as reliability and construct validity, can be found in Appendix D.&#10;&#10;Panel consensus: &#10;A panel consisting of clinicians and consumers with lived experience considers findings from the literature review, environmental scan and psychometric assessment to build consensus on which PROMs to use for the specified condition. The panel assesses candidate PROMs against consensus criteria such as interpreta-bility and clinical relevance (see Appendix F). The panel considers the PROM’s alignment with best prac-tices in existing programs in Australia and internationally. The panel provides advice on time points for administration of PROMs and other considerations for implementation, such as how to meet diverse pa-tient needs. &#10;&#10;Recommendations: &#10;The Commission publishes recommendations on patient-reported outcomes that are important to patients with the specific condition, and which PROMs to use to measure those outcomes.&#10;&#10;Review: &#10;Recommendations are based on current evidence and practices, and input from clinicians with extensive experience using PROMs in their clinical practice. It is expected that new evidence and validation studies will emerge over time that either support recommended PROMs or support newer PROMs that demon-strate superior psychometric properties. The Commission will review and refine its recommendations as more high-quality evidence and validation studies are published, and PROM collection practices evol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76007" name="Picture 1" descr="Figure 9: Approach to developing condition-specific PROM recommendations&#10;&#10;Literature review: &#10;A literature review is conducted to identify existing PROMs for a specific condition. &#10;&#10;Environmental scan: &#10;An environmental scan is conducted to identify existing PROMs, collection practices, programs and standards across Australia and internationally. This scan is supplemented by interviews with experts in collecting outcomes and using PROMs for the specified condition. &#10;&#10;Psychometric assessment: &#10;Based on the findings of the literature review and environmental scan, the psychometric properties of candidate PROMs are graded using the COSMIN guidelines. The criteria used to assess evidence of psy-chometric properties, such as reliability and construct validity, can be found in Appendix D.&#10;&#10;Panel consensus: &#10;A panel consisting of clinicians and consumers with lived experience considers findings from the literature review, environmental scan and psychometric assessment to build consensus on which PROMs to use for the specified condition. The panel assesses candidate PROMs against consensus criteria such as interpreta-bility and clinical relevance (see Appendix F). The panel considers the PROM’s alignment with best prac-tices in existing programs in Australia and internationally. The panel provides advice on time points for administration of PROMs and other considerations for implementation, such as how to meet diverse pa-tient needs. &#10;&#10;Recommendations: &#10;The Commission publishes recommendations on patient-reported outcomes that are important to patients with the specific condition, and which PROMs to use to measure those outcomes.&#10;&#10;Review: &#10;Recommendations are based on current evidence and practices, and input from clinicians with extensive experience using PROMs in their clinical practice. It is expected that new evidence and validation studies will emerge over time that either support recommended PROMs or support newer PROMs that demon-strate superior psychometric properties. The Commission will review and refine its recommendations as more high-quality evidence and validation studies are published, and PROM collection practices evolve.&#10;"/>
                    <pic:cNvPicPr/>
                  </pic:nvPicPr>
                  <pic:blipFill>
                    <a:blip r:embed="rId73">
                      <a:extLst>
                        <a:ext uri="{28A0092B-C50C-407E-A947-70E740481C1C}">
                          <a14:useLocalDpi xmlns:a14="http://schemas.microsoft.com/office/drawing/2010/main" val="0"/>
                        </a:ext>
                      </a:extLst>
                    </a:blip>
                    <a:stretch>
                      <a:fillRect/>
                    </a:stretch>
                  </pic:blipFill>
                  <pic:spPr>
                    <a:xfrm>
                      <a:off x="0" y="0"/>
                      <a:ext cx="6244956" cy="7958511"/>
                    </a:xfrm>
                    <a:prstGeom prst="rect">
                      <a:avLst/>
                    </a:prstGeom>
                  </pic:spPr>
                </pic:pic>
              </a:graphicData>
            </a:graphic>
          </wp:inline>
        </w:drawing>
      </w:r>
    </w:p>
    <w:p w14:paraId="5F7CFD7A" w14:textId="77777777" w:rsidR="0060062C" w:rsidRDefault="0060062C" w:rsidP="0060062C">
      <w:pPr>
        <w:pStyle w:val="Heading1"/>
      </w:pPr>
      <w:bookmarkStart w:id="40" w:name="AD"/>
      <w:bookmarkStart w:id="41" w:name="_Toc175215373"/>
      <w:r>
        <w:lastRenderedPageBreak/>
        <w:t>Appendix D</w:t>
      </w:r>
      <w:bookmarkEnd w:id="40"/>
      <w:r>
        <w:t>: Definitions and COSMIN grading criteria for psychometric properties of PROMs</w:t>
      </w:r>
      <w:bookmarkEnd w:id="41"/>
    </w:p>
    <w:p w14:paraId="59150F21" w14:textId="59E74AE4" w:rsidR="0060062C" w:rsidRDefault="0060062C" w:rsidP="0060062C">
      <w:r>
        <w:t xml:space="preserve">Definitions and grading standards in </w:t>
      </w:r>
      <w:r w:rsidR="00815A52" w:rsidRPr="00815A52">
        <w:rPr>
          <w:rStyle w:val="Cross-reference"/>
        </w:rPr>
        <w:fldChar w:fldCharType="begin"/>
      </w:r>
      <w:r w:rsidR="00815A52" w:rsidRPr="00815A52">
        <w:rPr>
          <w:rStyle w:val="Cross-reference"/>
        </w:rPr>
        <w:instrText xml:space="preserve"> REF T8 \h </w:instrText>
      </w:r>
      <w:r w:rsidR="00815A52">
        <w:rPr>
          <w:rStyle w:val="Cross-reference"/>
        </w:rPr>
        <w:instrText xml:space="preserve"> \* MERGEFORMAT </w:instrText>
      </w:r>
      <w:r w:rsidR="00815A52" w:rsidRPr="00815A52">
        <w:rPr>
          <w:rStyle w:val="Cross-reference"/>
        </w:rPr>
      </w:r>
      <w:r w:rsidR="00815A52" w:rsidRPr="00815A52">
        <w:rPr>
          <w:rStyle w:val="Cross-reference"/>
        </w:rPr>
        <w:fldChar w:fldCharType="separate"/>
      </w:r>
      <w:r w:rsidR="00815A52" w:rsidRPr="00815A52">
        <w:rPr>
          <w:rStyle w:val="Cross-reference"/>
        </w:rPr>
        <w:t>Table 8</w:t>
      </w:r>
      <w:r w:rsidR="00815A52" w:rsidRPr="00815A52">
        <w:rPr>
          <w:rStyle w:val="Cross-reference"/>
        </w:rPr>
        <w:fldChar w:fldCharType="end"/>
      </w:r>
      <w:r>
        <w:t xml:space="preserve"> below were adopted from the COSMIN guidelines.</w:t>
      </w:r>
      <w:r>
        <w:rPr>
          <w:rStyle w:val="Superscript"/>
        </w:rPr>
        <w:t>44-46</w:t>
      </w:r>
      <w:r>
        <w:t xml:space="preserve"> The table provides the definitions for each of the psychometric properties, together with the COSMIN grading criteria. Each criterion was rated as positive (+), indeterminate (?) or negative (−). If no information for the property was available, a rating of zero (0) was applied. </w:t>
      </w:r>
    </w:p>
    <w:p w14:paraId="17F24EB7" w14:textId="3938DE88" w:rsidR="0060062C" w:rsidRDefault="0060062C" w:rsidP="0060062C">
      <w:pPr>
        <w:pStyle w:val="Caption"/>
      </w:pPr>
      <w:bookmarkStart w:id="42" w:name="T8"/>
      <w:r>
        <w:t>Table 8</w:t>
      </w:r>
      <w:bookmarkEnd w:id="42"/>
      <w:r>
        <w:t>: Definitions and COSMIN grading criteria for psychometric properties for</w:t>
      </w:r>
      <w:r w:rsidR="001C3B4E">
        <w:t> </w:t>
      </w:r>
      <w:r>
        <w:t>PROMs</w:t>
      </w:r>
    </w:p>
    <w:tbl>
      <w:tblPr>
        <w:tblStyle w:val="PROMTable"/>
        <w:tblW w:w="5000" w:type="pct"/>
        <w:tblLook w:val="06A0" w:firstRow="1" w:lastRow="0" w:firstColumn="1" w:lastColumn="0" w:noHBand="1" w:noVBand="1"/>
        <w:tblDescription w:val="Table 8: Definitions and COSMIN grading criteria for psychometric properties for PROMs"/>
      </w:tblPr>
      <w:tblGrid>
        <w:gridCol w:w="2015"/>
        <w:gridCol w:w="3490"/>
        <w:gridCol w:w="963"/>
        <w:gridCol w:w="2586"/>
      </w:tblGrid>
      <w:tr w:rsidR="0060062C" w14:paraId="6B8B3770" w14:textId="77777777" w:rsidTr="00B322EE">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82" w:type="pct"/>
          </w:tcPr>
          <w:p w14:paraId="45C28145" w14:textId="77777777" w:rsidR="0060062C" w:rsidRDefault="0060062C" w:rsidP="00D51EAE">
            <w:r>
              <w:t>Psychometric property</w:t>
            </w:r>
          </w:p>
        </w:tc>
        <w:tc>
          <w:tcPr>
            <w:tcW w:w="2088" w:type="pct"/>
          </w:tcPr>
          <w:p w14:paraId="51E61626" w14:textId="77777777" w:rsidR="0060062C" w:rsidRDefault="0060062C" w:rsidP="00D51EAE">
            <w:pPr>
              <w:cnfStyle w:val="100000000000" w:firstRow="1" w:lastRow="0" w:firstColumn="0" w:lastColumn="0" w:oddVBand="0" w:evenVBand="0" w:oddHBand="0" w:evenHBand="0" w:firstRowFirstColumn="0" w:firstRowLastColumn="0" w:lastRowFirstColumn="0" w:lastRowLastColumn="0"/>
            </w:pPr>
            <w:r>
              <w:t>Definition</w:t>
            </w:r>
          </w:p>
        </w:tc>
        <w:tc>
          <w:tcPr>
            <w:tcW w:w="441" w:type="pct"/>
          </w:tcPr>
          <w:p w14:paraId="02EC80BB" w14:textId="77777777" w:rsidR="0060062C" w:rsidRDefault="0060062C" w:rsidP="00B322EE">
            <w:pPr>
              <w:jc w:val="center"/>
              <w:cnfStyle w:val="100000000000" w:firstRow="1" w:lastRow="0" w:firstColumn="0" w:lastColumn="0" w:oddVBand="0" w:evenVBand="0" w:oddHBand="0" w:evenHBand="0" w:firstRowFirstColumn="0" w:firstRowLastColumn="0" w:lastRowFirstColumn="0" w:lastRowLastColumn="0"/>
            </w:pPr>
            <w:r>
              <w:t>Rating</w:t>
            </w:r>
          </w:p>
        </w:tc>
        <w:tc>
          <w:tcPr>
            <w:tcW w:w="1589" w:type="pct"/>
          </w:tcPr>
          <w:p w14:paraId="46134001" w14:textId="77777777" w:rsidR="0060062C" w:rsidRDefault="0060062C" w:rsidP="00D51EAE">
            <w:pPr>
              <w:cnfStyle w:val="100000000000" w:firstRow="1" w:lastRow="0" w:firstColumn="0" w:lastColumn="0" w:oddVBand="0" w:evenVBand="0" w:oddHBand="0" w:evenHBand="0" w:firstRowFirstColumn="0" w:firstRowLastColumn="0" w:lastRowFirstColumn="0" w:lastRowLastColumn="0"/>
            </w:pPr>
            <w:r>
              <w:t>Rating criteria</w:t>
            </w:r>
          </w:p>
        </w:tc>
      </w:tr>
      <w:tr w:rsidR="0060062C" w14:paraId="63EA475F" w14:textId="77777777" w:rsidTr="00B322EE">
        <w:trPr>
          <w:trHeight w:val="60"/>
        </w:trPr>
        <w:tc>
          <w:tcPr>
            <w:cnfStyle w:val="001000000000" w:firstRow="0" w:lastRow="0" w:firstColumn="1" w:lastColumn="0" w:oddVBand="0" w:evenVBand="0" w:oddHBand="0" w:evenHBand="0" w:firstRowFirstColumn="0" w:firstRowLastColumn="0" w:lastRowFirstColumn="0" w:lastRowLastColumn="0"/>
            <w:tcW w:w="882" w:type="pct"/>
            <w:vMerge w:val="restart"/>
          </w:tcPr>
          <w:p w14:paraId="56DAA2B2" w14:textId="77777777" w:rsidR="0060062C" w:rsidRDefault="0060062C" w:rsidP="00D51EAE">
            <w:r>
              <w:t xml:space="preserve">Internal consistency </w:t>
            </w:r>
          </w:p>
        </w:tc>
        <w:tc>
          <w:tcPr>
            <w:tcW w:w="2088" w:type="pct"/>
            <w:vMerge w:val="restart"/>
          </w:tcPr>
          <w:p w14:paraId="1CA06CCB"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The extent to which the PROM (sub)scale items are correlated (homogenous), and thus measure the same concept.</w:t>
            </w:r>
          </w:p>
        </w:tc>
        <w:tc>
          <w:tcPr>
            <w:tcW w:w="441" w:type="pct"/>
          </w:tcPr>
          <w:p w14:paraId="517A7153" w14:textId="77777777" w:rsidR="0060062C" w:rsidRDefault="0060062C" w:rsidP="00B322EE">
            <w:pPr>
              <w:jc w:val="center"/>
              <w:cnfStyle w:val="000000000000" w:firstRow="0" w:lastRow="0" w:firstColumn="0" w:lastColumn="0" w:oddVBand="0" w:evenVBand="0" w:oddHBand="0" w:evenHBand="0" w:firstRowFirstColumn="0" w:firstRowLastColumn="0" w:lastRowFirstColumn="0" w:lastRowLastColumn="0"/>
            </w:pPr>
            <w:r>
              <w:t>+</w:t>
            </w:r>
          </w:p>
        </w:tc>
        <w:tc>
          <w:tcPr>
            <w:tcW w:w="1589" w:type="pct"/>
          </w:tcPr>
          <w:p w14:paraId="615A653A"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 xml:space="preserve">At least low evidence for sufficient structural validity </w:t>
            </w:r>
            <w:r>
              <w:rPr>
                <w:rStyle w:val="Strong"/>
              </w:rPr>
              <w:t>and</w:t>
            </w:r>
            <w:r>
              <w:t xml:space="preserve"> Cronbach’s alpha(s) ≥0.70 for each unidimensional scale or subscale </w:t>
            </w:r>
          </w:p>
        </w:tc>
      </w:tr>
      <w:tr w:rsidR="0060062C" w14:paraId="07B08467" w14:textId="77777777" w:rsidTr="00B322EE">
        <w:trPr>
          <w:trHeight w:val="60"/>
        </w:trPr>
        <w:tc>
          <w:tcPr>
            <w:cnfStyle w:val="001000000000" w:firstRow="0" w:lastRow="0" w:firstColumn="1" w:lastColumn="0" w:oddVBand="0" w:evenVBand="0" w:oddHBand="0" w:evenHBand="0" w:firstRowFirstColumn="0" w:firstRowLastColumn="0" w:lastRowFirstColumn="0" w:lastRowLastColumn="0"/>
            <w:tcW w:w="882" w:type="pct"/>
            <w:vMerge/>
          </w:tcPr>
          <w:p w14:paraId="2DC0F788" w14:textId="77777777" w:rsidR="0060062C" w:rsidRDefault="0060062C" w:rsidP="00D51EAE">
            <w:pPr>
              <w:pStyle w:val="NoParagraphStyle"/>
              <w:spacing w:line="240" w:lineRule="auto"/>
              <w:textAlignment w:val="auto"/>
              <w:rPr>
                <w:rFonts w:ascii="Arial" w:hAnsi="Arial" w:cs="Arial"/>
                <w:color w:val="auto"/>
              </w:rPr>
            </w:pPr>
          </w:p>
        </w:tc>
        <w:tc>
          <w:tcPr>
            <w:tcW w:w="2088" w:type="pct"/>
            <w:vMerge/>
          </w:tcPr>
          <w:p w14:paraId="5EE4E516" w14:textId="77777777" w:rsidR="0060062C" w:rsidRDefault="0060062C" w:rsidP="00D51EAE">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441" w:type="pct"/>
          </w:tcPr>
          <w:p w14:paraId="0E355E2D" w14:textId="77777777" w:rsidR="0060062C" w:rsidRDefault="0060062C" w:rsidP="00B322EE">
            <w:pPr>
              <w:jc w:val="center"/>
              <w:cnfStyle w:val="000000000000" w:firstRow="0" w:lastRow="0" w:firstColumn="0" w:lastColumn="0" w:oddVBand="0" w:evenVBand="0" w:oddHBand="0" w:evenHBand="0" w:firstRowFirstColumn="0" w:firstRowLastColumn="0" w:lastRowFirstColumn="0" w:lastRowLastColumn="0"/>
            </w:pPr>
            <w:r>
              <w:t>?</w:t>
            </w:r>
          </w:p>
        </w:tc>
        <w:tc>
          <w:tcPr>
            <w:tcW w:w="1589" w:type="pct"/>
          </w:tcPr>
          <w:p w14:paraId="306AAE61"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Criteria for ‘at least low evidence’ for sufficient structural validity not met</w:t>
            </w:r>
          </w:p>
        </w:tc>
      </w:tr>
      <w:tr w:rsidR="0060062C" w14:paraId="3D9C3A58" w14:textId="77777777" w:rsidTr="00B322EE">
        <w:trPr>
          <w:trHeight w:val="60"/>
        </w:trPr>
        <w:tc>
          <w:tcPr>
            <w:cnfStyle w:val="001000000000" w:firstRow="0" w:lastRow="0" w:firstColumn="1" w:lastColumn="0" w:oddVBand="0" w:evenVBand="0" w:oddHBand="0" w:evenHBand="0" w:firstRowFirstColumn="0" w:firstRowLastColumn="0" w:lastRowFirstColumn="0" w:lastRowLastColumn="0"/>
            <w:tcW w:w="882" w:type="pct"/>
            <w:vMerge/>
          </w:tcPr>
          <w:p w14:paraId="19D409A2" w14:textId="77777777" w:rsidR="0060062C" w:rsidRDefault="0060062C" w:rsidP="00D51EAE">
            <w:pPr>
              <w:pStyle w:val="NoParagraphStyle"/>
              <w:spacing w:line="240" w:lineRule="auto"/>
              <w:textAlignment w:val="auto"/>
              <w:rPr>
                <w:rFonts w:ascii="Arial" w:hAnsi="Arial" w:cs="Arial"/>
                <w:color w:val="auto"/>
              </w:rPr>
            </w:pPr>
          </w:p>
        </w:tc>
        <w:tc>
          <w:tcPr>
            <w:tcW w:w="2088" w:type="pct"/>
            <w:vMerge/>
          </w:tcPr>
          <w:p w14:paraId="768257C0" w14:textId="77777777" w:rsidR="0060062C" w:rsidRDefault="0060062C" w:rsidP="00D51EAE">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441" w:type="pct"/>
          </w:tcPr>
          <w:p w14:paraId="016D6108" w14:textId="77777777" w:rsidR="0060062C" w:rsidRDefault="0060062C" w:rsidP="00B322EE">
            <w:pPr>
              <w:jc w:val="center"/>
              <w:cnfStyle w:val="000000000000" w:firstRow="0" w:lastRow="0" w:firstColumn="0" w:lastColumn="0" w:oddVBand="0" w:evenVBand="0" w:oddHBand="0" w:evenHBand="0" w:firstRowFirstColumn="0" w:firstRowLastColumn="0" w:lastRowFirstColumn="0" w:lastRowLastColumn="0"/>
            </w:pPr>
            <w:r>
              <w:t>–</w:t>
            </w:r>
          </w:p>
        </w:tc>
        <w:tc>
          <w:tcPr>
            <w:tcW w:w="1589" w:type="pct"/>
          </w:tcPr>
          <w:p w14:paraId="5C30222F"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 xml:space="preserve">Low evidence for sufficient structural validity </w:t>
            </w:r>
            <w:r>
              <w:rPr>
                <w:rStyle w:val="Strong"/>
              </w:rPr>
              <w:t>and</w:t>
            </w:r>
            <w:r>
              <w:t xml:space="preserve"> Cronbach’s alpha(s) &lt;0.70 for each unidimensional scale or subscale </w:t>
            </w:r>
          </w:p>
        </w:tc>
      </w:tr>
      <w:tr w:rsidR="0060062C" w14:paraId="0804D1CE" w14:textId="77777777" w:rsidTr="00B322EE">
        <w:trPr>
          <w:trHeight w:val="60"/>
        </w:trPr>
        <w:tc>
          <w:tcPr>
            <w:cnfStyle w:val="001000000000" w:firstRow="0" w:lastRow="0" w:firstColumn="1" w:lastColumn="0" w:oddVBand="0" w:evenVBand="0" w:oddHBand="0" w:evenHBand="0" w:firstRowFirstColumn="0" w:firstRowLastColumn="0" w:lastRowFirstColumn="0" w:lastRowLastColumn="0"/>
            <w:tcW w:w="882" w:type="pct"/>
            <w:vMerge w:val="restart"/>
          </w:tcPr>
          <w:p w14:paraId="2D771C09" w14:textId="77777777" w:rsidR="0060062C" w:rsidRDefault="0060062C" w:rsidP="00D51EAE">
            <w:r>
              <w:t>Reliability</w:t>
            </w:r>
          </w:p>
        </w:tc>
        <w:tc>
          <w:tcPr>
            <w:tcW w:w="2088" w:type="pct"/>
            <w:vMerge w:val="restart"/>
          </w:tcPr>
          <w:p w14:paraId="4D7B457C"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The consistency of scores over a time span of no clinical change; quantified through repeated administrations of the PROM in a time period when patients are not expected to experience clinical change.</w:t>
            </w:r>
          </w:p>
        </w:tc>
        <w:tc>
          <w:tcPr>
            <w:tcW w:w="441" w:type="pct"/>
          </w:tcPr>
          <w:p w14:paraId="0D257314" w14:textId="77777777" w:rsidR="0060062C" w:rsidRDefault="0060062C" w:rsidP="00B322EE">
            <w:pPr>
              <w:jc w:val="center"/>
              <w:cnfStyle w:val="000000000000" w:firstRow="0" w:lastRow="0" w:firstColumn="0" w:lastColumn="0" w:oddVBand="0" w:evenVBand="0" w:oddHBand="0" w:evenHBand="0" w:firstRowFirstColumn="0" w:firstRowLastColumn="0" w:lastRowFirstColumn="0" w:lastRowLastColumn="0"/>
            </w:pPr>
            <w:r>
              <w:t>+</w:t>
            </w:r>
          </w:p>
        </w:tc>
        <w:tc>
          <w:tcPr>
            <w:tcW w:w="1589" w:type="pct"/>
          </w:tcPr>
          <w:p w14:paraId="70BC6F40"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ICC/weighted kappa ≥0.70</w:t>
            </w:r>
          </w:p>
        </w:tc>
      </w:tr>
      <w:tr w:rsidR="0060062C" w14:paraId="36C3E4EA" w14:textId="77777777" w:rsidTr="00B322EE">
        <w:trPr>
          <w:trHeight w:val="60"/>
        </w:trPr>
        <w:tc>
          <w:tcPr>
            <w:cnfStyle w:val="001000000000" w:firstRow="0" w:lastRow="0" w:firstColumn="1" w:lastColumn="0" w:oddVBand="0" w:evenVBand="0" w:oddHBand="0" w:evenHBand="0" w:firstRowFirstColumn="0" w:firstRowLastColumn="0" w:lastRowFirstColumn="0" w:lastRowLastColumn="0"/>
            <w:tcW w:w="882" w:type="pct"/>
            <w:vMerge/>
          </w:tcPr>
          <w:p w14:paraId="3BF18083" w14:textId="77777777" w:rsidR="0060062C" w:rsidRDefault="0060062C" w:rsidP="00D51EAE">
            <w:pPr>
              <w:pStyle w:val="NoParagraphStyle"/>
              <w:spacing w:line="240" w:lineRule="auto"/>
              <w:textAlignment w:val="auto"/>
              <w:rPr>
                <w:rFonts w:ascii="Arial" w:hAnsi="Arial" w:cs="Arial"/>
                <w:color w:val="auto"/>
              </w:rPr>
            </w:pPr>
          </w:p>
        </w:tc>
        <w:tc>
          <w:tcPr>
            <w:tcW w:w="2088" w:type="pct"/>
            <w:vMerge/>
          </w:tcPr>
          <w:p w14:paraId="3ADBEFAA" w14:textId="77777777" w:rsidR="0060062C" w:rsidRDefault="0060062C" w:rsidP="00D51EAE">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441" w:type="pct"/>
          </w:tcPr>
          <w:p w14:paraId="228630F0" w14:textId="77777777" w:rsidR="0060062C" w:rsidRDefault="0060062C" w:rsidP="00B322EE">
            <w:pPr>
              <w:jc w:val="center"/>
              <w:cnfStyle w:val="000000000000" w:firstRow="0" w:lastRow="0" w:firstColumn="0" w:lastColumn="0" w:oddVBand="0" w:evenVBand="0" w:oddHBand="0" w:evenHBand="0" w:firstRowFirstColumn="0" w:firstRowLastColumn="0" w:lastRowFirstColumn="0" w:lastRowLastColumn="0"/>
            </w:pPr>
            <w:r>
              <w:t>?</w:t>
            </w:r>
          </w:p>
        </w:tc>
        <w:tc>
          <w:tcPr>
            <w:tcW w:w="1589" w:type="pct"/>
          </w:tcPr>
          <w:p w14:paraId="11103B69"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ICC/weighted kappa not reported</w:t>
            </w:r>
          </w:p>
        </w:tc>
      </w:tr>
      <w:tr w:rsidR="0060062C" w14:paraId="58CDC66B" w14:textId="77777777" w:rsidTr="00B322EE">
        <w:trPr>
          <w:trHeight w:val="60"/>
        </w:trPr>
        <w:tc>
          <w:tcPr>
            <w:cnfStyle w:val="001000000000" w:firstRow="0" w:lastRow="0" w:firstColumn="1" w:lastColumn="0" w:oddVBand="0" w:evenVBand="0" w:oddHBand="0" w:evenHBand="0" w:firstRowFirstColumn="0" w:firstRowLastColumn="0" w:lastRowFirstColumn="0" w:lastRowLastColumn="0"/>
            <w:tcW w:w="882" w:type="pct"/>
            <w:vMerge/>
          </w:tcPr>
          <w:p w14:paraId="1431C093" w14:textId="77777777" w:rsidR="0060062C" w:rsidRDefault="0060062C" w:rsidP="00D51EAE">
            <w:pPr>
              <w:pStyle w:val="NoParagraphStyle"/>
              <w:spacing w:line="240" w:lineRule="auto"/>
              <w:textAlignment w:val="auto"/>
              <w:rPr>
                <w:rFonts w:ascii="Arial" w:hAnsi="Arial" w:cs="Arial"/>
                <w:color w:val="auto"/>
              </w:rPr>
            </w:pPr>
          </w:p>
        </w:tc>
        <w:tc>
          <w:tcPr>
            <w:tcW w:w="2088" w:type="pct"/>
            <w:vMerge/>
          </w:tcPr>
          <w:p w14:paraId="53B57987" w14:textId="77777777" w:rsidR="0060062C" w:rsidRDefault="0060062C" w:rsidP="00D51EAE">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441" w:type="pct"/>
          </w:tcPr>
          <w:p w14:paraId="74041DBC" w14:textId="77777777" w:rsidR="0060062C" w:rsidRDefault="0060062C" w:rsidP="00B322EE">
            <w:pPr>
              <w:jc w:val="center"/>
              <w:cnfStyle w:val="000000000000" w:firstRow="0" w:lastRow="0" w:firstColumn="0" w:lastColumn="0" w:oddVBand="0" w:evenVBand="0" w:oddHBand="0" w:evenHBand="0" w:firstRowFirstColumn="0" w:firstRowLastColumn="0" w:lastRowFirstColumn="0" w:lastRowLastColumn="0"/>
            </w:pPr>
            <w:r>
              <w:t>–</w:t>
            </w:r>
          </w:p>
        </w:tc>
        <w:tc>
          <w:tcPr>
            <w:tcW w:w="1589" w:type="pct"/>
          </w:tcPr>
          <w:p w14:paraId="5CF5B280"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ICC/weighted kappa &lt;0.70</w:t>
            </w:r>
          </w:p>
        </w:tc>
      </w:tr>
      <w:tr w:rsidR="0060062C" w14:paraId="3BF1FE79" w14:textId="77777777" w:rsidTr="00B322EE">
        <w:trPr>
          <w:trHeight w:val="60"/>
        </w:trPr>
        <w:tc>
          <w:tcPr>
            <w:cnfStyle w:val="001000000000" w:firstRow="0" w:lastRow="0" w:firstColumn="1" w:lastColumn="0" w:oddVBand="0" w:evenVBand="0" w:oddHBand="0" w:evenHBand="0" w:firstRowFirstColumn="0" w:firstRowLastColumn="0" w:lastRowFirstColumn="0" w:lastRowLastColumn="0"/>
            <w:tcW w:w="882" w:type="pct"/>
            <w:vMerge w:val="restart"/>
          </w:tcPr>
          <w:p w14:paraId="6941E29E" w14:textId="77777777" w:rsidR="0060062C" w:rsidRDefault="0060062C" w:rsidP="00D51EAE">
            <w:r>
              <w:t>Measurement error</w:t>
            </w:r>
          </w:p>
        </w:tc>
        <w:tc>
          <w:tcPr>
            <w:tcW w:w="2088" w:type="pct"/>
            <w:vMerge w:val="restart"/>
          </w:tcPr>
          <w:p w14:paraId="1F9FA8E2"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The systematic and random error of a patient’s score that is not attributed to be true in the construct measured.</w:t>
            </w:r>
          </w:p>
        </w:tc>
        <w:tc>
          <w:tcPr>
            <w:tcW w:w="441" w:type="pct"/>
          </w:tcPr>
          <w:p w14:paraId="4B1EA5A4" w14:textId="77777777" w:rsidR="0060062C" w:rsidRDefault="0060062C" w:rsidP="00B322EE">
            <w:pPr>
              <w:jc w:val="center"/>
              <w:cnfStyle w:val="000000000000" w:firstRow="0" w:lastRow="0" w:firstColumn="0" w:lastColumn="0" w:oddVBand="0" w:evenVBand="0" w:oddHBand="0" w:evenHBand="0" w:firstRowFirstColumn="0" w:firstRowLastColumn="0" w:lastRowFirstColumn="0" w:lastRowLastColumn="0"/>
            </w:pPr>
            <w:r>
              <w:t>+</w:t>
            </w:r>
          </w:p>
        </w:tc>
        <w:tc>
          <w:tcPr>
            <w:tcW w:w="1589" w:type="pct"/>
          </w:tcPr>
          <w:p w14:paraId="71C55F9D"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SDC or LoA &lt; MIC</w:t>
            </w:r>
          </w:p>
        </w:tc>
      </w:tr>
      <w:tr w:rsidR="0060062C" w14:paraId="34F4E1E8" w14:textId="77777777" w:rsidTr="00B322EE">
        <w:trPr>
          <w:trHeight w:val="60"/>
        </w:trPr>
        <w:tc>
          <w:tcPr>
            <w:cnfStyle w:val="001000000000" w:firstRow="0" w:lastRow="0" w:firstColumn="1" w:lastColumn="0" w:oddVBand="0" w:evenVBand="0" w:oddHBand="0" w:evenHBand="0" w:firstRowFirstColumn="0" w:firstRowLastColumn="0" w:lastRowFirstColumn="0" w:lastRowLastColumn="0"/>
            <w:tcW w:w="882" w:type="pct"/>
            <w:vMerge/>
          </w:tcPr>
          <w:p w14:paraId="4DBC4C49" w14:textId="77777777" w:rsidR="0060062C" w:rsidRDefault="0060062C" w:rsidP="00D51EAE">
            <w:pPr>
              <w:pStyle w:val="NoParagraphStyle"/>
              <w:spacing w:line="240" w:lineRule="auto"/>
              <w:textAlignment w:val="auto"/>
              <w:rPr>
                <w:rFonts w:ascii="Arial" w:hAnsi="Arial" w:cs="Arial"/>
                <w:color w:val="auto"/>
              </w:rPr>
            </w:pPr>
          </w:p>
        </w:tc>
        <w:tc>
          <w:tcPr>
            <w:tcW w:w="2088" w:type="pct"/>
            <w:vMerge/>
          </w:tcPr>
          <w:p w14:paraId="4BC76EAD" w14:textId="77777777" w:rsidR="0060062C" w:rsidRDefault="0060062C" w:rsidP="00D51EAE">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441" w:type="pct"/>
          </w:tcPr>
          <w:p w14:paraId="3CEDBABD" w14:textId="77777777" w:rsidR="0060062C" w:rsidRDefault="0060062C" w:rsidP="00B322EE">
            <w:pPr>
              <w:jc w:val="center"/>
              <w:cnfStyle w:val="000000000000" w:firstRow="0" w:lastRow="0" w:firstColumn="0" w:lastColumn="0" w:oddVBand="0" w:evenVBand="0" w:oddHBand="0" w:evenHBand="0" w:firstRowFirstColumn="0" w:firstRowLastColumn="0" w:lastRowFirstColumn="0" w:lastRowLastColumn="0"/>
            </w:pPr>
            <w:r>
              <w:t>?</w:t>
            </w:r>
          </w:p>
        </w:tc>
        <w:tc>
          <w:tcPr>
            <w:tcW w:w="1589" w:type="pct"/>
          </w:tcPr>
          <w:p w14:paraId="0721C0FA"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MIC not defined</w:t>
            </w:r>
          </w:p>
        </w:tc>
      </w:tr>
      <w:tr w:rsidR="0060062C" w14:paraId="1F1367EB" w14:textId="77777777" w:rsidTr="00B322EE">
        <w:trPr>
          <w:trHeight w:val="60"/>
        </w:trPr>
        <w:tc>
          <w:tcPr>
            <w:cnfStyle w:val="001000000000" w:firstRow="0" w:lastRow="0" w:firstColumn="1" w:lastColumn="0" w:oddVBand="0" w:evenVBand="0" w:oddHBand="0" w:evenHBand="0" w:firstRowFirstColumn="0" w:firstRowLastColumn="0" w:lastRowFirstColumn="0" w:lastRowLastColumn="0"/>
            <w:tcW w:w="882" w:type="pct"/>
            <w:vMerge/>
          </w:tcPr>
          <w:p w14:paraId="318B45C4" w14:textId="77777777" w:rsidR="0060062C" w:rsidRDefault="0060062C" w:rsidP="00D51EAE">
            <w:pPr>
              <w:pStyle w:val="NoParagraphStyle"/>
              <w:spacing w:line="240" w:lineRule="auto"/>
              <w:textAlignment w:val="auto"/>
              <w:rPr>
                <w:rFonts w:ascii="Arial" w:hAnsi="Arial" w:cs="Arial"/>
                <w:color w:val="auto"/>
              </w:rPr>
            </w:pPr>
          </w:p>
        </w:tc>
        <w:tc>
          <w:tcPr>
            <w:tcW w:w="2088" w:type="pct"/>
            <w:vMerge/>
          </w:tcPr>
          <w:p w14:paraId="47004ACB" w14:textId="77777777" w:rsidR="0060062C" w:rsidRDefault="0060062C" w:rsidP="00D51EAE">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441" w:type="pct"/>
          </w:tcPr>
          <w:p w14:paraId="7142185F" w14:textId="77777777" w:rsidR="0060062C" w:rsidRDefault="0060062C" w:rsidP="00B322EE">
            <w:pPr>
              <w:jc w:val="center"/>
              <w:cnfStyle w:val="000000000000" w:firstRow="0" w:lastRow="0" w:firstColumn="0" w:lastColumn="0" w:oddVBand="0" w:evenVBand="0" w:oddHBand="0" w:evenHBand="0" w:firstRowFirstColumn="0" w:firstRowLastColumn="0" w:lastRowFirstColumn="0" w:lastRowLastColumn="0"/>
            </w:pPr>
            <w:r>
              <w:t>–</w:t>
            </w:r>
          </w:p>
        </w:tc>
        <w:tc>
          <w:tcPr>
            <w:tcW w:w="1589" w:type="pct"/>
          </w:tcPr>
          <w:p w14:paraId="0FADF16C"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SDC or LoA &gt; MIC</w:t>
            </w:r>
          </w:p>
        </w:tc>
      </w:tr>
      <w:tr w:rsidR="0060062C" w14:paraId="228CDA3B" w14:textId="77777777" w:rsidTr="00B322EE">
        <w:trPr>
          <w:trHeight w:val="60"/>
        </w:trPr>
        <w:tc>
          <w:tcPr>
            <w:cnfStyle w:val="001000000000" w:firstRow="0" w:lastRow="0" w:firstColumn="1" w:lastColumn="0" w:oddVBand="0" w:evenVBand="0" w:oddHBand="0" w:evenHBand="0" w:firstRowFirstColumn="0" w:firstRowLastColumn="0" w:lastRowFirstColumn="0" w:lastRowLastColumn="0"/>
            <w:tcW w:w="882" w:type="pct"/>
            <w:vMerge w:val="restart"/>
          </w:tcPr>
          <w:p w14:paraId="4686783D" w14:textId="77777777" w:rsidR="0060062C" w:rsidRDefault="0060062C" w:rsidP="00D51EAE">
            <w:r>
              <w:lastRenderedPageBreak/>
              <w:t>Structural validity</w:t>
            </w:r>
          </w:p>
        </w:tc>
        <w:tc>
          <w:tcPr>
            <w:tcW w:w="2088" w:type="pct"/>
            <w:vMerge w:val="restart"/>
          </w:tcPr>
          <w:p w14:paraId="2FBF9C25"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The degree to which the scores of a PROM are an adequate reflection of the dimensionality of the construct to be measured.</w:t>
            </w:r>
          </w:p>
        </w:tc>
        <w:tc>
          <w:tcPr>
            <w:tcW w:w="441" w:type="pct"/>
          </w:tcPr>
          <w:p w14:paraId="64D60511" w14:textId="77777777" w:rsidR="0060062C" w:rsidRDefault="0060062C" w:rsidP="00B322EE">
            <w:pPr>
              <w:jc w:val="center"/>
              <w:cnfStyle w:val="000000000000" w:firstRow="0" w:lastRow="0" w:firstColumn="0" w:lastColumn="0" w:oddVBand="0" w:evenVBand="0" w:oddHBand="0" w:evenHBand="0" w:firstRowFirstColumn="0" w:firstRowLastColumn="0" w:lastRowFirstColumn="0" w:lastRowLastColumn="0"/>
            </w:pPr>
            <w:r>
              <w:t>+</w:t>
            </w:r>
          </w:p>
        </w:tc>
        <w:tc>
          <w:tcPr>
            <w:tcW w:w="1589" w:type="pct"/>
          </w:tcPr>
          <w:p w14:paraId="018D3DEA"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CFA/IRT/Rasch: CFI or TLI or comparable measure &gt;0.95 or RMSEA &lt;0.06 or SRMR &lt;0.08</w:t>
            </w:r>
          </w:p>
        </w:tc>
      </w:tr>
      <w:tr w:rsidR="0060062C" w14:paraId="4A1D3CE8" w14:textId="77777777" w:rsidTr="00B322EE">
        <w:trPr>
          <w:trHeight w:val="60"/>
        </w:trPr>
        <w:tc>
          <w:tcPr>
            <w:cnfStyle w:val="001000000000" w:firstRow="0" w:lastRow="0" w:firstColumn="1" w:lastColumn="0" w:oddVBand="0" w:evenVBand="0" w:oddHBand="0" w:evenHBand="0" w:firstRowFirstColumn="0" w:firstRowLastColumn="0" w:lastRowFirstColumn="0" w:lastRowLastColumn="0"/>
            <w:tcW w:w="882" w:type="pct"/>
            <w:vMerge/>
          </w:tcPr>
          <w:p w14:paraId="109CC0F6" w14:textId="77777777" w:rsidR="0060062C" w:rsidRDefault="0060062C" w:rsidP="00D51EAE">
            <w:pPr>
              <w:pStyle w:val="NoParagraphStyle"/>
              <w:spacing w:line="240" w:lineRule="auto"/>
              <w:textAlignment w:val="auto"/>
              <w:rPr>
                <w:rFonts w:ascii="Arial" w:hAnsi="Arial" w:cs="Arial"/>
                <w:color w:val="auto"/>
              </w:rPr>
            </w:pPr>
          </w:p>
        </w:tc>
        <w:tc>
          <w:tcPr>
            <w:tcW w:w="2088" w:type="pct"/>
            <w:vMerge/>
          </w:tcPr>
          <w:p w14:paraId="68A34CD5" w14:textId="77777777" w:rsidR="0060062C" w:rsidRDefault="0060062C" w:rsidP="00D51EAE">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441" w:type="pct"/>
          </w:tcPr>
          <w:p w14:paraId="5BC7770F" w14:textId="77777777" w:rsidR="0060062C" w:rsidRDefault="0060062C" w:rsidP="00B322EE">
            <w:pPr>
              <w:jc w:val="center"/>
              <w:cnfStyle w:val="000000000000" w:firstRow="0" w:lastRow="0" w:firstColumn="0" w:lastColumn="0" w:oddVBand="0" w:evenVBand="0" w:oddHBand="0" w:evenHBand="0" w:firstRowFirstColumn="0" w:firstRowLastColumn="0" w:lastRowFirstColumn="0" w:lastRowLastColumn="0"/>
            </w:pPr>
            <w:r>
              <w:t>?</w:t>
            </w:r>
          </w:p>
        </w:tc>
        <w:tc>
          <w:tcPr>
            <w:tcW w:w="1589" w:type="pct"/>
          </w:tcPr>
          <w:p w14:paraId="0E2F5D5C"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CFA/IRT/Rasch: Not all information for ‘+’ reported</w:t>
            </w:r>
          </w:p>
        </w:tc>
      </w:tr>
      <w:tr w:rsidR="0060062C" w14:paraId="722F3629" w14:textId="77777777" w:rsidTr="00B322EE">
        <w:trPr>
          <w:trHeight w:val="60"/>
        </w:trPr>
        <w:tc>
          <w:tcPr>
            <w:cnfStyle w:val="001000000000" w:firstRow="0" w:lastRow="0" w:firstColumn="1" w:lastColumn="0" w:oddVBand="0" w:evenVBand="0" w:oddHBand="0" w:evenHBand="0" w:firstRowFirstColumn="0" w:firstRowLastColumn="0" w:lastRowFirstColumn="0" w:lastRowLastColumn="0"/>
            <w:tcW w:w="882" w:type="pct"/>
            <w:vMerge/>
          </w:tcPr>
          <w:p w14:paraId="5EB669BE" w14:textId="77777777" w:rsidR="0060062C" w:rsidRDefault="0060062C" w:rsidP="00D51EAE">
            <w:pPr>
              <w:pStyle w:val="NoParagraphStyle"/>
              <w:spacing w:line="240" w:lineRule="auto"/>
              <w:textAlignment w:val="auto"/>
              <w:rPr>
                <w:rFonts w:ascii="Arial" w:hAnsi="Arial" w:cs="Arial"/>
                <w:color w:val="auto"/>
              </w:rPr>
            </w:pPr>
          </w:p>
        </w:tc>
        <w:tc>
          <w:tcPr>
            <w:tcW w:w="2088" w:type="pct"/>
            <w:vMerge/>
          </w:tcPr>
          <w:p w14:paraId="17039995" w14:textId="77777777" w:rsidR="0060062C" w:rsidRDefault="0060062C" w:rsidP="00D51EAE">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441" w:type="pct"/>
          </w:tcPr>
          <w:p w14:paraId="0027B0C4" w14:textId="77777777" w:rsidR="0060062C" w:rsidRDefault="0060062C" w:rsidP="00B322EE">
            <w:pPr>
              <w:jc w:val="center"/>
              <w:cnfStyle w:val="000000000000" w:firstRow="0" w:lastRow="0" w:firstColumn="0" w:lastColumn="0" w:oddVBand="0" w:evenVBand="0" w:oddHBand="0" w:evenHBand="0" w:firstRowFirstColumn="0" w:firstRowLastColumn="0" w:lastRowFirstColumn="0" w:lastRowLastColumn="0"/>
            </w:pPr>
            <w:r>
              <w:t>–</w:t>
            </w:r>
          </w:p>
        </w:tc>
        <w:tc>
          <w:tcPr>
            <w:tcW w:w="1589" w:type="pct"/>
          </w:tcPr>
          <w:p w14:paraId="0DB4F532"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Criteria for ‘+’ not met</w:t>
            </w:r>
          </w:p>
        </w:tc>
      </w:tr>
      <w:tr w:rsidR="0060062C" w14:paraId="6E48F47D" w14:textId="77777777" w:rsidTr="00B322EE">
        <w:trPr>
          <w:trHeight w:val="60"/>
        </w:trPr>
        <w:tc>
          <w:tcPr>
            <w:cnfStyle w:val="001000000000" w:firstRow="0" w:lastRow="0" w:firstColumn="1" w:lastColumn="0" w:oddVBand="0" w:evenVBand="0" w:oddHBand="0" w:evenHBand="0" w:firstRowFirstColumn="0" w:firstRowLastColumn="0" w:lastRowFirstColumn="0" w:lastRowLastColumn="0"/>
            <w:tcW w:w="882" w:type="pct"/>
            <w:vMerge w:val="restart"/>
          </w:tcPr>
          <w:p w14:paraId="183DB78B" w14:textId="77777777" w:rsidR="0060062C" w:rsidRDefault="0060062C" w:rsidP="00D51EAE">
            <w:r>
              <w:t>Criterion validity</w:t>
            </w:r>
          </w:p>
        </w:tc>
        <w:tc>
          <w:tcPr>
            <w:tcW w:w="2088" w:type="pct"/>
            <w:vMerge w:val="restart"/>
          </w:tcPr>
          <w:p w14:paraId="12B703B9"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The degree to which the scores of a PROM are an adequate reflection of a ‘gold standard’. The COSMIN panel reached consensus that no gold standard exists for PROMs. The only exception is when a shortened instrument is compared to the original long instrument.</w:t>
            </w:r>
          </w:p>
        </w:tc>
        <w:tc>
          <w:tcPr>
            <w:tcW w:w="441" w:type="pct"/>
          </w:tcPr>
          <w:p w14:paraId="12169AD7" w14:textId="77777777" w:rsidR="0060062C" w:rsidRDefault="0060062C" w:rsidP="00B322EE">
            <w:pPr>
              <w:jc w:val="center"/>
              <w:cnfStyle w:val="000000000000" w:firstRow="0" w:lastRow="0" w:firstColumn="0" w:lastColumn="0" w:oddVBand="0" w:evenVBand="0" w:oddHBand="0" w:evenHBand="0" w:firstRowFirstColumn="0" w:firstRowLastColumn="0" w:lastRowFirstColumn="0" w:lastRowLastColumn="0"/>
            </w:pPr>
            <w:r>
              <w:t>+</w:t>
            </w:r>
          </w:p>
        </w:tc>
        <w:tc>
          <w:tcPr>
            <w:tcW w:w="1589" w:type="pct"/>
          </w:tcPr>
          <w:p w14:paraId="083EDA4A"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Correlation with gold standard/AUC ≥0.70</w:t>
            </w:r>
          </w:p>
        </w:tc>
      </w:tr>
      <w:tr w:rsidR="0060062C" w14:paraId="326A6F18" w14:textId="77777777" w:rsidTr="00B322EE">
        <w:trPr>
          <w:trHeight w:val="60"/>
        </w:trPr>
        <w:tc>
          <w:tcPr>
            <w:cnfStyle w:val="001000000000" w:firstRow="0" w:lastRow="0" w:firstColumn="1" w:lastColumn="0" w:oddVBand="0" w:evenVBand="0" w:oddHBand="0" w:evenHBand="0" w:firstRowFirstColumn="0" w:firstRowLastColumn="0" w:lastRowFirstColumn="0" w:lastRowLastColumn="0"/>
            <w:tcW w:w="882" w:type="pct"/>
            <w:vMerge/>
          </w:tcPr>
          <w:p w14:paraId="7FD854AB" w14:textId="77777777" w:rsidR="0060062C" w:rsidRDefault="0060062C" w:rsidP="00D51EAE">
            <w:pPr>
              <w:pStyle w:val="NoParagraphStyle"/>
              <w:spacing w:line="240" w:lineRule="auto"/>
              <w:textAlignment w:val="auto"/>
              <w:rPr>
                <w:rFonts w:ascii="Arial" w:hAnsi="Arial" w:cs="Arial"/>
                <w:color w:val="auto"/>
              </w:rPr>
            </w:pPr>
          </w:p>
        </w:tc>
        <w:tc>
          <w:tcPr>
            <w:tcW w:w="2088" w:type="pct"/>
            <w:vMerge/>
          </w:tcPr>
          <w:p w14:paraId="29352EAA" w14:textId="77777777" w:rsidR="0060062C" w:rsidRDefault="0060062C" w:rsidP="00D51EAE">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441" w:type="pct"/>
          </w:tcPr>
          <w:p w14:paraId="784C040D" w14:textId="77777777" w:rsidR="0060062C" w:rsidRDefault="0060062C" w:rsidP="00B322EE">
            <w:pPr>
              <w:jc w:val="center"/>
              <w:cnfStyle w:val="000000000000" w:firstRow="0" w:lastRow="0" w:firstColumn="0" w:lastColumn="0" w:oddVBand="0" w:evenVBand="0" w:oddHBand="0" w:evenHBand="0" w:firstRowFirstColumn="0" w:firstRowLastColumn="0" w:lastRowFirstColumn="0" w:lastRowLastColumn="0"/>
            </w:pPr>
            <w:r>
              <w:t>?</w:t>
            </w:r>
          </w:p>
        </w:tc>
        <w:tc>
          <w:tcPr>
            <w:tcW w:w="1589" w:type="pct"/>
          </w:tcPr>
          <w:p w14:paraId="17444DD4"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Not all information for ‘+’ reported</w:t>
            </w:r>
          </w:p>
        </w:tc>
      </w:tr>
      <w:tr w:rsidR="0060062C" w14:paraId="4A1B31A6" w14:textId="77777777" w:rsidTr="00B322EE">
        <w:trPr>
          <w:trHeight w:val="60"/>
        </w:trPr>
        <w:tc>
          <w:tcPr>
            <w:cnfStyle w:val="001000000000" w:firstRow="0" w:lastRow="0" w:firstColumn="1" w:lastColumn="0" w:oddVBand="0" w:evenVBand="0" w:oddHBand="0" w:evenHBand="0" w:firstRowFirstColumn="0" w:firstRowLastColumn="0" w:lastRowFirstColumn="0" w:lastRowLastColumn="0"/>
            <w:tcW w:w="882" w:type="pct"/>
            <w:vMerge/>
          </w:tcPr>
          <w:p w14:paraId="3834C496" w14:textId="77777777" w:rsidR="0060062C" w:rsidRDefault="0060062C" w:rsidP="00D51EAE">
            <w:pPr>
              <w:pStyle w:val="NoParagraphStyle"/>
              <w:spacing w:line="240" w:lineRule="auto"/>
              <w:textAlignment w:val="auto"/>
              <w:rPr>
                <w:rFonts w:ascii="Arial" w:hAnsi="Arial" w:cs="Arial"/>
                <w:color w:val="auto"/>
              </w:rPr>
            </w:pPr>
          </w:p>
        </w:tc>
        <w:tc>
          <w:tcPr>
            <w:tcW w:w="2088" w:type="pct"/>
            <w:vMerge/>
          </w:tcPr>
          <w:p w14:paraId="5B66724D" w14:textId="77777777" w:rsidR="0060062C" w:rsidRDefault="0060062C" w:rsidP="00D51EAE">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441" w:type="pct"/>
          </w:tcPr>
          <w:p w14:paraId="043BDC94" w14:textId="77777777" w:rsidR="0060062C" w:rsidRDefault="0060062C" w:rsidP="00B322EE">
            <w:pPr>
              <w:jc w:val="center"/>
              <w:cnfStyle w:val="000000000000" w:firstRow="0" w:lastRow="0" w:firstColumn="0" w:lastColumn="0" w:oddVBand="0" w:evenVBand="0" w:oddHBand="0" w:evenHBand="0" w:firstRowFirstColumn="0" w:firstRowLastColumn="0" w:lastRowFirstColumn="0" w:lastRowLastColumn="0"/>
            </w:pPr>
            <w:r>
              <w:t>–</w:t>
            </w:r>
          </w:p>
        </w:tc>
        <w:tc>
          <w:tcPr>
            <w:tcW w:w="1589" w:type="pct"/>
          </w:tcPr>
          <w:p w14:paraId="0789BCC3"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 xml:space="preserve">Correlation with gold standard/AUC &lt;0.70 </w:t>
            </w:r>
          </w:p>
        </w:tc>
      </w:tr>
      <w:tr w:rsidR="0060062C" w14:paraId="226B5152" w14:textId="77777777" w:rsidTr="00B322EE">
        <w:trPr>
          <w:trHeight w:val="60"/>
        </w:trPr>
        <w:tc>
          <w:tcPr>
            <w:cnfStyle w:val="001000000000" w:firstRow="0" w:lastRow="0" w:firstColumn="1" w:lastColumn="0" w:oddVBand="0" w:evenVBand="0" w:oddHBand="0" w:evenHBand="0" w:firstRowFirstColumn="0" w:firstRowLastColumn="0" w:lastRowFirstColumn="0" w:lastRowLastColumn="0"/>
            <w:tcW w:w="882" w:type="pct"/>
            <w:vMerge w:val="restart"/>
          </w:tcPr>
          <w:p w14:paraId="104C789C" w14:textId="77777777" w:rsidR="0060062C" w:rsidRPr="00676766" w:rsidRDefault="0060062C" w:rsidP="00676766">
            <w:r w:rsidRPr="00676766">
              <w:t>Construct validity</w:t>
            </w:r>
          </w:p>
        </w:tc>
        <w:tc>
          <w:tcPr>
            <w:tcW w:w="2088" w:type="pct"/>
            <w:vMerge w:val="restart"/>
          </w:tcPr>
          <w:p w14:paraId="60BBC133"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The extent to which an instrument’s scores relate to other measures in a manner that is consistent with theoretically derived hypotheses regarding the concepts being measured.  </w:t>
            </w:r>
          </w:p>
        </w:tc>
        <w:tc>
          <w:tcPr>
            <w:tcW w:w="441" w:type="pct"/>
          </w:tcPr>
          <w:p w14:paraId="1DEFBB23" w14:textId="77777777" w:rsidR="0060062C" w:rsidRDefault="0060062C" w:rsidP="00B322EE">
            <w:pPr>
              <w:jc w:val="center"/>
              <w:cnfStyle w:val="000000000000" w:firstRow="0" w:lastRow="0" w:firstColumn="0" w:lastColumn="0" w:oddVBand="0" w:evenVBand="0" w:oddHBand="0" w:evenHBand="0" w:firstRowFirstColumn="0" w:firstRowLastColumn="0" w:lastRowFirstColumn="0" w:lastRowLastColumn="0"/>
            </w:pPr>
            <w:r>
              <w:t>+</w:t>
            </w:r>
          </w:p>
        </w:tc>
        <w:tc>
          <w:tcPr>
            <w:tcW w:w="1589" w:type="pct"/>
          </w:tcPr>
          <w:p w14:paraId="10EAFFFD"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 xml:space="preserve">Correlation with an instrument measuring the same construct ≥0.50 </w:t>
            </w:r>
            <w:r>
              <w:rPr>
                <w:rStyle w:val="Strong"/>
              </w:rPr>
              <w:t>or</w:t>
            </w:r>
            <w:r>
              <w:t xml:space="preserve"> ≥75% of the results are in accordance with hypotheses </w:t>
            </w:r>
            <w:r>
              <w:rPr>
                <w:rStyle w:val="Strong"/>
              </w:rPr>
              <w:t>and</w:t>
            </w:r>
            <w:r>
              <w:t xml:space="preserve"> correlation with related constructs is higher than unrelated constructs </w:t>
            </w:r>
          </w:p>
        </w:tc>
      </w:tr>
      <w:tr w:rsidR="0060062C" w14:paraId="4E805596" w14:textId="77777777" w:rsidTr="00B322EE">
        <w:trPr>
          <w:trHeight w:val="60"/>
        </w:trPr>
        <w:tc>
          <w:tcPr>
            <w:cnfStyle w:val="001000000000" w:firstRow="0" w:lastRow="0" w:firstColumn="1" w:lastColumn="0" w:oddVBand="0" w:evenVBand="0" w:oddHBand="0" w:evenHBand="0" w:firstRowFirstColumn="0" w:firstRowLastColumn="0" w:lastRowFirstColumn="0" w:lastRowLastColumn="0"/>
            <w:tcW w:w="882" w:type="pct"/>
            <w:vMerge/>
          </w:tcPr>
          <w:p w14:paraId="0A1B8A6A" w14:textId="77777777" w:rsidR="0060062C" w:rsidRDefault="0060062C" w:rsidP="00D51EAE">
            <w:pPr>
              <w:pStyle w:val="NoParagraphStyle"/>
              <w:spacing w:line="240" w:lineRule="auto"/>
              <w:textAlignment w:val="auto"/>
              <w:rPr>
                <w:rFonts w:ascii="Arial" w:hAnsi="Arial" w:cs="Arial"/>
                <w:color w:val="auto"/>
              </w:rPr>
            </w:pPr>
          </w:p>
        </w:tc>
        <w:tc>
          <w:tcPr>
            <w:tcW w:w="2088" w:type="pct"/>
            <w:vMerge/>
          </w:tcPr>
          <w:p w14:paraId="5D99ACE5" w14:textId="77777777" w:rsidR="0060062C" w:rsidRDefault="0060062C" w:rsidP="00D51EAE">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441" w:type="pct"/>
          </w:tcPr>
          <w:p w14:paraId="6B8AA35B" w14:textId="77777777" w:rsidR="0060062C" w:rsidRDefault="0060062C" w:rsidP="00B322EE">
            <w:pPr>
              <w:jc w:val="center"/>
              <w:cnfStyle w:val="000000000000" w:firstRow="0" w:lastRow="0" w:firstColumn="0" w:lastColumn="0" w:oddVBand="0" w:evenVBand="0" w:oddHBand="0" w:evenHBand="0" w:firstRowFirstColumn="0" w:firstRowLastColumn="0" w:lastRowFirstColumn="0" w:lastRowLastColumn="0"/>
            </w:pPr>
            <w:r>
              <w:t>?</w:t>
            </w:r>
          </w:p>
        </w:tc>
        <w:tc>
          <w:tcPr>
            <w:tcW w:w="1589" w:type="pct"/>
          </w:tcPr>
          <w:p w14:paraId="40A9D5EA"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 xml:space="preserve">No hypotheses defined </w:t>
            </w:r>
            <w:r>
              <w:rPr>
                <w:rStyle w:val="Strong"/>
              </w:rPr>
              <w:t>or</w:t>
            </w:r>
            <w:r>
              <w:t xml:space="preserve"> reported correlations solely with unrelated constructs</w:t>
            </w:r>
          </w:p>
        </w:tc>
      </w:tr>
      <w:tr w:rsidR="0060062C" w14:paraId="2C4182D0" w14:textId="77777777" w:rsidTr="00B322EE">
        <w:trPr>
          <w:trHeight w:val="60"/>
        </w:trPr>
        <w:tc>
          <w:tcPr>
            <w:cnfStyle w:val="001000000000" w:firstRow="0" w:lastRow="0" w:firstColumn="1" w:lastColumn="0" w:oddVBand="0" w:evenVBand="0" w:oddHBand="0" w:evenHBand="0" w:firstRowFirstColumn="0" w:firstRowLastColumn="0" w:lastRowFirstColumn="0" w:lastRowLastColumn="0"/>
            <w:tcW w:w="882" w:type="pct"/>
            <w:vMerge/>
          </w:tcPr>
          <w:p w14:paraId="2C6044B1" w14:textId="77777777" w:rsidR="0060062C" w:rsidRDefault="0060062C" w:rsidP="00D51EAE">
            <w:pPr>
              <w:pStyle w:val="NoParagraphStyle"/>
              <w:spacing w:line="240" w:lineRule="auto"/>
              <w:textAlignment w:val="auto"/>
              <w:rPr>
                <w:rFonts w:ascii="Arial" w:hAnsi="Arial" w:cs="Arial"/>
                <w:color w:val="auto"/>
              </w:rPr>
            </w:pPr>
          </w:p>
        </w:tc>
        <w:tc>
          <w:tcPr>
            <w:tcW w:w="2088" w:type="pct"/>
            <w:vMerge/>
          </w:tcPr>
          <w:p w14:paraId="0438150B" w14:textId="77777777" w:rsidR="0060062C" w:rsidRDefault="0060062C" w:rsidP="00D51EAE">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441" w:type="pct"/>
          </w:tcPr>
          <w:p w14:paraId="768BF932" w14:textId="77777777" w:rsidR="0060062C" w:rsidRDefault="0060062C" w:rsidP="00B322EE">
            <w:pPr>
              <w:jc w:val="center"/>
              <w:cnfStyle w:val="000000000000" w:firstRow="0" w:lastRow="0" w:firstColumn="0" w:lastColumn="0" w:oddVBand="0" w:evenVBand="0" w:oddHBand="0" w:evenHBand="0" w:firstRowFirstColumn="0" w:firstRowLastColumn="0" w:lastRowFirstColumn="0" w:lastRowLastColumn="0"/>
            </w:pPr>
            <w:r>
              <w:t>–</w:t>
            </w:r>
          </w:p>
        </w:tc>
        <w:tc>
          <w:tcPr>
            <w:tcW w:w="1589" w:type="pct"/>
          </w:tcPr>
          <w:p w14:paraId="72E3E7D3"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 xml:space="preserve">Correlation with an instrument measuring the same construct &lt;0.50 </w:t>
            </w:r>
            <w:r>
              <w:rPr>
                <w:rStyle w:val="Strong"/>
              </w:rPr>
              <w:t>or</w:t>
            </w:r>
            <w:r>
              <w:t xml:space="preserve"> &lt;75% of the results are in accordance with hypotheses </w:t>
            </w:r>
            <w:r>
              <w:rPr>
                <w:rStyle w:val="Strong"/>
              </w:rPr>
              <w:t>or</w:t>
            </w:r>
            <w:r>
              <w:t xml:space="preserve"> correlation with related constructs is lower than with unrelated constructs</w:t>
            </w:r>
          </w:p>
        </w:tc>
      </w:tr>
      <w:tr w:rsidR="0060062C" w14:paraId="3633AEEB" w14:textId="77777777" w:rsidTr="00B322EE">
        <w:trPr>
          <w:trHeight w:val="60"/>
        </w:trPr>
        <w:tc>
          <w:tcPr>
            <w:cnfStyle w:val="001000000000" w:firstRow="0" w:lastRow="0" w:firstColumn="1" w:lastColumn="0" w:oddVBand="0" w:evenVBand="0" w:oddHBand="0" w:evenHBand="0" w:firstRowFirstColumn="0" w:firstRowLastColumn="0" w:lastRowFirstColumn="0" w:lastRowLastColumn="0"/>
            <w:tcW w:w="882" w:type="pct"/>
            <w:vMerge w:val="restart"/>
          </w:tcPr>
          <w:p w14:paraId="68443476" w14:textId="77777777" w:rsidR="0060062C" w:rsidRPr="00676766" w:rsidRDefault="0060062C" w:rsidP="00676766">
            <w:r w:rsidRPr="00676766">
              <w:lastRenderedPageBreak/>
              <w:t>Responsiveness</w:t>
            </w:r>
          </w:p>
        </w:tc>
        <w:tc>
          <w:tcPr>
            <w:tcW w:w="2088" w:type="pct"/>
            <w:vMerge w:val="restart"/>
          </w:tcPr>
          <w:p w14:paraId="1B9D76F9"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The ability of a PROM to detect change over time when clinically relevant change is expected to occur. Recommended metrics include standardised measures of effect size and the Norman’s responsiveness coefficient.</w:t>
            </w:r>
          </w:p>
        </w:tc>
        <w:tc>
          <w:tcPr>
            <w:tcW w:w="441" w:type="pct"/>
          </w:tcPr>
          <w:p w14:paraId="02E9FBB6" w14:textId="77777777" w:rsidR="0060062C" w:rsidRDefault="0060062C" w:rsidP="00B322EE">
            <w:pPr>
              <w:jc w:val="center"/>
              <w:cnfStyle w:val="000000000000" w:firstRow="0" w:lastRow="0" w:firstColumn="0" w:lastColumn="0" w:oddVBand="0" w:evenVBand="0" w:oddHBand="0" w:evenHBand="0" w:firstRowFirstColumn="0" w:firstRowLastColumn="0" w:lastRowFirstColumn="0" w:lastRowLastColumn="0"/>
            </w:pPr>
            <w:r>
              <w:t>+</w:t>
            </w:r>
          </w:p>
        </w:tc>
        <w:tc>
          <w:tcPr>
            <w:tcW w:w="1589" w:type="pct"/>
          </w:tcPr>
          <w:p w14:paraId="656A3302"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The results are in accordance with hypotheses</w:t>
            </w:r>
          </w:p>
        </w:tc>
      </w:tr>
      <w:tr w:rsidR="0060062C" w14:paraId="2ED7EEA0" w14:textId="77777777" w:rsidTr="00B322EE">
        <w:trPr>
          <w:trHeight w:val="60"/>
        </w:trPr>
        <w:tc>
          <w:tcPr>
            <w:cnfStyle w:val="001000000000" w:firstRow="0" w:lastRow="0" w:firstColumn="1" w:lastColumn="0" w:oddVBand="0" w:evenVBand="0" w:oddHBand="0" w:evenHBand="0" w:firstRowFirstColumn="0" w:firstRowLastColumn="0" w:lastRowFirstColumn="0" w:lastRowLastColumn="0"/>
            <w:tcW w:w="882" w:type="pct"/>
            <w:vMerge/>
          </w:tcPr>
          <w:p w14:paraId="77CA3A05" w14:textId="77777777" w:rsidR="0060062C" w:rsidRDefault="0060062C" w:rsidP="00D51EAE">
            <w:pPr>
              <w:pStyle w:val="NoParagraphStyle"/>
              <w:spacing w:line="240" w:lineRule="auto"/>
              <w:textAlignment w:val="auto"/>
              <w:rPr>
                <w:rFonts w:ascii="Arial" w:hAnsi="Arial" w:cs="Arial"/>
                <w:color w:val="auto"/>
              </w:rPr>
            </w:pPr>
          </w:p>
        </w:tc>
        <w:tc>
          <w:tcPr>
            <w:tcW w:w="2088" w:type="pct"/>
            <w:vMerge/>
          </w:tcPr>
          <w:p w14:paraId="2420CB0D" w14:textId="77777777" w:rsidR="0060062C" w:rsidRDefault="0060062C" w:rsidP="00D51EAE">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441" w:type="pct"/>
          </w:tcPr>
          <w:p w14:paraId="191A87AB" w14:textId="77777777" w:rsidR="0060062C" w:rsidRDefault="0060062C" w:rsidP="00B322EE">
            <w:pPr>
              <w:jc w:val="center"/>
              <w:cnfStyle w:val="000000000000" w:firstRow="0" w:lastRow="0" w:firstColumn="0" w:lastColumn="0" w:oddVBand="0" w:evenVBand="0" w:oddHBand="0" w:evenHBand="0" w:firstRowFirstColumn="0" w:firstRowLastColumn="0" w:lastRowFirstColumn="0" w:lastRowLastColumn="0"/>
            </w:pPr>
            <w:r>
              <w:t>?</w:t>
            </w:r>
          </w:p>
        </w:tc>
        <w:tc>
          <w:tcPr>
            <w:tcW w:w="1589" w:type="pct"/>
          </w:tcPr>
          <w:p w14:paraId="29D36BB6"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No hypotheses were defined</w:t>
            </w:r>
          </w:p>
        </w:tc>
      </w:tr>
      <w:tr w:rsidR="0060062C" w14:paraId="32FFF038" w14:textId="77777777" w:rsidTr="00B322EE">
        <w:trPr>
          <w:trHeight w:val="60"/>
        </w:trPr>
        <w:tc>
          <w:tcPr>
            <w:cnfStyle w:val="001000000000" w:firstRow="0" w:lastRow="0" w:firstColumn="1" w:lastColumn="0" w:oddVBand="0" w:evenVBand="0" w:oddHBand="0" w:evenHBand="0" w:firstRowFirstColumn="0" w:firstRowLastColumn="0" w:lastRowFirstColumn="0" w:lastRowLastColumn="0"/>
            <w:tcW w:w="882" w:type="pct"/>
            <w:vMerge/>
          </w:tcPr>
          <w:p w14:paraId="2CEA2ADF" w14:textId="77777777" w:rsidR="0060062C" w:rsidRDefault="0060062C" w:rsidP="00D51EAE">
            <w:pPr>
              <w:pStyle w:val="NoParagraphStyle"/>
              <w:spacing w:line="240" w:lineRule="auto"/>
              <w:textAlignment w:val="auto"/>
              <w:rPr>
                <w:rFonts w:ascii="Arial" w:hAnsi="Arial" w:cs="Arial"/>
                <w:color w:val="auto"/>
              </w:rPr>
            </w:pPr>
          </w:p>
        </w:tc>
        <w:tc>
          <w:tcPr>
            <w:tcW w:w="2088" w:type="pct"/>
            <w:vMerge/>
          </w:tcPr>
          <w:p w14:paraId="2E7B7013" w14:textId="77777777" w:rsidR="0060062C" w:rsidRDefault="0060062C" w:rsidP="00D51EAE">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441" w:type="pct"/>
          </w:tcPr>
          <w:p w14:paraId="5087522E" w14:textId="77777777" w:rsidR="0060062C" w:rsidRDefault="0060062C" w:rsidP="00B322EE">
            <w:pPr>
              <w:jc w:val="center"/>
              <w:cnfStyle w:val="000000000000" w:firstRow="0" w:lastRow="0" w:firstColumn="0" w:lastColumn="0" w:oddVBand="0" w:evenVBand="0" w:oddHBand="0" w:evenHBand="0" w:firstRowFirstColumn="0" w:firstRowLastColumn="0" w:lastRowFirstColumn="0" w:lastRowLastColumn="0"/>
            </w:pPr>
            <w:r>
              <w:t>–</w:t>
            </w:r>
          </w:p>
        </w:tc>
        <w:tc>
          <w:tcPr>
            <w:tcW w:w="1589" w:type="pct"/>
          </w:tcPr>
          <w:p w14:paraId="7268A146"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The results are not in accordance with hypotheses</w:t>
            </w:r>
          </w:p>
        </w:tc>
      </w:tr>
    </w:tbl>
    <w:p w14:paraId="32122495" w14:textId="547CA005" w:rsidR="0060062C" w:rsidRDefault="00B322EE" w:rsidP="00B322EE">
      <w:pPr>
        <w:spacing w:before="120"/>
      </w:pPr>
      <w:r w:rsidRPr="00B322EE">
        <w:rPr>
          <w:rStyle w:val="FootnoteTextChar"/>
        </w:rPr>
        <w:t>+ = sufficient, – = insufficient, ? = indeterminate, AUC = area under curve, CFA = confirmatory factor analysis, CFI = comparative fit index, COSMIN = The COnsensus-based Standards for the selection of health Measurement INstruments, ICC = intraclass coefficient, IRT = item response theory, LoA = limits of agreement, MIC = minimal important change, PROM = patient-reported outcome measure, RMSEA = root mean square error of approximation, SDC = smallest detectable change, SRMR = standardised root mean residuals, TLI = Tucker–Lewis</w:t>
      </w:r>
      <w:r>
        <w:t xml:space="preserve"> index.</w:t>
      </w:r>
    </w:p>
    <w:p w14:paraId="7D122AA9" w14:textId="77777777" w:rsidR="0060062C" w:rsidRDefault="0060062C" w:rsidP="0060062C">
      <w:pPr>
        <w:pStyle w:val="Heading1"/>
      </w:pPr>
      <w:bookmarkStart w:id="43" w:name="AE"/>
      <w:bookmarkStart w:id="44" w:name="_Toc175215374"/>
      <w:r>
        <w:lastRenderedPageBreak/>
        <w:t>Appendix E</w:t>
      </w:r>
      <w:bookmarkEnd w:id="43"/>
      <w:r>
        <w:t>: Summary grading of psychometric properties</w:t>
      </w:r>
      <w:bookmarkEnd w:id="44"/>
    </w:p>
    <w:p w14:paraId="3CFBA0FD" w14:textId="77777777" w:rsidR="0060062C" w:rsidRDefault="0060062C" w:rsidP="0060062C">
      <w:pPr>
        <w:pStyle w:val="Caption"/>
      </w:pPr>
      <w:bookmarkStart w:id="45" w:name="T9"/>
      <w:r>
        <w:t>Table 9</w:t>
      </w:r>
      <w:bookmarkEnd w:id="45"/>
      <w:r>
        <w:t>: Summary grading of psychometric properties of recommended PROMs for low back pain</w:t>
      </w:r>
    </w:p>
    <w:tbl>
      <w:tblPr>
        <w:tblStyle w:val="PROMTable"/>
        <w:tblW w:w="5000" w:type="pct"/>
        <w:tblLook w:val="06A0" w:firstRow="1" w:lastRow="0" w:firstColumn="1" w:lastColumn="0" w:noHBand="1" w:noVBand="1"/>
        <w:tblDescription w:val="Table 9: Summary grading of psychometric properties of recommended PROMs for low back pain"/>
      </w:tblPr>
      <w:tblGrid>
        <w:gridCol w:w="1265"/>
        <w:gridCol w:w="2430"/>
        <w:gridCol w:w="1208"/>
        <w:gridCol w:w="1208"/>
        <w:gridCol w:w="1301"/>
        <w:gridCol w:w="1642"/>
      </w:tblGrid>
      <w:tr w:rsidR="00583975" w14:paraId="0B264EA6" w14:textId="77777777" w:rsidTr="00583975">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041" w:type="pct"/>
            <w:gridSpan w:val="2"/>
          </w:tcPr>
          <w:p w14:paraId="1C5BCCAC" w14:textId="77777777" w:rsidR="0060062C" w:rsidRDefault="0060062C" w:rsidP="00D51EAE">
            <w:r>
              <w:t>Measurement properties</w:t>
            </w:r>
          </w:p>
        </w:tc>
        <w:tc>
          <w:tcPr>
            <w:tcW w:w="667" w:type="pct"/>
          </w:tcPr>
          <w:p w14:paraId="08C7B642" w14:textId="77777777" w:rsidR="0060062C" w:rsidRPr="00583975" w:rsidRDefault="0060062C" w:rsidP="00583975">
            <w:pPr>
              <w:cnfStyle w:val="100000000000" w:firstRow="1" w:lastRow="0" w:firstColumn="0" w:lastColumn="0" w:oddVBand="0" w:evenVBand="0" w:oddHBand="0" w:evenHBand="0" w:firstRowFirstColumn="0" w:firstRowLastColumn="0" w:lastRowFirstColumn="0" w:lastRowLastColumn="0"/>
            </w:pPr>
            <w:r w:rsidRPr="00583975">
              <w:t>NPRS</w:t>
            </w:r>
            <w:r w:rsidRPr="00583975">
              <w:rPr>
                <w:rStyle w:val="Superscriptwhite"/>
              </w:rPr>
              <w:t>19</w:t>
            </w:r>
          </w:p>
        </w:tc>
        <w:tc>
          <w:tcPr>
            <w:tcW w:w="667" w:type="pct"/>
          </w:tcPr>
          <w:p w14:paraId="70A7B84C" w14:textId="77777777" w:rsidR="0060062C" w:rsidRPr="00583975" w:rsidRDefault="0060062C" w:rsidP="00583975">
            <w:pPr>
              <w:cnfStyle w:val="100000000000" w:firstRow="1" w:lastRow="0" w:firstColumn="0" w:lastColumn="0" w:oddVBand="0" w:evenVBand="0" w:oddHBand="0" w:evenHBand="0" w:firstRowFirstColumn="0" w:firstRowLastColumn="0" w:lastRowFirstColumn="0" w:lastRowLastColumn="0"/>
            </w:pPr>
            <w:r w:rsidRPr="00583975">
              <w:t>ODI</w:t>
            </w:r>
            <w:r w:rsidRPr="00583975">
              <w:rPr>
                <w:rStyle w:val="Superscriptwhite"/>
              </w:rPr>
              <w:t>25,26</w:t>
            </w:r>
          </w:p>
        </w:tc>
        <w:tc>
          <w:tcPr>
            <w:tcW w:w="718" w:type="pct"/>
          </w:tcPr>
          <w:p w14:paraId="6D562FE5" w14:textId="77777777" w:rsidR="0060062C" w:rsidRPr="00583975" w:rsidRDefault="0060062C" w:rsidP="00583975">
            <w:pPr>
              <w:cnfStyle w:val="100000000000" w:firstRow="1" w:lastRow="0" w:firstColumn="0" w:lastColumn="0" w:oddVBand="0" w:evenVBand="0" w:oddHBand="0" w:evenHBand="0" w:firstRowFirstColumn="0" w:firstRowLastColumn="0" w:lastRowFirstColumn="0" w:lastRowLastColumn="0"/>
            </w:pPr>
            <w:r w:rsidRPr="00583975">
              <w:t>RMDQ</w:t>
            </w:r>
            <w:r w:rsidRPr="00583975">
              <w:rPr>
                <w:rStyle w:val="Superscriptwhite"/>
              </w:rPr>
              <w:t>25,26</w:t>
            </w:r>
          </w:p>
        </w:tc>
        <w:tc>
          <w:tcPr>
            <w:tcW w:w="907" w:type="pct"/>
          </w:tcPr>
          <w:p w14:paraId="1E7860CD" w14:textId="77777777" w:rsidR="0060062C" w:rsidRDefault="0060062C" w:rsidP="00583975">
            <w:pPr>
              <w:cnfStyle w:val="100000000000" w:firstRow="1" w:lastRow="0" w:firstColumn="0" w:lastColumn="0" w:oddVBand="0" w:evenVBand="0" w:oddHBand="0" w:evenHBand="0" w:firstRowFirstColumn="0" w:firstRowLastColumn="0" w:lastRowFirstColumn="0" w:lastRowLastColumn="0"/>
            </w:pPr>
            <w:r>
              <w:t>EQ-5D-5L (uti</w:t>
            </w:r>
            <w:r w:rsidRPr="00583975">
              <w:t>lity)</w:t>
            </w:r>
            <w:r w:rsidRPr="00583975">
              <w:rPr>
                <w:rStyle w:val="Superscriptwhite"/>
              </w:rPr>
              <w:t>36</w:t>
            </w:r>
          </w:p>
        </w:tc>
      </w:tr>
      <w:tr w:rsidR="00583975" w14:paraId="3A1AD60C" w14:textId="77777777" w:rsidTr="00583975">
        <w:trPr>
          <w:trHeight w:val="580"/>
        </w:trPr>
        <w:tc>
          <w:tcPr>
            <w:cnfStyle w:val="001000000000" w:firstRow="0" w:lastRow="0" w:firstColumn="1" w:lastColumn="0" w:oddVBand="0" w:evenVBand="0" w:oddHBand="0" w:evenHBand="0" w:firstRowFirstColumn="0" w:firstRowLastColumn="0" w:lastRowFirstColumn="0" w:lastRowLastColumn="0"/>
            <w:tcW w:w="699" w:type="pct"/>
            <w:vMerge w:val="restart"/>
          </w:tcPr>
          <w:p w14:paraId="57A3F64B" w14:textId="77777777" w:rsidR="0060062C" w:rsidRDefault="0060062C" w:rsidP="00D51EAE">
            <w:r>
              <w:t>Content validity</w:t>
            </w:r>
          </w:p>
        </w:tc>
        <w:tc>
          <w:tcPr>
            <w:tcW w:w="1342" w:type="pct"/>
          </w:tcPr>
          <w:p w14:paraId="482C79BB" w14:textId="77777777" w:rsidR="0060062C" w:rsidRPr="00583975" w:rsidRDefault="0060062C" w:rsidP="00D51EAE">
            <w:pPr>
              <w:cnfStyle w:val="000000000000" w:firstRow="0" w:lastRow="0" w:firstColumn="0" w:lastColumn="0" w:oddVBand="0" w:evenVBand="0" w:oddHBand="0" w:evenHBand="0" w:firstRowFirstColumn="0" w:firstRowLastColumn="0" w:lastRowFirstColumn="0" w:lastRowLastColumn="0"/>
              <w:rPr>
                <w:rStyle w:val="Strong"/>
              </w:rPr>
            </w:pPr>
            <w:r w:rsidRPr="00583975">
              <w:rPr>
                <w:rStyle w:val="Strong"/>
              </w:rPr>
              <w:t>Relevance</w:t>
            </w:r>
          </w:p>
        </w:tc>
        <w:tc>
          <w:tcPr>
            <w:tcW w:w="667" w:type="pct"/>
          </w:tcPr>
          <w:p w14:paraId="6D46D6A5"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w:t>
            </w:r>
          </w:p>
          <w:p w14:paraId="51A55E5E"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Low</w:t>
            </w:r>
          </w:p>
        </w:tc>
        <w:tc>
          <w:tcPr>
            <w:tcW w:w="667" w:type="pct"/>
          </w:tcPr>
          <w:p w14:paraId="502221AD"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w:t>
            </w:r>
          </w:p>
          <w:p w14:paraId="4872C868"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Very low</w:t>
            </w:r>
          </w:p>
        </w:tc>
        <w:tc>
          <w:tcPr>
            <w:tcW w:w="718" w:type="pct"/>
          </w:tcPr>
          <w:p w14:paraId="767F2075"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w:t>
            </w:r>
          </w:p>
          <w:p w14:paraId="060D312D"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Very low</w:t>
            </w:r>
          </w:p>
        </w:tc>
        <w:tc>
          <w:tcPr>
            <w:tcW w:w="907" w:type="pct"/>
          </w:tcPr>
          <w:p w14:paraId="43244AD0"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w:t>
            </w:r>
          </w:p>
          <w:p w14:paraId="6256E1A1"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Very low</w:t>
            </w:r>
          </w:p>
        </w:tc>
      </w:tr>
      <w:tr w:rsidR="00583975" w14:paraId="60C00AA5" w14:textId="77777777" w:rsidTr="00583975">
        <w:trPr>
          <w:trHeight w:val="580"/>
        </w:trPr>
        <w:tc>
          <w:tcPr>
            <w:cnfStyle w:val="001000000000" w:firstRow="0" w:lastRow="0" w:firstColumn="1" w:lastColumn="0" w:oddVBand="0" w:evenVBand="0" w:oddHBand="0" w:evenHBand="0" w:firstRowFirstColumn="0" w:firstRowLastColumn="0" w:lastRowFirstColumn="0" w:lastRowLastColumn="0"/>
            <w:tcW w:w="699" w:type="pct"/>
            <w:vMerge/>
          </w:tcPr>
          <w:p w14:paraId="32926E2A" w14:textId="77777777" w:rsidR="0060062C" w:rsidRDefault="0060062C" w:rsidP="00D51EAE">
            <w:pPr>
              <w:pStyle w:val="NoParagraphStyle"/>
              <w:spacing w:line="240" w:lineRule="auto"/>
              <w:textAlignment w:val="auto"/>
              <w:rPr>
                <w:rFonts w:ascii="Arial" w:hAnsi="Arial" w:cs="Arial"/>
                <w:color w:val="auto"/>
              </w:rPr>
            </w:pPr>
          </w:p>
        </w:tc>
        <w:tc>
          <w:tcPr>
            <w:tcW w:w="1342" w:type="pct"/>
          </w:tcPr>
          <w:p w14:paraId="36991900" w14:textId="77777777" w:rsidR="0060062C" w:rsidRPr="00583975" w:rsidRDefault="0060062C" w:rsidP="00D51EAE">
            <w:pPr>
              <w:cnfStyle w:val="000000000000" w:firstRow="0" w:lastRow="0" w:firstColumn="0" w:lastColumn="0" w:oddVBand="0" w:evenVBand="0" w:oddHBand="0" w:evenHBand="0" w:firstRowFirstColumn="0" w:firstRowLastColumn="0" w:lastRowFirstColumn="0" w:lastRowLastColumn="0"/>
              <w:rPr>
                <w:rStyle w:val="Strong"/>
              </w:rPr>
            </w:pPr>
            <w:r w:rsidRPr="00583975">
              <w:rPr>
                <w:rStyle w:val="Strong"/>
              </w:rPr>
              <w:t>Comprehensiveness</w:t>
            </w:r>
          </w:p>
        </w:tc>
        <w:tc>
          <w:tcPr>
            <w:tcW w:w="667" w:type="pct"/>
          </w:tcPr>
          <w:p w14:paraId="2A60E360"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w:t>
            </w:r>
          </w:p>
          <w:p w14:paraId="61FFB390"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Low</w:t>
            </w:r>
          </w:p>
        </w:tc>
        <w:tc>
          <w:tcPr>
            <w:tcW w:w="667" w:type="pct"/>
          </w:tcPr>
          <w:p w14:paraId="2998856A"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w:t>
            </w:r>
          </w:p>
          <w:p w14:paraId="5B42EEC6"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Very low</w:t>
            </w:r>
          </w:p>
        </w:tc>
        <w:tc>
          <w:tcPr>
            <w:tcW w:w="718" w:type="pct"/>
          </w:tcPr>
          <w:p w14:paraId="31CF15C5"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w:t>
            </w:r>
          </w:p>
          <w:p w14:paraId="7082F95C"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High</w:t>
            </w:r>
          </w:p>
        </w:tc>
        <w:tc>
          <w:tcPr>
            <w:tcW w:w="907" w:type="pct"/>
          </w:tcPr>
          <w:p w14:paraId="6BA5339B"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w:t>
            </w:r>
          </w:p>
          <w:p w14:paraId="3BB9C4CF"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Very low</w:t>
            </w:r>
          </w:p>
        </w:tc>
      </w:tr>
      <w:tr w:rsidR="00583975" w14:paraId="189BFAD2" w14:textId="77777777" w:rsidTr="00583975">
        <w:trPr>
          <w:trHeight w:val="580"/>
        </w:trPr>
        <w:tc>
          <w:tcPr>
            <w:cnfStyle w:val="001000000000" w:firstRow="0" w:lastRow="0" w:firstColumn="1" w:lastColumn="0" w:oddVBand="0" w:evenVBand="0" w:oddHBand="0" w:evenHBand="0" w:firstRowFirstColumn="0" w:firstRowLastColumn="0" w:lastRowFirstColumn="0" w:lastRowLastColumn="0"/>
            <w:tcW w:w="699" w:type="pct"/>
            <w:vMerge/>
          </w:tcPr>
          <w:p w14:paraId="426546CA" w14:textId="77777777" w:rsidR="0060062C" w:rsidRDefault="0060062C" w:rsidP="00D51EAE">
            <w:pPr>
              <w:pStyle w:val="NoParagraphStyle"/>
              <w:spacing w:line="240" w:lineRule="auto"/>
              <w:textAlignment w:val="auto"/>
              <w:rPr>
                <w:rFonts w:ascii="Arial" w:hAnsi="Arial" w:cs="Arial"/>
                <w:color w:val="auto"/>
              </w:rPr>
            </w:pPr>
          </w:p>
        </w:tc>
        <w:tc>
          <w:tcPr>
            <w:tcW w:w="1342" w:type="pct"/>
          </w:tcPr>
          <w:p w14:paraId="42598DF9" w14:textId="77777777" w:rsidR="0060062C" w:rsidRPr="00583975" w:rsidRDefault="0060062C" w:rsidP="00D51EAE">
            <w:pPr>
              <w:cnfStyle w:val="000000000000" w:firstRow="0" w:lastRow="0" w:firstColumn="0" w:lastColumn="0" w:oddVBand="0" w:evenVBand="0" w:oddHBand="0" w:evenHBand="0" w:firstRowFirstColumn="0" w:firstRowLastColumn="0" w:lastRowFirstColumn="0" w:lastRowLastColumn="0"/>
              <w:rPr>
                <w:rStyle w:val="Strong"/>
              </w:rPr>
            </w:pPr>
            <w:r w:rsidRPr="00583975">
              <w:rPr>
                <w:rStyle w:val="Strong"/>
              </w:rPr>
              <w:t>Comprehensibility</w:t>
            </w:r>
          </w:p>
        </w:tc>
        <w:tc>
          <w:tcPr>
            <w:tcW w:w="667" w:type="pct"/>
          </w:tcPr>
          <w:p w14:paraId="00A85417"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w:t>
            </w:r>
          </w:p>
          <w:p w14:paraId="54AEA689"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Very low</w:t>
            </w:r>
          </w:p>
        </w:tc>
        <w:tc>
          <w:tcPr>
            <w:tcW w:w="667" w:type="pct"/>
          </w:tcPr>
          <w:p w14:paraId="4B37A7BE"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w:t>
            </w:r>
          </w:p>
          <w:p w14:paraId="312AFE63"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Very low</w:t>
            </w:r>
          </w:p>
        </w:tc>
        <w:tc>
          <w:tcPr>
            <w:tcW w:w="718" w:type="pct"/>
          </w:tcPr>
          <w:p w14:paraId="596DF80D"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w:t>
            </w:r>
          </w:p>
          <w:p w14:paraId="6AD1EDA0"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High</w:t>
            </w:r>
          </w:p>
        </w:tc>
        <w:tc>
          <w:tcPr>
            <w:tcW w:w="907" w:type="pct"/>
          </w:tcPr>
          <w:p w14:paraId="12960A57"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w:t>
            </w:r>
          </w:p>
          <w:p w14:paraId="21175EC9"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Very low</w:t>
            </w:r>
          </w:p>
        </w:tc>
      </w:tr>
      <w:tr w:rsidR="0060062C" w14:paraId="287A71EC" w14:textId="77777777" w:rsidTr="00583975">
        <w:trPr>
          <w:trHeight w:val="580"/>
        </w:trPr>
        <w:tc>
          <w:tcPr>
            <w:cnfStyle w:val="001000000000" w:firstRow="0" w:lastRow="0" w:firstColumn="1" w:lastColumn="0" w:oddVBand="0" w:evenVBand="0" w:oddHBand="0" w:evenHBand="0" w:firstRowFirstColumn="0" w:firstRowLastColumn="0" w:lastRowFirstColumn="0" w:lastRowLastColumn="0"/>
            <w:tcW w:w="2041" w:type="pct"/>
            <w:gridSpan w:val="2"/>
          </w:tcPr>
          <w:p w14:paraId="32F20DCD" w14:textId="77777777" w:rsidR="0060062C" w:rsidRDefault="0060062C" w:rsidP="00D51EAE">
            <w:r>
              <w:t>Structural validity</w:t>
            </w:r>
          </w:p>
        </w:tc>
        <w:tc>
          <w:tcPr>
            <w:tcW w:w="667" w:type="pct"/>
          </w:tcPr>
          <w:p w14:paraId="0B083E34"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N/A</w:t>
            </w:r>
          </w:p>
        </w:tc>
        <w:tc>
          <w:tcPr>
            <w:tcW w:w="667" w:type="pct"/>
          </w:tcPr>
          <w:p w14:paraId="5647045E"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w:t>
            </w:r>
          </w:p>
          <w:p w14:paraId="7D7F5BD1"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Moderate</w:t>
            </w:r>
          </w:p>
        </w:tc>
        <w:tc>
          <w:tcPr>
            <w:tcW w:w="718" w:type="pct"/>
          </w:tcPr>
          <w:p w14:paraId="19F260AE"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w:t>
            </w:r>
          </w:p>
          <w:p w14:paraId="0273C184"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High</w:t>
            </w:r>
          </w:p>
        </w:tc>
        <w:tc>
          <w:tcPr>
            <w:tcW w:w="907" w:type="pct"/>
          </w:tcPr>
          <w:p w14:paraId="2DD39150" w14:textId="77777777" w:rsidR="0060062C" w:rsidRDefault="0060062C" w:rsidP="00D51EAE">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60062C" w14:paraId="4366909E" w14:textId="77777777" w:rsidTr="00583975">
        <w:trPr>
          <w:trHeight w:val="580"/>
        </w:trPr>
        <w:tc>
          <w:tcPr>
            <w:cnfStyle w:val="001000000000" w:firstRow="0" w:lastRow="0" w:firstColumn="1" w:lastColumn="0" w:oddVBand="0" w:evenVBand="0" w:oddHBand="0" w:evenHBand="0" w:firstRowFirstColumn="0" w:firstRowLastColumn="0" w:lastRowFirstColumn="0" w:lastRowLastColumn="0"/>
            <w:tcW w:w="2041" w:type="pct"/>
            <w:gridSpan w:val="2"/>
          </w:tcPr>
          <w:p w14:paraId="7C713CA1" w14:textId="77777777" w:rsidR="0060062C" w:rsidRDefault="0060062C" w:rsidP="00D51EAE">
            <w:r>
              <w:t>Internal consistency</w:t>
            </w:r>
          </w:p>
        </w:tc>
        <w:tc>
          <w:tcPr>
            <w:tcW w:w="667" w:type="pct"/>
          </w:tcPr>
          <w:p w14:paraId="1F2FDAC9"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N/A</w:t>
            </w:r>
          </w:p>
        </w:tc>
        <w:tc>
          <w:tcPr>
            <w:tcW w:w="667" w:type="pct"/>
          </w:tcPr>
          <w:p w14:paraId="09E912E3"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w:t>
            </w:r>
          </w:p>
          <w:p w14:paraId="4D8634FA"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Moderate</w:t>
            </w:r>
          </w:p>
        </w:tc>
        <w:tc>
          <w:tcPr>
            <w:tcW w:w="718" w:type="pct"/>
          </w:tcPr>
          <w:p w14:paraId="30AB4299"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w:t>
            </w:r>
          </w:p>
          <w:p w14:paraId="3526B103"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Moderate</w:t>
            </w:r>
          </w:p>
        </w:tc>
        <w:tc>
          <w:tcPr>
            <w:tcW w:w="907" w:type="pct"/>
          </w:tcPr>
          <w:p w14:paraId="28619A3B" w14:textId="77777777" w:rsidR="0060062C" w:rsidRDefault="0060062C" w:rsidP="00D51EAE">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60062C" w14:paraId="617C8967" w14:textId="77777777" w:rsidTr="00583975">
        <w:trPr>
          <w:trHeight w:val="580"/>
        </w:trPr>
        <w:tc>
          <w:tcPr>
            <w:cnfStyle w:val="001000000000" w:firstRow="0" w:lastRow="0" w:firstColumn="1" w:lastColumn="0" w:oddVBand="0" w:evenVBand="0" w:oddHBand="0" w:evenHBand="0" w:firstRowFirstColumn="0" w:firstRowLastColumn="0" w:lastRowFirstColumn="0" w:lastRowLastColumn="0"/>
            <w:tcW w:w="2041" w:type="pct"/>
            <w:gridSpan w:val="2"/>
          </w:tcPr>
          <w:p w14:paraId="50C6C64E" w14:textId="77777777" w:rsidR="0060062C" w:rsidRDefault="0060062C" w:rsidP="00D51EAE">
            <w:r>
              <w:t>Test–retest reliability</w:t>
            </w:r>
          </w:p>
        </w:tc>
        <w:tc>
          <w:tcPr>
            <w:tcW w:w="667" w:type="pct"/>
          </w:tcPr>
          <w:p w14:paraId="74B26E0F"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w:t>
            </w:r>
          </w:p>
          <w:p w14:paraId="7C35197A"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Low</w:t>
            </w:r>
          </w:p>
        </w:tc>
        <w:tc>
          <w:tcPr>
            <w:tcW w:w="667" w:type="pct"/>
          </w:tcPr>
          <w:p w14:paraId="1C1F4A0B"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w:t>
            </w:r>
          </w:p>
          <w:p w14:paraId="7768510C"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Moderate</w:t>
            </w:r>
          </w:p>
        </w:tc>
        <w:tc>
          <w:tcPr>
            <w:tcW w:w="718" w:type="pct"/>
          </w:tcPr>
          <w:p w14:paraId="77FA3D61"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w:t>
            </w:r>
          </w:p>
          <w:p w14:paraId="5611B48A"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Moderate</w:t>
            </w:r>
          </w:p>
        </w:tc>
        <w:tc>
          <w:tcPr>
            <w:tcW w:w="907" w:type="pct"/>
          </w:tcPr>
          <w:p w14:paraId="0047E72E" w14:textId="77777777" w:rsidR="0060062C" w:rsidRDefault="0060062C" w:rsidP="00D51EAE">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60062C" w14:paraId="3226F375" w14:textId="77777777" w:rsidTr="00583975">
        <w:trPr>
          <w:trHeight w:val="580"/>
        </w:trPr>
        <w:tc>
          <w:tcPr>
            <w:cnfStyle w:val="001000000000" w:firstRow="0" w:lastRow="0" w:firstColumn="1" w:lastColumn="0" w:oddVBand="0" w:evenVBand="0" w:oddHBand="0" w:evenHBand="0" w:firstRowFirstColumn="0" w:firstRowLastColumn="0" w:lastRowFirstColumn="0" w:lastRowLastColumn="0"/>
            <w:tcW w:w="2041" w:type="pct"/>
            <w:gridSpan w:val="2"/>
          </w:tcPr>
          <w:p w14:paraId="01B02F62" w14:textId="77777777" w:rsidR="0060062C" w:rsidRDefault="0060062C" w:rsidP="00D51EAE">
            <w:r>
              <w:t>Measurement error</w:t>
            </w:r>
          </w:p>
        </w:tc>
        <w:tc>
          <w:tcPr>
            <w:tcW w:w="667" w:type="pct"/>
          </w:tcPr>
          <w:p w14:paraId="5F1660DF"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w:t>
            </w:r>
          </w:p>
          <w:p w14:paraId="788F3389"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High</w:t>
            </w:r>
          </w:p>
        </w:tc>
        <w:tc>
          <w:tcPr>
            <w:tcW w:w="667" w:type="pct"/>
          </w:tcPr>
          <w:p w14:paraId="28B90E86"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w:t>
            </w:r>
          </w:p>
          <w:p w14:paraId="5E6EF8FA"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Moderate</w:t>
            </w:r>
          </w:p>
        </w:tc>
        <w:tc>
          <w:tcPr>
            <w:tcW w:w="718" w:type="pct"/>
          </w:tcPr>
          <w:p w14:paraId="625287E7"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w:t>
            </w:r>
          </w:p>
          <w:p w14:paraId="13349724"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Moderate</w:t>
            </w:r>
          </w:p>
        </w:tc>
        <w:tc>
          <w:tcPr>
            <w:tcW w:w="907" w:type="pct"/>
          </w:tcPr>
          <w:p w14:paraId="6396FAF8" w14:textId="77777777" w:rsidR="0060062C" w:rsidRDefault="0060062C" w:rsidP="00D51EAE">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60062C" w14:paraId="04596220" w14:textId="77777777" w:rsidTr="00583975">
        <w:trPr>
          <w:trHeight w:val="580"/>
        </w:trPr>
        <w:tc>
          <w:tcPr>
            <w:cnfStyle w:val="001000000000" w:firstRow="0" w:lastRow="0" w:firstColumn="1" w:lastColumn="0" w:oddVBand="0" w:evenVBand="0" w:oddHBand="0" w:evenHBand="0" w:firstRowFirstColumn="0" w:firstRowLastColumn="0" w:lastRowFirstColumn="0" w:lastRowLastColumn="0"/>
            <w:tcW w:w="2041" w:type="pct"/>
            <w:gridSpan w:val="2"/>
          </w:tcPr>
          <w:p w14:paraId="1B56908B" w14:textId="77777777" w:rsidR="0060062C" w:rsidRDefault="0060062C" w:rsidP="00D51EAE">
            <w:r>
              <w:t>Construct validity</w:t>
            </w:r>
          </w:p>
        </w:tc>
        <w:tc>
          <w:tcPr>
            <w:tcW w:w="667" w:type="pct"/>
          </w:tcPr>
          <w:p w14:paraId="62F3F172"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w:t>
            </w:r>
          </w:p>
          <w:p w14:paraId="43829128"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Very low</w:t>
            </w:r>
          </w:p>
        </w:tc>
        <w:tc>
          <w:tcPr>
            <w:tcW w:w="667" w:type="pct"/>
          </w:tcPr>
          <w:p w14:paraId="03079735"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w:t>
            </w:r>
          </w:p>
          <w:p w14:paraId="55408067"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Moderate</w:t>
            </w:r>
          </w:p>
        </w:tc>
        <w:tc>
          <w:tcPr>
            <w:tcW w:w="718" w:type="pct"/>
          </w:tcPr>
          <w:p w14:paraId="268AD972"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w:t>
            </w:r>
          </w:p>
          <w:p w14:paraId="37C4B5B8"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Moderate</w:t>
            </w:r>
          </w:p>
        </w:tc>
        <w:tc>
          <w:tcPr>
            <w:tcW w:w="907" w:type="pct"/>
          </w:tcPr>
          <w:p w14:paraId="107C1C61" w14:textId="77777777" w:rsidR="0060062C" w:rsidRDefault="0060062C" w:rsidP="00D51EAE">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60062C" w14:paraId="56E2E48D" w14:textId="77777777" w:rsidTr="00583975">
        <w:trPr>
          <w:trHeight w:val="580"/>
        </w:trPr>
        <w:tc>
          <w:tcPr>
            <w:cnfStyle w:val="001000000000" w:firstRow="0" w:lastRow="0" w:firstColumn="1" w:lastColumn="0" w:oddVBand="0" w:evenVBand="0" w:oddHBand="0" w:evenHBand="0" w:firstRowFirstColumn="0" w:firstRowLastColumn="0" w:lastRowFirstColumn="0" w:lastRowLastColumn="0"/>
            <w:tcW w:w="2041" w:type="pct"/>
            <w:gridSpan w:val="2"/>
          </w:tcPr>
          <w:p w14:paraId="74161188" w14:textId="77777777" w:rsidR="0060062C" w:rsidRDefault="0060062C" w:rsidP="00D51EAE">
            <w:r>
              <w:t>Responsiveness</w:t>
            </w:r>
          </w:p>
        </w:tc>
        <w:tc>
          <w:tcPr>
            <w:tcW w:w="667" w:type="pct"/>
          </w:tcPr>
          <w:p w14:paraId="0DAB792F"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w:t>
            </w:r>
          </w:p>
          <w:p w14:paraId="0654AD69"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Moderate</w:t>
            </w:r>
          </w:p>
        </w:tc>
        <w:tc>
          <w:tcPr>
            <w:tcW w:w="667" w:type="pct"/>
          </w:tcPr>
          <w:p w14:paraId="798D447F"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w:t>
            </w:r>
          </w:p>
          <w:p w14:paraId="3B89B48C"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Moderate</w:t>
            </w:r>
          </w:p>
        </w:tc>
        <w:tc>
          <w:tcPr>
            <w:tcW w:w="718" w:type="pct"/>
          </w:tcPr>
          <w:p w14:paraId="2CE034CE"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w:t>
            </w:r>
          </w:p>
          <w:p w14:paraId="3056836D" w14:textId="77777777" w:rsidR="0060062C" w:rsidRDefault="0060062C" w:rsidP="00D51EAE">
            <w:pPr>
              <w:spacing w:after="0"/>
              <w:jc w:val="center"/>
              <w:cnfStyle w:val="000000000000" w:firstRow="0" w:lastRow="0" w:firstColumn="0" w:lastColumn="0" w:oddVBand="0" w:evenVBand="0" w:oddHBand="0" w:evenHBand="0" w:firstRowFirstColumn="0" w:firstRowLastColumn="0" w:lastRowFirstColumn="0" w:lastRowLastColumn="0"/>
            </w:pPr>
            <w:r>
              <w:t>Moderate</w:t>
            </w:r>
          </w:p>
        </w:tc>
        <w:tc>
          <w:tcPr>
            <w:tcW w:w="907" w:type="pct"/>
          </w:tcPr>
          <w:p w14:paraId="01FCB61B" w14:textId="77777777" w:rsidR="0060062C" w:rsidRDefault="0060062C" w:rsidP="00D51EAE">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55DE234C" w14:textId="61235F4B" w:rsidR="00583975" w:rsidRDefault="00583975" w:rsidP="008C1282">
      <w:pPr>
        <w:pStyle w:val="FootnoteText"/>
        <w:spacing w:before="120"/>
        <w:ind w:left="0" w:firstLine="0"/>
      </w:pPr>
      <w:r>
        <w:t>+ = sufficient results, – = insufficient results, ? = indeterminate results, EQ-5D-5L = EuroQol – 5 Dimensions – 5</w:t>
      </w:r>
      <w:r w:rsidR="00E60228">
        <w:t> </w:t>
      </w:r>
      <w:r>
        <w:t>Levels, ODI = Oswestry Disability Index, N/A = not applicable, NPRS = Numerical Pain Rating Scale, RMDQ = Roland Morris Disability Questionnaire.</w:t>
      </w:r>
    </w:p>
    <w:p w14:paraId="45FCF2BA" w14:textId="77777777" w:rsidR="00583975" w:rsidRDefault="00583975" w:rsidP="00583975">
      <w:pPr>
        <w:pStyle w:val="FootnoteText"/>
      </w:pPr>
      <w:r>
        <w:t xml:space="preserve">Empty cells represent measurement properties not assessed in any study. </w:t>
      </w:r>
    </w:p>
    <w:p w14:paraId="3BC5F5C3" w14:textId="13F8946D" w:rsidR="0060062C" w:rsidRDefault="00583975" w:rsidP="00583975">
      <w:pPr>
        <w:pStyle w:val="FootnoteText"/>
      </w:pPr>
      <w:r>
        <w:t>Cross-cultural validity was not assessed for any instrument.</w:t>
      </w:r>
    </w:p>
    <w:p w14:paraId="347209A4" w14:textId="77777777" w:rsidR="0060062C" w:rsidRDefault="0060062C" w:rsidP="0060062C">
      <w:pPr>
        <w:pStyle w:val="Heading1"/>
      </w:pPr>
      <w:bookmarkStart w:id="46" w:name="AF"/>
      <w:bookmarkStart w:id="47" w:name="_Toc175215375"/>
      <w:r>
        <w:lastRenderedPageBreak/>
        <w:t>Appendix F</w:t>
      </w:r>
      <w:bookmarkEnd w:id="46"/>
      <w:r>
        <w:t>: Panel consensus criteria</w:t>
      </w:r>
      <w:bookmarkEnd w:id="47"/>
    </w:p>
    <w:p w14:paraId="15E89D37" w14:textId="77777777" w:rsidR="0060062C" w:rsidRDefault="0060062C" w:rsidP="0060062C">
      <w:pPr>
        <w:pStyle w:val="Caption"/>
      </w:pPr>
      <w:bookmarkStart w:id="48" w:name="T10"/>
      <w:r>
        <w:t>Table 10</w:t>
      </w:r>
      <w:bookmarkEnd w:id="48"/>
      <w:r>
        <w:t xml:space="preserve">: Panel consensus criteria to assess candidate PROMs </w:t>
      </w:r>
    </w:p>
    <w:tbl>
      <w:tblPr>
        <w:tblStyle w:val="PROMTable"/>
        <w:tblW w:w="5000" w:type="pct"/>
        <w:tblLook w:val="06A0" w:firstRow="1" w:lastRow="0" w:firstColumn="1" w:lastColumn="0" w:noHBand="1" w:noVBand="1"/>
        <w:tblDescription w:val="Table 10: Panel consensus criteria to assess candidate PROMs "/>
      </w:tblPr>
      <w:tblGrid>
        <w:gridCol w:w="2014"/>
        <w:gridCol w:w="7040"/>
      </w:tblGrid>
      <w:tr w:rsidR="0060062C" w14:paraId="7BF0A64E" w14:textId="77777777" w:rsidTr="00583975">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088" w:type="pct"/>
          </w:tcPr>
          <w:p w14:paraId="17E40925" w14:textId="77777777" w:rsidR="0060062C" w:rsidRDefault="0060062C" w:rsidP="00D51EAE">
            <w:r>
              <w:t>Criterion</w:t>
            </w:r>
          </w:p>
        </w:tc>
        <w:tc>
          <w:tcPr>
            <w:tcW w:w="3912" w:type="pct"/>
          </w:tcPr>
          <w:p w14:paraId="223F92D4" w14:textId="77777777" w:rsidR="0060062C" w:rsidRDefault="0060062C" w:rsidP="00D51EAE">
            <w:pPr>
              <w:cnfStyle w:val="100000000000" w:firstRow="1" w:lastRow="0" w:firstColumn="0" w:lastColumn="0" w:oddVBand="0" w:evenVBand="0" w:oddHBand="0" w:evenHBand="0" w:firstRowFirstColumn="0" w:firstRowLastColumn="0" w:lastRowFirstColumn="0" w:lastRowLastColumn="0"/>
            </w:pPr>
            <w:r>
              <w:t>Definition</w:t>
            </w:r>
          </w:p>
        </w:tc>
      </w:tr>
      <w:tr w:rsidR="0060062C" w14:paraId="4629F8FC" w14:textId="77777777" w:rsidTr="00583975">
        <w:trPr>
          <w:trHeight w:val="534"/>
        </w:trPr>
        <w:tc>
          <w:tcPr>
            <w:cnfStyle w:val="001000000000" w:firstRow="0" w:lastRow="0" w:firstColumn="1" w:lastColumn="0" w:oddVBand="0" w:evenVBand="0" w:oddHBand="0" w:evenHBand="0" w:firstRowFirstColumn="0" w:firstRowLastColumn="0" w:lastRowFirstColumn="0" w:lastRowLastColumn="0"/>
            <w:tcW w:w="1088" w:type="pct"/>
          </w:tcPr>
          <w:p w14:paraId="5A28EFA0" w14:textId="77777777" w:rsidR="0060062C" w:rsidRDefault="0060062C" w:rsidP="00D51EAE">
            <w:r>
              <w:t>Interpretability</w:t>
            </w:r>
          </w:p>
        </w:tc>
        <w:tc>
          <w:tcPr>
            <w:tcW w:w="3912" w:type="pct"/>
          </w:tcPr>
          <w:p w14:paraId="6F7DBF8A"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The score and change in score are easy to calculate and comprehensible</w:t>
            </w:r>
          </w:p>
        </w:tc>
      </w:tr>
      <w:tr w:rsidR="0060062C" w14:paraId="0D272D43" w14:textId="77777777" w:rsidTr="00583975">
        <w:trPr>
          <w:trHeight w:val="343"/>
        </w:trPr>
        <w:tc>
          <w:tcPr>
            <w:cnfStyle w:val="001000000000" w:firstRow="0" w:lastRow="0" w:firstColumn="1" w:lastColumn="0" w:oddVBand="0" w:evenVBand="0" w:oddHBand="0" w:evenHBand="0" w:firstRowFirstColumn="0" w:firstRowLastColumn="0" w:lastRowFirstColumn="0" w:lastRowLastColumn="0"/>
            <w:tcW w:w="1088" w:type="pct"/>
          </w:tcPr>
          <w:p w14:paraId="5341AC18" w14:textId="77777777" w:rsidR="0060062C" w:rsidRDefault="0060062C" w:rsidP="00D51EAE">
            <w:r>
              <w:t>Clinical relevance and actionability</w:t>
            </w:r>
          </w:p>
        </w:tc>
        <w:tc>
          <w:tcPr>
            <w:tcW w:w="3912" w:type="pct"/>
          </w:tcPr>
          <w:p w14:paraId="1973F8AD"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 xml:space="preserve">The domains and score are clinically useful and provide information that supports clinical practice, patient–clinician communication and shared decision making. </w:t>
            </w:r>
          </w:p>
          <w:p w14:paraId="1117C42A"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Factors include:</w:t>
            </w:r>
          </w:p>
          <w:p w14:paraId="57CD4564" w14:textId="2F4C0307" w:rsidR="0060062C" w:rsidRDefault="0060062C" w:rsidP="00676766">
            <w:pPr>
              <w:pStyle w:val="ListParagraph"/>
              <w:cnfStyle w:val="000000000000" w:firstRow="0" w:lastRow="0" w:firstColumn="0" w:lastColumn="0" w:oddVBand="0" w:evenVBand="0" w:oddHBand="0" w:evenHBand="0" w:firstRowFirstColumn="0" w:firstRowLastColumn="0" w:lastRowFirstColumn="0" w:lastRowLastColumn="0"/>
            </w:pPr>
            <w:r>
              <w:t>Scores for individual domains are actionable for clinical</w:t>
            </w:r>
            <w:r w:rsidR="00B322EE">
              <w:t> </w:t>
            </w:r>
            <w:r>
              <w:t>practice</w:t>
            </w:r>
          </w:p>
          <w:p w14:paraId="78EBE7C3" w14:textId="77777777" w:rsidR="0060062C" w:rsidRDefault="0060062C" w:rsidP="00676766">
            <w:pPr>
              <w:pStyle w:val="ListParagraph"/>
              <w:cnfStyle w:val="000000000000" w:firstRow="0" w:lastRow="0" w:firstColumn="0" w:lastColumn="0" w:oddVBand="0" w:evenVBand="0" w:oddHBand="0" w:evenHBand="0" w:firstRowFirstColumn="0" w:firstRowLastColumn="0" w:lastRowFirstColumn="0" w:lastRowLastColumn="0"/>
            </w:pPr>
            <w:r>
              <w:t>Changes in score over time are clinically useful</w:t>
            </w:r>
          </w:p>
        </w:tc>
      </w:tr>
      <w:tr w:rsidR="0060062C" w14:paraId="61A67A65" w14:textId="77777777" w:rsidTr="00583975">
        <w:trPr>
          <w:trHeight w:val="689"/>
        </w:trPr>
        <w:tc>
          <w:tcPr>
            <w:cnfStyle w:val="001000000000" w:firstRow="0" w:lastRow="0" w:firstColumn="1" w:lastColumn="0" w:oddVBand="0" w:evenVBand="0" w:oddHBand="0" w:evenHBand="0" w:firstRowFirstColumn="0" w:firstRowLastColumn="0" w:lastRowFirstColumn="0" w:lastRowLastColumn="0"/>
            <w:tcW w:w="1088" w:type="pct"/>
          </w:tcPr>
          <w:p w14:paraId="33001BE9" w14:textId="77777777" w:rsidR="0060062C" w:rsidRDefault="0060062C" w:rsidP="00D51EAE">
            <w:r>
              <w:t>Consumer acceptability</w:t>
            </w:r>
          </w:p>
        </w:tc>
        <w:tc>
          <w:tcPr>
            <w:tcW w:w="3912" w:type="pct"/>
          </w:tcPr>
          <w:p w14:paraId="263B98CE"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 xml:space="preserve">The PROM addresses domains that are important to consumers and is comprehensible. </w:t>
            </w:r>
          </w:p>
          <w:p w14:paraId="5761E489"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Factors include:</w:t>
            </w:r>
          </w:p>
          <w:p w14:paraId="61894378" w14:textId="77777777" w:rsidR="0060062C" w:rsidRDefault="0060062C" w:rsidP="00676766">
            <w:pPr>
              <w:pStyle w:val="ListParagraph"/>
              <w:cnfStyle w:val="000000000000" w:firstRow="0" w:lastRow="0" w:firstColumn="0" w:lastColumn="0" w:oddVBand="0" w:evenVBand="0" w:oddHBand="0" w:evenHBand="0" w:firstRowFirstColumn="0" w:firstRowLastColumn="0" w:lastRowFirstColumn="0" w:lastRowLastColumn="0"/>
            </w:pPr>
            <w:r>
              <w:t>Reading age</w:t>
            </w:r>
          </w:p>
          <w:p w14:paraId="69EE3B6B" w14:textId="77777777" w:rsidR="0060062C" w:rsidRDefault="0060062C" w:rsidP="00676766">
            <w:pPr>
              <w:pStyle w:val="ListParagraph"/>
              <w:cnfStyle w:val="000000000000" w:firstRow="0" w:lastRow="0" w:firstColumn="0" w:lastColumn="0" w:oddVBand="0" w:evenVBand="0" w:oddHBand="0" w:evenHBand="0" w:firstRowFirstColumn="0" w:firstRowLastColumn="0" w:lastRowFirstColumn="0" w:lastRowLastColumn="0"/>
            </w:pPr>
            <w:r>
              <w:t>Required mental and physical ability level</w:t>
            </w:r>
          </w:p>
          <w:p w14:paraId="736A5621" w14:textId="77777777" w:rsidR="0060062C" w:rsidRDefault="0060062C" w:rsidP="00676766">
            <w:pPr>
              <w:pStyle w:val="ListParagraph"/>
              <w:cnfStyle w:val="000000000000" w:firstRow="0" w:lastRow="0" w:firstColumn="0" w:lastColumn="0" w:oddVBand="0" w:evenVBand="0" w:oddHBand="0" w:evenHBand="0" w:firstRowFirstColumn="0" w:firstRowLastColumn="0" w:lastRowFirstColumn="0" w:lastRowLastColumn="0"/>
            </w:pPr>
            <w:r>
              <w:t>Completion time</w:t>
            </w:r>
          </w:p>
          <w:p w14:paraId="51771D28" w14:textId="77777777" w:rsidR="0060062C" w:rsidRDefault="0060062C" w:rsidP="00676766">
            <w:pPr>
              <w:pStyle w:val="ListParagraph"/>
              <w:cnfStyle w:val="000000000000" w:firstRow="0" w:lastRow="0" w:firstColumn="0" w:lastColumn="0" w:oddVBand="0" w:evenVBand="0" w:oddHBand="0" w:evenHBand="0" w:firstRowFirstColumn="0" w:firstRowLastColumn="0" w:lastRowFirstColumn="0" w:lastRowLastColumn="0"/>
            </w:pPr>
            <w:r>
              <w:t>Length of instrument</w:t>
            </w:r>
          </w:p>
        </w:tc>
      </w:tr>
      <w:tr w:rsidR="0060062C" w14:paraId="3D5CFE2E" w14:textId="77777777" w:rsidTr="00583975">
        <w:trPr>
          <w:trHeight w:val="161"/>
        </w:trPr>
        <w:tc>
          <w:tcPr>
            <w:cnfStyle w:val="001000000000" w:firstRow="0" w:lastRow="0" w:firstColumn="1" w:lastColumn="0" w:oddVBand="0" w:evenVBand="0" w:oddHBand="0" w:evenHBand="0" w:firstRowFirstColumn="0" w:firstRowLastColumn="0" w:lastRowFirstColumn="0" w:lastRowLastColumn="0"/>
            <w:tcW w:w="1088" w:type="pct"/>
          </w:tcPr>
          <w:p w14:paraId="4AB25FFD" w14:textId="77777777" w:rsidR="0060062C" w:rsidRDefault="0060062C" w:rsidP="00D51EAE">
            <w:r>
              <w:t>Cost</w:t>
            </w:r>
          </w:p>
        </w:tc>
        <w:tc>
          <w:tcPr>
            <w:tcW w:w="3912" w:type="pct"/>
          </w:tcPr>
          <w:p w14:paraId="38194AF2"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The PROM requires licensing or payment of a fee for usage</w:t>
            </w:r>
          </w:p>
        </w:tc>
      </w:tr>
      <w:tr w:rsidR="0060062C" w14:paraId="439D6E1D" w14:textId="77777777" w:rsidTr="00583975">
        <w:trPr>
          <w:trHeight w:val="161"/>
        </w:trPr>
        <w:tc>
          <w:tcPr>
            <w:cnfStyle w:val="001000000000" w:firstRow="0" w:lastRow="0" w:firstColumn="1" w:lastColumn="0" w:oddVBand="0" w:evenVBand="0" w:oddHBand="0" w:evenHBand="0" w:firstRowFirstColumn="0" w:firstRowLastColumn="0" w:lastRowFirstColumn="0" w:lastRowLastColumn="0"/>
            <w:tcW w:w="1088" w:type="pct"/>
          </w:tcPr>
          <w:p w14:paraId="33900381" w14:textId="77777777" w:rsidR="0060062C" w:rsidRDefault="0060062C" w:rsidP="00D51EAE">
            <w:r>
              <w:t>Accessibility</w:t>
            </w:r>
          </w:p>
        </w:tc>
        <w:tc>
          <w:tcPr>
            <w:tcW w:w="3912" w:type="pct"/>
          </w:tcPr>
          <w:p w14:paraId="36E328B5"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Validated translations of the PROM are available in the most spoken languages other than English in Australia</w:t>
            </w:r>
          </w:p>
        </w:tc>
      </w:tr>
      <w:tr w:rsidR="0060062C" w14:paraId="4C460ED9" w14:textId="77777777" w:rsidTr="00583975">
        <w:trPr>
          <w:trHeight w:val="60"/>
        </w:trPr>
        <w:tc>
          <w:tcPr>
            <w:cnfStyle w:val="001000000000" w:firstRow="0" w:lastRow="0" w:firstColumn="1" w:lastColumn="0" w:oddVBand="0" w:evenVBand="0" w:oddHBand="0" w:evenHBand="0" w:firstRowFirstColumn="0" w:firstRowLastColumn="0" w:lastRowFirstColumn="0" w:lastRowLastColumn="0"/>
            <w:tcW w:w="1088" w:type="pct"/>
          </w:tcPr>
          <w:p w14:paraId="09961785" w14:textId="77777777" w:rsidR="0060062C" w:rsidRDefault="0060062C" w:rsidP="00D51EAE">
            <w:r>
              <w:t>Level of agreement</w:t>
            </w:r>
          </w:p>
        </w:tc>
        <w:tc>
          <w:tcPr>
            <w:tcW w:w="3912" w:type="pct"/>
          </w:tcPr>
          <w:p w14:paraId="5E10F9A5"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There is evidence of national and international use of the PROM in clinical practice</w:t>
            </w:r>
          </w:p>
        </w:tc>
      </w:tr>
    </w:tbl>
    <w:p w14:paraId="36B487DB" w14:textId="77777777" w:rsidR="0060062C" w:rsidRDefault="0060062C" w:rsidP="0060062C"/>
    <w:p w14:paraId="46CC9B0C" w14:textId="77777777" w:rsidR="0060062C" w:rsidRDefault="0060062C" w:rsidP="0060062C">
      <w:pPr>
        <w:pStyle w:val="Heading1"/>
      </w:pPr>
      <w:bookmarkStart w:id="49" w:name="_Toc175215376"/>
      <w:r>
        <w:lastRenderedPageBreak/>
        <w:t>Glossary</w:t>
      </w:r>
      <w:bookmarkEnd w:id="49"/>
    </w:p>
    <w:tbl>
      <w:tblPr>
        <w:tblStyle w:val="PROMTable"/>
        <w:tblW w:w="5000" w:type="pct"/>
        <w:tblLook w:val="06A0" w:firstRow="1" w:lastRow="0" w:firstColumn="1" w:lastColumn="0" w:noHBand="1" w:noVBand="1"/>
        <w:tblDescription w:val="Glossary"/>
      </w:tblPr>
      <w:tblGrid>
        <w:gridCol w:w="2027"/>
        <w:gridCol w:w="7027"/>
      </w:tblGrid>
      <w:tr w:rsidR="0060062C" w14:paraId="10F02196" w14:textId="77777777" w:rsidTr="00583975">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17" w:type="pct"/>
          </w:tcPr>
          <w:p w14:paraId="326507EE" w14:textId="77777777" w:rsidR="0060062C" w:rsidRDefault="0060062C" w:rsidP="00D51EAE">
            <w:r>
              <w:t>Term</w:t>
            </w:r>
          </w:p>
        </w:tc>
        <w:tc>
          <w:tcPr>
            <w:tcW w:w="3883" w:type="pct"/>
          </w:tcPr>
          <w:p w14:paraId="68EE16DE" w14:textId="77777777" w:rsidR="0060062C" w:rsidRDefault="0060062C" w:rsidP="00D51EAE">
            <w:pPr>
              <w:cnfStyle w:val="100000000000" w:firstRow="1" w:lastRow="0" w:firstColumn="0" w:lastColumn="0" w:oddVBand="0" w:evenVBand="0" w:oddHBand="0" w:evenHBand="0" w:firstRowFirstColumn="0" w:firstRowLastColumn="0" w:lastRowFirstColumn="0" w:lastRowLastColumn="0"/>
            </w:pPr>
            <w:r>
              <w:t>Definition</w:t>
            </w:r>
          </w:p>
        </w:tc>
      </w:tr>
      <w:tr w:rsidR="0060062C" w14:paraId="786BBFD4" w14:textId="77777777" w:rsidTr="00583975">
        <w:trPr>
          <w:trHeight w:val="60"/>
        </w:trPr>
        <w:tc>
          <w:tcPr>
            <w:cnfStyle w:val="001000000000" w:firstRow="0" w:lastRow="0" w:firstColumn="1" w:lastColumn="0" w:oddVBand="0" w:evenVBand="0" w:oddHBand="0" w:evenHBand="0" w:firstRowFirstColumn="0" w:firstRowLastColumn="0" w:lastRowFirstColumn="0" w:lastRowLastColumn="0"/>
            <w:tcW w:w="1117" w:type="pct"/>
          </w:tcPr>
          <w:p w14:paraId="67453049" w14:textId="77777777" w:rsidR="0060062C" w:rsidRDefault="0060062C" w:rsidP="00D51EAE">
            <w:r>
              <w:t>Acute low back pain</w:t>
            </w:r>
          </w:p>
        </w:tc>
        <w:tc>
          <w:tcPr>
            <w:tcW w:w="3883" w:type="pct"/>
          </w:tcPr>
          <w:p w14:paraId="645A5495"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Low back pain that lasts less than three months. The term ‘acute’ indicates the duration of symptoms and is not a diagnosis.</w:t>
            </w:r>
          </w:p>
        </w:tc>
      </w:tr>
      <w:tr w:rsidR="0060062C" w14:paraId="04E24AD5" w14:textId="77777777" w:rsidTr="00583975">
        <w:trPr>
          <w:trHeight w:val="60"/>
        </w:trPr>
        <w:tc>
          <w:tcPr>
            <w:cnfStyle w:val="001000000000" w:firstRow="0" w:lastRow="0" w:firstColumn="1" w:lastColumn="0" w:oddVBand="0" w:evenVBand="0" w:oddHBand="0" w:evenHBand="0" w:firstRowFirstColumn="0" w:firstRowLastColumn="0" w:lastRowFirstColumn="0" w:lastRowLastColumn="0"/>
            <w:tcW w:w="1117" w:type="pct"/>
          </w:tcPr>
          <w:p w14:paraId="58AB10D7" w14:textId="77777777" w:rsidR="0060062C" w:rsidRDefault="0060062C" w:rsidP="00D51EAE">
            <w:r>
              <w:t>Australian Atlas of Healthcare Variation</w:t>
            </w:r>
          </w:p>
        </w:tc>
        <w:tc>
          <w:tcPr>
            <w:tcW w:w="3883" w:type="pct"/>
          </w:tcPr>
          <w:p w14:paraId="35B1E671"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 xml:space="preserve">A series developed by the Commission that explores the extent to which the use of health care in Australia varies depending on where people live, how their care is funded and their level of socioeconomic disadvantage. The aim is to prompt further investigation into whether the observed variation reflects a response to differences in people’s healthcare needs or in the informed choices they make about their treatment options. </w:t>
            </w:r>
          </w:p>
        </w:tc>
      </w:tr>
      <w:tr w:rsidR="0060062C" w14:paraId="7D689D68" w14:textId="77777777" w:rsidTr="00583975">
        <w:trPr>
          <w:trHeight w:val="60"/>
        </w:trPr>
        <w:tc>
          <w:tcPr>
            <w:cnfStyle w:val="001000000000" w:firstRow="0" w:lastRow="0" w:firstColumn="1" w:lastColumn="0" w:oddVBand="0" w:evenVBand="0" w:oddHBand="0" w:evenHBand="0" w:firstRowFirstColumn="0" w:firstRowLastColumn="0" w:lastRowFirstColumn="0" w:lastRowLastColumn="0"/>
            <w:tcW w:w="1117" w:type="pct"/>
          </w:tcPr>
          <w:p w14:paraId="785D6F51" w14:textId="77777777" w:rsidR="0060062C" w:rsidRDefault="0060062C" w:rsidP="00D51EAE">
            <w:r>
              <w:t>Biopsychosocial (also known as socio-psycho-biomedical) framework</w:t>
            </w:r>
          </w:p>
        </w:tc>
        <w:tc>
          <w:tcPr>
            <w:tcW w:w="3883" w:type="pct"/>
          </w:tcPr>
          <w:p w14:paraId="3384817E"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A framework that helps clinicians understand the complexity of their patient’s experience and lays a foundation for assessment and more effective pain management. The way a person processes nociceptive signals in their brain, and their resulting pain experience, depends on their developmental stage (for example, infancy, adolescence, adulthood), the social and cultural context (socio-), their emotional state (psycho-) and their biological health (-biomedical). A biopsychosocial approach considers the bidirectional relationship between these factors and the person’s pain experience to determine strengths and areas that may need support during management.</w:t>
            </w:r>
            <w:r>
              <w:rPr>
                <w:rStyle w:val="Superscript"/>
              </w:rPr>
              <w:t>47</w:t>
            </w:r>
          </w:p>
        </w:tc>
      </w:tr>
      <w:tr w:rsidR="0060062C" w14:paraId="78F3AB62" w14:textId="77777777" w:rsidTr="00583975">
        <w:trPr>
          <w:trHeight w:val="60"/>
        </w:trPr>
        <w:tc>
          <w:tcPr>
            <w:cnfStyle w:val="001000000000" w:firstRow="0" w:lastRow="0" w:firstColumn="1" w:lastColumn="0" w:oddVBand="0" w:evenVBand="0" w:oddHBand="0" w:evenHBand="0" w:firstRowFirstColumn="0" w:firstRowLastColumn="0" w:lastRowFirstColumn="0" w:lastRowLastColumn="0"/>
            <w:tcW w:w="1117" w:type="pct"/>
          </w:tcPr>
          <w:p w14:paraId="316B886E" w14:textId="77777777" w:rsidR="0060062C" w:rsidRDefault="0060062C" w:rsidP="00D51EAE">
            <w:r>
              <w:t>Chronic low back pain (also referred to as persistent pain)</w:t>
            </w:r>
          </w:p>
        </w:tc>
        <w:tc>
          <w:tcPr>
            <w:tcW w:w="3883" w:type="pct"/>
          </w:tcPr>
          <w:p w14:paraId="055DC24D"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Low back pain that is present for more than three months. The term ‘chronic’ indicates the duration of symptoms and is not a diagnosis. Chronic low back pain may have a specific cause, or may be non-specific – that is, no cause has been identified.</w:t>
            </w:r>
            <w:r>
              <w:rPr>
                <w:rStyle w:val="Superscript"/>
              </w:rPr>
              <w:t>35,47</w:t>
            </w:r>
          </w:p>
        </w:tc>
      </w:tr>
      <w:tr w:rsidR="0060062C" w14:paraId="1F0F1813" w14:textId="77777777" w:rsidTr="00583975">
        <w:trPr>
          <w:trHeight w:val="60"/>
        </w:trPr>
        <w:tc>
          <w:tcPr>
            <w:cnfStyle w:val="001000000000" w:firstRow="0" w:lastRow="0" w:firstColumn="1" w:lastColumn="0" w:oddVBand="0" w:evenVBand="0" w:oddHBand="0" w:evenHBand="0" w:firstRowFirstColumn="0" w:firstRowLastColumn="0" w:lastRowFirstColumn="0" w:lastRowLastColumn="0"/>
            <w:tcW w:w="1117" w:type="pct"/>
          </w:tcPr>
          <w:p w14:paraId="3702BD46" w14:textId="77777777" w:rsidR="0060062C" w:rsidRDefault="0060062C" w:rsidP="00D51EAE">
            <w:r>
              <w:t>Clinical care standards</w:t>
            </w:r>
          </w:p>
        </w:tc>
        <w:tc>
          <w:tcPr>
            <w:tcW w:w="3883" w:type="pct"/>
          </w:tcPr>
          <w:p w14:paraId="7F23E4D7"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Standards developed by the Commission to help support the delivery of evidence-based clinical care and promote shared decision making between patients, carers and clinicians. Clinical care standards aim to ensure that people receive best</w:t>
            </w:r>
            <w:r>
              <w:rPr>
                <w:rFonts w:ascii="Cambria Math" w:hAnsi="Cambria Math" w:cs="Cambria Math"/>
              </w:rPr>
              <w:t>‑</w:t>
            </w:r>
            <w:r>
              <w:t xml:space="preserve">practice care for a specific clinical condition or procedure, regardless of where they are treated in Australia. </w:t>
            </w:r>
          </w:p>
        </w:tc>
      </w:tr>
      <w:tr w:rsidR="0060062C" w14:paraId="120060FB" w14:textId="77777777" w:rsidTr="00583975">
        <w:trPr>
          <w:trHeight w:val="60"/>
        </w:trPr>
        <w:tc>
          <w:tcPr>
            <w:cnfStyle w:val="001000000000" w:firstRow="0" w:lastRow="0" w:firstColumn="1" w:lastColumn="0" w:oddVBand="0" w:evenVBand="0" w:oddHBand="0" w:evenHBand="0" w:firstRowFirstColumn="0" w:firstRowLastColumn="0" w:lastRowFirstColumn="0" w:lastRowLastColumn="0"/>
            <w:tcW w:w="1117" w:type="pct"/>
          </w:tcPr>
          <w:p w14:paraId="211B5012" w14:textId="77777777" w:rsidR="0060062C" w:rsidRDefault="0060062C" w:rsidP="00D51EAE">
            <w:r>
              <w:t>Clinician</w:t>
            </w:r>
          </w:p>
        </w:tc>
        <w:tc>
          <w:tcPr>
            <w:tcW w:w="3883" w:type="pct"/>
          </w:tcPr>
          <w:p w14:paraId="2FDB7ABD"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A trained health professional who provides direct clinical care to patients. A clinician may be a registered or non-registered practitioner, and may provide care within a healthcare service as an employee, a contractor or a credentialed healthcare provider, or under other working arrangements. Clinicians include nurses, midwives, medical practitioners, allied health professionals, paramedics and other professionals who provide health care, and students who provide health care under supervision.</w:t>
            </w:r>
          </w:p>
        </w:tc>
      </w:tr>
      <w:tr w:rsidR="0060062C" w14:paraId="43104436" w14:textId="77777777" w:rsidTr="00583975">
        <w:trPr>
          <w:trHeight w:val="60"/>
        </w:trPr>
        <w:tc>
          <w:tcPr>
            <w:cnfStyle w:val="001000000000" w:firstRow="0" w:lastRow="0" w:firstColumn="1" w:lastColumn="0" w:oddVBand="0" w:evenVBand="0" w:oddHBand="0" w:evenHBand="0" w:firstRowFirstColumn="0" w:firstRowLastColumn="0" w:lastRowFirstColumn="0" w:lastRowLastColumn="0"/>
            <w:tcW w:w="1117" w:type="pct"/>
          </w:tcPr>
          <w:p w14:paraId="33953921" w14:textId="77777777" w:rsidR="0060062C" w:rsidRDefault="0060062C" w:rsidP="00D51EAE">
            <w:r>
              <w:lastRenderedPageBreak/>
              <w:t>Content validity</w:t>
            </w:r>
          </w:p>
        </w:tc>
        <w:tc>
          <w:tcPr>
            <w:tcW w:w="3883" w:type="pct"/>
          </w:tcPr>
          <w:p w14:paraId="7EBD6673"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A psychometric property that indicates the degree to which the content of a PROM is an adequate reflection of the construct to be measured. It is considered to be the most important measurement property of a PROM. A PROM with sufficient content validity indicates that all items of the PROM are relevant to a specific population and context of use (relevant), capture concerns of the patient (comprehensive) and are understood by the patient (comprehensibility).</w:t>
            </w:r>
            <w:r>
              <w:rPr>
                <w:rStyle w:val="Superscript"/>
              </w:rPr>
              <w:t>44</w:t>
            </w:r>
          </w:p>
        </w:tc>
      </w:tr>
      <w:tr w:rsidR="0060062C" w14:paraId="7BC479AB" w14:textId="77777777" w:rsidTr="00583975">
        <w:trPr>
          <w:trHeight w:val="60"/>
        </w:trPr>
        <w:tc>
          <w:tcPr>
            <w:cnfStyle w:val="001000000000" w:firstRow="0" w:lastRow="0" w:firstColumn="1" w:lastColumn="0" w:oddVBand="0" w:evenVBand="0" w:oddHBand="0" w:evenHBand="0" w:firstRowFirstColumn="0" w:firstRowLastColumn="0" w:lastRowFirstColumn="0" w:lastRowLastColumn="0"/>
            <w:tcW w:w="1117" w:type="pct"/>
          </w:tcPr>
          <w:p w14:paraId="62159DF6" w14:textId="77777777" w:rsidR="0060062C" w:rsidRDefault="0060062C" w:rsidP="00D51EAE">
            <w:r>
              <w:t>COSMIN</w:t>
            </w:r>
          </w:p>
        </w:tc>
        <w:tc>
          <w:tcPr>
            <w:tcW w:w="3883" w:type="pct"/>
          </w:tcPr>
          <w:p w14:paraId="7259D81B"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The COnsensus-based Standards for the selection of health Measurement INstruments initiative that aims to improve the selection of PROMs in research and clinical practice by developing tools for selecting the PROM that is most fit for purpose. This initiative has established quality standards for reporting and grading of reliability and validity in PROMs.</w:t>
            </w:r>
          </w:p>
        </w:tc>
      </w:tr>
      <w:tr w:rsidR="0060062C" w14:paraId="61C53570" w14:textId="77777777" w:rsidTr="00583975">
        <w:trPr>
          <w:trHeight w:val="60"/>
        </w:trPr>
        <w:tc>
          <w:tcPr>
            <w:cnfStyle w:val="001000000000" w:firstRow="0" w:lastRow="0" w:firstColumn="1" w:lastColumn="0" w:oddVBand="0" w:evenVBand="0" w:oddHBand="0" w:evenHBand="0" w:firstRowFirstColumn="0" w:firstRowLastColumn="0" w:lastRowFirstColumn="0" w:lastRowLastColumn="0"/>
            <w:tcW w:w="1117" w:type="pct"/>
          </w:tcPr>
          <w:p w14:paraId="3B7C8AAF" w14:textId="77777777" w:rsidR="0060062C" w:rsidRDefault="0060062C" w:rsidP="00D51EAE">
            <w:r>
              <w:t>Health-related quality of life (HRQoL)</w:t>
            </w:r>
          </w:p>
        </w:tc>
        <w:tc>
          <w:tcPr>
            <w:tcW w:w="3883" w:type="pct"/>
          </w:tcPr>
          <w:p w14:paraId="33E13544"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The ‘health aspects of quality of life, generally considered to reflect the impact of disease and treatment on disability and daily functioning. HRQoL also reflects the impact of perceived health on an individual’s ability to live a fulfilling life.’</w:t>
            </w:r>
            <w:r>
              <w:rPr>
                <w:rStyle w:val="Superscript"/>
              </w:rPr>
              <w:t>48</w:t>
            </w:r>
          </w:p>
        </w:tc>
      </w:tr>
      <w:tr w:rsidR="0060062C" w14:paraId="5CACE17F" w14:textId="77777777" w:rsidTr="00583975">
        <w:trPr>
          <w:trHeight w:val="60"/>
        </w:trPr>
        <w:tc>
          <w:tcPr>
            <w:cnfStyle w:val="001000000000" w:firstRow="0" w:lastRow="0" w:firstColumn="1" w:lastColumn="0" w:oddVBand="0" w:evenVBand="0" w:oddHBand="0" w:evenHBand="0" w:firstRowFirstColumn="0" w:firstRowLastColumn="0" w:lastRowFirstColumn="0" w:lastRowLastColumn="0"/>
            <w:tcW w:w="1117" w:type="pct"/>
          </w:tcPr>
          <w:p w14:paraId="659FEB51" w14:textId="77777777" w:rsidR="0060062C" w:rsidRDefault="0060062C" w:rsidP="00D51EAE">
            <w:r>
              <w:t>Multidisciplinary approach</w:t>
            </w:r>
          </w:p>
        </w:tc>
        <w:tc>
          <w:tcPr>
            <w:tcW w:w="3883" w:type="pct"/>
          </w:tcPr>
          <w:p w14:paraId="43137644"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An approach to chronic pain management that simultaneously addresses all biopsychosocial factors affecting the patient’s pain, and helps patients achieve their goals sooner than approaches that address only some contributors to the patient’s pain.</w:t>
            </w:r>
          </w:p>
        </w:tc>
      </w:tr>
      <w:tr w:rsidR="0060062C" w14:paraId="33C5EB55" w14:textId="77777777" w:rsidTr="00583975">
        <w:trPr>
          <w:trHeight w:val="60"/>
        </w:trPr>
        <w:tc>
          <w:tcPr>
            <w:cnfStyle w:val="001000000000" w:firstRow="0" w:lastRow="0" w:firstColumn="1" w:lastColumn="0" w:oddVBand="0" w:evenVBand="0" w:oddHBand="0" w:evenHBand="0" w:firstRowFirstColumn="0" w:firstRowLastColumn="0" w:lastRowFirstColumn="0" w:lastRowLastColumn="0"/>
            <w:tcW w:w="1117" w:type="pct"/>
          </w:tcPr>
          <w:p w14:paraId="6F53BA52" w14:textId="77777777" w:rsidR="0060062C" w:rsidRDefault="0060062C" w:rsidP="00D51EAE">
            <w:r>
              <w:t>Negative affect</w:t>
            </w:r>
          </w:p>
        </w:tc>
        <w:tc>
          <w:tcPr>
            <w:tcW w:w="3883" w:type="pct"/>
          </w:tcPr>
          <w:p w14:paraId="7A1FDF49"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The subjective experience of negative emotional states, such as anxiety, depression, stress, sadness, worry and anger.</w:t>
            </w:r>
          </w:p>
        </w:tc>
      </w:tr>
      <w:tr w:rsidR="0060062C" w14:paraId="09D1D966" w14:textId="77777777" w:rsidTr="00583975">
        <w:trPr>
          <w:trHeight w:val="60"/>
        </w:trPr>
        <w:tc>
          <w:tcPr>
            <w:cnfStyle w:val="001000000000" w:firstRow="0" w:lastRow="0" w:firstColumn="1" w:lastColumn="0" w:oddVBand="0" w:evenVBand="0" w:oddHBand="0" w:evenHBand="0" w:firstRowFirstColumn="0" w:firstRowLastColumn="0" w:lastRowFirstColumn="0" w:lastRowLastColumn="0"/>
            <w:tcW w:w="1117" w:type="pct"/>
          </w:tcPr>
          <w:p w14:paraId="4AE1E070" w14:textId="77777777" w:rsidR="0060062C" w:rsidRDefault="0060062C" w:rsidP="00D51EAE">
            <w:r>
              <w:t>Pain</w:t>
            </w:r>
          </w:p>
        </w:tc>
        <w:tc>
          <w:tcPr>
            <w:tcW w:w="3883" w:type="pct"/>
          </w:tcPr>
          <w:p w14:paraId="566C0A3E"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An unpleasant sensory experience associated with, or resembling that associated with, actual or potential tissue damage.</w:t>
            </w:r>
          </w:p>
        </w:tc>
      </w:tr>
      <w:tr w:rsidR="0060062C" w14:paraId="0A9D56EC" w14:textId="77777777" w:rsidTr="00583975">
        <w:trPr>
          <w:trHeight w:val="60"/>
        </w:trPr>
        <w:tc>
          <w:tcPr>
            <w:cnfStyle w:val="001000000000" w:firstRow="0" w:lastRow="0" w:firstColumn="1" w:lastColumn="0" w:oddVBand="0" w:evenVBand="0" w:oddHBand="0" w:evenHBand="0" w:firstRowFirstColumn="0" w:firstRowLastColumn="0" w:lastRowFirstColumn="0" w:lastRowLastColumn="0"/>
            <w:tcW w:w="1117" w:type="pct"/>
          </w:tcPr>
          <w:p w14:paraId="528DCE9B" w14:textId="77777777" w:rsidR="0060062C" w:rsidRDefault="0060062C" w:rsidP="00D51EAE">
            <w:r>
              <w:t>Patient-reported outcome measures</w:t>
            </w:r>
          </w:p>
        </w:tc>
        <w:tc>
          <w:tcPr>
            <w:tcW w:w="3883" w:type="pct"/>
          </w:tcPr>
          <w:p w14:paraId="253C0520"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PROMs are questionnaires that help patients to report on outcomes relating to their health. These questionnaires focus on various aspects of health, such as symptoms, daily functioning and quality of life. PROMs are usually used to measure outcomes on two or more occasions to enable comparisons to be made over time.</w:t>
            </w:r>
          </w:p>
        </w:tc>
      </w:tr>
      <w:tr w:rsidR="0060062C" w14:paraId="5B629E8F" w14:textId="77777777" w:rsidTr="00583975">
        <w:trPr>
          <w:trHeight w:val="60"/>
        </w:trPr>
        <w:tc>
          <w:tcPr>
            <w:cnfStyle w:val="001000000000" w:firstRow="0" w:lastRow="0" w:firstColumn="1" w:lastColumn="0" w:oddVBand="0" w:evenVBand="0" w:oddHBand="0" w:evenHBand="0" w:firstRowFirstColumn="0" w:firstRowLastColumn="0" w:lastRowFirstColumn="0" w:lastRowLastColumn="0"/>
            <w:tcW w:w="1117" w:type="pct"/>
          </w:tcPr>
          <w:p w14:paraId="511C5B59" w14:textId="77777777" w:rsidR="0060062C" w:rsidRDefault="0060062C" w:rsidP="00D51EAE">
            <w:r>
              <w:t>Physical functioning</w:t>
            </w:r>
          </w:p>
        </w:tc>
        <w:tc>
          <w:tcPr>
            <w:tcW w:w="3883" w:type="pct"/>
          </w:tcPr>
          <w:p w14:paraId="47E94757"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 xml:space="preserve">The ability to participate in daily activity and movement, such as walking, sleeping and socialising. </w:t>
            </w:r>
          </w:p>
        </w:tc>
      </w:tr>
      <w:tr w:rsidR="0060062C" w14:paraId="1C2748EB" w14:textId="77777777" w:rsidTr="00583975">
        <w:trPr>
          <w:trHeight w:val="60"/>
        </w:trPr>
        <w:tc>
          <w:tcPr>
            <w:cnfStyle w:val="001000000000" w:firstRow="0" w:lastRow="0" w:firstColumn="1" w:lastColumn="0" w:oddVBand="0" w:evenVBand="0" w:oddHBand="0" w:evenHBand="0" w:firstRowFirstColumn="0" w:firstRowLastColumn="0" w:lastRowFirstColumn="0" w:lastRowLastColumn="0"/>
            <w:tcW w:w="1117" w:type="pct"/>
          </w:tcPr>
          <w:p w14:paraId="7169B880" w14:textId="77777777" w:rsidR="0060062C" w:rsidRDefault="0060062C" w:rsidP="00D51EAE">
            <w:r>
              <w:t>Psychometric properties</w:t>
            </w:r>
          </w:p>
        </w:tc>
        <w:tc>
          <w:tcPr>
            <w:tcW w:w="3883" w:type="pct"/>
          </w:tcPr>
          <w:p w14:paraId="7FD7FD8F"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The validity and reliability of PROMs. Many PROMs have undergone rigorous psychometric development. Careful design and testing of PROMs increase confidence that they measure what they have been developed to measure (they are valid) and do so in a consistent manner (they are reliable).</w:t>
            </w:r>
          </w:p>
        </w:tc>
      </w:tr>
      <w:tr w:rsidR="0060062C" w14:paraId="43D04ABA" w14:textId="77777777" w:rsidTr="00583975">
        <w:trPr>
          <w:trHeight w:val="60"/>
        </w:trPr>
        <w:tc>
          <w:tcPr>
            <w:cnfStyle w:val="001000000000" w:firstRow="0" w:lastRow="0" w:firstColumn="1" w:lastColumn="0" w:oddVBand="0" w:evenVBand="0" w:oddHBand="0" w:evenHBand="0" w:firstRowFirstColumn="0" w:firstRowLastColumn="0" w:lastRowFirstColumn="0" w:lastRowLastColumn="0"/>
            <w:tcW w:w="1117" w:type="pct"/>
          </w:tcPr>
          <w:p w14:paraId="2A251D7D" w14:textId="77777777" w:rsidR="0060062C" w:rsidRDefault="0060062C" w:rsidP="00D51EAE">
            <w:r>
              <w:t>Recurrent pain (also referred to as episodic pain)</w:t>
            </w:r>
          </w:p>
        </w:tc>
        <w:tc>
          <w:tcPr>
            <w:tcW w:w="3883" w:type="pct"/>
          </w:tcPr>
          <w:p w14:paraId="6CE90E23"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 xml:space="preserve">Pain that occurs episodically over three months or more. Each episode is similar in presentation – it may be recurrent acute nociceptive pain or episodes of a chronic pain condition. </w:t>
            </w:r>
          </w:p>
        </w:tc>
      </w:tr>
      <w:tr w:rsidR="0060062C" w14:paraId="1B034A82" w14:textId="77777777" w:rsidTr="00583975">
        <w:trPr>
          <w:trHeight w:val="60"/>
        </w:trPr>
        <w:tc>
          <w:tcPr>
            <w:cnfStyle w:val="001000000000" w:firstRow="0" w:lastRow="0" w:firstColumn="1" w:lastColumn="0" w:oddVBand="0" w:evenVBand="0" w:oddHBand="0" w:evenHBand="0" w:firstRowFirstColumn="0" w:firstRowLastColumn="0" w:lastRowFirstColumn="0" w:lastRowLastColumn="0"/>
            <w:tcW w:w="1117" w:type="pct"/>
          </w:tcPr>
          <w:p w14:paraId="28CF9EB5" w14:textId="77777777" w:rsidR="0060062C" w:rsidRDefault="0060062C" w:rsidP="00D51EAE">
            <w:r>
              <w:lastRenderedPageBreak/>
              <w:t>Reliability</w:t>
            </w:r>
          </w:p>
        </w:tc>
        <w:tc>
          <w:tcPr>
            <w:tcW w:w="3883" w:type="pct"/>
          </w:tcPr>
          <w:p w14:paraId="40085720"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The degree to which the measurement is free from measurement error. Three properties of reliability can be evaluated for a PROM: internal consistency, test–retest reliability and measurement error.</w:t>
            </w:r>
          </w:p>
        </w:tc>
      </w:tr>
      <w:tr w:rsidR="0060062C" w14:paraId="57A17118" w14:textId="77777777" w:rsidTr="00583975">
        <w:trPr>
          <w:trHeight w:val="60"/>
        </w:trPr>
        <w:tc>
          <w:tcPr>
            <w:cnfStyle w:val="001000000000" w:firstRow="0" w:lastRow="0" w:firstColumn="1" w:lastColumn="0" w:oddVBand="0" w:evenVBand="0" w:oddHBand="0" w:evenHBand="0" w:firstRowFirstColumn="0" w:firstRowLastColumn="0" w:lastRowFirstColumn="0" w:lastRowLastColumn="0"/>
            <w:tcW w:w="1117" w:type="pct"/>
          </w:tcPr>
          <w:p w14:paraId="684E1592" w14:textId="77777777" w:rsidR="0060062C" w:rsidRDefault="0060062C" w:rsidP="00D51EAE">
            <w:r>
              <w:t>Responsiveness</w:t>
            </w:r>
          </w:p>
        </w:tc>
        <w:tc>
          <w:tcPr>
            <w:tcW w:w="3883" w:type="pct"/>
          </w:tcPr>
          <w:p w14:paraId="169E72A9"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Captures the ability of a PROM to detect change over time when clinically relevant change is expected to occur.</w:t>
            </w:r>
          </w:p>
        </w:tc>
      </w:tr>
      <w:tr w:rsidR="0060062C" w14:paraId="32349891" w14:textId="77777777" w:rsidTr="00583975">
        <w:trPr>
          <w:trHeight w:val="60"/>
        </w:trPr>
        <w:tc>
          <w:tcPr>
            <w:cnfStyle w:val="001000000000" w:firstRow="0" w:lastRow="0" w:firstColumn="1" w:lastColumn="0" w:oddVBand="0" w:evenVBand="0" w:oddHBand="0" w:evenHBand="0" w:firstRowFirstColumn="0" w:firstRowLastColumn="0" w:lastRowFirstColumn="0" w:lastRowLastColumn="0"/>
            <w:tcW w:w="1117" w:type="pct"/>
          </w:tcPr>
          <w:p w14:paraId="677C8C4B" w14:textId="77777777" w:rsidR="0060062C" w:rsidRDefault="0060062C" w:rsidP="00D51EAE">
            <w:r>
              <w:t>Validity</w:t>
            </w:r>
          </w:p>
        </w:tc>
        <w:tc>
          <w:tcPr>
            <w:tcW w:w="3883" w:type="pct"/>
          </w:tcPr>
          <w:p w14:paraId="301F0CA3" w14:textId="77777777" w:rsidR="0060062C" w:rsidRDefault="0060062C" w:rsidP="00D51EAE">
            <w:pPr>
              <w:cnfStyle w:val="000000000000" w:firstRow="0" w:lastRow="0" w:firstColumn="0" w:lastColumn="0" w:oddVBand="0" w:evenVBand="0" w:oddHBand="0" w:evenHBand="0" w:firstRowFirstColumn="0" w:firstRowLastColumn="0" w:lastRowFirstColumn="0" w:lastRowLastColumn="0"/>
            </w:pPr>
            <w:r>
              <w:t xml:space="preserve">The degree to which a PROM measures the construct(s) it purports to measure in terms of structural, construct and criterion validity. </w:t>
            </w:r>
          </w:p>
        </w:tc>
      </w:tr>
    </w:tbl>
    <w:p w14:paraId="26CDB3DE" w14:textId="77777777" w:rsidR="0060062C" w:rsidRDefault="0060062C" w:rsidP="0060062C">
      <w:pPr>
        <w:rPr>
          <w:sz w:val="40"/>
          <w:szCs w:val="40"/>
        </w:rPr>
      </w:pPr>
    </w:p>
    <w:p w14:paraId="3C7A002C" w14:textId="77777777" w:rsidR="0060062C" w:rsidRDefault="0060062C" w:rsidP="0060062C">
      <w:pPr>
        <w:pStyle w:val="Heading1"/>
      </w:pPr>
      <w:bookmarkStart w:id="50" w:name="_Toc175215377"/>
      <w:r>
        <w:lastRenderedPageBreak/>
        <w:t>References</w:t>
      </w:r>
      <w:bookmarkEnd w:id="50"/>
    </w:p>
    <w:p w14:paraId="2F657E7D" w14:textId="77777777" w:rsidR="0060062C" w:rsidRDefault="0060062C" w:rsidP="0060062C">
      <w:pPr>
        <w:ind w:left="426" w:hanging="426"/>
      </w:pPr>
      <w:r>
        <w:t>1.</w:t>
      </w:r>
      <w:r>
        <w:tab/>
        <w:t>The Lancet Rheumatology. The global epidemic of low back pain [editorial]. Lancet Rheumatol 2023;5(6):e305.</w:t>
      </w:r>
    </w:p>
    <w:p w14:paraId="63B24777" w14:textId="77777777" w:rsidR="0060062C" w:rsidRDefault="0060062C" w:rsidP="0060062C">
      <w:pPr>
        <w:ind w:left="426" w:hanging="426"/>
      </w:pPr>
      <w:r>
        <w:t>2.</w:t>
      </w:r>
      <w:r>
        <w:tab/>
        <w:t>Australian Institute of Health and Welfare. Back problems. Canberra: AIHW; 2023.</w:t>
      </w:r>
    </w:p>
    <w:p w14:paraId="496C9A10" w14:textId="77777777" w:rsidR="0060062C" w:rsidRDefault="0060062C" w:rsidP="0060062C">
      <w:pPr>
        <w:ind w:left="426" w:hanging="426"/>
      </w:pPr>
      <w:r>
        <w:t>3.</w:t>
      </w:r>
      <w:r>
        <w:tab/>
        <w:t>van Hooff ML, Jacobs WC, Willems PC, Wouters MW, de Kleuver M, Peul WC, et al. Evidence and practice in spine registries: a systematic review, and recommendations for future design of registries. Acta Orthop 2015;86(5):534–44.</w:t>
      </w:r>
    </w:p>
    <w:p w14:paraId="665F3EFD" w14:textId="77777777" w:rsidR="0060062C" w:rsidRDefault="0060062C" w:rsidP="0060062C">
      <w:pPr>
        <w:ind w:left="426" w:hanging="426"/>
      </w:pPr>
      <w:r>
        <w:t>4.</w:t>
      </w:r>
      <w:r>
        <w:tab/>
        <w:t>Ryder C, Stephens JH, Ullah S, Coombes J, Cominos N, Sharpe P, et al. Community engagement and psychometric methods in Aboriginal and Torres Strait Islander patient-reported outcome measures and surveys – a scoping review and critical analysis. Int J Environ Res Public Health 2022;19(16):10354.</w:t>
      </w:r>
    </w:p>
    <w:p w14:paraId="6F004E51" w14:textId="77777777" w:rsidR="0060062C" w:rsidRDefault="0060062C" w:rsidP="0060062C">
      <w:pPr>
        <w:ind w:left="426" w:hanging="426"/>
      </w:pPr>
      <w:r>
        <w:t>5.</w:t>
      </w:r>
      <w:r>
        <w:tab/>
        <w:t>Angell B, Muhunthan J, Eades A-M, Cunningham J, Garvey G, Cass A, et al. The health-related quality of life of Indigenous populations: a global systematic review. Qual Life Res 2016;25(9):2161–78.</w:t>
      </w:r>
    </w:p>
    <w:p w14:paraId="79C97488" w14:textId="77777777" w:rsidR="0060062C" w:rsidRDefault="0060062C" w:rsidP="0060062C">
      <w:pPr>
        <w:ind w:left="426" w:hanging="426"/>
      </w:pPr>
      <w:r>
        <w:t>6.</w:t>
      </w:r>
      <w:r>
        <w:tab/>
        <w:t>Cella D, Hahn EA, Jensen SE, Butt Z, Nowinski CJ, Rothrock N, et al. Patient-reported outcomes in performance measurement. Research Triangle Park (NC): RTI Press; 2015.</w:t>
      </w:r>
    </w:p>
    <w:p w14:paraId="40887008" w14:textId="77777777" w:rsidR="0060062C" w:rsidRDefault="0060062C" w:rsidP="0060062C">
      <w:pPr>
        <w:ind w:left="426" w:hanging="426"/>
      </w:pPr>
      <w:r>
        <w:t>7.</w:t>
      </w:r>
      <w:r>
        <w:tab/>
        <w:t>Schofield DJ, Shrestha RN, Cunich M, Tanton R, Kelly S, Passey ME, et al. Lost productive life years caused by chronic conditions in Australians aged 45–64 years, 2010–2030. Med J Aust 2015;203(6):260.e1–6.</w:t>
      </w:r>
    </w:p>
    <w:p w14:paraId="4D3EA8AA" w14:textId="77777777" w:rsidR="0060062C" w:rsidRDefault="0060062C" w:rsidP="0060062C">
      <w:pPr>
        <w:ind w:left="426" w:hanging="426"/>
      </w:pPr>
      <w:r>
        <w:t>8.</w:t>
      </w:r>
      <w:r>
        <w:tab/>
        <w:t>Ferreira ML, de Luca K, Haile LM, Steinmetz JD, Culbreth GT, Cross M, et al. Global, regional, and national burden of low back pain, 1990–2020, its attributable risk factors, and projections to 2050: a systematic analysis of the Global Burden of Disease Study 2021. Lancet Rheumatol 2023;5(6):e316-29.</w:t>
      </w:r>
    </w:p>
    <w:p w14:paraId="77D95FB7" w14:textId="77777777" w:rsidR="0060062C" w:rsidRDefault="0060062C" w:rsidP="0060062C">
      <w:pPr>
        <w:ind w:left="426" w:hanging="426"/>
      </w:pPr>
      <w:r>
        <w:t>9.</w:t>
      </w:r>
      <w:r>
        <w:tab/>
        <w:t>Australian Commission on Safety and Quality in Health Care. Australian atlas of healthcare variation. Sydney: ACSQHC; 2015.</w:t>
      </w:r>
    </w:p>
    <w:p w14:paraId="6939E724" w14:textId="77777777" w:rsidR="0060062C" w:rsidRDefault="0060062C" w:rsidP="0060062C">
      <w:pPr>
        <w:ind w:left="426" w:hanging="426"/>
      </w:pPr>
      <w:r>
        <w:t>10.</w:t>
      </w:r>
      <w:r>
        <w:tab/>
        <w:t>Australian Commission on Safety and Quality in Health Care. The fourth Australian atlas of healthcare variation. Sydney: ACSQHC; 2021.</w:t>
      </w:r>
    </w:p>
    <w:p w14:paraId="6D652D10" w14:textId="77777777" w:rsidR="0060062C" w:rsidRDefault="0060062C" w:rsidP="0060062C">
      <w:pPr>
        <w:ind w:left="426" w:hanging="426"/>
      </w:pPr>
      <w:r>
        <w:t>11.</w:t>
      </w:r>
      <w:r>
        <w:tab/>
        <w:t>Australian Commission on Safety and Quality in Health Care. Low back pain clinical care standard. Sydney: ACSQHC; 2022.</w:t>
      </w:r>
    </w:p>
    <w:p w14:paraId="5D7EA89C" w14:textId="77777777" w:rsidR="0060062C" w:rsidRDefault="0060062C" w:rsidP="0060062C">
      <w:pPr>
        <w:ind w:left="426" w:hanging="426"/>
      </w:pPr>
      <w:r>
        <w:t>12.</w:t>
      </w:r>
      <w:r>
        <w:tab/>
        <w:t>Australian Commission on Safety and Quality in Health Care. The third Australian atlas of healthcare variation. Sydney: ACSQHC; 2018.</w:t>
      </w:r>
    </w:p>
    <w:p w14:paraId="5F1754CB" w14:textId="77777777" w:rsidR="0060062C" w:rsidRDefault="0060062C" w:rsidP="0060062C">
      <w:pPr>
        <w:ind w:left="426" w:hanging="426"/>
      </w:pPr>
      <w:r>
        <w:t>13.</w:t>
      </w:r>
      <w:r>
        <w:tab/>
        <w:t>Jones CM, Day RO, Koes BW, Latimer J, Maher CG, McLachlan AJ, et al. Opioid analgesia for acute low back pain and neck pain (the OPAL trial): a randomised placebo-controlled trial. Lancet 2023;402(10398):304–12.</w:t>
      </w:r>
    </w:p>
    <w:p w14:paraId="1D1CCDB5" w14:textId="77777777" w:rsidR="0060062C" w:rsidRDefault="0060062C" w:rsidP="0060062C">
      <w:pPr>
        <w:ind w:left="426" w:hanging="426"/>
      </w:pPr>
      <w:r>
        <w:t>14.</w:t>
      </w:r>
      <w:r>
        <w:tab/>
        <w:t>Australian Commission on Safety and Quality in Health Care. Opioid analgesic stewardship in acute pain clinical care standard – acute care edition. Sydney: ACSQHC; 2022.</w:t>
      </w:r>
    </w:p>
    <w:p w14:paraId="750C6A0C" w14:textId="77777777" w:rsidR="0060062C" w:rsidRDefault="0060062C" w:rsidP="0060062C">
      <w:pPr>
        <w:ind w:left="426" w:hanging="426"/>
      </w:pPr>
      <w:r>
        <w:t>15.</w:t>
      </w:r>
      <w:r>
        <w:tab/>
        <w:t>Eilayyan O, Gogovor A, Zidarov D, Mayo N, Ahmed S. Identifying domains of health-related quality of life: the perspective of individuals with low back pain. J Patient Rep Outcomes 2023;7(1):79.</w:t>
      </w:r>
    </w:p>
    <w:p w14:paraId="784D51A1" w14:textId="77777777" w:rsidR="0060062C" w:rsidRDefault="0060062C" w:rsidP="0060062C">
      <w:pPr>
        <w:ind w:left="426" w:hanging="426"/>
      </w:pPr>
      <w:r>
        <w:t>16.</w:t>
      </w:r>
      <w:r>
        <w:tab/>
        <w:t>Stamm TA, Boesendorfer A, Omara M, Ritschl V, Štefanac S, Mosor E. Outcomes research in non-specific low back pain: knowledge transfer in clinical practice. Wien Klin Wochenschr 2019;131(21–22):550–7.</w:t>
      </w:r>
    </w:p>
    <w:p w14:paraId="494196AF" w14:textId="77777777" w:rsidR="0060062C" w:rsidRDefault="0060062C" w:rsidP="0060062C">
      <w:pPr>
        <w:ind w:left="426" w:hanging="426"/>
      </w:pPr>
      <w:r>
        <w:t>17.</w:t>
      </w:r>
      <w:r>
        <w:tab/>
        <w:t>Australian Commission on Safety and Quality in Health Care. Rapid review and evidence synthesis on patient-reported outcome measures for low back pain. Sydney: ACSQHC; 2021.</w:t>
      </w:r>
    </w:p>
    <w:p w14:paraId="743E8187" w14:textId="77777777" w:rsidR="0060062C" w:rsidRDefault="0060062C" w:rsidP="0060062C">
      <w:pPr>
        <w:ind w:left="426" w:hanging="426"/>
      </w:pPr>
      <w:r>
        <w:lastRenderedPageBreak/>
        <w:t>18.</w:t>
      </w:r>
      <w:r>
        <w:tab/>
        <w:t>Chiarotto A, Boers M, Deyo RA, Buchbinder R, Corbin TP, Costa LO, et al. Core outcome measurement instruments for clinical trials in nonspecific low back pain. Pain 2018;159(3):481.</w:t>
      </w:r>
    </w:p>
    <w:p w14:paraId="1CFBFC99" w14:textId="77777777" w:rsidR="0060062C" w:rsidRDefault="0060062C" w:rsidP="0060062C">
      <w:pPr>
        <w:ind w:left="426" w:hanging="426"/>
      </w:pPr>
      <w:r>
        <w:t>19.</w:t>
      </w:r>
      <w:r>
        <w:tab/>
        <w:t>Chiarotto A, Maxwell LJ, Ostelo RW, Boers M, Tugwell P, Terwee CB. Measurement properties of visual analogue scale, numeric rating scale, and pain severity subscale of the brief pain inventory in patients with low back pain: a systematic review. J Pain 2019;20(3):245–63.</w:t>
      </w:r>
    </w:p>
    <w:p w14:paraId="0A164A6F" w14:textId="77777777" w:rsidR="0060062C" w:rsidRDefault="0060062C" w:rsidP="0060062C">
      <w:pPr>
        <w:ind w:left="426" w:hanging="426"/>
      </w:pPr>
      <w:r>
        <w:t>20.</w:t>
      </w:r>
      <w:r>
        <w:tab/>
        <w:t>Dworkin RH, Turk DC, Farrar JT, Haythornthwaite JA, Jensen MP, Katz NP, et al. Core outcome measures for chronic pain clinical trials: IMMPACT recommendations. Pain 2005;113(1–2):9–19.</w:t>
      </w:r>
    </w:p>
    <w:p w14:paraId="1432376E" w14:textId="77777777" w:rsidR="0060062C" w:rsidRDefault="0060062C" w:rsidP="0060062C">
      <w:pPr>
        <w:ind w:left="426" w:hanging="426"/>
      </w:pPr>
      <w:r>
        <w:t>21.</w:t>
      </w:r>
      <w:r>
        <w:tab/>
        <w:t>Clement RC, Welander A, Stowell C, Cha TD, Chen JL, Davies M, et al. A proposed set of metrics for standardized outcome reporting in the management of low back pain. Acta Orthop 2015;86(5):523–33.</w:t>
      </w:r>
    </w:p>
    <w:p w14:paraId="658525CA" w14:textId="77777777" w:rsidR="0060062C" w:rsidRDefault="0060062C" w:rsidP="0060062C">
      <w:pPr>
        <w:ind w:left="426" w:hanging="426"/>
      </w:pPr>
      <w:r>
        <w:t>22.</w:t>
      </w:r>
      <w:r>
        <w:tab/>
        <w:t>Australian Commission on Safety and Quality in Health Care. An environmental scan of the use of low back pain patient-reported outcome measures. Sydney: ACSQHC; 2023.</w:t>
      </w:r>
    </w:p>
    <w:p w14:paraId="4007A461" w14:textId="77777777" w:rsidR="0060062C" w:rsidRDefault="0060062C" w:rsidP="0060062C">
      <w:pPr>
        <w:ind w:left="426" w:hanging="426"/>
      </w:pPr>
      <w:r>
        <w:t>23.</w:t>
      </w:r>
      <w:r>
        <w:tab/>
        <w:t>Deyo RA, Dworkin SF, Amtmann D, Andersson G, Borenstein D, Carragee E, et al. Report of the NIH Task Force on research standards for chronic low back pain. Phys Ther 2015;95(2):e1–18.</w:t>
      </w:r>
    </w:p>
    <w:p w14:paraId="0039E998" w14:textId="77777777" w:rsidR="0060062C" w:rsidRDefault="0060062C" w:rsidP="0060062C">
      <w:pPr>
        <w:ind w:left="426" w:hanging="426"/>
      </w:pPr>
      <w:r>
        <w:t>24.</w:t>
      </w:r>
      <w:r>
        <w:tab/>
        <w:t>Grabovac I, Dorner TE. Association between low back pain and various everyday performances: activities of daily living, ability to work and sexual function. Wien Klin Wochenschr 2019;131(21–22):541–9.</w:t>
      </w:r>
    </w:p>
    <w:p w14:paraId="48C32337" w14:textId="77777777" w:rsidR="0060062C" w:rsidRDefault="0060062C" w:rsidP="0060062C">
      <w:pPr>
        <w:ind w:left="426" w:hanging="426"/>
      </w:pPr>
      <w:r>
        <w:t>25.</w:t>
      </w:r>
      <w:r>
        <w:tab/>
        <w:t>Chiarotto A, Ostelo RW, Boers M, Terwee CB. A systematic review highlights the need to investigate the content validity of patient-reported outcome measures for physical functioning in patients with low back pain. J Clin Epidemiol 2018;95:73–93.</w:t>
      </w:r>
    </w:p>
    <w:p w14:paraId="012ADB43" w14:textId="77777777" w:rsidR="0060062C" w:rsidRDefault="0060062C" w:rsidP="0060062C">
      <w:pPr>
        <w:ind w:left="426" w:hanging="426"/>
      </w:pPr>
      <w:r>
        <w:t>26.</w:t>
      </w:r>
      <w:r>
        <w:tab/>
        <w:t>Australian Commission on Safety and Quality in Health Care. Evaluation of shortlisted PROMS for low back pain: a targeted review and assessment of psychometric properties. Sydney: ACSQHC; 2022.</w:t>
      </w:r>
    </w:p>
    <w:p w14:paraId="642A58E1" w14:textId="77777777" w:rsidR="0060062C" w:rsidRDefault="0060062C" w:rsidP="0060062C">
      <w:pPr>
        <w:ind w:left="426" w:hanging="426"/>
      </w:pPr>
      <w:r>
        <w:t>27.</w:t>
      </w:r>
      <w:r>
        <w:tab/>
        <w:t>Nieminen LK, Pyysalo LM, Kankaanpää MJ. Prognostic factors for pain chronicity in low back pain: a systematic review. Pain Rep 2021;6(1):e919.</w:t>
      </w:r>
    </w:p>
    <w:p w14:paraId="47A08AC7" w14:textId="77777777" w:rsidR="0060062C" w:rsidRDefault="0060062C" w:rsidP="0060062C">
      <w:pPr>
        <w:ind w:left="426" w:hanging="426"/>
      </w:pPr>
      <w:r>
        <w:t>28.</w:t>
      </w:r>
      <w:r>
        <w:tab/>
        <w:t>Gerdle B, Dragioti E, Rivano Fischer M, Ringqvist Å. Pain intensity and psychological distress show different associations with interference and lack of life control: a clinical registry-based cohort study of &gt;40,000 chronic pain patients from SQRP. Front Pain Res 2023;4:1093002.</w:t>
      </w:r>
    </w:p>
    <w:p w14:paraId="74F8CDD4" w14:textId="77777777" w:rsidR="0060062C" w:rsidRDefault="0060062C" w:rsidP="0060062C">
      <w:pPr>
        <w:ind w:left="426" w:hanging="426"/>
      </w:pPr>
      <w:r>
        <w:t>29.</w:t>
      </w:r>
      <w:r>
        <w:tab/>
        <w:t>Australian Health Services Research Institute. Introduction to the Electronic Persistent Pain Outcomes Collaboration (ePPOC) – adult services. Wollongong (NSW): AHSRI; 2020.</w:t>
      </w:r>
    </w:p>
    <w:p w14:paraId="07FD408B" w14:textId="77777777" w:rsidR="0060062C" w:rsidRDefault="0060062C" w:rsidP="0060062C">
      <w:pPr>
        <w:ind w:left="426" w:hanging="426"/>
      </w:pPr>
      <w:r>
        <w:t>30.</w:t>
      </w:r>
      <w:r>
        <w:tab/>
        <w:t>Lee J, Lee E-H, Moon SH. Systematic review of the measurement properties of the Depression Anxiety Stress Scales-21 by applying updated COSMIN methodology. Qual Life Res 2019;28(9):2325–39.</w:t>
      </w:r>
    </w:p>
    <w:p w14:paraId="19A1D829" w14:textId="77777777" w:rsidR="0060062C" w:rsidRDefault="0060062C" w:rsidP="0060062C">
      <w:pPr>
        <w:ind w:left="426" w:hanging="426"/>
      </w:pPr>
      <w:r>
        <w:t>31.</w:t>
      </w:r>
      <w:r>
        <w:tab/>
        <w:t>Antony MM, Bieling PJ, Cox BJ, Enns MW, Swinson RP. Psychometric properties of the 42</w:t>
      </w:r>
      <w:r>
        <w:rPr>
          <w:rFonts w:ascii="Cambria Math" w:hAnsi="Cambria Math" w:cs="Cambria Math"/>
        </w:rPr>
        <w:t>‑</w:t>
      </w:r>
      <w:r>
        <w:t>item and 21</w:t>
      </w:r>
      <w:r>
        <w:rPr>
          <w:rFonts w:ascii="Cambria Math" w:hAnsi="Cambria Math" w:cs="Cambria Math"/>
        </w:rPr>
        <w:t>‑</w:t>
      </w:r>
      <w:r>
        <w:t>item versions of the Depression Anxiety Stress Scales in clinical groups and a community sample. Psychol Assess 1998;10(2):176–81.</w:t>
      </w:r>
    </w:p>
    <w:p w14:paraId="70EE5131" w14:textId="77777777" w:rsidR="0060062C" w:rsidRDefault="0060062C" w:rsidP="0060062C">
      <w:pPr>
        <w:ind w:left="426" w:hanging="426"/>
      </w:pPr>
      <w:r>
        <w:t>32.</w:t>
      </w:r>
      <w:r>
        <w:tab/>
        <w:t>Henry JD, Crawford JR. The short</w:t>
      </w:r>
      <w:r>
        <w:rPr>
          <w:rFonts w:ascii="Cambria Math" w:hAnsi="Cambria Math" w:cs="Cambria Math"/>
        </w:rPr>
        <w:t>‑</w:t>
      </w:r>
      <w:r>
        <w:t>form version of the Depression Anxiety Stress Scales (DASS</w:t>
      </w:r>
      <w:r>
        <w:rPr>
          <w:rFonts w:ascii="Cambria Math" w:hAnsi="Cambria Math" w:cs="Cambria Math"/>
        </w:rPr>
        <w:t>‑</w:t>
      </w:r>
      <w:r>
        <w:t>21): construct validity and normative data in a large non</w:t>
      </w:r>
      <w:r>
        <w:rPr>
          <w:rFonts w:ascii="Cambria Math" w:hAnsi="Cambria Math" w:cs="Cambria Math"/>
        </w:rPr>
        <w:t>‑</w:t>
      </w:r>
      <w:r>
        <w:t>clinical sample. Br J Clin Psychol 2005;44(2):227–39.</w:t>
      </w:r>
    </w:p>
    <w:p w14:paraId="01ADBCC4" w14:textId="77777777" w:rsidR="0060062C" w:rsidRDefault="0060062C" w:rsidP="0060062C">
      <w:pPr>
        <w:ind w:left="426" w:hanging="426"/>
      </w:pPr>
      <w:r>
        <w:t>33.</w:t>
      </w:r>
      <w:r>
        <w:tab/>
        <w:t>Brinckley M-M, Calabria B, Walker J, Thurber KA, Lovett R. Reliability, validity, and clinical utility of a culturally modified Kessler scale (MK-K5) in the Aboriginal and Torres Strait Islander population. BMC Public Health 2021;21:1111.</w:t>
      </w:r>
    </w:p>
    <w:p w14:paraId="012F5757" w14:textId="77777777" w:rsidR="0060062C" w:rsidRDefault="0060062C" w:rsidP="0060062C">
      <w:pPr>
        <w:ind w:left="426" w:hanging="426"/>
      </w:pPr>
      <w:r>
        <w:lastRenderedPageBreak/>
        <w:t>34.</w:t>
      </w:r>
      <w:r>
        <w:tab/>
        <w:t>Australian Institute of Health and Welfare. Measuring the social and emotional wellbeing of Aboriginal and Torres Strait Islander peoples. Canberra: AIHW; 2009. (AIHW Cat. No. IHW 24.)</w:t>
      </w:r>
    </w:p>
    <w:p w14:paraId="10365790" w14:textId="77777777" w:rsidR="0060062C" w:rsidRDefault="0060062C" w:rsidP="0060062C">
      <w:pPr>
        <w:ind w:left="426" w:hanging="426"/>
      </w:pPr>
      <w:r>
        <w:t>35.</w:t>
      </w:r>
      <w:r>
        <w:tab/>
        <w:t>NSW Agency for Clinical Innovation. Management of people with acute low back pain: model of care. Sydney: NSW Health; 2016.</w:t>
      </w:r>
    </w:p>
    <w:p w14:paraId="0FC9E735" w14:textId="77777777" w:rsidR="0060062C" w:rsidRDefault="0060062C" w:rsidP="0060062C">
      <w:pPr>
        <w:ind w:left="426" w:hanging="426"/>
      </w:pPr>
      <w:r>
        <w:t>36.</w:t>
      </w:r>
      <w:r>
        <w:tab/>
        <w:t>Chiarotto A, Terwee CB, Kamper SJ, Boers M, Ostelo RW. Evidence on the measurement properties of health-related quality of life instruments is largely missing in patients with low back pain: a systematic review. J Clin Epidemiol 2018;102:23–37.</w:t>
      </w:r>
    </w:p>
    <w:p w14:paraId="4FB78FEF" w14:textId="77777777" w:rsidR="0060062C" w:rsidRDefault="0060062C" w:rsidP="0060062C">
      <w:pPr>
        <w:ind w:left="426" w:hanging="426"/>
      </w:pPr>
      <w:r>
        <w:t>37.</w:t>
      </w:r>
      <w:r>
        <w:tab/>
        <w:t>Le Grande M, Ski C, Thompson D, Scuffham P, Kularatna S, Jackson A, et al. Social and emotional wellbeing assessment instruments for use with Indigenous Australians: a critical review. Soc Sci Med 2017;187:164–73.</w:t>
      </w:r>
    </w:p>
    <w:p w14:paraId="5019B240" w14:textId="77777777" w:rsidR="0060062C" w:rsidRDefault="0060062C" w:rsidP="0060062C">
      <w:pPr>
        <w:ind w:left="426" w:hanging="426"/>
      </w:pPr>
      <w:r>
        <w:t>38.</w:t>
      </w:r>
      <w:r>
        <w:tab/>
        <w:t>Ribeiro Santiago PH, Haag D, Macedo DM, Garvey G, Smith M, Canfell K, et al. Psychometric properties of the EQ-5D-5L for aboriginal Australians: a multi-method study. Health Qual Life Outcomes 2021;19:81.</w:t>
      </w:r>
    </w:p>
    <w:p w14:paraId="04D818EC" w14:textId="77777777" w:rsidR="0060062C" w:rsidRDefault="0060062C" w:rsidP="0060062C">
      <w:pPr>
        <w:ind w:left="426" w:hanging="426"/>
      </w:pPr>
      <w:r>
        <w:t>39.</w:t>
      </w:r>
      <w:r>
        <w:tab/>
        <w:t>Christelis N, Simpson B, Russo M, Stanton</w:t>
      </w:r>
      <w:r>
        <w:rPr>
          <w:rFonts w:ascii="Cambria Math" w:hAnsi="Cambria Math" w:cs="Cambria Math"/>
        </w:rPr>
        <w:t>‑</w:t>
      </w:r>
      <w:r>
        <w:t>Hicks M, Barolat G, Thomson S, et al. Persistent spinal pain syndrome: a proposal for failed back surgery syndrome and ICD</w:t>
      </w:r>
      <w:r>
        <w:rPr>
          <w:rFonts w:ascii="Cambria Math" w:hAnsi="Cambria Math" w:cs="Cambria Math"/>
        </w:rPr>
        <w:t>‑</w:t>
      </w:r>
      <w:r>
        <w:t>11. Pain Med 2021;22(4):807–18.</w:t>
      </w:r>
    </w:p>
    <w:p w14:paraId="7140B6C6" w14:textId="77777777" w:rsidR="0060062C" w:rsidRDefault="0060062C" w:rsidP="0060062C">
      <w:pPr>
        <w:ind w:left="426" w:hanging="426"/>
      </w:pPr>
      <w:r>
        <w:t>40.</w:t>
      </w:r>
      <w:r>
        <w:tab/>
        <w:t>Fairbank JC. Why are there different versions of the Oswestry Disability Index?: a review. J Neurosurg Spine 2014;20(1):83–6.</w:t>
      </w:r>
    </w:p>
    <w:p w14:paraId="5AB0CE1A" w14:textId="77777777" w:rsidR="0060062C" w:rsidRDefault="0060062C" w:rsidP="0060062C">
      <w:pPr>
        <w:ind w:left="426" w:hanging="426"/>
      </w:pPr>
      <w:r>
        <w:t>41.</w:t>
      </w:r>
      <w:r>
        <w:tab/>
        <w:t>Roland M, Fairbank J. The Roland–Morris disability questionnaire and the Oswestry disability questionnaire. Spine 2000;25(24):3115–24.</w:t>
      </w:r>
    </w:p>
    <w:p w14:paraId="4BDFA52B" w14:textId="77777777" w:rsidR="0060062C" w:rsidRDefault="0060062C" w:rsidP="0060062C">
      <w:pPr>
        <w:ind w:left="426" w:hanging="426"/>
      </w:pPr>
      <w:r>
        <w:t>42.</w:t>
      </w:r>
      <w:r>
        <w:tab/>
        <w:t>Lovibond PF, Lovibond SH. The structure of negative emotional states: comparison of the Depression Anxiety Stress Scales (DASS) with the Beck Depression and Anxiety Inventories. Behav Res Ther 1995;33(3):335–43.</w:t>
      </w:r>
    </w:p>
    <w:p w14:paraId="5DD047C6" w14:textId="77777777" w:rsidR="0060062C" w:rsidRDefault="0060062C" w:rsidP="0060062C">
      <w:pPr>
        <w:ind w:left="426" w:hanging="426"/>
      </w:pPr>
      <w:r>
        <w:t>43.</w:t>
      </w:r>
      <w:r>
        <w:tab/>
        <w:t>Herdman M, Gudex C, Lloyd A, Janssen M, Kind P, Parkin D, et al. Development and preliminary testing of the new five-level version of EQ-5D (EQ-5D-5L). Qual Life Res 2011;20(10):1727–36.</w:t>
      </w:r>
    </w:p>
    <w:p w14:paraId="1A5E5903" w14:textId="77777777" w:rsidR="0060062C" w:rsidRDefault="0060062C" w:rsidP="0060062C">
      <w:pPr>
        <w:ind w:left="426" w:hanging="426"/>
      </w:pPr>
      <w:r>
        <w:t>44.</w:t>
      </w:r>
      <w:r>
        <w:tab/>
        <w:t>Prinsen CA, Mokkink LB, Bouter LM, Alonso J, Patrick DL, de Vet HC, et al. COSMIN guideline for systematic reviews of patient-reported outcome measures. Qual Life Res 2018;27(5):1147–57.</w:t>
      </w:r>
    </w:p>
    <w:p w14:paraId="30899903" w14:textId="77777777" w:rsidR="0060062C" w:rsidRDefault="0060062C" w:rsidP="0060062C">
      <w:pPr>
        <w:ind w:left="426" w:hanging="426"/>
      </w:pPr>
      <w:r>
        <w:t>45.</w:t>
      </w:r>
      <w:r>
        <w:tab/>
        <w:t>Mokkink LB, de Vet HC, Prinsen CA, Patrick DL, Alonso J, Bouter LM, et al. COSMIN risk of bias checklist for systematic reviews of patient-reported outcome measures. Qual Life Res 2018;27(5):1171–9.</w:t>
      </w:r>
    </w:p>
    <w:p w14:paraId="29BFE886" w14:textId="77777777" w:rsidR="0060062C" w:rsidRDefault="0060062C" w:rsidP="0060062C">
      <w:pPr>
        <w:ind w:left="426" w:hanging="426"/>
      </w:pPr>
      <w:r>
        <w:t>46.</w:t>
      </w:r>
      <w:r>
        <w:tab/>
        <w:t>Terwee CB, Prinsen CA, Chiarotto A, Westerman MJ, Patrick DL, Alonso J, et al. COSMIN methodology for evaluating the content validity of patient-reported outcome measures: a Delphi study. Qual Life Res 2018;27(5):1159–70.</w:t>
      </w:r>
    </w:p>
    <w:p w14:paraId="42482DC1" w14:textId="77777777" w:rsidR="0060062C" w:rsidRDefault="0060062C" w:rsidP="0060062C">
      <w:pPr>
        <w:ind w:left="426" w:hanging="426"/>
      </w:pPr>
      <w:r>
        <w:t>47.</w:t>
      </w:r>
      <w:r>
        <w:tab/>
        <w:t>Pain and Analgesia Expert Group. Therapeutic guidelines: pain and analgesia, version 7. Melbourne: Therapeutic Guidelines Limited; 2020.</w:t>
      </w:r>
    </w:p>
    <w:p w14:paraId="66100D1E" w14:textId="77777777" w:rsidR="0060062C" w:rsidRDefault="0060062C" w:rsidP="0060062C">
      <w:pPr>
        <w:ind w:left="426" w:hanging="426"/>
      </w:pPr>
      <w:r>
        <w:t>48.</w:t>
      </w:r>
      <w:r>
        <w:tab/>
        <w:t>Mayo NE, editor. Dictionary of quality of life and health outcomes measurement (1st ed). Milwaukee (WI): International Society for Quality of Life Research; 2015:69.</w:t>
      </w:r>
    </w:p>
    <w:p w14:paraId="10D42718" w14:textId="77777777" w:rsidR="0060062C" w:rsidRDefault="0060062C" w:rsidP="0060062C">
      <w:pPr>
        <w:pStyle w:val="Heading1"/>
      </w:pPr>
      <w:bookmarkStart w:id="51" w:name="_Toc175215378"/>
      <w:r>
        <w:lastRenderedPageBreak/>
        <w:t>Acknowledgements</w:t>
      </w:r>
      <w:bookmarkEnd w:id="51"/>
    </w:p>
    <w:p w14:paraId="35EC8C7A" w14:textId="77777777" w:rsidR="0060062C" w:rsidRDefault="0060062C" w:rsidP="0060062C">
      <w:r>
        <w:t>Many individuals have freely given their time and expertise in the development of these recommendations. In particular, the Commission wishes to thank the Low Back Pain PROMs Recommendation Consensus Panel, and other key experts who have given their time and advice. The involvement and willingness of all concerned to share their experience and expertise are greatly appreciated.</w:t>
      </w:r>
    </w:p>
    <w:p w14:paraId="4ED5E61B" w14:textId="77777777" w:rsidR="0060062C" w:rsidRDefault="0060062C" w:rsidP="00B73BD3">
      <w:pPr>
        <w:pStyle w:val="Heading2"/>
      </w:pPr>
      <w:r>
        <w:t>Consensus Panel</w:t>
      </w:r>
    </w:p>
    <w:p w14:paraId="7EE98614" w14:textId="77777777" w:rsidR="0060062C" w:rsidRDefault="0060062C" w:rsidP="0060062C">
      <w:pPr>
        <w:pStyle w:val="ListParagraph"/>
      </w:pPr>
      <w:r>
        <w:t>Dr Phoebe Holdenson Kimura (Co-chair)</w:t>
      </w:r>
    </w:p>
    <w:p w14:paraId="5FC99929" w14:textId="77777777" w:rsidR="0060062C" w:rsidRDefault="0060062C" w:rsidP="0060062C">
      <w:pPr>
        <w:pStyle w:val="ListParagraph"/>
      </w:pPr>
      <w:r>
        <w:t>Dr Lee Fong (Co-chair)</w:t>
      </w:r>
    </w:p>
    <w:p w14:paraId="5405A950" w14:textId="77777777" w:rsidR="0060062C" w:rsidRDefault="0060062C" w:rsidP="0060062C">
      <w:pPr>
        <w:pStyle w:val="ListParagraph"/>
      </w:pPr>
      <w:r>
        <w:t>Dr Nick Christelis</w:t>
      </w:r>
    </w:p>
    <w:p w14:paraId="783D3FB8" w14:textId="77777777" w:rsidR="0060062C" w:rsidRDefault="0060062C" w:rsidP="0060062C">
      <w:pPr>
        <w:pStyle w:val="ListParagraph"/>
      </w:pPr>
      <w:r>
        <w:t>Dr Natalie Clohesy</w:t>
      </w:r>
    </w:p>
    <w:p w14:paraId="60C277FE" w14:textId="77777777" w:rsidR="0060062C" w:rsidRDefault="0060062C" w:rsidP="0060062C">
      <w:pPr>
        <w:pStyle w:val="ListParagraph"/>
      </w:pPr>
      <w:r>
        <w:t>Dr Mitchell Hansen</w:t>
      </w:r>
    </w:p>
    <w:p w14:paraId="1F8238BF" w14:textId="77777777" w:rsidR="0060062C" w:rsidRDefault="0060062C" w:rsidP="0060062C">
      <w:pPr>
        <w:pStyle w:val="ListParagraph"/>
      </w:pPr>
      <w:r>
        <w:t>Ms Rachel Kovacevic</w:t>
      </w:r>
    </w:p>
    <w:p w14:paraId="61C7B952" w14:textId="77777777" w:rsidR="0060062C" w:rsidRDefault="0060062C" w:rsidP="0060062C">
      <w:pPr>
        <w:pStyle w:val="ListParagraph"/>
      </w:pPr>
      <w:r>
        <w:t>Dr Ivan Lin</w:t>
      </w:r>
    </w:p>
    <w:p w14:paraId="461D78FF" w14:textId="77777777" w:rsidR="0060062C" w:rsidRDefault="0060062C" w:rsidP="0060062C">
      <w:pPr>
        <w:pStyle w:val="ListParagraph"/>
      </w:pPr>
      <w:r>
        <w:t>Mr Tony Thiveos</w:t>
      </w:r>
    </w:p>
    <w:p w14:paraId="73B7B24A" w14:textId="77777777" w:rsidR="0060062C" w:rsidRDefault="0060062C" w:rsidP="0060062C">
      <w:pPr>
        <w:pStyle w:val="ListParagraph"/>
      </w:pPr>
      <w:r>
        <w:t>Dr Samuel Whittle</w:t>
      </w:r>
    </w:p>
    <w:p w14:paraId="693FB10C" w14:textId="77777777" w:rsidR="0060062C" w:rsidRDefault="0060062C" w:rsidP="0060062C">
      <w:pPr>
        <w:pStyle w:val="ListParagraph"/>
      </w:pPr>
      <w:r>
        <w:t>Dr Hester Wilson</w:t>
      </w:r>
    </w:p>
    <w:p w14:paraId="4B78166A" w14:textId="77777777" w:rsidR="0060062C" w:rsidRDefault="0060062C" w:rsidP="0060062C">
      <w:pPr>
        <w:pStyle w:val="ListParagraph"/>
      </w:pPr>
      <w:r>
        <w:t>Dr Leo Zeller.</w:t>
      </w:r>
    </w:p>
    <w:p w14:paraId="5900C06A" w14:textId="77777777" w:rsidR="0060062C" w:rsidRDefault="0060062C" w:rsidP="00B73BD3">
      <w:pPr>
        <w:pStyle w:val="Heading2"/>
      </w:pPr>
      <w:r>
        <w:t>Commission staff</w:t>
      </w:r>
    </w:p>
    <w:p w14:paraId="0CE28F88" w14:textId="77777777" w:rsidR="0060062C" w:rsidRDefault="0060062C" w:rsidP="0060062C">
      <w:r>
        <w:t>The following Commission staff were also involved in the writing and review of these recommendations, and the Commission wishes to acknowledge:</w:t>
      </w:r>
    </w:p>
    <w:p w14:paraId="6AA912E5" w14:textId="77777777" w:rsidR="0060062C" w:rsidRDefault="0060062C" w:rsidP="0060062C">
      <w:pPr>
        <w:pStyle w:val="ListParagraph"/>
      </w:pPr>
      <w:r>
        <w:t>Suchit Handa</w:t>
      </w:r>
    </w:p>
    <w:p w14:paraId="7346C7C2" w14:textId="77777777" w:rsidR="0060062C" w:rsidRDefault="0060062C" w:rsidP="0060062C">
      <w:pPr>
        <w:pStyle w:val="ListParagraph"/>
      </w:pPr>
      <w:r>
        <w:t>Suzanna Henderson</w:t>
      </w:r>
    </w:p>
    <w:p w14:paraId="7D6A653E" w14:textId="77777777" w:rsidR="0060062C" w:rsidRDefault="0060062C" w:rsidP="0060062C">
      <w:pPr>
        <w:pStyle w:val="ListParagraph"/>
      </w:pPr>
      <w:r>
        <w:t>Vivi Nguyen.</w:t>
      </w:r>
    </w:p>
    <w:p w14:paraId="3EB6F9E8" w14:textId="77777777" w:rsidR="00105CD2" w:rsidRDefault="00105CD2" w:rsidP="00166FB6">
      <w:pPr>
        <w:rPr>
          <w:highlight w:val="green"/>
        </w:rPr>
        <w:sectPr w:rsidR="00105CD2" w:rsidSect="0031696F">
          <w:footnotePr>
            <w:numFmt w:val="chicago"/>
            <w:numRestart w:val="eachPage"/>
          </w:footnotePr>
          <w:pgSz w:w="11900" w:h="16840"/>
          <w:pgMar w:top="1418" w:right="1418" w:bottom="1134" w:left="1418" w:header="709" w:footer="709" w:gutter="0"/>
          <w:cols w:space="708"/>
          <w:docGrid w:linePitch="360"/>
        </w:sectPr>
      </w:pPr>
    </w:p>
    <w:p w14:paraId="24684038" w14:textId="77777777" w:rsidR="00166FB6" w:rsidRDefault="00166FB6" w:rsidP="00166FB6">
      <w:pPr>
        <w:rPr>
          <w:highlight w:val="green"/>
        </w:rPr>
      </w:pPr>
    </w:p>
    <w:p w14:paraId="02FF6F45" w14:textId="77777777" w:rsidR="00166FB6" w:rsidRPr="00B70655" w:rsidRDefault="00166FB6" w:rsidP="00166FB6">
      <w:pPr>
        <w:pStyle w:val="Backpagelogoholder"/>
        <w:rPr>
          <w:highlight w:val="green"/>
        </w:rPr>
      </w:pPr>
      <w:r w:rsidRPr="00B70655">
        <w:drawing>
          <wp:inline distT="0" distB="0" distL="0" distR="0" wp14:anchorId="0A40ACA1" wp14:editId="6E2B5A9A">
            <wp:extent cx="3941445" cy="555625"/>
            <wp:effectExtent l="0" t="0" r="0" b="3175"/>
            <wp:docPr id="49" name="Picture 49"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941445" cy="555625"/>
                    </a:xfrm>
                    <a:prstGeom prst="rect">
                      <a:avLst/>
                    </a:prstGeom>
                  </pic:spPr>
                </pic:pic>
              </a:graphicData>
            </a:graphic>
          </wp:inline>
        </w:drawing>
      </w:r>
    </w:p>
    <w:p w14:paraId="1C5C6E2E" w14:textId="77777777" w:rsidR="00166FB6" w:rsidRPr="00B70655" w:rsidRDefault="00166FB6" w:rsidP="00166FB6">
      <w:r w:rsidRPr="00B70655">
        <w:t>Level 5, 255 Elizabeth Street, Sydney NSW 2000</w:t>
      </w:r>
      <w:r w:rsidRPr="00B70655">
        <w:br/>
        <w:t>GPO Box 5480, Sydney NSW 2001</w:t>
      </w:r>
    </w:p>
    <w:p w14:paraId="20FB9276" w14:textId="77777777" w:rsidR="00166FB6" w:rsidRPr="00B70655" w:rsidRDefault="00166FB6" w:rsidP="00166FB6">
      <w:r w:rsidRPr="00B70655">
        <w:t>Phone: (02) 9126 3600</w:t>
      </w:r>
    </w:p>
    <w:p w14:paraId="6E2E88BD" w14:textId="77777777" w:rsidR="00166FB6" w:rsidRPr="00B70655" w:rsidRDefault="00166FB6" w:rsidP="00166FB6">
      <w:r w:rsidRPr="00B70655">
        <w:t xml:space="preserve">Email: </w:t>
      </w:r>
      <w:hyperlink r:id="rId75" w:history="1">
        <w:r w:rsidRPr="00B70655">
          <w:rPr>
            <w:rStyle w:val="Hyperlink"/>
          </w:rPr>
          <w:t>mail@safetyandquality.gov.au</w:t>
        </w:r>
      </w:hyperlink>
      <w:r w:rsidRPr="00B70655">
        <w:t xml:space="preserve"> </w:t>
      </w:r>
      <w:r w:rsidRPr="00B70655">
        <w:br/>
        <w:t xml:space="preserve">Website: </w:t>
      </w:r>
      <w:hyperlink r:id="rId76" w:history="1">
        <w:r w:rsidRPr="00B70655">
          <w:rPr>
            <w:rStyle w:val="Hyperlink"/>
          </w:rPr>
          <w:t>www.safetyandquality.gov.au</w:t>
        </w:r>
      </w:hyperlink>
    </w:p>
    <w:p w14:paraId="06BC8464" w14:textId="77777777" w:rsidR="00166FB6" w:rsidRPr="00345B22" w:rsidRDefault="00166FB6" w:rsidP="00166FB6"/>
    <w:sectPr w:rsidR="00166FB6" w:rsidRPr="00345B22" w:rsidSect="0031696F">
      <w:footnotePr>
        <w:numFmt w:val="chicago"/>
        <w:numRestart w:val="eachPage"/>
      </w:footnotePr>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148F7" w14:textId="77777777" w:rsidR="00C32C9F" w:rsidRDefault="00C32C9F" w:rsidP="000B0274">
      <w:r>
        <w:separator/>
      </w:r>
    </w:p>
  </w:endnote>
  <w:endnote w:type="continuationSeparator" w:id="0">
    <w:p w14:paraId="7BEB7D72" w14:textId="77777777" w:rsidR="00C32C9F" w:rsidRDefault="00C32C9F" w:rsidP="000B0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font>
  <w:font w:name="Times New Roman (Headings C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Open Sans">
    <w:altName w:val="Open Sans"/>
    <w:charset w:val="00"/>
    <w:family w:val="swiss"/>
    <w:pitch w:val="variable"/>
    <w:sig w:usb0="E00002EF" w:usb1="4000205B" w:usb2="00000028" w:usb3="00000000" w:csb0="0000019F" w:csb1="00000000"/>
  </w:font>
  <w:font w:name="Proxima Nova">
    <w:panose1 w:val="00000000000000000000"/>
    <w:charset w:val="00"/>
    <w:family w:val="auto"/>
    <w:notTrueType/>
    <w:pitch w:val="variable"/>
    <w:sig w:usb0="A00002EF" w:usb1="5000E0FB"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C350A" w14:textId="77777777" w:rsidR="00DB3E36" w:rsidRPr="00F57148" w:rsidRDefault="00DB3E36" w:rsidP="009B053D">
    <w:pPr>
      <w:pStyle w:val="Footer"/>
      <w:jc w:val="right"/>
    </w:pPr>
    <w:r w:rsidRPr="00B904EC">
      <w:t>Publication title</w:t>
    </w:r>
    <w:r>
      <w:tab/>
    </w:r>
    <w:r>
      <w:tab/>
    </w:r>
    <w:r w:rsidRPr="00F57148">
      <w:fldChar w:fldCharType="begin"/>
    </w:r>
    <w:r w:rsidRPr="00F57148">
      <w:instrText xml:space="preserve"> PAGE   \* MERGEFORMAT </w:instrText>
    </w:r>
    <w:r w:rsidRPr="00F57148">
      <w:fldChar w:fldCharType="separate"/>
    </w:r>
    <w:r>
      <w:rPr>
        <w:noProof/>
      </w:rPr>
      <w:t>ii</w:t>
    </w:r>
    <w:r w:rsidRPr="00F57148">
      <w:rPr>
        <w:noProof/>
      </w:rPr>
      <w:fldChar w:fldCharType="end"/>
    </w:r>
  </w:p>
  <w:p w14:paraId="2EFB717D" w14:textId="77777777" w:rsidR="00DB3E36" w:rsidRDefault="00DB3E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DAB75" w14:textId="77777777" w:rsidR="00DB3E36" w:rsidRPr="008029B4" w:rsidRDefault="00DB3E36" w:rsidP="008029B4">
    <w:pPr>
      <w:tabs>
        <w:tab w:val="center" w:pos="4513"/>
        <w:tab w:val="right" w:pos="9026"/>
      </w:tabs>
      <w:spacing w:after="0"/>
      <w:rPr>
        <w:color w:val="606060"/>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E1847" w14:textId="284D6380" w:rsidR="00DB3E36" w:rsidRDefault="00925351" w:rsidP="00C92933">
    <w:pPr>
      <w:pStyle w:val="Footer"/>
      <w:tabs>
        <w:tab w:val="clear" w:pos="4513"/>
        <w:tab w:val="clear" w:pos="9026"/>
        <w:tab w:val="left" w:pos="2268"/>
        <w:tab w:val="right" w:pos="21121"/>
      </w:tabs>
    </w:pPr>
    <w:r w:rsidRPr="00925351">
      <w:t>Patient-Reported Outcome Measure</w:t>
    </w:r>
    <w:r w:rsidR="004A1BC6">
      <w:t xml:space="preserve"> </w:t>
    </w:r>
    <w:r w:rsidR="004A1BC6" w:rsidRPr="00D355C8">
      <w:t xml:space="preserve">Recommendations for </w:t>
    </w:r>
    <w:r w:rsidR="00DE73B2">
      <w:rPr>
        <w:lang w:val="en-GB"/>
      </w:rPr>
      <w:t>Low Back Pain</w:t>
    </w:r>
    <w:r w:rsidR="00DB3E36">
      <w:tab/>
    </w:r>
    <w:r w:rsidR="00DB3E36" w:rsidRPr="00F57148">
      <w:fldChar w:fldCharType="begin"/>
    </w:r>
    <w:r w:rsidR="00DB3E36" w:rsidRPr="00F57148">
      <w:instrText xml:space="preserve"> PAGE   \* MERGEFORMAT </w:instrText>
    </w:r>
    <w:r w:rsidR="00DB3E36" w:rsidRPr="00F57148">
      <w:fldChar w:fldCharType="separate"/>
    </w:r>
    <w:r w:rsidR="00DB3E36">
      <w:rPr>
        <w:noProof/>
      </w:rPr>
      <w:t>8</w:t>
    </w:r>
    <w:r w:rsidR="00DB3E36" w:rsidRPr="00F5714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053CB" w14:textId="77777777" w:rsidR="00C32C9F" w:rsidRDefault="00C32C9F" w:rsidP="000B0274">
      <w:r>
        <w:separator/>
      </w:r>
    </w:p>
  </w:footnote>
  <w:footnote w:type="continuationSeparator" w:id="0">
    <w:p w14:paraId="53B3CA8C" w14:textId="77777777" w:rsidR="00C32C9F" w:rsidRDefault="00C32C9F" w:rsidP="000B02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44EBE" w14:textId="7FDE68F3" w:rsidR="00AB10F7" w:rsidRDefault="00AB10F7" w:rsidP="00AB10F7">
    <w:pPr>
      <w:tabs>
        <w:tab w:val="right" w:pos="9638"/>
      </w:tabs>
      <w:spacing w:after="0"/>
      <w:ind w:left="-142"/>
    </w:pPr>
    <w:r w:rsidRPr="00FB375B">
      <w:rPr>
        <w:rFonts w:eastAsiaTheme="majorEastAsia"/>
        <w:noProof/>
      </w:rPr>
      <w:drawing>
        <wp:inline distT="0" distB="0" distL="0" distR="0" wp14:anchorId="492DAE68" wp14:editId="7888AE62">
          <wp:extent cx="4307149" cy="543600"/>
          <wp:effectExtent l="0" t="0" r="0" b="2540"/>
          <wp:docPr id="565744783" name="Picture 565744783"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rotWithShape="1">
                  <a:blip r:embed="rId1" cstate="print">
                    <a:extLst>
                      <a:ext uri="{28A0092B-C50C-407E-A947-70E740481C1C}">
                        <a14:useLocalDpi xmlns:a14="http://schemas.microsoft.com/office/drawing/2010/main" val="0"/>
                      </a:ext>
                    </a:extLst>
                  </a:blip>
                  <a:srcRect b="10614"/>
                  <a:stretch/>
                </pic:blipFill>
                <pic:spPr bwMode="auto">
                  <a:xfrm>
                    <a:off x="0" y="0"/>
                    <a:ext cx="4334400" cy="547039"/>
                  </a:xfrm>
                  <a:prstGeom prst="rect">
                    <a:avLst/>
                  </a:prstGeom>
                  <a:ln>
                    <a:noFill/>
                  </a:ln>
                  <a:extLst>
                    <a:ext uri="{53640926-AAD7-44D8-BBD7-CCE9431645EC}">
                      <a14:shadowObscured xmlns:a14="http://schemas.microsoft.com/office/drawing/2010/main"/>
                    </a:ext>
                  </a:extLst>
                </pic:spPr>
              </pic:pic>
            </a:graphicData>
          </a:graphic>
        </wp:inline>
      </w:drawing>
    </w:r>
    <w:r>
      <w:tab/>
    </w:r>
  </w:p>
  <w:p w14:paraId="773EE8AF" w14:textId="39A086E8" w:rsidR="00DB3E36" w:rsidRPr="00AB10F7" w:rsidRDefault="00DB3E36" w:rsidP="00AB10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CE405" w14:textId="77777777" w:rsidR="00DB3E36" w:rsidRDefault="00DB3E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94714" w14:textId="77777777" w:rsidR="00DB3E36" w:rsidRDefault="00DB3E36" w:rsidP="008029B4">
    <w:pPr>
      <w:pStyle w:val="Header"/>
      <w:spacing w:before="120" w:after="240"/>
      <w:ind w:hanging="14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08B4C" w14:textId="77777777" w:rsidR="00DB3E36" w:rsidRDefault="00DB3E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1007B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E9C32EB"/>
    <w:multiLevelType w:val="multilevel"/>
    <w:tmpl w:val="D1DCA2EC"/>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 w15:restartNumberingAfterBreak="0">
    <w:nsid w:val="10471497"/>
    <w:multiLevelType w:val="hybridMultilevel"/>
    <w:tmpl w:val="51463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259451B6"/>
    <w:multiLevelType w:val="hybridMultilevel"/>
    <w:tmpl w:val="68481E64"/>
    <w:lvl w:ilvl="0" w:tplc="45E6DAC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5E71E2"/>
    <w:multiLevelType w:val="hybridMultilevel"/>
    <w:tmpl w:val="20A24C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56D1A96"/>
    <w:multiLevelType w:val="hybridMultilevel"/>
    <w:tmpl w:val="39C0E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6472056"/>
    <w:multiLevelType w:val="hybridMultilevel"/>
    <w:tmpl w:val="5BC6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675603"/>
    <w:multiLevelType w:val="hybridMultilevel"/>
    <w:tmpl w:val="CFF69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53451B"/>
    <w:multiLevelType w:val="hybridMultilevel"/>
    <w:tmpl w:val="B540F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124DD5"/>
    <w:multiLevelType w:val="hybridMultilevel"/>
    <w:tmpl w:val="2E0AA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0A7AA5"/>
    <w:multiLevelType w:val="hybridMultilevel"/>
    <w:tmpl w:val="41769922"/>
    <w:lvl w:ilvl="0" w:tplc="23F007AA">
      <w:start w:val="1"/>
      <w:numFmt w:val="bullet"/>
      <w:pStyle w:val="ListParagraph"/>
      <w:lvlText w:val=""/>
      <w:lvlJc w:val="left"/>
      <w:pPr>
        <w:ind w:left="786"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47764219">
    <w:abstractNumId w:val="1"/>
  </w:num>
  <w:num w:numId="2" w16cid:durableId="1858958039">
    <w:abstractNumId w:val="3"/>
  </w:num>
  <w:num w:numId="3" w16cid:durableId="797720119">
    <w:abstractNumId w:val="7"/>
  </w:num>
  <w:num w:numId="4" w16cid:durableId="983394333">
    <w:abstractNumId w:val="12"/>
  </w:num>
  <w:num w:numId="5" w16cid:durableId="273053341">
    <w:abstractNumId w:val="11"/>
  </w:num>
  <w:num w:numId="6" w16cid:durableId="857549026">
    <w:abstractNumId w:val="4"/>
  </w:num>
  <w:num w:numId="7" w16cid:durableId="1816751849">
    <w:abstractNumId w:val="6"/>
  </w:num>
  <w:num w:numId="8" w16cid:durableId="721247935">
    <w:abstractNumId w:val="2"/>
  </w:num>
  <w:num w:numId="9" w16cid:durableId="137916163">
    <w:abstractNumId w:val="0"/>
  </w:num>
  <w:num w:numId="10" w16cid:durableId="915435264">
    <w:abstractNumId w:val="17"/>
  </w:num>
  <w:num w:numId="11" w16cid:durableId="1133406048">
    <w:abstractNumId w:val="13"/>
  </w:num>
  <w:num w:numId="12" w16cid:durableId="1017076467">
    <w:abstractNumId w:val="14"/>
  </w:num>
  <w:num w:numId="13" w16cid:durableId="1890262717">
    <w:abstractNumId w:val="16"/>
  </w:num>
  <w:num w:numId="14" w16cid:durableId="322010450">
    <w:abstractNumId w:val="15"/>
  </w:num>
  <w:num w:numId="15" w16cid:durableId="2009477191">
    <w:abstractNumId w:val="9"/>
  </w:num>
  <w:num w:numId="16" w16cid:durableId="1956864387">
    <w:abstractNumId w:val="10"/>
  </w:num>
  <w:num w:numId="17" w16cid:durableId="1053501403">
    <w:abstractNumId w:val="5"/>
  </w:num>
  <w:num w:numId="18" w16cid:durableId="955721287">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efaultTableStyle w:val="CCSGreenBox"/>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839"/>
    <w:rsid w:val="000018B6"/>
    <w:rsid w:val="00002C35"/>
    <w:rsid w:val="00003743"/>
    <w:rsid w:val="00005028"/>
    <w:rsid w:val="00005088"/>
    <w:rsid w:val="0000583C"/>
    <w:rsid w:val="00006BEB"/>
    <w:rsid w:val="00006C22"/>
    <w:rsid w:val="00012DD5"/>
    <w:rsid w:val="00014447"/>
    <w:rsid w:val="00015958"/>
    <w:rsid w:val="00016270"/>
    <w:rsid w:val="00020C1E"/>
    <w:rsid w:val="00020DBD"/>
    <w:rsid w:val="000216DD"/>
    <w:rsid w:val="00027007"/>
    <w:rsid w:val="000271CE"/>
    <w:rsid w:val="0003096D"/>
    <w:rsid w:val="000310F3"/>
    <w:rsid w:val="0003162D"/>
    <w:rsid w:val="0003304A"/>
    <w:rsid w:val="00033A18"/>
    <w:rsid w:val="00037454"/>
    <w:rsid w:val="000406F8"/>
    <w:rsid w:val="0004095A"/>
    <w:rsid w:val="00040E98"/>
    <w:rsid w:val="00041A31"/>
    <w:rsid w:val="00042794"/>
    <w:rsid w:val="00043671"/>
    <w:rsid w:val="00044C71"/>
    <w:rsid w:val="0004510E"/>
    <w:rsid w:val="00045D7A"/>
    <w:rsid w:val="0004665C"/>
    <w:rsid w:val="00047165"/>
    <w:rsid w:val="000479D8"/>
    <w:rsid w:val="00051851"/>
    <w:rsid w:val="00056784"/>
    <w:rsid w:val="00056B27"/>
    <w:rsid w:val="000572FF"/>
    <w:rsid w:val="00061CD4"/>
    <w:rsid w:val="00066E00"/>
    <w:rsid w:val="00067456"/>
    <w:rsid w:val="000771EF"/>
    <w:rsid w:val="0008054D"/>
    <w:rsid w:val="00080F1E"/>
    <w:rsid w:val="00080FD8"/>
    <w:rsid w:val="00081505"/>
    <w:rsid w:val="000816A3"/>
    <w:rsid w:val="000823A5"/>
    <w:rsid w:val="0008276A"/>
    <w:rsid w:val="00084081"/>
    <w:rsid w:val="000844C2"/>
    <w:rsid w:val="00085D77"/>
    <w:rsid w:val="00085EB6"/>
    <w:rsid w:val="00085F1B"/>
    <w:rsid w:val="00090D06"/>
    <w:rsid w:val="00091438"/>
    <w:rsid w:val="00091B83"/>
    <w:rsid w:val="0009266C"/>
    <w:rsid w:val="00095534"/>
    <w:rsid w:val="00097104"/>
    <w:rsid w:val="00097A95"/>
    <w:rsid w:val="00097E18"/>
    <w:rsid w:val="000A04E7"/>
    <w:rsid w:val="000A1D25"/>
    <w:rsid w:val="000A3F0D"/>
    <w:rsid w:val="000A4C01"/>
    <w:rsid w:val="000A56C3"/>
    <w:rsid w:val="000A685C"/>
    <w:rsid w:val="000B0274"/>
    <w:rsid w:val="000B190F"/>
    <w:rsid w:val="000B35C6"/>
    <w:rsid w:val="000B4597"/>
    <w:rsid w:val="000B6508"/>
    <w:rsid w:val="000B79D3"/>
    <w:rsid w:val="000C08B4"/>
    <w:rsid w:val="000C1DD4"/>
    <w:rsid w:val="000C1E74"/>
    <w:rsid w:val="000C3A4B"/>
    <w:rsid w:val="000C76DD"/>
    <w:rsid w:val="000D017D"/>
    <w:rsid w:val="000D058D"/>
    <w:rsid w:val="000D390D"/>
    <w:rsid w:val="000D3EC6"/>
    <w:rsid w:val="000D490A"/>
    <w:rsid w:val="000D6405"/>
    <w:rsid w:val="000E029B"/>
    <w:rsid w:val="000E0432"/>
    <w:rsid w:val="000E0805"/>
    <w:rsid w:val="000E1CAF"/>
    <w:rsid w:val="000E2F2E"/>
    <w:rsid w:val="000E44CC"/>
    <w:rsid w:val="000E4845"/>
    <w:rsid w:val="000E6F85"/>
    <w:rsid w:val="000F12AD"/>
    <w:rsid w:val="000F14F6"/>
    <w:rsid w:val="000F58AA"/>
    <w:rsid w:val="000F63D6"/>
    <w:rsid w:val="000F6D5A"/>
    <w:rsid w:val="000F6EB6"/>
    <w:rsid w:val="00101283"/>
    <w:rsid w:val="00105631"/>
    <w:rsid w:val="00105CD2"/>
    <w:rsid w:val="00106040"/>
    <w:rsid w:val="001061FF"/>
    <w:rsid w:val="0010624D"/>
    <w:rsid w:val="00106DE9"/>
    <w:rsid w:val="001114F1"/>
    <w:rsid w:val="0011294C"/>
    <w:rsid w:val="0011495E"/>
    <w:rsid w:val="0011583C"/>
    <w:rsid w:val="00117DAC"/>
    <w:rsid w:val="00120371"/>
    <w:rsid w:val="00124202"/>
    <w:rsid w:val="00125C6E"/>
    <w:rsid w:val="00126AA0"/>
    <w:rsid w:val="00131244"/>
    <w:rsid w:val="00134E34"/>
    <w:rsid w:val="00140A13"/>
    <w:rsid w:val="00141EDE"/>
    <w:rsid w:val="001435EA"/>
    <w:rsid w:val="00143A5D"/>
    <w:rsid w:val="0014526A"/>
    <w:rsid w:val="001454E5"/>
    <w:rsid w:val="001470F3"/>
    <w:rsid w:val="001478B7"/>
    <w:rsid w:val="0015583D"/>
    <w:rsid w:val="00156EA1"/>
    <w:rsid w:val="0016054D"/>
    <w:rsid w:val="0016252D"/>
    <w:rsid w:val="00164AFE"/>
    <w:rsid w:val="00165300"/>
    <w:rsid w:val="00165C44"/>
    <w:rsid w:val="00166FB6"/>
    <w:rsid w:val="00171DB6"/>
    <w:rsid w:val="00172958"/>
    <w:rsid w:val="001730BA"/>
    <w:rsid w:val="001733DE"/>
    <w:rsid w:val="00174362"/>
    <w:rsid w:val="00174779"/>
    <w:rsid w:val="00174C2B"/>
    <w:rsid w:val="0017675C"/>
    <w:rsid w:val="00176C35"/>
    <w:rsid w:val="00183F38"/>
    <w:rsid w:val="00184584"/>
    <w:rsid w:val="00186E1B"/>
    <w:rsid w:val="0018723A"/>
    <w:rsid w:val="00187E9F"/>
    <w:rsid w:val="00191C2E"/>
    <w:rsid w:val="001921ED"/>
    <w:rsid w:val="0019222E"/>
    <w:rsid w:val="00194F4B"/>
    <w:rsid w:val="00195BCB"/>
    <w:rsid w:val="001962A3"/>
    <w:rsid w:val="00196AC8"/>
    <w:rsid w:val="00196F45"/>
    <w:rsid w:val="001976C5"/>
    <w:rsid w:val="001A0D87"/>
    <w:rsid w:val="001A4979"/>
    <w:rsid w:val="001A584B"/>
    <w:rsid w:val="001A608B"/>
    <w:rsid w:val="001B30FC"/>
    <w:rsid w:val="001B3443"/>
    <w:rsid w:val="001B3720"/>
    <w:rsid w:val="001B7AC3"/>
    <w:rsid w:val="001C0224"/>
    <w:rsid w:val="001C2149"/>
    <w:rsid w:val="001C3B4E"/>
    <w:rsid w:val="001C42A3"/>
    <w:rsid w:val="001C5AEE"/>
    <w:rsid w:val="001C6644"/>
    <w:rsid w:val="001C791C"/>
    <w:rsid w:val="001D09AF"/>
    <w:rsid w:val="001D56D6"/>
    <w:rsid w:val="001D5B11"/>
    <w:rsid w:val="001D7339"/>
    <w:rsid w:val="001E0FAB"/>
    <w:rsid w:val="001E1042"/>
    <w:rsid w:val="001E1AFD"/>
    <w:rsid w:val="001E1EFE"/>
    <w:rsid w:val="001E29DC"/>
    <w:rsid w:val="001E2CEB"/>
    <w:rsid w:val="001E77C4"/>
    <w:rsid w:val="001F115A"/>
    <w:rsid w:val="001F17F6"/>
    <w:rsid w:val="001F1A8B"/>
    <w:rsid w:val="001F1ED7"/>
    <w:rsid w:val="001F3850"/>
    <w:rsid w:val="001F59AD"/>
    <w:rsid w:val="00200575"/>
    <w:rsid w:val="002019D9"/>
    <w:rsid w:val="00203CA3"/>
    <w:rsid w:val="00204C6D"/>
    <w:rsid w:val="00205A0D"/>
    <w:rsid w:val="00205A91"/>
    <w:rsid w:val="00207C35"/>
    <w:rsid w:val="00216018"/>
    <w:rsid w:val="002208B6"/>
    <w:rsid w:val="002213B2"/>
    <w:rsid w:val="0022191F"/>
    <w:rsid w:val="002240B0"/>
    <w:rsid w:val="002255B0"/>
    <w:rsid w:val="00230EA8"/>
    <w:rsid w:val="00232BE0"/>
    <w:rsid w:val="00232E75"/>
    <w:rsid w:val="002359B6"/>
    <w:rsid w:val="002372D3"/>
    <w:rsid w:val="00237ADF"/>
    <w:rsid w:val="00240EEC"/>
    <w:rsid w:val="00240FE0"/>
    <w:rsid w:val="00242972"/>
    <w:rsid w:val="0024345D"/>
    <w:rsid w:val="00245586"/>
    <w:rsid w:val="00245D81"/>
    <w:rsid w:val="00246B23"/>
    <w:rsid w:val="00246D90"/>
    <w:rsid w:val="00247FC2"/>
    <w:rsid w:val="002511C0"/>
    <w:rsid w:val="002528D0"/>
    <w:rsid w:val="00252FB1"/>
    <w:rsid w:val="00253744"/>
    <w:rsid w:val="00255596"/>
    <w:rsid w:val="00256310"/>
    <w:rsid w:val="00261098"/>
    <w:rsid w:val="00261F43"/>
    <w:rsid w:val="002620E6"/>
    <w:rsid w:val="00262A7B"/>
    <w:rsid w:val="00262C20"/>
    <w:rsid w:val="002646B2"/>
    <w:rsid w:val="00266015"/>
    <w:rsid w:val="002662B4"/>
    <w:rsid w:val="00267169"/>
    <w:rsid w:val="00267635"/>
    <w:rsid w:val="00267752"/>
    <w:rsid w:val="00271FD3"/>
    <w:rsid w:val="00272BE6"/>
    <w:rsid w:val="002746B3"/>
    <w:rsid w:val="00274F73"/>
    <w:rsid w:val="002758CD"/>
    <w:rsid w:val="00277817"/>
    <w:rsid w:val="002809C9"/>
    <w:rsid w:val="00281FD4"/>
    <w:rsid w:val="00282D69"/>
    <w:rsid w:val="00283238"/>
    <w:rsid w:val="0028598D"/>
    <w:rsid w:val="00285FEC"/>
    <w:rsid w:val="00290DF6"/>
    <w:rsid w:val="00294222"/>
    <w:rsid w:val="00294656"/>
    <w:rsid w:val="00294D89"/>
    <w:rsid w:val="00294ED9"/>
    <w:rsid w:val="0029730E"/>
    <w:rsid w:val="002A19B7"/>
    <w:rsid w:val="002A2F6D"/>
    <w:rsid w:val="002A3570"/>
    <w:rsid w:val="002A374E"/>
    <w:rsid w:val="002B06F4"/>
    <w:rsid w:val="002B0B0E"/>
    <w:rsid w:val="002B2832"/>
    <w:rsid w:val="002B7038"/>
    <w:rsid w:val="002B79A1"/>
    <w:rsid w:val="002C229A"/>
    <w:rsid w:val="002C336C"/>
    <w:rsid w:val="002C3E4F"/>
    <w:rsid w:val="002C6645"/>
    <w:rsid w:val="002C6AF0"/>
    <w:rsid w:val="002D009A"/>
    <w:rsid w:val="002D1DDD"/>
    <w:rsid w:val="002D3312"/>
    <w:rsid w:val="002D451D"/>
    <w:rsid w:val="002D587E"/>
    <w:rsid w:val="002D5B11"/>
    <w:rsid w:val="002D761D"/>
    <w:rsid w:val="002E195D"/>
    <w:rsid w:val="002E25A4"/>
    <w:rsid w:val="002E2828"/>
    <w:rsid w:val="002E437E"/>
    <w:rsid w:val="002E453B"/>
    <w:rsid w:val="002E453C"/>
    <w:rsid w:val="002E48DF"/>
    <w:rsid w:val="002E555F"/>
    <w:rsid w:val="002E566A"/>
    <w:rsid w:val="002E5B6A"/>
    <w:rsid w:val="002E614E"/>
    <w:rsid w:val="002E6A48"/>
    <w:rsid w:val="002E7B91"/>
    <w:rsid w:val="002E7BD7"/>
    <w:rsid w:val="002F0076"/>
    <w:rsid w:val="002F3AE3"/>
    <w:rsid w:val="002F3D0C"/>
    <w:rsid w:val="002F5F03"/>
    <w:rsid w:val="002F7232"/>
    <w:rsid w:val="002F7E6F"/>
    <w:rsid w:val="00303736"/>
    <w:rsid w:val="00304493"/>
    <w:rsid w:val="003050D3"/>
    <w:rsid w:val="00306BFB"/>
    <w:rsid w:val="0030786C"/>
    <w:rsid w:val="00311FEA"/>
    <w:rsid w:val="00312A62"/>
    <w:rsid w:val="00312BC7"/>
    <w:rsid w:val="00316193"/>
    <w:rsid w:val="00316683"/>
    <w:rsid w:val="0031696F"/>
    <w:rsid w:val="00320972"/>
    <w:rsid w:val="0032149D"/>
    <w:rsid w:val="0032252A"/>
    <w:rsid w:val="0032281D"/>
    <w:rsid w:val="003259E0"/>
    <w:rsid w:val="00327A90"/>
    <w:rsid w:val="00330488"/>
    <w:rsid w:val="0033120F"/>
    <w:rsid w:val="0033324E"/>
    <w:rsid w:val="0033366C"/>
    <w:rsid w:val="00333CFE"/>
    <w:rsid w:val="00336EE5"/>
    <w:rsid w:val="0033707A"/>
    <w:rsid w:val="00345B22"/>
    <w:rsid w:val="0034675B"/>
    <w:rsid w:val="00346CDF"/>
    <w:rsid w:val="00346DFE"/>
    <w:rsid w:val="0035215F"/>
    <w:rsid w:val="00352ABC"/>
    <w:rsid w:val="0035370B"/>
    <w:rsid w:val="00354FF2"/>
    <w:rsid w:val="00355552"/>
    <w:rsid w:val="00360C78"/>
    <w:rsid w:val="00366070"/>
    <w:rsid w:val="003671D0"/>
    <w:rsid w:val="00367EFE"/>
    <w:rsid w:val="00373146"/>
    <w:rsid w:val="003741E6"/>
    <w:rsid w:val="0038024D"/>
    <w:rsid w:val="0038128B"/>
    <w:rsid w:val="0038389D"/>
    <w:rsid w:val="00384169"/>
    <w:rsid w:val="00385083"/>
    <w:rsid w:val="00386D53"/>
    <w:rsid w:val="00387131"/>
    <w:rsid w:val="003873C6"/>
    <w:rsid w:val="00391A26"/>
    <w:rsid w:val="003A0901"/>
    <w:rsid w:val="003A3FDC"/>
    <w:rsid w:val="003A5DC1"/>
    <w:rsid w:val="003A69DD"/>
    <w:rsid w:val="003A7226"/>
    <w:rsid w:val="003A773D"/>
    <w:rsid w:val="003B2A66"/>
    <w:rsid w:val="003B3C3E"/>
    <w:rsid w:val="003B3EB7"/>
    <w:rsid w:val="003C297A"/>
    <w:rsid w:val="003C4FF8"/>
    <w:rsid w:val="003C6411"/>
    <w:rsid w:val="003C7872"/>
    <w:rsid w:val="003D17F9"/>
    <w:rsid w:val="003D1D9D"/>
    <w:rsid w:val="003D3C7F"/>
    <w:rsid w:val="003D437B"/>
    <w:rsid w:val="003D4760"/>
    <w:rsid w:val="003D4A49"/>
    <w:rsid w:val="003D6B31"/>
    <w:rsid w:val="003D79B7"/>
    <w:rsid w:val="003E4B4D"/>
    <w:rsid w:val="003E5851"/>
    <w:rsid w:val="003E6FA2"/>
    <w:rsid w:val="003E716A"/>
    <w:rsid w:val="003E76C8"/>
    <w:rsid w:val="003E77C9"/>
    <w:rsid w:val="003F1133"/>
    <w:rsid w:val="003F337F"/>
    <w:rsid w:val="003F4BBA"/>
    <w:rsid w:val="003F4D15"/>
    <w:rsid w:val="003F5C1C"/>
    <w:rsid w:val="003F6FB0"/>
    <w:rsid w:val="003F70C3"/>
    <w:rsid w:val="0040216F"/>
    <w:rsid w:val="004029B0"/>
    <w:rsid w:val="00403A79"/>
    <w:rsid w:val="00404CB1"/>
    <w:rsid w:val="004056C6"/>
    <w:rsid w:val="00407B9F"/>
    <w:rsid w:val="00410108"/>
    <w:rsid w:val="00412765"/>
    <w:rsid w:val="00412E9D"/>
    <w:rsid w:val="004138FC"/>
    <w:rsid w:val="00413F60"/>
    <w:rsid w:val="00414821"/>
    <w:rsid w:val="00414E5D"/>
    <w:rsid w:val="00415FA8"/>
    <w:rsid w:val="0042089C"/>
    <w:rsid w:val="0042266F"/>
    <w:rsid w:val="00423F47"/>
    <w:rsid w:val="0042431A"/>
    <w:rsid w:val="00424DD6"/>
    <w:rsid w:val="00425010"/>
    <w:rsid w:val="00425504"/>
    <w:rsid w:val="004262E4"/>
    <w:rsid w:val="00426659"/>
    <w:rsid w:val="00427579"/>
    <w:rsid w:val="00431183"/>
    <w:rsid w:val="00434A6F"/>
    <w:rsid w:val="00434C07"/>
    <w:rsid w:val="0043516A"/>
    <w:rsid w:val="00435B01"/>
    <w:rsid w:val="0043603E"/>
    <w:rsid w:val="00437FB2"/>
    <w:rsid w:val="0044039D"/>
    <w:rsid w:val="00446911"/>
    <w:rsid w:val="00447C0B"/>
    <w:rsid w:val="00447D31"/>
    <w:rsid w:val="004509C4"/>
    <w:rsid w:val="00451371"/>
    <w:rsid w:val="00451B8F"/>
    <w:rsid w:val="00452112"/>
    <w:rsid w:val="00455022"/>
    <w:rsid w:val="004552EF"/>
    <w:rsid w:val="00455B70"/>
    <w:rsid w:val="004563B0"/>
    <w:rsid w:val="00457ACF"/>
    <w:rsid w:val="00457B3D"/>
    <w:rsid w:val="004603E4"/>
    <w:rsid w:val="00461088"/>
    <w:rsid w:val="00462ABC"/>
    <w:rsid w:val="00470AB8"/>
    <w:rsid w:val="00471762"/>
    <w:rsid w:val="00472D77"/>
    <w:rsid w:val="00472E9C"/>
    <w:rsid w:val="004739E5"/>
    <w:rsid w:val="0047471D"/>
    <w:rsid w:val="0047557B"/>
    <w:rsid w:val="004758BB"/>
    <w:rsid w:val="00475C87"/>
    <w:rsid w:val="004814D4"/>
    <w:rsid w:val="0048366C"/>
    <w:rsid w:val="004867E2"/>
    <w:rsid w:val="00486826"/>
    <w:rsid w:val="00493C68"/>
    <w:rsid w:val="00494DCF"/>
    <w:rsid w:val="00495C30"/>
    <w:rsid w:val="004A0670"/>
    <w:rsid w:val="004A0936"/>
    <w:rsid w:val="004A1BC6"/>
    <w:rsid w:val="004A1C7D"/>
    <w:rsid w:val="004A2779"/>
    <w:rsid w:val="004A50DF"/>
    <w:rsid w:val="004A62A4"/>
    <w:rsid w:val="004A72F0"/>
    <w:rsid w:val="004B02AA"/>
    <w:rsid w:val="004B2666"/>
    <w:rsid w:val="004B2937"/>
    <w:rsid w:val="004B2999"/>
    <w:rsid w:val="004B34D8"/>
    <w:rsid w:val="004B3C48"/>
    <w:rsid w:val="004B4F3B"/>
    <w:rsid w:val="004C01EB"/>
    <w:rsid w:val="004C04CF"/>
    <w:rsid w:val="004C0A9F"/>
    <w:rsid w:val="004C15C8"/>
    <w:rsid w:val="004C2F60"/>
    <w:rsid w:val="004C30E3"/>
    <w:rsid w:val="004C333C"/>
    <w:rsid w:val="004D2DE3"/>
    <w:rsid w:val="004D39F0"/>
    <w:rsid w:val="004D42EF"/>
    <w:rsid w:val="004D5308"/>
    <w:rsid w:val="004E109B"/>
    <w:rsid w:val="004E3898"/>
    <w:rsid w:val="004E58C1"/>
    <w:rsid w:val="004E76F1"/>
    <w:rsid w:val="004E7798"/>
    <w:rsid w:val="004E7CB0"/>
    <w:rsid w:val="004F013F"/>
    <w:rsid w:val="004F0E7A"/>
    <w:rsid w:val="004F51D5"/>
    <w:rsid w:val="004F5D12"/>
    <w:rsid w:val="004F6310"/>
    <w:rsid w:val="004F76E9"/>
    <w:rsid w:val="00500061"/>
    <w:rsid w:val="005011D5"/>
    <w:rsid w:val="00502548"/>
    <w:rsid w:val="00502D30"/>
    <w:rsid w:val="00506B84"/>
    <w:rsid w:val="00507DA8"/>
    <w:rsid w:val="00507F53"/>
    <w:rsid w:val="0051105C"/>
    <w:rsid w:val="0051110E"/>
    <w:rsid w:val="00512EFE"/>
    <w:rsid w:val="00515595"/>
    <w:rsid w:val="00517167"/>
    <w:rsid w:val="00517851"/>
    <w:rsid w:val="005179D8"/>
    <w:rsid w:val="00517F6F"/>
    <w:rsid w:val="0052107C"/>
    <w:rsid w:val="00521337"/>
    <w:rsid w:val="00521514"/>
    <w:rsid w:val="005221B7"/>
    <w:rsid w:val="005221F1"/>
    <w:rsid w:val="00527D75"/>
    <w:rsid w:val="00530AD3"/>
    <w:rsid w:val="00530ED8"/>
    <w:rsid w:val="00531A2F"/>
    <w:rsid w:val="005340AE"/>
    <w:rsid w:val="00534C69"/>
    <w:rsid w:val="005359C9"/>
    <w:rsid w:val="00536D8D"/>
    <w:rsid w:val="00537CDB"/>
    <w:rsid w:val="00542D24"/>
    <w:rsid w:val="00544A4E"/>
    <w:rsid w:val="005453AB"/>
    <w:rsid w:val="00547CA9"/>
    <w:rsid w:val="005506D6"/>
    <w:rsid w:val="00550979"/>
    <w:rsid w:val="00551247"/>
    <w:rsid w:val="00553C0C"/>
    <w:rsid w:val="00553C87"/>
    <w:rsid w:val="00553E33"/>
    <w:rsid w:val="00554CF7"/>
    <w:rsid w:val="00555627"/>
    <w:rsid w:val="0056027B"/>
    <w:rsid w:val="005623C9"/>
    <w:rsid w:val="0056329D"/>
    <w:rsid w:val="005633A9"/>
    <w:rsid w:val="005648C0"/>
    <w:rsid w:val="00566B97"/>
    <w:rsid w:val="00566BB4"/>
    <w:rsid w:val="00567AEF"/>
    <w:rsid w:val="005724A8"/>
    <w:rsid w:val="0057447D"/>
    <w:rsid w:val="00574704"/>
    <w:rsid w:val="00574D31"/>
    <w:rsid w:val="00575061"/>
    <w:rsid w:val="005763E1"/>
    <w:rsid w:val="0058093E"/>
    <w:rsid w:val="00581FC9"/>
    <w:rsid w:val="00582F89"/>
    <w:rsid w:val="00583975"/>
    <w:rsid w:val="00584E5E"/>
    <w:rsid w:val="00585C1A"/>
    <w:rsid w:val="00587C26"/>
    <w:rsid w:val="00590A2D"/>
    <w:rsid w:val="00591E7B"/>
    <w:rsid w:val="00594C8F"/>
    <w:rsid w:val="005955C8"/>
    <w:rsid w:val="0059724C"/>
    <w:rsid w:val="005A0B62"/>
    <w:rsid w:val="005A5A76"/>
    <w:rsid w:val="005A6195"/>
    <w:rsid w:val="005A7073"/>
    <w:rsid w:val="005B3906"/>
    <w:rsid w:val="005B48B7"/>
    <w:rsid w:val="005C1496"/>
    <w:rsid w:val="005C2BD8"/>
    <w:rsid w:val="005C5510"/>
    <w:rsid w:val="005C6AAE"/>
    <w:rsid w:val="005C74ED"/>
    <w:rsid w:val="005D1A71"/>
    <w:rsid w:val="005D32BF"/>
    <w:rsid w:val="005D3DBF"/>
    <w:rsid w:val="005D77D9"/>
    <w:rsid w:val="005E189E"/>
    <w:rsid w:val="005E2614"/>
    <w:rsid w:val="005E3041"/>
    <w:rsid w:val="005E349B"/>
    <w:rsid w:val="005F171C"/>
    <w:rsid w:val="005F1E33"/>
    <w:rsid w:val="005F2197"/>
    <w:rsid w:val="005F4A42"/>
    <w:rsid w:val="0060062C"/>
    <w:rsid w:val="00601B77"/>
    <w:rsid w:val="00604462"/>
    <w:rsid w:val="00604DEA"/>
    <w:rsid w:val="00605E80"/>
    <w:rsid w:val="00607B0B"/>
    <w:rsid w:val="00610347"/>
    <w:rsid w:val="006117D0"/>
    <w:rsid w:val="0061188F"/>
    <w:rsid w:val="006140E0"/>
    <w:rsid w:val="00614993"/>
    <w:rsid w:val="00616A6E"/>
    <w:rsid w:val="00620A1F"/>
    <w:rsid w:val="00620CD7"/>
    <w:rsid w:val="00620F70"/>
    <w:rsid w:val="006317C9"/>
    <w:rsid w:val="00633DA3"/>
    <w:rsid w:val="006344E7"/>
    <w:rsid w:val="00634C7B"/>
    <w:rsid w:val="00634E56"/>
    <w:rsid w:val="006350A8"/>
    <w:rsid w:val="0063685C"/>
    <w:rsid w:val="00637C1C"/>
    <w:rsid w:val="00640446"/>
    <w:rsid w:val="006410A0"/>
    <w:rsid w:val="00641625"/>
    <w:rsid w:val="006420C2"/>
    <w:rsid w:val="00645DCF"/>
    <w:rsid w:val="0064623B"/>
    <w:rsid w:val="006475C0"/>
    <w:rsid w:val="006508DF"/>
    <w:rsid w:val="00650B05"/>
    <w:rsid w:val="0065438E"/>
    <w:rsid w:val="00654FDA"/>
    <w:rsid w:val="00655F1B"/>
    <w:rsid w:val="00657834"/>
    <w:rsid w:val="00660542"/>
    <w:rsid w:val="0066057B"/>
    <w:rsid w:val="006622D7"/>
    <w:rsid w:val="00662C83"/>
    <w:rsid w:val="006630AB"/>
    <w:rsid w:val="006642D4"/>
    <w:rsid w:val="00666D1B"/>
    <w:rsid w:val="00666D49"/>
    <w:rsid w:val="00670E2B"/>
    <w:rsid w:val="006719F4"/>
    <w:rsid w:val="006747B3"/>
    <w:rsid w:val="00675D5E"/>
    <w:rsid w:val="00676766"/>
    <w:rsid w:val="006803BA"/>
    <w:rsid w:val="0068178E"/>
    <w:rsid w:val="00685904"/>
    <w:rsid w:val="00686C61"/>
    <w:rsid w:val="006906C6"/>
    <w:rsid w:val="00690AB2"/>
    <w:rsid w:val="0069263D"/>
    <w:rsid w:val="00692D77"/>
    <w:rsid w:val="00694661"/>
    <w:rsid w:val="006946C3"/>
    <w:rsid w:val="00694AA5"/>
    <w:rsid w:val="006955B1"/>
    <w:rsid w:val="006A19E7"/>
    <w:rsid w:val="006A1A6D"/>
    <w:rsid w:val="006A1D4C"/>
    <w:rsid w:val="006A2A16"/>
    <w:rsid w:val="006A3815"/>
    <w:rsid w:val="006A49CC"/>
    <w:rsid w:val="006A64AA"/>
    <w:rsid w:val="006A6C2C"/>
    <w:rsid w:val="006A7146"/>
    <w:rsid w:val="006B061B"/>
    <w:rsid w:val="006B0ABC"/>
    <w:rsid w:val="006B1F53"/>
    <w:rsid w:val="006B2AF2"/>
    <w:rsid w:val="006B3114"/>
    <w:rsid w:val="006B47E5"/>
    <w:rsid w:val="006B48D6"/>
    <w:rsid w:val="006C0406"/>
    <w:rsid w:val="006C0DD6"/>
    <w:rsid w:val="006C4212"/>
    <w:rsid w:val="006D0042"/>
    <w:rsid w:val="006D4543"/>
    <w:rsid w:val="006D657A"/>
    <w:rsid w:val="006D6A24"/>
    <w:rsid w:val="006D732F"/>
    <w:rsid w:val="006E3329"/>
    <w:rsid w:val="006E47F5"/>
    <w:rsid w:val="006E688D"/>
    <w:rsid w:val="006E701C"/>
    <w:rsid w:val="006F05C5"/>
    <w:rsid w:val="006F06FE"/>
    <w:rsid w:val="006F0DC4"/>
    <w:rsid w:val="006F3F63"/>
    <w:rsid w:val="006F4FD7"/>
    <w:rsid w:val="006F5778"/>
    <w:rsid w:val="006F6908"/>
    <w:rsid w:val="006F7F4E"/>
    <w:rsid w:val="0070256A"/>
    <w:rsid w:val="007028EC"/>
    <w:rsid w:val="00704788"/>
    <w:rsid w:val="00705A06"/>
    <w:rsid w:val="00705FBD"/>
    <w:rsid w:val="0070703E"/>
    <w:rsid w:val="00707888"/>
    <w:rsid w:val="00707BDB"/>
    <w:rsid w:val="00707F97"/>
    <w:rsid w:val="007132BD"/>
    <w:rsid w:val="00713712"/>
    <w:rsid w:val="00713E5B"/>
    <w:rsid w:val="0071446A"/>
    <w:rsid w:val="00714541"/>
    <w:rsid w:val="0071609E"/>
    <w:rsid w:val="0071637F"/>
    <w:rsid w:val="00723159"/>
    <w:rsid w:val="0072360F"/>
    <w:rsid w:val="00723B13"/>
    <w:rsid w:val="00725D3A"/>
    <w:rsid w:val="00727364"/>
    <w:rsid w:val="00727861"/>
    <w:rsid w:val="0072798B"/>
    <w:rsid w:val="00727E23"/>
    <w:rsid w:val="0073187B"/>
    <w:rsid w:val="00733963"/>
    <w:rsid w:val="0073432D"/>
    <w:rsid w:val="00734439"/>
    <w:rsid w:val="00735DE8"/>
    <w:rsid w:val="007360BF"/>
    <w:rsid w:val="007462CB"/>
    <w:rsid w:val="007469B8"/>
    <w:rsid w:val="00746C9C"/>
    <w:rsid w:val="00746FA7"/>
    <w:rsid w:val="00750157"/>
    <w:rsid w:val="00751910"/>
    <w:rsid w:val="00751EC0"/>
    <w:rsid w:val="0075371B"/>
    <w:rsid w:val="007545C7"/>
    <w:rsid w:val="0075639A"/>
    <w:rsid w:val="0076005C"/>
    <w:rsid w:val="0076030B"/>
    <w:rsid w:val="00760CB2"/>
    <w:rsid w:val="00761700"/>
    <w:rsid w:val="00762322"/>
    <w:rsid w:val="007635C1"/>
    <w:rsid w:val="0076391D"/>
    <w:rsid w:val="00766B42"/>
    <w:rsid w:val="007701A0"/>
    <w:rsid w:val="007706F0"/>
    <w:rsid w:val="00770B00"/>
    <w:rsid w:val="007726F6"/>
    <w:rsid w:val="00774126"/>
    <w:rsid w:val="00774778"/>
    <w:rsid w:val="0078070C"/>
    <w:rsid w:val="00781979"/>
    <w:rsid w:val="0078217C"/>
    <w:rsid w:val="00784095"/>
    <w:rsid w:val="00784541"/>
    <w:rsid w:val="007875E2"/>
    <w:rsid w:val="0079042E"/>
    <w:rsid w:val="0079060E"/>
    <w:rsid w:val="00790CD6"/>
    <w:rsid w:val="007913E0"/>
    <w:rsid w:val="0079350F"/>
    <w:rsid w:val="00794D96"/>
    <w:rsid w:val="007959AB"/>
    <w:rsid w:val="007968CC"/>
    <w:rsid w:val="00796FB7"/>
    <w:rsid w:val="00797EC1"/>
    <w:rsid w:val="007A12DB"/>
    <w:rsid w:val="007A2C87"/>
    <w:rsid w:val="007A4A8E"/>
    <w:rsid w:val="007A62DD"/>
    <w:rsid w:val="007A7163"/>
    <w:rsid w:val="007B04A9"/>
    <w:rsid w:val="007B16AC"/>
    <w:rsid w:val="007B2D44"/>
    <w:rsid w:val="007B5E62"/>
    <w:rsid w:val="007B6A31"/>
    <w:rsid w:val="007B6E6F"/>
    <w:rsid w:val="007C0270"/>
    <w:rsid w:val="007C170E"/>
    <w:rsid w:val="007C46FC"/>
    <w:rsid w:val="007C6C1D"/>
    <w:rsid w:val="007D0AC9"/>
    <w:rsid w:val="007D0F90"/>
    <w:rsid w:val="007D3A13"/>
    <w:rsid w:val="007D3E2C"/>
    <w:rsid w:val="007D45CD"/>
    <w:rsid w:val="007D5E55"/>
    <w:rsid w:val="007D5EA1"/>
    <w:rsid w:val="007D76AA"/>
    <w:rsid w:val="007E000D"/>
    <w:rsid w:val="007E0245"/>
    <w:rsid w:val="007E0F15"/>
    <w:rsid w:val="007E4364"/>
    <w:rsid w:val="007E6A24"/>
    <w:rsid w:val="007E76DC"/>
    <w:rsid w:val="007E7AC8"/>
    <w:rsid w:val="007F05FF"/>
    <w:rsid w:val="007F1219"/>
    <w:rsid w:val="007F1779"/>
    <w:rsid w:val="007F354F"/>
    <w:rsid w:val="007F3E85"/>
    <w:rsid w:val="007F5429"/>
    <w:rsid w:val="007F5A15"/>
    <w:rsid w:val="007F6369"/>
    <w:rsid w:val="007F6DC1"/>
    <w:rsid w:val="008005C3"/>
    <w:rsid w:val="00801C18"/>
    <w:rsid w:val="00802877"/>
    <w:rsid w:val="008029B4"/>
    <w:rsid w:val="00804681"/>
    <w:rsid w:val="00810814"/>
    <w:rsid w:val="00811C09"/>
    <w:rsid w:val="00812855"/>
    <w:rsid w:val="0081333D"/>
    <w:rsid w:val="00814F37"/>
    <w:rsid w:val="00815A52"/>
    <w:rsid w:val="00817910"/>
    <w:rsid w:val="008222AF"/>
    <w:rsid w:val="008264EB"/>
    <w:rsid w:val="00827603"/>
    <w:rsid w:val="00827924"/>
    <w:rsid w:val="00830756"/>
    <w:rsid w:val="00832373"/>
    <w:rsid w:val="00832B2B"/>
    <w:rsid w:val="008342A0"/>
    <w:rsid w:val="00835CF2"/>
    <w:rsid w:val="00837641"/>
    <w:rsid w:val="008404C4"/>
    <w:rsid w:val="008409D1"/>
    <w:rsid w:val="0084162C"/>
    <w:rsid w:val="00843BBE"/>
    <w:rsid w:val="008441EF"/>
    <w:rsid w:val="008467A9"/>
    <w:rsid w:val="008470D7"/>
    <w:rsid w:val="00847274"/>
    <w:rsid w:val="00847E3B"/>
    <w:rsid w:val="00847F3F"/>
    <w:rsid w:val="0085086F"/>
    <w:rsid w:val="008518CC"/>
    <w:rsid w:val="0085288C"/>
    <w:rsid w:val="00852A70"/>
    <w:rsid w:val="00854217"/>
    <w:rsid w:val="008542E9"/>
    <w:rsid w:val="0085484A"/>
    <w:rsid w:val="00857A44"/>
    <w:rsid w:val="00860B29"/>
    <w:rsid w:val="00865932"/>
    <w:rsid w:val="008666F1"/>
    <w:rsid w:val="00870C95"/>
    <w:rsid w:val="00872E6E"/>
    <w:rsid w:val="00880141"/>
    <w:rsid w:val="00880482"/>
    <w:rsid w:val="00880C1D"/>
    <w:rsid w:val="00881673"/>
    <w:rsid w:val="008917CD"/>
    <w:rsid w:val="00891C4B"/>
    <w:rsid w:val="00894469"/>
    <w:rsid w:val="008951E0"/>
    <w:rsid w:val="008952A8"/>
    <w:rsid w:val="00897D16"/>
    <w:rsid w:val="008A41E9"/>
    <w:rsid w:val="008A58F9"/>
    <w:rsid w:val="008B10BE"/>
    <w:rsid w:val="008B11B0"/>
    <w:rsid w:val="008B4B84"/>
    <w:rsid w:val="008B5151"/>
    <w:rsid w:val="008B5ADC"/>
    <w:rsid w:val="008B60E0"/>
    <w:rsid w:val="008B7810"/>
    <w:rsid w:val="008C1282"/>
    <w:rsid w:val="008C30E0"/>
    <w:rsid w:val="008C3EFD"/>
    <w:rsid w:val="008C43BA"/>
    <w:rsid w:val="008C6419"/>
    <w:rsid w:val="008C6CD9"/>
    <w:rsid w:val="008C7453"/>
    <w:rsid w:val="008D13C3"/>
    <w:rsid w:val="008D2E61"/>
    <w:rsid w:val="008D4DF0"/>
    <w:rsid w:val="008D6852"/>
    <w:rsid w:val="008D6A6B"/>
    <w:rsid w:val="008E059C"/>
    <w:rsid w:val="008E1527"/>
    <w:rsid w:val="008E39B6"/>
    <w:rsid w:val="008E5D4A"/>
    <w:rsid w:val="008E5D4C"/>
    <w:rsid w:val="008E5D6A"/>
    <w:rsid w:val="008E5F1E"/>
    <w:rsid w:val="008E7D39"/>
    <w:rsid w:val="008F0028"/>
    <w:rsid w:val="008F0779"/>
    <w:rsid w:val="008F3787"/>
    <w:rsid w:val="008F7AFE"/>
    <w:rsid w:val="008F7FA6"/>
    <w:rsid w:val="009019F2"/>
    <w:rsid w:val="00901E3D"/>
    <w:rsid w:val="00904182"/>
    <w:rsid w:val="0090791E"/>
    <w:rsid w:val="0091004D"/>
    <w:rsid w:val="0091137C"/>
    <w:rsid w:val="00912C0E"/>
    <w:rsid w:val="0091401F"/>
    <w:rsid w:val="009164C7"/>
    <w:rsid w:val="00917944"/>
    <w:rsid w:val="009206FC"/>
    <w:rsid w:val="00920C3D"/>
    <w:rsid w:val="00924E82"/>
    <w:rsid w:val="00925351"/>
    <w:rsid w:val="00930D67"/>
    <w:rsid w:val="00932F8C"/>
    <w:rsid w:val="009369B7"/>
    <w:rsid w:val="009406BA"/>
    <w:rsid w:val="009424A5"/>
    <w:rsid w:val="009424FE"/>
    <w:rsid w:val="00943BC6"/>
    <w:rsid w:val="009509B1"/>
    <w:rsid w:val="009513FA"/>
    <w:rsid w:val="00953C44"/>
    <w:rsid w:val="00954376"/>
    <w:rsid w:val="009544C5"/>
    <w:rsid w:val="00955B9A"/>
    <w:rsid w:val="00956815"/>
    <w:rsid w:val="00956A6F"/>
    <w:rsid w:val="00961FC2"/>
    <w:rsid w:val="00964277"/>
    <w:rsid w:val="00965672"/>
    <w:rsid w:val="00965EDF"/>
    <w:rsid w:val="009676B6"/>
    <w:rsid w:val="00971FF2"/>
    <w:rsid w:val="00973646"/>
    <w:rsid w:val="009736F9"/>
    <w:rsid w:val="0097385A"/>
    <w:rsid w:val="00974A3A"/>
    <w:rsid w:val="00977D26"/>
    <w:rsid w:val="0098357E"/>
    <w:rsid w:val="0099051D"/>
    <w:rsid w:val="0099330C"/>
    <w:rsid w:val="00995078"/>
    <w:rsid w:val="009A007B"/>
    <w:rsid w:val="009A0748"/>
    <w:rsid w:val="009A1A6A"/>
    <w:rsid w:val="009A1D73"/>
    <w:rsid w:val="009A2386"/>
    <w:rsid w:val="009A263C"/>
    <w:rsid w:val="009A5068"/>
    <w:rsid w:val="009A6611"/>
    <w:rsid w:val="009B053D"/>
    <w:rsid w:val="009B07F6"/>
    <w:rsid w:val="009B173D"/>
    <w:rsid w:val="009B1BB5"/>
    <w:rsid w:val="009B1C03"/>
    <w:rsid w:val="009B349E"/>
    <w:rsid w:val="009B5B67"/>
    <w:rsid w:val="009B6324"/>
    <w:rsid w:val="009B64E3"/>
    <w:rsid w:val="009B67A1"/>
    <w:rsid w:val="009B6DBB"/>
    <w:rsid w:val="009B7E0D"/>
    <w:rsid w:val="009C0DD9"/>
    <w:rsid w:val="009C5F1E"/>
    <w:rsid w:val="009C611C"/>
    <w:rsid w:val="009D04C1"/>
    <w:rsid w:val="009D2A76"/>
    <w:rsid w:val="009E1F38"/>
    <w:rsid w:val="009E4CE6"/>
    <w:rsid w:val="009E6B78"/>
    <w:rsid w:val="009F0AD9"/>
    <w:rsid w:val="009F183C"/>
    <w:rsid w:val="009F292A"/>
    <w:rsid w:val="009F3708"/>
    <w:rsid w:val="009F5557"/>
    <w:rsid w:val="009F5B2E"/>
    <w:rsid w:val="009F5D86"/>
    <w:rsid w:val="009F79B1"/>
    <w:rsid w:val="009F7EC3"/>
    <w:rsid w:val="00A00F09"/>
    <w:rsid w:val="00A01AB6"/>
    <w:rsid w:val="00A01B7C"/>
    <w:rsid w:val="00A0489A"/>
    <w:rsid w:val="00A0554C"/>
    <w:rsid w:val="00A10DF1"/>
    <w:rsid w:val="00A11F3E"/>
    <w:rsid w:val="00A13392"/>
    <w:rsid w:val="00A138D6"/>
    <w:rsid w:val="00A14A82"/>
    <w:rsid w:val="00A15073"/>
    <w:rsid w:val="00A15082"/>
    <w:rsid w:val="00A16AEE"/>
    <w:rsid w:val="00A17EC8"/>
    <w:rsid w:val="00A17F80"/>
    <w:rsid w:val="00A2552C"/>
    <w:rsid w:val="00A303D0"/>
    <w:rsid w:val="00A32A47"/>
    <w:rsid w:val="00A35BE6"/>
    <w:rsid w:val="00A413A8"/>
    <w:rsid w:val="00A4199A"/>
    <w:rsid w:val="00A4512D"/>
    <w:rsid w:val="00A473A6"/>
    <w:rsid w:val="00A50D54"/>
    <w:rsid w:val="00A51332"/>
    <w:rsid w:val="00A53981"/>
    <w:rsid w:val="00A548BD"/>
    <w:rsid w:val="00A5533C"/>
    <w:rsid w:val="00A5666E"/>
    <w:rsid w:val="00A574A6"/>
    <w:rsid w:val="00A57764"/>
    <w:rsid w:val="00A67077"/>
    <w:rsid w:val="00A671AB"/>
    <w:rsid w:val="00A671CD"/>
    <w:rsid w:val="00A67BA3"/>
    <w:rsid w:val="00A705AF"/>
    <w:rsid w:val="00A7110F"/>
    <w:rsid w:val="00A72A45"/>
    <w:rsid w:val="00A75B58"/>
    <w:rsid w:val="00A767E1"/>
    <w:rsid w:val="00A7716B"/>
    <w:rsid w:val="00A77349"/>
    <w:rsid w:val="00A775BF"/>
    <w:rsid w:val="00A77BF2"/>
    <w:rsid w:val="00A817E4"/>
    <w:rsid w:val="00A84D55"/>
    <w:rsid w:val="00A85EEB"/>
    <w:rsid w:val="00A86A93"/>
    <w:rsid w:val="00A879C6"/>
    <w:rsid w:val="00A90F4B"/>
    <w:rsid w:val="00A931E2"/>
    <w:rsid w:val="00A93A18"/>
    <w:rsid w:val="00A94A46"/>
    <w:rsid w:val="00A94A99"/>
    <w:rsid w:val="00A94C6C"/>
    <w:rsid w:val="00A95AF7"/>
    <w:rsid w:val="00A964DB"/>
    <w:rsid w:val="00A96897"/>
    <w:rsid w:val="00AA288C"/>
    <w:rsid w:val="00AA3861"/>
    <w:rsid w:val="00AA47C7"/>
    <w:rsid w:val="00AA5CD3"/>
    <w:rsid w:val="00AA6DC2"/>
    <w:rsid w:val="00AA7AA4"/>
    <w:rsid w:val="00AA7B58"/>
    <w:rsid w:val="00AA7E08"/>
    <w:rsid w:val="00AB0201"/>
    <w:rsid w:val="00AB0318"/>
    <w:rsid w:val="00AB0A6C"/>
    <w:rsid w:val="00AB10F7"/>
    <w:rsid w:val="00AB21DF"/>
    <w:rsid w:val="00AB256B"/>
    <w:rsid w:val="00AB3D01"/>
    <w:rsid w:val="00AB40AB"/>
    <w:rsid w:val="00AB41D1"/>
    <w:rsid w:val="00AB5A5F"/>
    <w:rsid w:val="00AB6ED9"/>
    <w:rsid w:val="00AB700F"/>
    <w:rsid w:val="00AB785A"/>
    <w:rsid w:val="00AC2420"/>
    <w:rsid w:val="00AC74AC"/>
    <w:rsid w:val="00AC76B1"/>
    <w:rsid w:val="00AC7CA7"/>
    <w:rsid w:val="00AD11C1"/>
    <w:rsid w:val="00AD2426"/>
    <w:rsid w:val="00AD24F1"/>
    <w:rsid w:val="00AD272E"/>
    <w:rsid w:val="00AD3BCF"/>
    <w:rsid w:val="00AD4C99"/>
    <w:rsid w:val="00AD52A0"/>
    <w:rsid w:val="00AD5AA6"/>
    <w:rsid w:val="00AD6403"/>
    <w:rsid w:val="00AD75AE"/>
    <w:rsid w:val="00AD782C"/>
    <w:rsid w:val="00AE119E"/>
    <w:rsid w:val="00AE26FF"/>
    <w:rsid w:val="00AE2869"/>
    <w:rsid w:val="00AE37E2"/>
    <w:rsid w:val="00AE3FAE"/>
    <w:rsid w:val="00AF1D03"/>
    <w:rsid w:val="00AF4608"/>
    <w:rsid w:val="00AF6154"/>
    <w:rsid w:val="00B007FD"/>
    <w:rsid w:val="00B014F8"/>
    <w:rsid w:val="00B02801"/>
    <w:rsid w:val="00B036FF"/>
    <w:rsid w:val="00B045E8"/>
    <w:rsid w:val="00B04742"/>
    <w:rsid w:val="00B0486A"/>
    <w:rsid w:val="00B13E75"/>
    <w:rsid w:val="00B14B0A"/>
    <w:rsid w:val="00B14E8F"/>
    <w:rsid w:val="00B16C49"/>
    <w:rsid w:val="00B17845"/>
    <w:rsid w:val="00B2166B"/>
    <w:rsid w:val="00B22F46"/>
    <w:rsid w:val="00B24199"/>
    <w:rsid w:val="00B24950"/>
    <w:rsid w:val="00B24DF4"/>
    <w:rsid w:val="00B263EB"/>
    <w:rsid w:val="00B2665E"/>
    <w:rsid w:val="00B27F44"/>
    <w:rsid w:val="00B308D6"/>
    <w:rsid w:val="00B322B0"/>
    <w:rsid w:val="00B322EE"/>
    <w:rsid w:val="00B328AF"/>
    <w:rsid w:val="00B32DD1"/>
    <w:rsid w:val="00B34497"/>
    <w:rsid w:val="00B34FDC"/>
    <w:rsid w:val="00B36F0A"/>
    <w:rsid w:val="00B3720C"/>
    <w:rsid w:val="00B41409"/>
    <w:rsid w:val="00B41872"/>
    <w:rsid w:val="00B420BA"/>
    <w:rsid w:val="00B42851"/>
    <w:rsid w:val="00B42C1D"/>
    <w:rsid w:val="00B4369F"/>
    <w:rsid w:val="00B4596E"/>
    <w:rsid w:val="00B459E9"/>
    <w:rsid w:val="00B46068"/>
    <w:rsid w:val="00B46239"/>
    <w:rsid w:val="00B47076"/>
    <w:rsid w:val="00B56B37"/>
    <w:rsid w:val="00B56D4D"/>
    <w:rsid w:val="00B615B0"/>
    <w:rsid w:val="00B6179C"/>
    <w:rsid w:val="00B636A5"/>
    <w:rsid w:val="00B64984"/>
    <w:rsid w:val="00B64AB6"/>
    <w:rsid w:val="00B70235"/>
    <w:rsid w:val="00B73142"/>
    <w:rsid w:val="00B739E3"/>
    <w:rsid w:val="00B73BD3"/>
    <w:rsid w:val="00B747B2"/>
    <w:rsid w:val="00B755EF"/>
    <w:rsid w:val="00B75FD4"/>
    <w:rsid w:val="00B80D3E"/>
    <w:rsid w:val="00B820FD"/>
    <w:rsid w:val="00B8227B"/>
    <w:rsid w:val="00B84C50"/>
    <w:rsid w:val="00B85776"/>
    <w:rsid w:val="00B9020B"/>
    <w:rsid w:val="00B904EC"/>
    <w:rsid w:val="00B905A8"/>
    <w:rsid w:val="00B905DD"/>
    <w:rsid w:val="00B9065F"/>
    <w:rsid w:val="00B92181"/>
    <w:rsid w:val="00B92598"/>
    <w:rsid w:val="00B95A67"/>
    <w:rsid w:val="00B95AAC"/>
    <w:rsid w:val="00BA1797"/>
    <w:rsid w:val="00BA23E4"/>
    <w:rsid w:val="00BA2782"/>
    <w:rsid w:val="00BA38C5"/>
    <w:rsid w:val="00BA3B04"/>
    <w:rsid w:val="00BA4AEE"/>
    <w:rsid w:val="00BA7D8E"/>
    <w:rsid w:val="00BB1963"/>
    <w:rsid w:val="00BB30EF"/>
    <w:rsid w:val="00BB3CAF"/>
    <w:rsid w:val="00BB6C9E"/>
    <w:rsid w:val="00BB727C"/>
    <w:rsid w:val="00BB729C"/>
    <w:rsid w:val="00BC07E4"/>
    <w:rsid w:val="00BC13AD"/>
    <w:rsid w:val="00BC1647"/>
    <w:rsid w:val="00BC1F88"/>
    <w:rsid w:val="00BC3B21"/>
    <w:rsid w:val="00BC540C"/>
    <w:rsid w:val="00BC5708"/>
    <w:rsid w:val="00BC5C12"/>
    <w:rsid w:val="00BC6EBF"/>
    <w:rsid w:val="00BC7706"/>
    <w:rsid w:val="00BC7AC0"/>
    <w:rsid w:val="00BD11BE"/>
    <w:rsid w:val="00BD156E"/>
    <w:rsid w:val="00BD2976"/>
    <w:rsid w:val="00BD2F54"/>
    <w:rsid w:val="00BD4203"/>
    <w:rsid w:val="00BD48EB"/>
    <w:rsid w:val="00BD7FA3"/>
    <w:rsid w:val="00BE006D"/>
    <w:rsid w:val="00BE52BF"/>
    <w:rsid w:val="00BE5C8B"/>
    <w:rsid w:val="00BF0AAE"/>
    <w:rsid w:val="00BF25CC"/>
    <w:rsid w:val="00BF26C6"/>
    <w:rsid w:val="00BF353D"/>
    <w:rsid w:val="00BF44EC"/>
    <w:rsid w:val="00BF76BF"/>
    <w:rsid w:val="00BF794C"/>
    <w:rsid w:val="00C0169C"/>
    <w:rsid w:val="00C0402C"/>
    <w:rsid w:val="00C05195"/>
    <w:rsid w:val="00C06314"/>
    <w:rsid w:val="00C0653F"/>
    <w:rsid w:val="00C0779D"/>
    <w:rsid w:val="00C07F44"/>
    <w:rsid w:val="00C14524"/>
    <w:rsid w:val="00C14A7C"/>
    <w:rsid w:val="00C14BC5"/>
    <w:rsid w:val="00C16363"/>
    <w:rsid w:val="00C17D42"/>
    <w:rsid w:val="00C20122"/>
    <w:rsid w:val="00C20884"/>
    <w:rsid w:val="00C215E8"/>
    <w:rsid w:val="00C2239F"/>
    <w:rsid w:val="00C23604"/>
    <w:rsid w:val="00C23F2B"/>
    <w:rsid w:val="00C25F0B"/>
    <w:rsid w:val="00C300AF"/>
    <w:rsid w:val="00C31839"/>
    <w:rsid w:val="00C326D0"/>
    <w:rsid w:val="00C32953"/>
    <w:rsid w:val="00C32C9F"/>
    <w:rsid w:val="00C33B87"/>
    <w:rsid w:val="00C33C8E"/>
    <w:rsid w:val="00C35DEC"/>
    <w:rsid w:val="00C3633C"/>
    <w:rsid w:val="00C3644C"/>
    <w:rsid w:val="00C368AD"/>
    <w:rsid w:val="00C436EE"/>
    <w:rsid w:val="00C45603"/>
    <w:rsid w:val="00C51042"/>
    <w:rsid w:val="00C515C6"/>
    <w:rsid w:val="00C51BE7"/>
    <w:rsid w:val="00C52008"/>
    <w:rsid w:val="00C54DB7"/>
    <w:rsid w:val="00C56130"/>
    <w:rsid w:val="00C5756C"/>
    <w:rsid w:val="00C653CE"/>
    <w:rsid w:val="00C70B31"/>
    <w:rsid w:val="00C70E67"/>
    <w:rsid w:val="00C71F18"/>
    <w:rsid w:val="00C83031"/>
    <w:rsid w:val="00C8462C"/>
    <w:rsid w:val="00C86898"/>
    <w:rsid w:val="00C87526"/>
    <w:rsid w:val="00C87D42"/>
    <w:rsid w:val="00C911AD"/>
    <w:rsid w:val="00C9138B"/>
    <w:rsid w:val="00C91451"/>
    <w:rsid w:val="00C92933"/>
    <w:rsid w:val="00C94E90"/>
    <w:rsid w:val="00C9554F"/>
    <w:rsid w:val="00CA1C45"/>
    <w:rsid w:val="00CA26B0"/>
    <w:rsid w:val="00CA3FBA"/>
    <w:rsid w:val="00CA4540"/>
    <w:rsid w:val="00CA573B"/>
    <w:rsid w:val="00CA66AB"/>
    <w:rsid w:val="00CA755E"/>
    <w:rsid w:val="00CB0684"/>
    <w:rsid w:val="00CB30AD"/>
    <w:rsid w:val="00CB358D"/>
    <w:rsid w:val="00CB3B93"/>
    <w:rsid w:val="00CB57BE"/>
    <w:rsid w:val="00CB5999"/>
    <w:rsid w:val="00CB5B1A"/>
    <w:rsid w:val="00CB733F"/>
    <w:rsid w:val="00CC02F0"/>
    <w:rsid w:val="00CC375F"/>
    <w:rsid w:val="00CC48D1"/>
    <w:rsid w:val="00CC697B"/>
    <w:rsid w:val="00CD05AD"/>
    <w:rsid w:val="00CD343A"/>
    <w:rsid w:val="00CD40B7"/>
    <w:rsid w:val="00CD4BC1"/>
    <w:rsid w:val="00CE3FE0"/>
    <w:rsid w:val="00CE50E4"/>
    <w:rsid w:val="00CE574B"/>
    <w:rsid w:val="00CE61E3"/>
    <w:rsid w:val="00CF05BC"/>
    <w:rsid w:val="00CF0C7A"/>
    <w:rsid w:val="00CF11C5"/>
    <w:rsid w:val="00CF168D"/>
    <w:rsid w:val="00CF2E5B"/>
    <w:rsid w:val="00CF365C"/>
    <w:rsid w:val="00CF44B2"/>
    <w:rsid w:val="00CF4C3E"/>
    <w:rsid w:val="00CF55F0"/>
    <w:rsid w:val="00CF5FB1"/>
    <w:rsid w:val="00CF609D"/>
    <w:rsid w:val="00CF6DC2"/>
    <w:rsid w:val="00CF7B9F"/>
    <w:rsid w:val="00D05B2B"/>
    <w:rsid w:val="00D1110E"/>
    <w:rsid w:val="00D14646"/>
    <w:rsid w:val="00D15F16"/>
    <w:rsid w:val="00D17488"/>
    <w:rsid w:val="00D2097E"/>
    <w:rsid w:val="00D20F85"/>
    <w:rsid w:val="00D21228"/>
    <w:rsid w:val="00D22C3B"/>
    <w:rsid w:val="00D2424E"/>
    <w:rsid w:val="00D24521"/>
    <w:rsid w:val="00D24922"/>
    <w:rsid w:val="00D26246"/>
    <w:rsid w:val="00D26807"/>
    <w:rsid w:val="00D35128"/>
    <w:rsid w:val="00D355C8"/>
    <w:rsid w:val="00D369CC"/>
    <w:rsid w:val="00D37E32"/>
    <w:rsid w:val="00D402FD"/>
    <w:rsid w:val="00D42B9A"/>
    <w:rsid w:val="00D45AF9"/>
    <w:rsid w:val="00D45B02"/>
    <w:rsid w:val="00D465DF"/>
    <w:rsid w:val="00D467A8"/>
    <w:rsid w:val="00D469E4"/>
    <w:rsid w:val="00D50522"/>
    <w:rsid w:val="00D50DFF"/>
    <w:rsid w:val="00D54F65"/>
    <w:rsid w:val="00D55676"/>
    <w:rsid w:val="00D55691"/>
    <w:rsid w:val="00D55B6A"/>
    <w:rsid w:val="00D5681E"/>
    <w:rsid w:val="00D60070"/>
    <w:rsid w:val="00D60464"/>
    <w:rsid w:val="00D60F54"/>
    <w:rsid w:val="00D6242B"/>
    <w:rsid w:val="00D626FF"/>
    <w:rsid w:val="00D67865"/>
    <w:rsid w:val="00D7016A"/>
    <w:rsid w:val="00D70B50"/>
    <w:rsid w:val="00D73FE2"/>
    <w:rsid w:val="00D7465B"/>
    <w:rsid w:val="00D746B9"/>
    <w:rsid w:val="00D7617E"/>
    <w:rsid w:val="00D76D72"/>
    <w:rsid w:val="00D76DD1"/>
    <w:rsid w:val="00D77300"/>
    <w:rsid w:val="00D7774D"/>
    <w:rsid w:val="00D77D69"/>
    <w:rsid w:val="00D77DE5"/>
    <w:rsid w:val="00D80AF5"/>
    <w:rsid w:val="00D8183A"/>
    <w:rsid w:val="00D81FDE"/>
    <w:rsid w:val="00D82B99"/>
    <w:rsid w:val="00D83195"/>
    <w:rsid w:val="00D837D5"/>
    <w:rsid w:val="00D84135"/>
    <w:rsid w:val="00D853D5"/>
    <w:rsid w:val="00D8564C"/>
    <w:rsid w:val="00D90711"/>
    <w:rsid w:val="00D915A9"/>
    <w:rsid w:val="00D921E9"/>
    <w:rsid w:val="00D92303"/>
    <w:rsid w:val="00D96327"/>
    <w:rsid w:val="00DA0132"/>
    <w:rsid w:val="00DA097D"/>
    <w:rsid w:val="00DA2774"/>
    <w:rsid w:val="00DA27A6"/>
    <w:rsid w:val="00DA4914"/>
    <w:rsid w:val="00DA580F"/>
    <w:rsid w:val="00DA5B72"/>
    <w:rsid w:val="00DA7498"/>
    <w:rsid w:val="00DB0CB0"/>
    <w:rsid w:val="00DB3033"/>
    <w:rsid w:val="00DB3E36"/>
    <w:rsid w:val="00DB57F5"/>
    <w:rsid w:val="00DB5911"/>
    <w:rsid w:val="00DC0D24"/>
    <w:rsid w:val="00DC2587"/>
    <w:rsid w:val="00DC3377"/>
    <w:rsid w:val="00DC552C"/>
    <w:rsid w:val="00DC7D69"/>
    <w:rsid w:val="00DC7D94"/>
    <w:rsid w:val="00DD1B6D"/>
    <w:rsid w:val="00DD1B77"/>
    <w:rsid w:val="00DD48DF"/>
    <w:rsid w:val="00DD59E2"/>
    <w:rsid w:val="00DD6687"/>
    <w:rsid w:val="00DE18AB"/>
    <w:rsid w:val="00DE1996"/>
    <w:rsid w:val="00DE2273"/>
    <w:rsid w:val="00DE28FD"/>
    <w:rsid w:val="00DE3F96"/>
    <w:rsid w:val="00DE4D55"/>
    <w:rsid w:val="00DE685A"/>
    <w:rsid w:val="00DE73B2"/>
    <w:rsid w:val="00DF1019"/>
    <w:rsid w:val="00DF27AA"/>
    <w:rsid w:val="00DF40B6"/>
    <w:rsid w:val="00DF616E"/>
    <w:rsid w:val="00E01C7B"/>
    <w:rsid w:val="00E0318B"/>
    <w:rsid w:val="00E03A5F"/>
    <w:rsid w:val="00E06BDC"/>
    <w:rsid w:val="00E079B3"/>
    <w:rsid w:val="00E1055C"/>
    <w:rsid w:val="00E10F6F"/>
    <w:rsid w:val="00E1161B"/>
    <w:rsid w:val="00E1381F"/>
    <w:rsid w:val="00E13C5C"/>
    <w:rsid w:val="00E16E5C"/>
    <w:rsid w:val="00E171BA"/>
    <w:rsid w:val="00E20DA6"/>
    <w:rsid w:val="00E21516"/>
    <w:rsid w:val="00E221C8"/>
    <w:rsid w:val="00E236C6"/>
    <w:rsid w:val="00E24E51"/>
    <w:rsid w:val="00E26498"/>
    <w:rsid w:val="00E2756B"/>
    <w:rsid w:val="00E31827"/>
    <w:rsid w:val="00E33B39"/>
    <w:rsid w:val="00E34704"/>
    <w:rsid w:val="00E36A67"/>
    <w:rsid w:val="00E36ABF"/>
    <w:rsid w:val="00E40F95"/>
    <w:rsid w:val="00E410E4"/>
    <w:rsid w:val="00E414FC"/>
    <w:rsid w:val="00E4312B"/>
    <w:rsid w:val="00E4558A"/>
    <w:rsid w:val="00E50514"/>
    <w:rsid w:val="00E5058B"/>
    <w:rsid w:val="00E531E6"/>
    <w:rsid w:val="00E54EE1"/>
    <w:rsid w:val="00E56121"/>
    <w:rsid w:val="00E57FCD"/>
    <w:rsid w:val="00E60228"/>
    <w:rsid w:val="00E60EE1"/>
    <w:rsid w:val="00E6128F"/>
    <w:rsid w:val="00E62084"/>
    <w:rsid w:val="00E62E1D"/>
    <w:rsid w:val="00E66827"/>
    <w:rsid w:val="00E66D95"/>
    <w:rsid w:val="00E708F6"/>
    <w:rsid w:val="00E70946"/>
    <w:rsid w:val="00E716B4"/>
    <w:rsid w:val="00E737F0"/>
    <w:rsid w:val="00E746CD"/>
    <w:rsid w:val="00E76FCB"/>
    <w:rsid w:val="00E828C5"/>
    <w:rsid w:val="00E83EB8"/>
    <w:rsid w:val="00E86B67"/>
    <w:rsid w:val="00E872E9"/>
    <w:rsid w:val="00E8750F"/>
    <w:rsid w:val="00E87ED7"/>
    <w:rsid w:val="00E91686"/>
    <w:rsid w:val="00E93AE0"/>
    <w:rsid w:val="00E96D06"/>
    <w:rsid w:val="00EA02F7"/>
    <w:rsid w:val="00EA0627"/>
    <w:rsid w:val="00EA0D65"/>
    <w:rsid w:val="00EA1713"/>
    <w:rsid w:val="00EA33D5"/>
    <w:rsid w:val="00EA5285"/>
    <w:rsid w:val="00EA5E02"/>
    <w:rsid w:val="00EA5FD0"/>
    <w:rsid w:val="00EA7CBA"/>
    <w:rsid w:val="00EB0698"/>
    <w:rsid w:val="00EB14EF"/>
    <w:rsid w:val="00EB6083"/>
    <w:rsid w:val="00EC3E43"/>
    <w:rsid w:val="00EC57FD"/>
    <w:rsid w:val="00EC5F51"/>
    <w:rsid w:val="00ED3273"/>
    <w:rsid w:val="00ED39D5"/>
    <w:rsid w:val="00ED3B0F"/>
    <w:rsid w:val="00ED3B5C"/>
    <w:rsid w:val="00EE21E7"/>
    <w:rsid w:val="00EE26C6"/>
    <w:rsid w:val="00EE356F"/>
    <w:rsid w:val="00EE397E"/>
    <w:rsid w:val="00EE656F"/>
    <w:rsid w:val="00EF1C95"/>
    <w:rsid w:val="00EF2C5E"/>
    <w:rsid w:val="00EF3C30"/>
    <w:rsid w:val="00EF4671"/>
    <w:rsid w:val="00EF5C0D"/>
    <w:rsid w:val="00EF5C72"/>
    <w:rsid w:val="00EF7CED"/>
    <w:rsid w:val="00F00CD2"/>
    <w:rsid w:val="00F011DA"/>
    <w:rsid w:val="00F0485E"/>
    <w:rsid w:val="00F07293"/>
    <w:rsid w:val="00F078B7"/>
    <w:rsid w:val="00F07925"/>
    <w:rsid w:val="00F07EB8"/>
    <w:rsid w:val="00F123F7"/>
    <w:rsid w:val="00F1266B"/>
    <w:rsid w:val="00F1598B"/>
    <w:rsid w:val="00F2023A"/>
    <w:rsid w:val="00F20CCA"/>
    <w:rsid w:val="00F20E68"/>
    <w:rsid w:val="00F21BEA"/>
    <w:rsid w:val="00F22823"/>
    <w:rsid w:val="00F238F2"/>
    <w:rsid w:val="00F31063"/>
    <w:rsid w:val="00F332B3"/>
    <w:rsid w:val="00F3377C"/>
    <w:rsid w:val="00F345E2"/>
    <w:rsid w:val="00F34D63"/>
    <w:rsid w:val="00F35051"/>
    <w:rsid w:val="00F359EF"/>
    <w:rsid w:val="00F364B9"/>
    <w:rsid w:val="00F36EB0"/>
    <w:rsid w:val="00F374E8"/>
    <w:rsid w:val="00F413C0"/>
    <w:rsid w:val="00F41C35"/>
    <w:rsid w:val="00F43615"/>
    <w:rsid w:val="00F466F2"/>
    <w:rsid w:val="00F502F1"/>
    <w:rsid w:val="00F51A61"/>
    <w:rsid w:val="00F5413E"/>
    <w:rsid w:val="00F549D7"/>
    <w:rsid w:val="00F556DB"/>
    <w:rsid w:val="00F560D5"/>
    <w:rsid w:val="00F6017A"/>
    <w:rsid w:val="00F62FE4"/>
    <w:rsid w:val="00F643DC"/>
    <w:rsid w:val="00F667D8"/>
    <w:rsid w:val="00F73D95"/>
    <w:rsid w:val="00F74967"/>
    <w:rsid w:val="00F74BEA"/>
    <w:rsid w:val="00F754DC"/>
    <w:rsid w:val="00F76CFB"/>
    <w:rsid w:val="00F76E4F"/>
    <w:rsid w:val="00F7728D"/>
    <w:rsid w:val="00F85A15"/>
    <w:rsid w:val="00F873FE"/>
    <w:rsid w:val="00F93144"/>
    <w:rsid w:val="00F931CB"/>
    <w:rsid w:val="00F9356E"/>
    <w:rsid w:val="00F94974"/>
    <w:rsid w:val="00F95769"/>
    <w:rsid w:val="00F972F4"/>
    <w:rsid w:val="00F97E81"/>
    <w:rsid w:val="00FA12FD"/>
    <w:rsid w:val="00FA3456"/>
    <w:rsid w:val="00FA4458"/>
    <w:rsid w:val="00FA6EC4"/>
    <w:rsid w:val="00FB2A04"/>
    <w:rsid w:val="00FB3195"/>
    <w:rsid w:val="00FB47BF"/>
    <w:rsid w:val="00FB4E7B"/>
    <w:rsid w:val="00FB5259"/>
    <w:rsid w:val="00FB5386"/>
    <w:rsid w:val="00FC7F5D"/>
    <w:rsid w:val="00FD0E33"/>
    <w:rsid w:val="00FD147E"/>
    <w:rsid w:val="00FD18AC"/>
    <w:rsid w:val="00FD1D84"/>
    <w:rsid w:val="00FD3587"/>
    <w:rsid w:val="00FD6B03"/>
    <w:rsid w:val="00FD6BD1"/>
    <w:rsid w:val="00FE2968"/>
    <w:rsid w:val="00FE298A"/>
    <w:rsid w:val="00FE2FFB"/>
    <w:rsid w:val="00FE3B85"/>
    <w:rsid w:val="00FE4C80"/>
    <w:rsid w:val="00FE5CA3"/>
    <w:rsid w:val="00FE754C"/>
    <w:rsid w:val="00FF3CFD"/>
    <w:rsid w:val="00FF446D"/>
    <w:rsid w:val="00FF4C0C"/>
    <w:rsid w:val="00FF4E70"/>
    <w:rsid w:val="00FF50A2"/>
    <w:rsid w:val="00FF736F"/>
    <w:rsid w:val="00FF7E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EBDF3C"/>
  <w15:docId w15:val="{AFBFC010-8096-495C-81B5-88EB27203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99" w:qFormat="1"/>
    <w:lsdException w:name="heading 2" w:locked="0" w:uiPriority="99" w:qFormat="1"/>
    <w:lsdException w:name="heading 3" w:locked="0" w:uiPriority="99" w:qFormat="1"/>
    <w:lsdException w:name="heading 4" w:locked="0" w:uiPriority="99" w:qFormat="1"/>
    <w:lsdException w:name="heading 5" w:locked="0" w:uiPriority="0" w:qFormat="1"/>
    <w:lsdException w:name="heading 6" w:uiPriority="0"/>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99" w:unhideWhenUsed="1"/>
    <w:lsdException w:name="annotation text" w:semiHidden="1" w:uiPriority="0" w:unhideWhenUsed="1"/>
    <w:lsdException w:name="header" w:semiHidden="1" w:uiPriority="0" w:unhideWhenUsed="1"/>
    <w:lsdException w:name="footer" w:locked="0"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99"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99"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99" w:qFormat="1"/>
    <w:lsdException w:name="Emphasis" w:locked="0" w:uiPriority="99"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iPriority="99"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99" w:unhideWhenUsed="1"/>
    <w:lsdException w:name="Table Grid" w:uiPriority="5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99"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qFormat="1"/>
    <w:lsdException w:name="Bibliography" w:semiHidden="1"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232E75"/>
    <w:pPr>
      <w:keepLines/>
      <w:spacing w:after="120"/>
    </w:pPr>
  </w:style>
  <w:style w:type="paragraph" w:styleId="Heading1">
    <w:name w:val="heading 1"/>
    <w:basedOn w:val="Normal"/>
    <w:next w:val="Normal"/>
    <w:link w:val="Heading1Char"/>
    <w:uiPriority w:val="99"/>
    <w:qFormat/>
    <w:rsid w:val="004D39F0"/>
    <w:pPr>
      <w:keepNext/>
      <w:pageBreakBefore/>
      <w:spacing w:before="240" w:after="240"/>
      <w:outlineLvl w:val="0"/>
    </w:pPr>
    <w:rPr>
      <w:rFonts w:cs="Arial"/>
      <w:b/>
      <w:bCs/>
      <w:color w:val="000000" w:themeColor="text1"/>
      <w:kern w:val="28"/>
      <w:sz w:val="40"/>
      <w:szCs w:val="32"/>
    </w:rPr>
  </w:style>
  <w:style w:type="paragraph" w:styleId="Heading2">
    <w:name w:val="heading 2"/>
    <w:basedOn w:val="Heading1"/>
    <w:next w:val="Normal"/>
    <w:link w:val="Heading2Char"/>
    <w:uiPriority w:val="99"/>
    <w:qFormat/>
    <w:rsid w:val="00B73BD3"/>
    <w:pPr>
      <w:pageBreakBefore w:val="0"/>
      <w:spacing w:before="300"/>
      <w:outlineLvl w:val="1"/>
    </w:pPr>
    <w:rPr>
      <w:bCs w:val="0"/>
      <w:iCs/>
      <w:color w:val="125370" w:themeColor="accent3"/>
      <w:sz w:val="30"/>
      <w:szCs w:val="30"/>
    </w:rPr>
  </w:style>
  <w:style w:type="paragraph" w:styleId="Heading3">
    <w:name w:val="heading 3"/>
    <w:basedOn w:val="Heading2"/>
    <w:next w:val="Normal"/>
    <w:link w:val="Heading3Char"/>
    <w:uiPriority w:val="99"/>
    <w:qFormat/>
    <w:rsid w:val="00D50522"/>
    <w:pPr>
      <w:spacing w:before="240" w:after="180"/>
      <w:outlineLvl w:val="2"/>
    </w:pPr>
    <w:rPr>
      <w:bCs/>
      <w:color w:val="000000" w:themeColor="text1"/>
      <w:sz w:val="26"/>
      <w:szCs w:val="26"/>
    </w:rPr>
  </w:style>
  <w:style w:type="paragraph" w:styleId="Heading4">
    <w:name w:val="heading 4"/>
    <w:basedOn w:val="Normal"/>
    <w:next w:val="Normal"/>
    <w:link w:val="Heading4Char"/>
    <w:uiPriority w:val="99"/>
    <w:qFormat/>
    <w:rsid w:val="00D50522"/>
    <w:pPr>
      <w:keepNext/>
      <w:spacing w:before="240" w:after="240"/>
      <w:outlineLvl w:val="3"/>
    </w:pPr>
    <w:rPr>
      <w:b/>
      <w:bCs/>
      <w:color w:val="000000" w:themeColor="text1"/>
    </w:rPr>
  </w:style>
  <w:style w:type="paragraph" w:styleId="Heading5">
    <w:name w:val="heading 5"/>
    <w:basedOn w:val="Normal"/>
    <w:next w:val="Normal"/>
    <w:qFormat/>
    <w:rsid w:val="00A15082"/>
    <w:pPr>
      <w:keepNext/>
      <w:spacing w:before="240" w:after="60"/>
      <w:outlineLvl w:val="4"/>
    </w:pPr>
    <w:rPr>
      <w:b/>
      <w:bCs/>
      <w:iCs/>
      <w:color w:val="404040" w:themeColor="text1" w:themeTint="BF"/>
      <w:sz w:val="24"/>
    </w:rPr>
  </w:style>
  <w:style w:type="paragraph" w:styleId="Heading6">
    <w:name w:val="heading 6"/>
    <w:basedOn w:val="Normal"/>
    <w:next w:val="Normal"/>
    <w:uiPriority w:val="98"/>
    <w:locked/>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99"/>
    <w:qFormat/>
    <w:rsid w:val="00A705AF"/>
    <w:rPr>
      <w:i/>
      <w:iCs/>
    </w:rPr>
  </w:style>
  <w:style w:type="character" w:styleId="Strong">
    <w:name w:val="Strong"/>
    <w:basedOn w:val="DefaultParagraphFont"/>
    <w:uiPriority w:val="99"/>
    <w:qFormat/>
    <w:rsid w:val="00A705AF"/>
    <w:rPr>
      <w:b/>
      <w:bCs/>
    </w:rPr>
  </w:style>
  <w:style w:type="paragraph" w:styleId="Subtitle">
    <w:name w:val="Subtitle"/>
    <w:basedOn w:val="Normal"/>
    <w:next w:val="Normal"/>
    <w:link w:val="SubtitleChar"/>
    <w:uiPriority w:val="98"/>
    <w:locked/>
    <w:rsid w:val="00D355C8"/>
    <w:pPr>
      <w:spacing w:before="120"/>
      <w:ind w:left="567"/>
    </w:pPr>
    <w:rPr>
      <w:rFonts w:ascii="Arial Bold" w:hAnsi="Arial Bold" w:cs="Arial"/>
      <w:b/>
      <w:color w:val="FFFFFF" w:themeColor="background1"/>
      <w:spacing w:val="-6"/>
      <w:sz w:val="60"/>
      <w:szCs w:val="60"/>
      <w:lang w:val="en-GB"/>
    </w:rPr>
  </w:style>
  <w:style w:type="character" w:customStyle="1" w:styleId="SubtitleChar">
    <w:name w:val="Subtitle Char"/>
    <w:basedOn w:val="DefaultParagraphFont"/>
    <w:link w:val="Subtitle"/>
    <w:uiPriority w:val="98"/>
    <w:rsid w:val="00D355C8"/>
    <w:rPr>
      <w:rFonts w:ascii="Arial Bold" w:hAnsi="Arial Bold" w:cs="Arial"/>
      <w:b/>
      <w:color w:val="FFFFFF" w:themeColor="background1"/>
      <w:spacing w:val="-6"/>
      <w:sz w:val="60"/>
      <w:szCs w:val="60"/>
      <w:lang w:val="en-GB"/>
    </w:rPr>
  </w:style>
  <w:style w:type="paragraph" w:styleId="Title">
    <w:name w:val="Title"/>
    <w:basedOn w:val="Normal"/>
    <w:next w:val="Normal"/>
    <w:link w:val="TitleChar"/>
    <w:uiPriority w:val="99"/>
    <w:qFormat/>
    <w:rsid w:val="00D355C8"/>
    <w:pPr>
      <w:spacing w:before="9720" w:after="0"/>
      <w:ind w:left="567"/>
      <w:contextualSpacing/>
    </w:pPr>
    <w:rPr>
      <w:rFonts w:ascii="Arial Bold" w:eastAsiaTheme="majorEastAsia" w:hAnsi="Arial Bold" w:cs="Times New Roman (Headings CS)"/>
      <w:b/>
      <w:bCs/>
      <w:noProof/>
      <w:color w:val="FFFFFF" w:themeColor="background1"/>
      <w:spacing w:val="-4"/>
      <w:sz w:val="72"/>
      <w:szCs w:val="72"/>
      <w:vertAlign w:val="subscript"/>
    </w:rPr>
  </w:style>
  <w:style w:type="character" w:customStyle="1" w:styleId="TitleChar">
    <w:name w:val="Title Char"/>
    <w:basedOn w:val="DefaultParagraphFont"/>
    <w:link w:val="Title"/>
    <w:uiPriority w:val="99"/>
    <w:rsid w:val="00D355C8"/>
    <w:rPr>
      <w:rFonts w:ascii="Arial Bold" w:eastAsiaTheme="majorEastAsia" w:hAnsi="Arial Bold" w:cs="Times New Roman (Headings CS)"/>
      <w:b/>
      <w:bCs/>
      <w:noProof/>
      <w:color w:val="FFFFFF" w:themeColor="background1"/>
      <w:spacing w:val="-4"/>
      <w:sz w:val="72"/>
      <w:szCs w:val="72"/>
      <w:vertAlign w:val="subscript"/>
    </w:rPr>
  </w:style>
  <w:style w:type="paragraph" w:customStyle="1" w:styleId="Bulletlist">
    <w:name w:val="Bullet list"/>
    <w:qFormat/>
    <w:rsid w:val="00544A4E"/>
    <w:pPr>
      <w:numPr>
        <w:numId w:val="6"/>
      </w:numPr>
      <w:spacing w:after="200"/>
      <w:ind w:left="568" w:hanging="284"/>
      <w:contextualSpacing/>
    </w:pPr>
    <w:rPr>
      <w:rFonts w:ascii="Arial" w:hAnsi="Arial"/>
      <w:color w:val="000000" w:themeColor="text1"/>
      <w:szCs w:val="24"/>
      <w:lang w:eastAsia="en-US"/>
    </w:rPr>
  </w:style>
  <w:style w:type="paragraph" w:customStyle="1" w:styleId="Chaptertitle">
    <w:name w:val="Chapter title"/>
    <w:basedOn w:val="Title"/>
    <w:qFormat/>
    <w:rsid w:val="003873C6"/>
    <w:pPr>
      <w:spacing w:before="240" w:after="240"/>
      <w:contextualSpacing w:val="0"/>
    </w:pPr>
    <w:rPr>
      <w:color w:val="125370" w:themeColor="accent3"/>
      <w:sz w:val="48"/>
      <w:szCs w:val="48"/>
    </w:rPr>
  </w:style>
  <w:style w:type="paragraph" w:styleId="TOC1">
    <w:name w:val="toc 1"/>
    <w:basedOn w:val="Normal"/>
    <w:next w:val="Normal"/>
    <w:autoRedefine/>
    <w:uiPriority w:val="39"/>
    <w:qFormat/>
    <w:rsid w:val="00DA4914"/>
    <w:pPr>
      <w:spacing w:before="120" w:after="0"/>
    </w:pPr>
    <w:rPr>
      <w:rFonts w:cstheme="minorHAnsi"/>
      <w:b/>
      <w:bCs/>
      <w:iCs/>
      <w:sz w:val="24"/>
      <w:szCs w:val="24"/>
    </w:rPr>
  </w:style>
  <w:style w:type="paragraph" w:styleId="Quote">
    <w:name w:val="Quote"/>
    <w:basedOn w:val="Normal"/>
    <w:next w:val="Normal"/>
    <w:link w:val="QuoteChar"/>
    <w:qFormat/>
    <w:rsid w:val="000D017D"/>
    <w:pPr>
      <w:spacing w:before="240" w:after="240"/>
      <w:ind w:left="397"/>
    </w:pPr>
    <w:rPr>
      <w:iCs/>
      <w:sz w:val="20"/>
    </w:rPr>
  </w:style>
  <w:style w:type="character" w:customStyle="1" w:styleId="QuoteChar">
    <w:name w:val="Quote Char"/>
    <w:basedOn w:val="DefaultParagraphFont"/>
    <w:link w:val="Quote"/>
    <w:rsid w:val="007B04A9"/>
    <w:rPr>
      <w:iCs/>
      <w:sz w:val="20"/>
    </w:rPr>
  </w:style>
  <w:style w:type="paragraph" w:styleId="TOC2">
    <w:name w:val="toc 2"/>
    <w:basedOn w:val="Normal"/>
    <w:next w:val="Normal"/>
    <w:autoRedefine/>
    <w:uiPriority w:val="39"/>
    <w:qFormat/>
    <w:rsid w:val="009A263C"/>
    <w:pPr>
      <w:spacing w:before="120" w:after="0"/>
      <w:ind w:left="220"/>
    </w:pPr>
    <w:rPr>
      <w:rFonts w:cstheme="minorHAnsi"/>
      <w:b/>
      <w:bCs/>
    </w:rPr>
  </w:style>
  <w:style w:type="paragraph" w:styleId="TOC3">
    <w:name w:val="toc 3"/>
    <w:basedOn w:val="Normal"/>
    <w:next w:val="Normal"/>
    <w:autoRedefine/>
    <w:uiPriority w:val="39"/>
    <w:qFormat/>
    <w:rsid w:val="009C5F1E"/>
    <w:pPr>
      <w:spacing w:after="0"/>
      <w:ind w:left="440"/>
    </w:pPr>
    <w:rPr>
      <w:rFonts w:cstheme="minorHAnsi"/>
      <w:sz w:val="20"/>
      <w:szCs w:val="20"/>
    </w:rPr>
  </w:style>
  <w:style w:type="paragraph" w:styleId="FootnoteText">
    <w:name w:val="footnote text"/>
    <w:basedOn w:val="Normal"/>
    <w:link w:val="FootnoteTextChar"/>
    <w:uiPriority w:val="99"/>
    <w:rsid w:val="00327A90"/>
    <w:pPr>
      <w:snapToGrid w:val="0"/>
      <w:spacing w:before="60" w:after="60"/>
      <w:ind w:left="227" w:hanging="227"/>
    </w:pPr>
    <w:rPr>
      <w:sz w:val="18"/>
      <w:szCs w:val="20"/>
    </w:rPr>
  </w:style>
  <w:style w:type="character" w:customStyle="1" w:styleId="FootnoteTextChar">
    <w:name w:val="Footnote Text Char"/>
    <w:basedOn w:val="DefaultParagraphFont"/>
    <w:link w:val="FootnoteText"/>
    <w:uiPriority w:val="99"/>
    <w:rsid w:val="00327A90"/>
    <w:rPr>
      <w:sz w:val="18"/>
      <w:szCs w:val="20"/>
    </w:rPr>
  </w:style>
  <w:style w:type="paragraph" w:styleId="BalloonText">
    <w:name w:val="Balloon Text"/>
    <w:basedOn w:val="Normal"/>
    <w:link w:val="BalloonTextChar"/>
    <w:uiPriority w:val="99"/>
    <w:locked/>
    <w:rsid w:val="00A4199A"/>
    <w:pPr>
      <w:spacing w:after="0"/>
    </w:pPr>
    <w:rPr>
      <w:rFonts w:ascii="Tahoma" w:hAnsi="Tahoma" w:cs="Tahoma"/>
      <w:sz w:val="16"/>
      <w:szCs w:val="16"/>
    </w:rPr>
  </w:style>
  <w:style w:type="character" w:styleId="FootnoteReference">
    <w:name w:val="footnote reference"/>
    <w:basedOn w:val="DefaultParagraphFont"/>
    <w:uiPriority w:val="99"/>
    <w:rsid w:val="00E13C5C"/>
    <w:rPr>
      <w:rFonts w:ascii="Arial" w:hAnsi="Arial"/>
      <w:vertAlign w:val="superscript"/>
    </w:rPr>
  </w:style>
  <w:style w:type="table" w:styleId="TableGrid">
    <w:name w:val="Table Grid"/>
    <w:aliases w:val="Commission"/>
    <w:basedOn w:val="TableNormal"/>
    <w:uiPriority w:val="59"/>
    <w:locked/>
    <w:rsid w:val="00BC07E4"/>
    <w:pPr>
      <w:spacing w:after="0"/>
    </w:pPr>
    <w:rPr>
      <w:rFonts w:ascii="Arial" w:hAnsi="Arial"/>
      <w:color w:val="000000"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rial Bold" w:hAnsi="Arial Bold"/>
        <w:b/>
        <w:color w:val="000000" w:themeColor="text1"/>
        <w:sz w:val="18"/>
      </w:rPr>
      <w:tblPr/>
      <w:tcPr>
        <w:shd w:val="clear" w:color="auto" w:fill="86D3F2" w:themeFill="text2" w:themeFillTint="66"/>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uiPriority w:val="99"/>
    <w:rsid w:val="00A4199A"/>
    <w:rPr>
      <w:rFonts w:ascii="Tahoma" w:hAnsi="Tahoma" w:cs="Tahoma"/>
      <w:sz w:val="16"/>
      <w:szCs w:val="16"/>
    </w:rPr>
  </w:style>
  <w:style w:type="paragraph" w:styleId="Header">
    <w:name w:val="header"/>
    <w:basedOn w:val="Normal"/>
    <w:link w:val="HeaderChar"/>
    <w:uiPriority w:val="98"/>
    <w:locked/>
    <w:rsid w:val="009B053D"/>
    <w:pPr>
      <w:tabs>
        <w:tab w:val="center" w:pos="4513"/>
        <w:tab w:val="right" w:pos="9026"/>
      </w:tabs>
      <w:spacing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8"/>
    <w:rsid w:val="007B04A9"/>
  </w:style>
  <w:style w:type="character" w:styleId="Hyperlink">
    <w:name w:val="Hyperlink"/>
    <w:basedOn w:val="DefaultParagraphFont"/>
    <w:uiPriority w:val="99"/>
    <w:rsid w:val="00E10F6F"/>
    <w:rPr>
      <w:color w:val="1178A2" w:themeColor="accent1"/>
      <w:u w:val="single"/>
    </w:rPr>
  </w:style>
  <w:style w:type="paragraph" w:styleId="Footer">
    <w:name w:val="footer"/>
    <w:basedOn w:val="Normal"/>
    <w:link w:val="FooterChar"/>
    <w:rsid w:val="007635C1"/>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rsid w:val="007B04A9"/>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Heading1"/>
    <w:next w:val="Normal"/>
    <w:uiPriority w:val="39"/>
    <w:unhideWhenUsed/>
    <w:qFormat/>
    <w:rsid w:val="00255596"/>
    <w:pPr>
      <w:spacing w:before="480" w:after="0" w:line="276" w:lineRule="auto"/>
      <w:outlineLvl w:val="9"/>
    </w:pPr>
    <w:rPr>
      <w:rFonts w:asciiTheme="majorHAnsi" w:eastAsiaTheme="majorEastAsia" w:hAnsiTheme="majorHAnsi" w:cstheme="majorBidi"/>
      <w:color w:val="0C5979" w:themeColor="accent1" w:themeShade="BF"/>
      <w:kern w:val="0"/>
      <w:szCs w:val="28"/>
      <w:lang w:val="en-US" w:eastAsia="ja-JP"/>
    </w:rPr>
  </w:style>
  <w:style w:type="paragraph" w:customStyle="1" w:styleId="Captions">
    <w:name w:val="Captions"/>
    <w:basedOn w:val="Normal"/>
    <w:link w:val="CaptionsChar"/>
    <w:qFormat/>
    <w:rsid w:val="00446911"/>
    <w:pPr>
      <w:spacing w:before="120" w:after="240"/>
    </w:pPr>
    <w:rPr>
      <w:sz w:val="20"/>
      <w:szCs w:val="20"/>
    </w:rPr>
  </w:style>
  <w:style w:type="character" w:customStyle="1" w:styleId="CaptionsChar">
    <w:name w:val="Captions Char"/>
    <w:basedOn w:val="DefaultParagraphFont"/>
    <w:link w:val="Captions"/>
    <w:rsid w:val="00446911"/>
    <w:rPr>
      <w:sz w:val="20"/>
      <w:szCs w:val="20"/>
    </w:rPr>
  </w:style>
  <w:style w:type="numbering" w:customStyle="1" w:styleId="Listbullets">
    <w:name w:val="List bullets"/>
    <w:uiPriority w:val="99"/>
    <w:rsid w:val="000D017D"/>
    <w:pPr>
      <w:numPr>
        <w:numId w:val="1"/>
      </w:numPr>
    </w:pPr>
  </w:style>
  <w:style w:type="paragraph" w:customStyle="1" w:styleId="Numberedlists">
    <w:name w:val="Numbered lists"/>
    <w:basedOn w:val="Normal"/>
    <w:link w:val="NumberedlistsChar"/>
    <w:qFormat/>
    <w:rsid w:val="00A4199A"/>
    <w:pPr>
      <w:numPr>
        <w:numId w:val="5"/>
      </w:numPr>
      <w:spacing w:before="120"/>
      <w:contextualSpacing/>
    </w:pPr>
  </w:style>
  <w:style w:type="character" w:customStyle="1" w:styleId="NumberedlistsChar">
    <w:name w:val="Numbered lists Char"/>
    <w:basedOn w:val="DefaultParagraphFont"/>
    <w:link w:val="Numberedlists"/>
    <w:rsid w:val="00A4199A"/>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PublicationDate">
    <w:name w:val="Publication Date"/>
    <w:basedOn w:val="Normal"/>
    <w:link w:val="PublicationDateChar"/>
    <w:qFormat/>
    <w:rsid w:val="00D355C8"/>
    <w:pPr>
      <w:spacing w:before="560" w:after="240"/>
      <w:ind w:left="567"/>
    </w:pPr>
    <w:rPr>
      <w:color w:val="FFFFFF" w:themeColor="background1"/>
      <w:sz w:val="32"/>
      <w:szCs w:val="40"/>
    </w:rPr>
  </w:style>
  <w:style w:type="character" w:customStyle="1" w:styleId="PublicationDateChar">
    <w:name w:val="Publication Date Char"/>
    <w:basedOn w:val="DefaultParagraphFont"/>
    <w:link w:val="PublicationDate"/>
    <w:rsid w:val="00D355C8"/>
    <w:rPr>
      <w:color w:val="FFFFFF" w:themeColor="background1"/>
      <w:sz w:val="32"/>
      <w:szCs w:val="40"/>
    </w:rPr>
  </w:style>
  <w:style w:type="paragraph" w:customStyle="1" w:styleId="Redtext">
    <w:name w:val="Red text"/>
    <w:basedOn w:val="Normal"/>
    <w:qFormat/>
    <w:rsid w:val="00BC07E4"/>
    <w:pPr>
      <w:spacing w:after="80"/>
    </w:pPr>
    <w:rPr>
      <w:color w:val="FF0000"/>
    </w:rPr>
  </w:style>
  <w:style w:type="paragraph" w:customStyle="1" w:styleId="Normal-beforebullets">
    <w:name w:val="Normal - before bullets"/>
    <w:basedOn w:val="Normal"/>
    <w:qFormat/>
    <w:rsid w:val="00020DBD"/>
    <w:pPr>
      <w:spacing w:after="0"/>
    </w:pPr>
  </w:style>
  <w:style w:type="paragraph" w:styleId="TOC4">
    <w:name w:val="toc 4"/>
    <w:basedOn w:val="Normal"/>
    <w:next w:val="Normal"/>
    <w:autoRedefine/>
    <w:uiPriority w:val="39"/>
    <w:locked/>
    <w:rsid w:val="002E6A48"/>
    <w:pPr>
      <w:spacing w:after="0"/>
      <w:ind w:left="660"/>
    </w:pPr>
    <w:rPr>
      <w:rFonts w:cstheme="minorHAnsi"/>
      <w:sz w:val="20"/>
      <w:szCs w:val="20"/>
    </w:rPr>
  </w:style>
  <w:style w:type="table" w:customStyle="1" w:styleId="PROMorangebox">
    <w:name w:val="PROM orange box"/>
    <w:basedOn w:val="TableNormal"/>
    <w:uiPriority w:val="99"/>
    <w:rsid w:val="00037454"/>
    <w:pPr>
      <w:spacing w:before="120" w:after="120"/>
    </w:pPr>
    <w:rPr>
      <w:rFonts w:ascii="Arial" w:eastAsia="Calibri" w:hAnsi="Arial"/>
      <w:lang w:eastAsia="en-US"/>
    </w:rPr>
    <w:tblPr>
      <w:tblStyleRowBandSize w:val="1"/>
      <w:tblStyleColBandSize w:val="1"/>
      <w:tblCellMar>
        <w:top w:w="170" w:type="dxa"/>
        <w:left w:w="113" w:type="dxa"/>
        <w:bottom w:w="170" w:type="dxa"/>
        <w:right w:w="113" w:type="dxa"/>
      </w:tblCellMar>
    </w:tblPr>
    <w:tcPr>
      <w:shd w:val="clear" w:color="auto" w:fill="FDF4E8"/>
      <w:vAlign w:val="center"/>
    </w:tcPr>
    <w:tblStylePr w:type="firstRow">
      <w:pPr>
        <w:wordWrap/>
        <w:spacing w:beforeLines="0" w:before="0" w:beforeAutospacing="0" w:afterLines="0" w:after="0" w:afterAutospacing="0" w:line="240" w:lineRule="auto"/>
        <w:jc w:val="left"/>
      </w:pPr>
      <w:rPr>
        <w:rFonts w:ascii="Arial" w:hAnsi="Arial"/>
        <w:b w:val="0"/>
        <w:color w:val="FFFFFF" w:themeColor="background1"/>
        <w:sz w:val="10"/>
      </w:rPr>
      <w:tblPr/>
      <w:trPr>
        <w:cantSplit/>
        <w:tblHeader/>
      </w:trPr>
      <w:tcPr>
        <w:shd w:val="clear" w:color="auto" w:fill="FFFFFF" w:themeFill="background1"/>
        <w:vAlign w:val="top"/>
      </w:tcPr>
    </w:tblStylePr>
    <w:tblStylePr w:type="lastRow">
      <w:tblPr/>
      <w:tcPr>
        <w:shd w:val="clear" w:color="auto" w:fill="BFBFBF"/>
      </w:tcPr>
    </w:tblStylePr>
    <w:tblStylePr w:type="firstCol">
      <w:pPr>
        <w:jc w:val="center"/>
      </w:pPr>
      <w:rPr>
        <w:b/>
        <w:color w:val="1178A2" w:themeColor="accent1"/>
        <w:sz w:val="28"/>
      </w:rPr>
    </w:tblStylePr>
    <w:tblStylePr w:type="band1Horz">
      <w:tblPr/>
      <w:tcPr>
        <w:shd w:val="clear" w:color="auto" w:fill="FDF4E8"/>
      </w:tcPr>
    </w:tblStylePr>
  </w:style>
  <w:style w:type="table" w:customStyle="1" w:styleId="Commission1">
    <w:name w:val="Commission1"/>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table" w:customStyle="1" w:styleId="Commission2">
    <w:name w:val="Commission2"/>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paragraph" w:customStyle="1" w:styleId="FigureName">
    <w:name w:val="FigureName"/>
    <w:basedOn w:val="Normal"/>
    <w:next w:val="Normal"/>
    <w:rsid w:val="0003162D"/>
    <w:pPr>
      <w:keepNext/>
      <w:tabs>
        <w:tab w:val="left" w:pos="1080"/>
      </w:tabs>
      <w:spacing w:before="120"/>
      <w:ind w:left="1077" w:hanging="1077"/>
    </w:pPr>
    <w:rPr>
      <w:rFonts w:ascii="Arial" w:hAnsi="Arial"/>
      <w:b/>
      <w:bCs/>
      <w:color w:val="1178A2" w:themeColor="accent1"/>
      <w:szCs w:val="20"/>
    </w:rPr>
  </w:style>
  <w:style w:type="paragraph" w:customStyle="1" w:styleId="TFAbbrevsSpace">
    <w:name w:val="TFAbbrevs+Space"/>
    <w:basedOn w:val="Normal"/>
    <w:next w:val="Normal"/>
    <w:rsid w:val="0003162D"/>
    <w:pPr>
      <w:keepNext/>
      <w:spacing w:after="360"/>
    </w:pPr>
    <w:rPr>
      <w:rFonts w:ascii="Arial" w:hAnsi="Arial"/>
      <w:color w:val="000000"/>
      <w:sz w:val="18"/>
      <w:szCs w:val="18"/>
    </w:rPr>
  </w:style>
  <w:style w:type="paragraph" w:customStyle="1" w:styleId="BoxHeading">
    <w:name w:val="BoxHeading"/>
    <w:basedOn w:val="Normal"/>
    <w:rsid w:val="000B79D3"/>
    <w:pPr>
      <w:keepNext/>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spacing w:before="120" w:after="60"/>
    </w:pPr>
    <w:rPr>
      <w:rFonts w:ascii="Arial" w:hAnsi="Arial"/>
      <w:b/>
      <w:bCs/>
      <w:color w:val="1178A2" w:themeColor="accent1"/>
      <w:szCs w:val="20"/>
    </w:rPr>
  </w:style>
  <w:style w:type="paragraph" w:customStyle="1" w:styleId="BoxBullet">
    <w:name w:val="BoxBullet"/>
    <w:basedOn w:val="Normal"/>
    <w:link w:val="BoxBulletChar"/>
    <w:rsid w:val="000B79D3"/>
    <w:pPr>
      <w:numPr>
        <w:numId w:val="7"/>
      </w:num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character" w:customStyle="1" w:styleId="BoxBulletChar">
    <w:name w:val="BoxBullet Char"/>
    <w:link w:val="BoxBullet"/>
    <w:rsid w:val="000B79D3"/>
    <w:rPr>
      <w:rFonts w:ascii="Arial" w:hAnsi="Arial"/>
      <w:color w:val="000000"/>
      <w:szCs w:val="20"/>
    </w:rPr>
  </w:style>
  <w:style w:type="paragraph" w:customStyle="1" w:styleId="Dash">
    <w:name w:val="Dash"/>
    <w:basedOn w:val="Normal"/>
    <w:rsid w:val="002E195D"/>
    <w:pPr>
      <w:numPr>
        <w:numId w:val="8"/>
      </w:numPr>
      <w:tabs>
        <w:tab w:val="clear" w:pos="216"/>
        <w:tab w:val="left" w:pos="720"/>
      </w:tabs>
      <w:spacing w:after="0"/>
      <w:ind w:left="754" w:hanging="357"/>
    </w:pPr>
    <w:rPr>
      <w:rFonts w:ascii="Arial" w:hAnsi="Arial"/>
      <w:color w:val="000000"/>
      <w:szCs w:val="20"/>
    </w:rPr>
  </w:style>
  <w:style w:type="paragraph" w:customStyle="1" w:styleId="BoxText">
    <w:name w:val="BoxText"/>
    <w:basedOn w:val="Normal"/>
    <w:qFormat/>
    <w:rsid w:val="002E195D"/>
    <w:p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paragraph" w:customStyle="1" w:styleId="BoxNotes">
    <w:name w:val="BoxNotes"/>
    <w:basedOn w:val="BoxText"/>
    <w:rsid w:val="002E195D"/>
    <w:pPr>
      <w:spacing w:before="120" w:after="60"/>
    </w:pPr>
    <w:rPr>
      <w:sz w:val="18"/>
    </w:rPr>
  </w:style>
  <w:style w:type="paragraph" w:customStyle="1" w:styleId="BoxName">
    <w:name w:val="BoxName"/>
    <w:basedOn w:val="BoxText"/>
    <w:next w:val="BoxText"/>
    <w:rsid w:val="002E195D"/>
    <w:pPr>
      <w:keepNext/>
      <w:spacing w:before="180"/>
      <w:ind w:left="1077" w:hanging="1077"/>
    </w:pPr>
    <w:rPr>
      <w:b/>
      <w:bCs/>
      <w:color w:val="0C5979" w:themeColor="accent1" w:themeShade="BF"/>
      <w:sz w:val="24"/>
    </w:rPr>
  </w:style>
  <w:style w:type="paragraph" w:customStyle="1" w:styleId="BoxDash">
    <w:name w:val="BoxDash"/>
    <w:basedOn w:val="BoxText"/>
    <w:rsid w:val="002E195D"/>
    <w:pPr>
      <w:tabs>
        <w:tab w:val="left" w:pos="357"/>
      </w:tabs>
      <w:ind w:left="720" w:hanging="720"/>
    </w:pPr>
  </w:style>
  <w:style w:type="character" w:styleId="CommentReference">
    <w:name w:val="annotation reference"/>
    <w:basedOn w:val="DefaultParagraphFont"/>
    <w:locked/>
    <w:rsid w:val="007D0AC9"/>
    <w:rPr>
      <w:sz w:val="16"/>
      <w:szCs w:val="16"/>
    </w:rPr>
  </w:style>
  <w:style w:type="paragraph" w:styleId="CommentText">
    <w:name w:val="annotation text"/>
    <w:basedOn w:val="Normal"/>
    <w:link w:val="CommentTextChar"/>
    <w:locked/>
    <w:rsid w:val="007D0AC9"/>
    <w:rPr>
      <w:sz w:val="20"/>
      <w:szCs w:val="20"/>
    </w:rPr>
  </w:style>
  <w:style w:type="character" w:customStyle="1" w:styleId="CommentTextChar">
    <w:name w:val="Comment Text Char"/>
    <w:basedOn w:val="DefaultParagraphFont"/>
    <w:link w:val="CommentText"/>
    <w:rsid w:val="007D0AC9"/>
    <w:rPr>
      <w:sz w:val="20"/>
      <w:szCs w:val="20"/>
    </w:rPr>
  </w:style>
  <w:style w:type="paragraph" w:styleId="CommentSubject">
    <w:name w:val="annotation subject"/>
    <w:basedOn w:val="CommentText"/>
    <w:next w:val="CommentText"/>
    <w:link w:val="CommentSubjectChar"/>
    <w:uiPriority w:val="99"/>
    <w:locked/>
    <w:rsid w:val="007D0AC9"/>
    <w:rPr>
      <w:b/>
      <w:bCs/>
    </w:rPr>
  </w:style>
  <w:style w:type="character" w:customStyle="1" w:styleId="CommentSubjectChar">
    <w:name w:val="Comment Subject Char"/>
    <w:basedOn w:val="CommentTextChar"/>
    <w:link w:val="CommentSubject"/>
    <w:uiPriority w:val="99"/>
    <w:rsid w:val="007D0AC9"/>
    <w:rPr>
      <w:b/>
      <w:bCs/>
      <w:sz w:val="20"/>
      <w:szCs w:val="20"/>
    </w:rPr>
  </w:style>
  <w:style w:type="paragraph" w:styleId="NormalWeb">
    <w:name w:val="Normal (Web)"/>
    <w:basedOn w:val="Normal"/>
    <w:uiPriority w:val="99"/>
    <w:unhideWhenUsed/>
    <w:locked/>
    <w:rsid w:val="00A35BE6"/>
    <w:pPr>
      <w:spacing w:before="100" w:beforeAutospacing="1" w:after="100" w:afterAutospacing="1"/>
    </w:pPr>
    <w:rPr>
      <w:rFonts w:ascii="Times New Roman" w:eastAsiaTheme="minorEastAsia" w:hAnsi="Times New Roman"/>
      <w:sz w:val="24"/>
      <w:szCs w:val="24"/>
    </w:rPr>
  </w:style>
  <w:style w:type="paragraph" w:styleId="ListParagraph">
    <w:name w:val="List Paragraph"/>
    <w:basedOn w:val="Normal"/>
    <w:uiPriority w:val="99"/>
    <w:qFormat/>
    <w:locked/>
    <w:rsid w:val="00A7110F"/>
    <w:pPr>
      <w:keepNext/>
      <w:numPr>
        <w:numId w:val="10"/>
      </w:numPr>
      <w:contextualSpacing/>
    </w:pPr>
  </w:style>
  <w:style w:type="paragraph" w:customStyle="1" w:styleId="Pull-outtext">
    <w:name w:val="Pull-out text"/>
    <w:basedOn w:val="Normal"/>
    <w:qFormat/>
    <w:rsid w:val="0090791E"/>
    <w:pPr>
      <w:pBdr>
        <w:left w:val="single" w:sz="48" w:space="8" w:color="00A9DD" w:themeColor="accent2"/>
      </w:pBdr>
      <w:spacing w:after="0"/>
      <w:ind w:left="284"/>
    </w:pPr>
    <w:rPr>
      <w:b/>
    </w:rPr>
  </w:style>
  <w:style w:type="paragraph" w:styleId="BodyText">
    <w:name w:val="Body Text"/>
    <w:basedOn w:val="Normal"/>
    <w:link w:val="BodyTextChar"/>
    <w:uiPriority w:val="98"/>
    <w:unhideWhenUsed/>
    <w:locked/>
    <w:rsid w:val="008470D7"/>
  </w:style>
  <w:style w:type="character" w:customStyle="1" w:styleId="BodyTextChar">
    <w:name w:val="Body Text Char"/>
    <w:basedOn w:val="DefaultParagraphFont"/>
    <w:link w:val="BodyText"/>
    <w:uiPriority w:val="98"/>
    <w:rsid w:val="008470D7"/>
  </w:style>
  <w:style w:type="paragraph" w:customStyle="1" w:styleId="TableParagraph">
    <w:name w:val="Table Paragraph"/>
    <w:basedOn w:val="Normal"/>
    <w:uiPriority w:val="1"/>
    <w:qFormat/>
    <w:rsid w:val="00AB0201"/>
    <w:pPr>
      <w:widowControl w:val="0"/>
      <w:autoSpaceDE w:val="0"/>
      <w:autoSpaceDN w:val="0"/>
      <w:spacing w:after="0"/>
      <w:ind w:left="107"/>
    </w:pPr>
    <w:rPr>
      <w:rFonts w:ascii="Arial" w:eastAsia="Arial" w:hAnsi="Arial" w:cs="Arial"/>
      <w:lang w:bidi="en-AU"/>
    </w:rPr>
  </w:style>
  <w:style w:type="character" w:customStyle="1" w:styleId="UnresolvedMention1">
    <w:name w:val="Unresolved Mention1"/>
    <w:basedOn w:val="DefaultParagraphFont"/>
    <w:uiPriority w:val="99"/>
    <w:semiHidden/>
    <w:unhideWhenUsed/>
    <w:rsid w:val="00BC13AD"/>
    <w:rPr>
      <w:color w:val="605E5C"/>
      <w:shd w:val="clear" w:color="auto" w:fill="E1DFDD"/>
    </w:rPr>
  </w:style>
  <w:style w:type="table" w:styleId="TableGridLight">
    <w:name w:val="Grid Table Light"/>
    <w:basedOn w:val="TableNormal"/>
    <w:uiPriority w:val="40"/>
    <w:rsid w:val="00232E75"/>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32E7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232E75"/>
    <w:pPr>
      <w:spacing w:after="0"/>
    </w:pPr>
    <w:tblPr>
      <w:tblStyleRowBandSize w:val="1"/>
      <w:tblStyleColBandSize w:val="1"/>
      <w:tblBorders>
        <w:top w:val="single" w:sz="4" w:space="0" w:color="51D6FF" w:themeColor="accent2" w:themeTint="99"/>
        <w:left w:val="single" w:sz="4" w:space="0" w:color="51D6FF" w:themeColor="accent2" w:themeTint="99"/>
        <w:bottom w:val="single" w:sz="4" w:space="0" w:color="51D6FF" w:themeColor="accent2" w:themeTint="99"/>
        <w:right w:val="single" w:sz="4" w:space="0" w:color="51D6FF" w:themeColor="accent2" w:themeTint="99"/>
        <w:insideH w:val="single" w:sz="4" w:space="0" w:color="51D6FF" w:themeColor="accent2" w:themeTint="99"/>
        <w:insideV w:val="single" w:sz="4" w:space="0" w:color="51D6FF" w:themeColor="accent2" w:themeTint="99"/>
      </w:tblBorders>
    </w:tblPr>
    <w:tblStylePr w:type="firstRow">
      <w:rPr>
        <w:b/>
        <w:bCs/>
        <w:color w:val="FFFFFF" w:themeColor="background1"/>
      </w:rPr>
      <w:tblPr/>
      <w:tcPr>
        <w:tcBorders>
          <w:top w:val="single" w:sz="4" w:space="0" w:color="00A9DD" w:themeColor="accent2"/>
          <w:left w:val="single" w:sz="4" w:space="0" w:color="00A9DD" w:themeColor="accent2"/>
          <w:bottom w:val="single" w:sz="4" w:space="0" w:color="00A9DD" w:themeColor="accent2"/>
          <w:right w:val="single" w:sz="4" w:space="0" w:color="00A9DD" w:themeColor="accent2"/>
          <w:insideH w:val="nil"/>
          <w:insideV w:val="nil"/>
        </w:tcBorders>
        <w:shd w:val="clear" w:color="auto" w:fill="00A9DD" w:themeFill="accent2"/>
      </w:tcPr>
    </w:tblStylePr>
    <w:tblStylePr w:type="lastRow">
      <w:rPr>
        <w:b/>
        <w:bCs/>
      </w:rPr>
      <w:tblPr/>
      <w:tcPr>
        <w:tcBorders>
          <w:top w:val="double" w:sz="4" w:space="0" w:color="00A9DD" w:themeColor="accent2"/>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ListTable3-Accent3">
    <w:name w:val="List Table 3 Accent 3"/>
    <w:basedOn w:val="TableNormal"/>
    <w:uiPriority w:val="48"/>
    <w:rsid w:val="00DC7D69"/>
    <w:pPr>
      <w:spacing w:after="0"/>
    </w:pPr>
    <w:tblPr>
      <w:tblStyleRowBandSize w:val="1"/>
      <w:tblStyleColBandSize w:val="1"/>
      <w:tblBorders>
        <w:top w:val="single" w:sz="4" w:space="0" w:color="125370" w:themeColor="accent3"/>
        <w:left w:val="single" w:sz="4" w:space="0" w:color="125370" w:themeColor="accent3"/>
        <w:bottom w:val="single" w:sz="4" w:space="0" w:color="125370" w:themeColor="accent3"/>
        <w:right w:val="single" w:sz="4" w:space="0" w:color="125370" w:themeColor="accent3"/>
      </w:tblBorders>
    </w:tblPr>
    <w:tblStylePr w:type="firstRow">
      <w:rPr>
        <w:b/>
        <w:bCs/>
        <w:color w:val="FFFFFF" w:themeColor="background1"/>
      </w:rPr>
      <w:tblPr/>
      <w:tcPr>
        <w:shd w:val="clear" w:color="auto" w:fill="125370" w:themeFill="accent3"/>
      </w:tcPr>
    </w:tblStylePr>
    <w:tblStylePr w:type="lastRow">
      <w:rPr>
        <w:b/>
        <w:bCs/>
      </w:rPr>
      <w:tblPr/>
      <w:tcPr>
        <w:tcBorders>
          <w:top w:val="double" w:sz="4" w:space="0" w:color="12537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25370" w:themeColor="accent3"/>
          <w:right w:val="single" w:sz="4" w:space="0" w:color="125370" w:themeColor="accent3"/>
        </w:tcBorders>
      </w:tcPr>
    </w:tblStylePr>
    <w:tblStylePr w:type="band1Horz">
      <w:tblPr/>
      <w:tcPr>
        <w:tcBorders>
          <w:top w:val="single" w:sz="4" w:space="0" w:color="125370" w:themeColor="accent3"/>
          <w:bottom w:val="single" w:sz="4" w:space="0" w:color="12537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25370" w:themeColor="accent3"/>
          <w:left w:val="nil"/>
        </w:tcBorders>
      </w:tcPr>
    </w:tblStylePr>
    <w:tblStylePr w:type="swCell">
      <w:tblPr/>
      <w:tcPr>
        <w:tcBorders>
          <w:top w:val="double" w:sz="4" w:space="0" w:color="125370" w:themeColor="accent3"/>
          <w:right w:val="nil"/>
        </w:tcBorders>
      </w:tcPr>
    </w:tblStylePr>
  </w:style>
  <w:style w:type="table" w:styleId="PlainTable5">
    <w:name w:val="Plain Table 5"/>
    <w:basedOn w:val="TableNormal"/>
    <w:uiPriority w:val="45"/>
    <w:rsid w:val="0051785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51785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
    <w:name w:val="List Bullet"/>
    <w:basedOn w:val="Normal"/>
    <w:uiPriority w:val="98"/>
    <w:unhideWhenUsed/>
    <w:locked/>
    <w:rsid w:val="007F05FF"/>
    <w:pPr>
      <w:numPr>
        <w:numId w:val="9"/>
      </w:numPr>
      <w:contextualSpacing/>
    </w:pPr>
  </w:style>
  <w:style w:type="paragraph" w:styleId="EndnoteText">
    <w:name w:val="endnote text"/>
    <w:basedOn w:val="Normal"/>
    <w:link w:val="EndnoteTextChar"/>
    <w:uiPriority w:val="98"/>
    <w:semiHidden/>
    <w:unhideWhenUsed/>
    <w:locked/>
    <w:rsid w:val="003D1D9D"/>
    <w:pPr>
      <w:spacing w:after="0"/>
    </w:pPr>
    <w:rPr>
      <w:sz w:val="20"/>
      <w:szCs w:val="20"/>
    </w:rPr>
  </w:style>
  <w:style w:type="character" w:customStyle="1" w:styleId="EndnoteTextChar">
    <w:name w:val="Endnote Text Char"/>
    <w:basedOn w:val="DefaultParagraphFont"/>
    <w:link w:val="EndnoteText"/>
    <w:uiPriority w:val="98"/>
    <w:semiHidden/>
    <w:rsid w:val="003D1D9D"/>
    <w:rPr>
      <w:sz w:val="20"/>
      <w:szCs w:val="20"/>
    </w:rPr>
  </w:style>
  <w:style w:type="character" w:styleId="EndnoteReference">
    <w:name w:val="endnote reference"/>
    <w:basedOn w:val="DefaultParagraphFont"/>
    <w:uiPriority w:val="98"/>
    <w:semiHidden/>
    <w:unhideWhenUsed/>
    <w:locked/>
    <w:rsid w:val="003D1D9D"/>
    <w:rPr>
      <w:vertAlign w:val="superscript"/>
    </w:rPr>
  </w:style>
  <w:style w:type="paragraph" w:styleId="Revision">
    <w:name w:val="Revision"/>
    <w:hidden/>
    <w:uiPriority w:val="99"/>
    <w:semiHidden/>
    <w:rsid w:val="00106DE9"/>
    <w:pPr>
      <w:spacing w:after="0"/>
    </w:pPr>
  </w:style>
  <w:style w:type="paragraph" w:customStyle="1" w:styleId="NoParagraphStyle">
    <w:name w:val="[No Paragraph Style]"/>
    <w:rsid w:val="00B56D4D"/>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en-GB"/>
    </w:rPr>
  </w:style>
  <w:style w:type="character" w:customStyle="1" w:styleId="Heading1Char">
    <w:name w:val="Heading 1 Char"/>
    <w:basedOn w:val="DefaultParagraphFont"/>
    <w:link w:val="Heading1"/>
    <w:uiPriority w:val="9"/>
    <w:rsid w:val="004D39F0"/>
    <w:rPr>
      <w:rFonts w:cs="Arial"/>
      <w:b/>
      <w:bCs/>
      <w:color w:val="000000" w:themeColor="text1"/>
      <w:kern w:val="28"/>
      <w:sz w:val="40"/>
      <w:szCs w:val="32"/>
    </w:rPr>
  </w:style>
  <w:style w:type="character" w:customStyle="1" w:styleId="Heading2Char">
    <w:name w:val="Heading 2 Char"/>
    <w:basedOn w:val="DefaultParagraphFont"/>
    <w:link w:val="Heading2"/>
    <w:uiPriority w:val="99"/>
    <w:rsid w:val="00B73BD3"/>
    <w:rPr>
      <w:rFonts w:cs="Arial"/>
      <w:b/>
      <w:iCs/>
      <w:color w:val="125370" w:themeColor="accent3"/>
      <w:kern w:val="28"/>
      <w:sz w:val="30"/>
      <w:szCs w:val="30"/>
    </w:rPr>
  </w:style>
  <w:style w:type="character" w:customStyle="1" w:styleId="Heading3Char">
    <w:name w:val="Heading 3 Char"/>
    <w:basedOn w:val="DefaultParagraphFont"/>
    <w:link w:val="Heading3"/>
    <w:uiPriority w:val="99"/>
    <w:rsid w:val="00D50522"/>
    <w:rPr>
      <w:rFonts w:cs="Arial"/>
      <w:b/>
      <w:bCs/>
      <w:iCs/>
      <w:color w:val="000000" w:themeColor="text1"/>
      <w:kern w:val="28"/>
      <w:sz w:val="26"/>
      <w:szCs w:val="26"/>
    </w:rPr>
  </w:style>
  <w:style w:type="paragraph" w:customStyle="1" w:styleId="Heading4Headings">
    <w:name w:val="Heading 4 (Headings)"/>
    <w:basedOn w:val="Heading3"/>
    <w:next w:val="Normal"/>
    <w:uiPriority w:val="99"/>
    <w:rsid w:val="00B56D4D"/>
    <w:pPr>
      <w:widowControl w:val="0"/>
      <w:autoSpaceDE w:val="0"/>
      <w:autoSpaceDN w:val="0"/>
      <w:adjustRightInd w:val="0"/>
      <w:spacing w:before="113" w:after="113" w:line="260" w:lineRule="atLeast"/>
      <w:textAlignment w:val="center"/>
      <w:outlineLvl w:val="9"/>
    </w:pPr>
    <w:rPr>
      <w:rFonts w:ascii="Arial" w:eastAsiaTheme="minorEastAsia" w:hAnsi="Arial"/>
      <w:iCs w:val="0"/>
      <w:color w:val="000000"/>
      <w:kern w:val="0"/>
      <w:sz w:val="22"/>
      <w:szCs w:val="22"/>
      <w:lang w:val="en-US" w:eastAsia="en-GB"/>
    </w:rPr>
  </w:style>
  <w:style w:type="character" w:customStyle="1" w:styleId="Superscript">
    <w:name w:val="Superscript"/>
    <w:uiPriority w:val="99"/>
    <w:rsid w:val="00583975"/>
    <w:rPr>
      <w:rFonts w:ascii="Arial" w:hAnsi="Arial" w:cs="Open Sans"/>
      <w:color w:val="auto"/>
      <w:u w:val="none"/>
      <w:vertAlign w:val="superscript"/>
    </w:rPr>
  </w:style>
  <w:style w:type="character" w:customStyle="1" w:styleId="SuperscriptinH2">
    <w:name w:val="Superscript in H2"/>
    <w:basedOn w:val="Superscript"/>
    <w:uiPriority w:val="99"/>
    <w:rsid w:val="00B56D4D"/>
    <w:rPr>
      <w:rFonts w:ascii="Arial" w:hAnsi="Arial" w:cs="Open Sans"/>
      <w:color w:val="000000"/>
      <w:position w:val="6"/>
      <w:sz w:val="19"/>
      <w:szCs w:val="19"/>
      <w:u w:val="none"/>
      <w:vertAlign w:val="superscript"/>
    </w:rPr>
  </w:style>
  <w:style w:type="character" w:customStyle="1" w:styleId="StrongBold">
    <w:name w:val="Strong Bold"/>
    <w:uiPriority w:val="99"/>
    <w:rsid w:val="00097A95"/>
    <w:rPr>
      <w:rFonts w:ascii="Arial" w:hAnsi="Arial" w:cs="Open Sans"/>
      <w:b/>
      <w:bCs/>
    </w:rPr>
  </w:style>
  <w:style w:type="table" w:styleId="PlainTable3">
    <w:name w:val="Plain Table 3"/>
    <w:basedOn w:val="TableNormal"/>
    <w:uiPriority w:val="43"/>
    <w:rsid w:val="00B56D4D"/>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56D4D"/>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95BCB"/>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4-Accent1">
    <w:name w:val="List Table 4 Accent 1"/>
    <w:basedOn w:val="TableNormal"/>
    <w:uiPriority w:val="49"/>
    <w:rsid w:val="00195BCB"/>
    <w:pPr>
      <w:spacing w:after="0"/>
    </w:pPr>
    <w:tblPr>
      <w:tblStyleRowBandSize w:val="1"/>
      <w:tblStyleColBandSize w:val="1"/>
      <w:tblBorders>
        <w:top w:val="single" w:sz="4" w:space="0" w:color="4BBDEC" w:themeColor="accent1" w:themeTint="99"/>
        <w:left w:val="single" w:sz="4" w:space="0" w:color="4BBDEC" w:themeColor="accent1" w:themeTint="99"/>
        <w:bottom w:val="single" w:sz="4" w:space="0" w:color="4BBDEC" w:themeColor="accent1" w:themeTint="99"/>
        <w:right w:val="single" w:sz="4" w:space="0" w:color="4BBDEC" w:themeColor="accent1" w:themeTint="99"/>
        <w:insideH w:val="single" w:sz="4" w:space="0" w:color="4BBDEC" w:themeColor="accent1" w:themeTint="99"/>
      </w:tblBorders>
    </w:tblPr>
    <w:tblStylePr w:type="firstRow">
      <w:rPr>
        <w:b/>
        <w:bCs/>
        <w:color w:val="FFFFFF" w:themeColor="background1"/>
      </w:rPr>
      <w:tblPr/>
      <w:tcPr>
        <w:tcBorders>
          <w:top w:val="single" w:sz="4" w:space="0" w:color="1178A2" w:themeColor="accent1"/>
          <w:left w:val="single" w:sz="4" w:space="0" w:color="1178A2" w:themeColor="accent1"/>
          <w:bottom w:val="single" w:sz="4" w:space="0" w:color="1178A2" w:themeColor="accent1"/>
          <w:right w:val="single" w:sz="4" w:space="0" w:color="1178A2" w:themeColor="accent1"/>
          <w:insideH w:val="nil"/>
        </w:tcBorders>
        <w:shd w:val="clear" w:color="auto" w:fill="1178A2" w:themeFill="accent1"/>
      </w:tcPr>
    </w:tblStylePr>
    <w:tblStylePr w:type="lastRow">
      <w:rPr>
        <w:b/>
        <w:bCs/>
      </w:rPr>
      <w:tblPr/>
      <w:tcPr>
        <w:tcBorders>
          <w:top w:val="double" w:sz="4" w:space="0" w:color="4BBDEC" w:themeColor="accent1" w:themeTint="99"/>
        </w:tcBorders>
      </w:tcPr>
    </w:tblStylePr>
    <w:tblStylePr w:type="firstCol">
      <w:rPr>
        <w:b/>
        <w:bCs/>
      </w:rPr>
    </w:tblStylePr>
    <w:tblStylePr w:type="lastCol">
      <w:rPr>
        <w:b/>
        <w:bCs/>
      </w:rPr>
    </w:tblStylePr>
    <w:tblStylePr w:type="band1Vert">
      <w:tblPr/>
      <w:tcPr>
        <w:shd w:val="clear" w:color="auto" w:fill="C2E9F8" w:themeFill="accent1" w:themeFillTint="33"/>
      </w:tcPr>
    </w:tblStylePr>
    <w:tblStylePr w:type="band1Horz">
      <w:tblPr/>
      <w:tcPr>
        <w:shd w:val="clear" w:color="auto" w:fill="C2E9F8" w:themeFill="accent1" w:themeFillTint="33"/>
      </w:tcPr>
    </w:tblStylePr>
  </w:style>
  <w:style w:type="table" w:styleId="ListTable4-Accent2">
    <w:name w:val="List Table 4 Accent 2"/>
    <w:basedOn w:val="TableNormal"/>
    <w:uiPriority w:val="49"/>
    <w:rsid w:val="00195BCB"/>
    <w:pPr>
      <w:spacing w:after="0"/>
    </w:pPr>
    <w:tblPr>
      <w:tblStyleRowBandSize w:val="1"/>
      <w:tblStyleColBandSize w:val="1"/>
      <w:tblBorders>
        <w:top w:val="single" w:sz="4" w:space="0" w:color="51D6FF" w:themeColor="accent2" w:themeTint="99"/>
        <w:left w:val="single" w:sz="4" w:space="0" w:color="51D6FF" w:themeColor="accent2" w:themeTint="99"/>
        <w:bottom w:val="single" w:sz="4" w:space="0" w:color="51D6FF" w:themeColor="accent2" w:themeTint="99"/>
        <w:right w:val="single" w:sz="4" w:space="0" w:color="51D6FF" w:themeColor="accent2" w:themeTint="99"/>
        <w:insideH w:val="single" w:sz="4" w:space="0" w:color="51D6FF" w:themeColor="accent2" w:themeTint="99"/>
      </w:tblBorders>
    </w:tblPr>
    <w:tblStylePr w:type="firstRow">
      <w:rPr>
        <w:b/>
        <w:bCs/>
        <w:color w:val="FFFFFF" w:themeColor="background1"/>
      </w:rPr>
      <w:tblPr/>
      <w:tcPr>
        <w:tcBorders>
          <w:top w:val="single" w:sz="4" w:space="0" w:color="00A9DD" w:themeColor="accent2"/>
          <w:left w:val="single" w:sz="4" w:space="0" w:color="00A9DD" w:themeColor="accent2"/>
          <w:bottom w:val="single" w:sz="4" w:space="0" w:color="00A9DD" w:themeColor="accent2"/>
          <w:right w:val="single" w:sz="4" w:space="0" w:color="00A9DD" w:themeColor="accent2"/>
          <w:insideH w:val="nil"/>
        </w:tcBorders>
        <w:shd w:val="clear" w:color="auto" w:fill="00A9DD" w:themeFill="accent2"/>
      </w:tcPr>
    </w:tblStylePr>
    <w:tblStylePr w:type="lastRow">
      <w:rPr>
        <w:b/>
        <w:bCs/>
      </w:rPr>
      <w:tblPr/>
      <w:tcPr>
        <w:tcBorders>
          <w:top w:val="double" w:sz="4" w:space="0" w:color="51D6FF" w:themeColor="accent2" w:themeTint="99"/>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ListTable3-Accent2">
    <w:name w:val="List Table 3 Accent 2"/>
    <w:basedOn w:val="TableNormal"/>
    <w:uiPriority w:val="48"/>
    <w:rsid w:val="00195BCB"/>
    <w:pPr>
      <w:spacing w:after="0"/>
    </w:pPr>
    <w:tblPr>
      <w:tblStyleRowBandSize w:val="1"/>
      <w:tblStyleColBandSize w:val="1"/>
      <w:tblBorders>
        <w:top w:val="single" w:sz="4" w:space="0" w:color="00A9DD" w:themeColor="accent2"/>
        <w:left w:val="single" w:sz="4" w:space="0" w:color="00A9DD" w:themeColor="accent2"/>
        <w:bottom w:val="single" w:sz="4" w:space="0" w:color="00A9DD" w:themeColor="accent2"/>
        <w:right w:val="single" w:sz="4" w:space="0" w:color="00A9DD" w:themeColor="accent2"/>
      </w:tblBorders>
    </w:tblPr>
    <w:tblStylePr w:type="firstRow">
      <w:rPr>
        <w:b/>
        <w:bCs/>
        <w:color w:val="FFFFFF" w:themeColor="background1"/>
      </w:rPr>
      <w:tblPr/>
      <w:tcPr>
        <w:shd w:val="clear" w:color="auto" w:fill="00A9DD" w:themeFill="accent2"/>
      </w:tcPr>
    </w:tblStylePr>
    <w:tblStylePr w:type="lastRow">
      <w:rPr>
        <w:b/>
        <w:bCs/>
      </w:rPr>
      <w:tblPr/>
      <w:tcPr>
        <w:tcBorders>
          <w:top w:val="double" w:sz="4" w:space="0" w:color="00A9D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DD" w:themeColor="accent2"/>
          <w:right w:val="single" w:sz="4" w:space="0" w:color="00A9DD" w:themeColor="accent2"/>
        </w:tcBorders>
      </w:tcPr>
    </w:tblStylePr>
    <w:tblStylePr w:type="band1Horz">
      <w:tblPr/>
      <w:tcPr>
        <w:tcBorders>
          <w:top w:val="single" w:sz="4" w:space="0" w:color="00A9DD" w:themeColor="accent2"/>
          <w:bottom w:val="single" w:sz="4" w:space="0" w:color="00A9D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DD" w:themeColor="accent2"/>
          <w:left w:val="nil"/>
        </w:tcBorders>
      </w:tcPr>
    </w:tblStylePr>
    <w:tblStylePr w:type="swCell">
      <w:tblPr/>
      <w:tcPr>
        <w:tcBorders>
          <w:top w:val="double" w:sz="4" w:space="0" w:color="00A9DD" w:themeColor="accent2"/>
          <w:right w:val="nil"/>
        </w:tcBorders>
      </w:tcPr>
    </w:tblStylePr>
  </w:style>
  <w:style w:type="paragraph" w:customStyle="1" w:styleId="HeadingQualityStatementGreenLargeHeadings">
    <w:name w:val="Heading Quality Statement Green Large (Headings)"/>
    <w:basedOn w:val="NoParagraphStyle"/>
    <w:uiPriority w:val="99"/>
    <w:rsid w:val="00294ED9"/>
    <w:pPr>
      <w:suppressAutoHyphens/>
      <w:spacing w:after="57" w:line="460" w:lineRule="atLeast"/>
    </w:pPr>
    <w:rPr>
      <w:rFonts w:ascii="Proxima Nova" w:hAnsi="Proxima Nova" w:cs="Proxima Nova"/>
      <w:b/>
      <w:bCs/>
      <w:color w:val="007878"/>
      <w:sz w:val="46"/>
      <w:szCs w:val="46"/>
    </w:rPr>
  </w:style>
  <w:style w:type="paragraph" w:customStyle="1" w:styleId="ReferencesListalreadynumberedReferences">
    <w:name w:val="References List (already numbered) (References)"/>
    <w:basedOn w:val="Normal"/>
    <w:uiPriority w:val="99"/>
    <w:rsid w:val="00294ED9"/>
    <w:pPr>
      <w:widowControl w:val="0"/>
      <w:autoSpaceDE w:val="0"/>
      <w:autoSpaceDN w:val="0"/>
      <w:adjustRightInd w:val="0"/>
      <w:spacing w:after="85" w:line="200" w:lineRule="atLeast"/>
      <w:ind w:left="340" w:hanging="340"/>
      <w:textAlignment w:val="center"/>
    </w:pPr>
    <w:rPr>
      <w:rFonts w:ascii="Arial" w:eastAsiaTheme="minorEastAsia" w:hAnsi="Arial" w:cs="Arial"/>
      <w:color w:val="000000"/>
      <w:sz w:val="17"/>
      <w:szCs w:val="17"/>
      <w:lang w:val="en-US" w:eastAsia="en-GB"/>
    </w:rPr>
  </w:style>
  <w:style w:type="character" w:customStyle="1" w:styleId="Bold">
    <w:name w:val="Bold"/>
    <w:uiPriority w:val="99"/>
    <w:rsid w:val="00294ED9"/>
    <w:rPr>
      <w:rFonts w:ascii="Arial" w:hAnsi="Arial" w:cs="Arial"/>
      <w:b/>
      <w:bCs/>
      <w:w w:val="100"/>
    </w:rPr>
  </w:style>
  <w:style w:type="paragraph" w:customStyle="1" w:styleId="TableTextBeforeBulletTables">
    <w:name w:val="TableTextBeforeBullet (Tables)"/>
    <w:basedOn w:val="Normal"/>
    <w:uiPriority w:val="99"/>
    <w:rsid w:val="00B34497"/>
    <w:pPr>
      <w:widowControl w:val="0"/>
      <w:autoSpaceDE w:val="0"/>
      <w:autoSpaceDN w:val="0"/>
      <w:adjustRightInd w:val="0"/>
      <w:spacing w:after="57" w:line="288" w:lineRule="auto"/>
      <w:textAlignment w:val="center"/>
    </w:pPr>
    <w:rPr>
      <w:rFonts w:ascii="Arial" w:eastAsiaTheme="minorEastAsia" w:hAnsi="Arial" w:cs="Arial"/>
      <w:color w:val="000000"/>
      <w:lang w:val="en-US" w:eastAsia="en-GB"/>
    </w:rPr>
  </w:style>
  <w:style w:type="character" w:customStyle="1" w:styleId="DropcapnumberH2">
    <w:name w:val="Drop cap number (H2)"/>
    <w:uiPriority w:val="99"/>
    <w:rsid w:val="00B34497"/>
    <w:rPr>
      <w:rFonts w:ascii="Proxima Nova" w:hAnsi="Proxima Nova" w:cs="Proxima Nova"/>
      <w:b/>
      <w:bCs/>
      <w:color w:val="009838"/>
      <w:spacing w:val="14"/>
      <w:position w:val="10"/>
      <w:sz w:val="28"/>
      <w:szCs w:val="28"/>
      <w:u w:val="thick" w:color="C6FF00"/>
    </w:rPr>
  </w:style>
  <w:style w:type="table" w:customStyle="1" w:styleId="CCSGreenBox">
    <w:name w:val="CCS Green Box"/>
    <w:basedOn w:val="TableNormal"/>
    <w:uiPriority w:val="99"/>
    <w:rsid w:val="00B16C49"/>
    <w:pPr>
      <w:spacing w:after="0"/>
    </w:pPr>
    <w:tblPr>
      <w:tblCellMar>
        <w:left w:w="227" w:type="dxa"/>
        <w:bottom w:w="142" w:type="dxa"/>
        <w:right w:w="170" w:type="dxa"/>
      </w:tblCellMar>
    </w:tblPr>
    <w:tcPr>
      <w:shd w:val="clear" w:color="auto" w:fill="E7F5F4"/>
    </w:tcPr>
    <w:tblStylePr w:type="firstRow">
      <w:tblPr/>
      <w:trPr>
        <w:tblHeader/>
      </w:trPr>
    </w:tblStylePr>
  </w:style>
  <w:style w:type="table" w:customStyle="1" w:styleId="PROMTable">
    <w:name w:val="PROM Table"/>
    <w:basedOn w:val="TableNormal"/>
    <w:uiPriority w:val="99"/>
    <w:rsid w:val="0058397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70" w:type="dxa"/>
      </w:tblCellMar>
    </w:tblPr>
    <w:trPr>
      <w:cantSplit/>
    </w:trPr>
    <w:tcPr>
      <w:shd w:val="clear" w:color="auto" w:fill="auto"/>
    </w:tcPr>
    <w:tblStylePr w:type="firstRow">
      <w:pPr>
        <w:jc w:val="left"/>
      </w:pPr>
      <w:rPr>
        <w:b/>
        <w:color w:val="FFFFFF" w:themeColor="background1"/>
      </w:rPr>
      <w:tblPr/>
      <w:trPr>
        <w:tblHeader/>
      </w:trPr>
      <w:tcPr>
        <w:shd w:val="clear" w:color="auto" w:fill="125370" w:themeFill="accent3"/>
      </w:tcPr>
    </w:tblStylePr>
    <w:tblStylePr w:type="firstCol">
      <w:rPr>
        <w:b/>
      </w:rPr>
    </w:tblStylePr>
  </w:style>
  <w:style w:type="paragraph" w:styleId="TOC5">
    <w:name w:val="toc 5"/>
    <w:basedOn w:val="Normal"/>
    <w:next w:val="Normal"/>
    <w:autoRedefine/>
    <w:uiPriority w:val="39"/>
    <w:unhideWhenUsed/>
    <w:locked/>
    <w:rsid w:val="00DA4914"/>
    <w:pPr>
      <w:spacing w:after="0"/>
      <w:ind w:left="880"/>
    </w:pPr>
    <w:rPr>
      <w:rFonts w:cstheme="minorHAnsi"/>
      <w:sz w:val="20"/>
      <w:szCs w:val="20"/>
    </w:rPr>
  </w:style>
  <w:style w:type="paragraph" w:styleId="TOC6">
    <w:name w:val="toc 6"/>
    <w:basedOn w:val="Normal"/>
    <w:next w:val="Normal"/>
    <w:autoRedefine/>
    <w:uiPriority w:val="39"/>
    <w:unhideWhenUsed/>
    <w:locked/>
    <w:rsid w:val="00DA4914"/>
    <w:pPr>
      <w:spacing w:after="0"/>
      <w:ind w:left="1100"/>
    </w:pPr>
    <w:rPr>
      <w:rFonts w:cstheme="minorHAnsi"/>
      <w:sz w:val="20"/>
      <w:szCs w:val="20"/>
    </w:rPr>
  </w:style>
  <w:style w:type="paragraph" w:styleId="TOC7">
    <w:name w:val="toc 7"/>
    <w:basedOn w:val="Normal"/>
    <w:next w:val="Normal"/>
    <w:autoRedefine/>
    <w:uiPriority w:val="39"/>
    <w:unhideWhenUsed/>
    <w:locked/>
    <w:rsid w:val="00DA4914"/>
    <w:pPr>
      <w:spacing w:after="0"/>
      <w:ind w:left="1320"/>
    </w:pPr>
    <w:rPr>
      <w:rFonts w:cstheme="minorHAnsi"/>
      <w:sz w:val="20"/>
      <w:szCs w:val="20"/>
    </w:rPr>
  </w:style>
  <w:style w:type="paragraph" w:styleId="TOC8">
    <w:name w:val="toc 8"/>
    <w:basedOn w:val="Normal"/>
    <w:next w:val="Normal"/>
    <w:autoRedefine/>
    <w:uiPriority w:val="39"/>
    <w:unhideWhenUsed/>
    <w:locked/>
    <w:rsid w:val="00DA4914"/>
    <w:pPr>
      <w:spacing w:after="0"/>
      <w:ind w:left="1540"/>
    </w:pPr>
    <w:rPr>
      <w:rFonts w:cstheme="minorHAnsi"/>
      <w:sz w:val="20"/>
      <w:szCs w:val="20"/>
    </w:rPr>
  </w:style>
  <w:style w:type="paragraph" w:styleId="TOC9">
    <w:name w:val="toc 9"/>
    <w:basedOn w:val="Normal"/>
    <w:next w:val="Normal"/>
    <w:autoRedefine/>
    <w:uiPriority w:val="39"/>
    <w:unhideWhenUsed/>
    <w:locked/>
    <w:rsid w:val="00DA4914"/>
    <w:pPr>
      <w:spacing w:after="0"/>
      <w:ind w:left="1760"/>
    </w:pPr>
    <w:rPr>
      <w:rFonts w:cstheme="minorHAnsi"/>
      <w:sz w:val="20"/>
      <w:szCs w:val="20"/>
    </w:rPr>
  </w:style>
  <w:style w:type="character" w:styleId="UnresolvedMention">
    <w:name w:val="Unresolved Mention"/>
    <w:basedOn w:val="DefaultParagraphFont"/>
    <w:uiPriority w:val="99"/>
    <w:semiHidden/>
    <w:unhideWhenUsed/>
    <w:rsid w:val="00DA4914"/>
    <w:rPr>
      <w:color w:val="605E5C"/>
      <w:shd w:val="clear" w:color="auto" w:fill="E1DFDD"/>
    </w:rPr>
  </w:style>
  <w:style w:type="paragraph" w:customStyle="1" w:styleId="IndicatorBoxHolderBodystyles">
    <w:name w:val="Indicator Box Holder (Body styles)"/>
    <w:basedOn w:val="Normal"/>
    <w:uiPriority w:val="99"/>
    <w:rsid w:val="00604462"/>
    <w:pPr>
      <w:widowControl w:val="0"/>
      <w:autoSpaceDE w:val="0"/>
      <w:autoSpaceDN w:val="0"/>
      <w:adjustRightInd w:val="0"/>
      <w:spacing w:after="283" w:line="288" w:lineRule="auto"/>
      <w:textAlignment w:val="center"/>
    </w:pPr>
    <w:rPr>
      <w:rFonts w:ascii="Arial" w:eastAsiaTheme="minorEastAsia" w:hAnsi="Arial" w:cs="Arial"/>
      <w:color w:val="000000"/>
      <w:lang w:val="en-US" w:eastAsia="en-GB"/>
    </w:rPr>
  </w:style>
  <w:style w:type="paragraph" w:customStyle="1" w:styleId="CCSReferencesReferences">
    <w:name w:val="CCS References (References)"/>
    <w:basedOn w:val="Normal"/>
    <w:uiPriority w:val="99"/>
    <w:rsid w:val="00604462"/>
    <w:pPr>
      <w:widowControl w:val="0"/>
      <w:autoSpaceDE w:val="0"/>
      <w:autoSpaceDN w:val="0"/>
      <w:adjustRightInd w:val="0"/>
      <w:spacing w:line="288" w:lineRule="auto"/>
      <w:ind w:left="397" w:hanging="397"/>
      <w:textAlignment w:val="center"/>
    </w:pPr>
    <w:rPr>
      <w:rFonts w:ascii="Arial" w:eastAsiaTheme="minorEastAsia" w:hAnsi="Arial" w:cs="Arial"/>
      <w:color w:val="000000"/>
      <w:lang w:val="en-US" w:eastAsia="en-GB"/>
    </w:rPr>
  </w:style>
  <w:style w:type="paragraph" w:customStyle="1" w:styleId="IndicatorBoxTitle">
    <w:name w:val="Indicator Box Title"/>
    <w:basedOn w:val="Heading2"/>
    <w:uiPriority w:val="99"/>
    <w:rsid w:val="002F5F03"/>
    <w:pPr>
      <w:widowControl w:val="0"/>
      <w:autoSpaceDE w:val="0"/>
      <w:autoSpaceDN w:val="0"/>
      <w:adjustRightInd w:val="0"/>
      <w:spacing w:before="120" w:after="0"/>
      <w:textAlignment w:val="center"/>
      <w:outlineLvl w:val="9"/>
    </w:pPr>
    <w:rPr>
      <w:rFonts w:ascii="Arial" w:eastAsiaTheme="minorEastAsia" w:hAnsi="Arial"/>
      <w:bCs/>
      <w:iCs w:val="0"/>
      <w:kern w:val="0"/>
      <w:sz w:val="28"/>
      <w:szCs w:val="32"/>
      <w:lang w:val="en-US" w:eastAsia="en-GB"/>
    </w:rPr>
  </w:style>
  <w:style w:type="paragraph" w:customStyle="1" w:styleId="Backpagelogoholder">
    <w:name w:val="Back page logo holder"/>
    <w:basedOn w:val="Normal"/>
    <w:qFormat/>
    <w:rsid w:val="00166FB6"/>
    <w:pPr>
      <w:spacing w:before="11000" w:after="240"/>
      <w:ind w:hanging="142"/>
    </w:pPr>
    <w:rPr>
      <w:rFonts w:eastAsiaTheme="majorEastAsia"/>
      <w:noProof/>
    </w:rPr>
  </w:style>
  <w:style w:type="character" w:customStyle="1" w:styleId="Heading4Char">
    <w:name w:val="Heading 4 Char"/>
    <w:basedOn w:val="DefaultParagraphFont"/>
    <w:link w:val="Heading4"/>
    <w:uiPriority w:val="99"/>
    <w:rsid w:val="00D50522"/>
    <w:rPr>
      <w:b/>
      <w:bCs/>
      <w:color w:val="000000" w:themeColor="text1"/>
    </w:rPr>
  </w:style>
  <w:style w:type="character" w:customStyle="1" w:styleId="Designernotes">
    <w:name w:val="Designer notes"/>
    <w:uiPriority w:val="99"/>
    <w:rsid w:val="009164C7"/>
    <w:rPr>
      <w:rFonts w:ascii="Open Sans" w:hAnsi="Open Sans" w:cs="Open Sans"/>
      <w:color w:val="EA028C"/>
      <w:position w:val="0"/>
      <w:u w:val="thick" w:color="FFF100"/>
    </w:rPr>
  </w:style>
  <w:style w:type="table" w:customStyle="1" w:styleId="PROMchapterbox">
    <w:name w:val="PROM chapter box"/>
    <w:basedOn w:val="TableNormal"/>
    <w:uiPriority w:val="99"/>
    <w:rsid w:val="00DE18AB"/>
    <w:pPr>
      <w:spacing w:after="0"/>
    </w:pPr>
    <w:tblPr>
      <w:tblBorders>
        <w:top w:val="single" w:sz="48" w:space="0" w:color="DD780B"/>
        <w:left w:val="single" w:sz="48" w:space="0" w:color="DD780B"/>
        <w:bottom w:val="single" w:sz="48" w:space="0" w:color="DD780B"/>
        <w:right w:val="single" w:sz="48" w:space="0" w:color="DD780B"/>
      </w:tblBorders>
      <w:tblCellMar>
        <w:top w:w="57" w:type="dxa"/>
        <w:left w:w="397" w:type="dxa"/>
        <w:bottom w:w="170" w:type="dxa"/>
        <w:right w:w="340" w:type="dxa"/>
      </w:tblCellMar>
    </w:tblPr>
    <w:tcPr>
      <w:shd w:val="clear" w:color="auto" w:fill="FDF4E8"/>
    </w:tcPr>
    <w:tblStylePr w:type="firstRow">
      <w:rPr>
        <w:b w:val="0"/>
      </w:rPr>
      <w:tblPr>
        <w:tblCellMar>
          <w:top w:w="170" w:type="dxa"/>
          <w:left w:w="397" w:type="dxa"/>
          <w:bottom w:w="170" w:type="dxa"/>
          <w:right w:w="340" w:type="dxa"/>
        </w:tblCellMar>
      </w:tblPr>
      <w:trPr>
        <w:tblHeader/>
      </w:trPr>
    </w:tblStylePr>
  </w:style>
  <w:style w:type="paragraph" w:customStyle="1" w:styleId="Heading-Equity">
    <w:name w:val="Heading - Equity"/>
    <w:basedOn w:val="Heading4"/>
    <w:qFormat/>
    <w:rsid w:val="008B11B0"/>
    <w:pPr>
      <w:spacing w:before="300" w:after="180"/>
    </w:pPr>
    <w:rPr>
      <w:caps/>
      <w:color w:val="036C67"/>
    </w:rPr>
  </w:style>
  <w:style w:type="paragraph" w:styleId="Caption">
    <w:name w:val="caption"/>
    <w:basedOn w:val="Normal"/>
    <w:next w:val="Normal"/>
    <w:uiPriority w:val="99"/>
    <w:unhideWhenUsed/>
    <w:qFormat/>
    <w:locked/>
    <w:rsid w:val="004D5308"/>
    <w:pPr>
      <w:keepNext/>
      <w:spacing w:before="360" w:after="240"/>
    </w:pPr>
    <w:rPr>
      <w:b/>
      <w:iCs/>
      <w:color w:val="000000" w:themeColor="text1"/>
      <w:szCs w:val="18"/>
    </w:rPr>
  </w:style>
  <w:style w:type="paragraph" w:customStyle="1" w:styleId="Sources">
    <w:name w:val="Sources"/>
    <w:aliases w:val="notes"/>
    <w:basedOn w:val="Normal"/>
    <w:uiPriority w:val="99"/>
    <w:rsid w:val="00A303D0"/>
    <w:pPr>
      <w:widowControl w:val="0"/>
      <w:tabs>
        <w:tab w:val="left" w:pos="170"/>
      </w:tabs>
      <w:autoSpaceDE w:val="0"/>
      <w:autoSpaceDN w:val="0"/>
      <w:adjustRightInd w:val="0"/>
      <w:spacing w:before="240" w:line="210" w:lineRule="atLeast"/>
      <w:contextualSpacing/>
      <w:textAlignment w:val="center"/>
    </w:pPr>
    <w:rPr>
      <w:rFonts w:ascii="Arial" w:eastAsiaTheme="minorEastAsia" w:hAnsi="Arial" w:cs="Arial"/>
      <w:color w:val="000000"/>
      <w:sz w:val="20"/>
      <w:szCs w:val="16"/>
      <w:lang w:val="en-US" w:eastAsia="en-GB"/>
    </w:rPr>
  </w:style>
  <w:style w:type="paragraph" w:customStyle="1" w:styleId="FootnoteTFnotesLastBodystyles">
    <w:name w:val="Footnote / TF notes Last (Body styles)"/>
    <w:basedOn w:val="Sources"/>
    <w:uiPriority w:val="99"/>
    <w:rsid w:val="00797EC1"/>
    <w:pPr>
      <w:spacing w:after="227"/>
    </w:pPr>
  </w:style>
  <w:style w:type="paragraph" w:customStyle="1" w:styleId="FootnoteTFnotesBulletBodystyles">
    <w:name w:val="Footnote / TF notes Bullet (Body styles)"/>
    <w:basedOn w:val="Sources"/>
    <w:uiPriority w:val="99"/>
    <w:rsid w:val="00797EC1"/>
    <w:pPr>
      <w:tabs>
        <w:tab w:val="clear" w:pos="170"/>
        <w:tab w:val="left" w:pos="340"/>
      </w:tabs>
      <w:ind w:left="340" w:hanging="170"/>
    </w:pPr>
  </w:style>
  <w:style w:type="character" w:customStyle="1" w:styleId="Indicator">
    <w:name w:val="Indicator"/>
    <w:basedOn w:val="DefaultParagraphFont"/>
    <w:uiPriority w:val="1"/>
    <w:qFormat/>
    <w:rsid w:val="000A1D25"/>
    <w:rPr>
      <w:b/>
      <w:bCs/>
      <w:color w:val="006D67"/>
      <w:lang w:val="en-GB"/>
    </w:rPr>
  </w:style>
  <w:style w:type="paragraph" w:customStyle="1" w:styleId="TableFigureheading">
    <w:name w:val="Table / Figure heading"/>
    <w:basedOn w:val="Caption"/>
    <w:qFormat/>
    <w:rsid w:val="00620F70"/>
  </w:style>
  <w:style w:type="paragraph" w:customStyle="1" w:styleId="LargeFirstPara">
    <w:name w:val="Large First Para"/>
    <w:basedOn w:val="Normal"/>
    <w:uiPriority w:val="99"/>
    <w:rsid w:val="0060062C"/>
    <w:pPr>
      <w:widowControl w:val="0"/>
      <w:autoSpaceDE w:val="0"/>
      <w:autoSpaceDN w:val="0"/>
      <w:adjustRightInd w:val="0"/>
      <w:spacing w:line="288" w:lineRule="auto"/>
      <w:textAlignment w:val="center"/>
    </w:pPr>
    <w:rPr>
      <w:rFonts w:ascii="Arial" w:eastAsiaTheme="minorEastAsia" w:hAnsi="Arial" w:cs="Arial"/>
      <w:color w:val="000000"/>
      <w:lang w:val="en-US" w:eastAsia="en-GB"/>
      <w14:ligatures w14:val="standardContextual"/>
    </w:rPr>
  </w:style>
  <w:style w:type="paragraph" w:customStyle="1" w:styleId="PROMRecommendation">
    <w:name w:val="PROM Recommendation"/>
    <w:basedOn w:val="Heading1"/>
    <w:uiPriority w:val="99"/>
    <w:rsid w:val="00DF40B6"/>
    <w:pPr>
      <w:pageBreakBefore w:val="0"/>
      <w:widowControl w:val="0"/>
      <w:autoSpaceDE w:val="0"/>
      <w:autoSpaceDN w:val="0"/>
      <w:adjustRightInd w:val="0"/>
      <w:spacing w:before="120" w:after="0"/>
      <w:textAlignment w:val="center"/>
      <w:outlineLvl w:val="9"/>
    </w:pPr>
    <w:rPr>
      <w:rFonts w:ascii="Arial" w:eastAsiaTheme="minorEastAsia" w:hAnsi="Arial"/>
      <w:color w:val="000000"/>
      <w:kern w:val="0"/>
      <w:szCs w:val="40"/>
      <w:lang w:val="en-US" w:eastAsia="en-GB"/>
      <w14:ligatures w14:val="standardContextual"/>
    </w:rPr>
  </w:style>
  <w:style w:type="paragraph" w:customStyle="1" w:styleId="PROMRecommendationsurtitle">
    <w:name w:val="PROM Recommendation surtitle"/>
    <w:basedOn w:val="Heading1"/>
    <w:uiPriority w:val="99"/>
    <w:rsid w:val="00D90711"/>
    <w:pPr>
      <w:spacing w:before="120" w:after="120"/>
      <w:outlineLvl w:val="9"/>
    </w:pPr>
    <w:rPr>
      <w:color w:val="125370" w:themeColor="accent3"/>
      <w:sz w:val="44"/>
      <w:szCs w:val="36"/>
    </w:rPr>
  </w:style>
  <w:style w:type="paragraph" w:customStyle="1" w:styleId="IndicatorBoxTitleH2Boxes">
    <w:name w:val="Indicator Box Title (H2) (Boxes)"/>
    <w:basedOn w:val="Heading2"/>
    <w:uiPriority w:val="99"/>
    <w:rsid w:val="0060062C"/>
    <w:pPr>
      <w:widowControl w:val="0"/>
      <w:autoSpaceDE w:val="0"/>
      <w:autoSpaceDN w:val="0"/>
      <w:adjustRightInd w:val="0"/>
      <w:spacing w:line="288" w:lineRule="auto"/>
      <w:textAlignment w:val="center"/>
      <w:outlineLvl w:val="9"/>
    </w:pPr>
    <w:rPr>
      <w:rFonts w:ascii="Arial" w:eastAsiaTheme="minorEastAsia" w:hAnsi="Arial"/>
      <w:bCs/>
      <w:iCs w:val="0"/>
      <w:kern w:val="0"/>
      <w:szCs w:val="32"/>
      <w:lang w:val="en-US" w:eastAsia="en-GB"/>
      <w14:ligatures w14:val="standardContextual"/>
    </w:rPr>
  </w:style>
  <w:style w:type="paragraph" w:customStyle="1" w:styleId="PROMIconBoxHeading">
    <w:name w:val="PROM Icon Box Heading"/>
    <w:basedOn w:val="IndicatorBoxTitleH2Boxes"/>
    <w:next w:val="Normal"/>
    <w:uiPriority w:val="99"/>
    <w:rsid w:val="0060062C"/>
    <w:pPr>
      <w:spacing w:before="0" w:after="0" w:line="320" w:lineRule="atLeast"/>
      <w:jc w:val="center"/>
    </w:pPr>
    <w:rPr>
      <w:color w:val="1987C4"/>
      <w:szCs w:val="30"/>
    </w:rPr>
  </w:style>
  <w:style w:type="paragraph" w:customStyle="1" w:styleId="BaseStyleProximaNova">
    <w:name w:val="BaseStyleProximaNova"/>
    <w:basedOn w:val="NoParagraphStyle"/>
    <w:uiPriority w:val="99"/>
    <w:rsid w:val="0060062C"/>
    <w:pPr>
      <w:suppressAutoHyphens/>
    </w:pPr>
    <w:rPr>
      <w:rFonts w:ascii="Proxima Nova" w:hAnsi="Proxima Nova" w:cs="Proxima Nova"/>
      <w14:ligatures w14:val="standardContextual"/>
    </w:rPr>
  </w:style>
  <w:style w:type="paragraph" w:customStyle="1" w:styleId="PROMchapterboxsubheading">
    <w:name w:val="PROM chapter box subheading"/>
    <w:basedOn w:val="Normal"/>
    <w:next w:val="Normal"/>
    <w:uiPriority w:val="99"/>
    <w:rsid w:val="00F2023A"/>
    <w:pPr>
      <w:spacing w:before="300" w:after="180"/>
    </w:pPr>
    <w:rPr>
      <w:b/>
      <w:bCs/>
      <w:color w:val="125370" w:themeColor="accent3"/>
      <w:sz w:val="30"/>
      <w:szCs w:val="30"/>
    </w:rPr>
  </w:style>
  <w:style w:type="paragraph" w:customStyle="1" w:styleId="NormalQuoteInset">
    <w:name w:val="Normal Quote Inset"/>
    <w:basedOn w:val="Normal"/>
    <w:uiPriority w:val="99"/>
    <w:rsid w:val="00531A2F"/>
    <w:pPr>
      <w:widowControl w:val="0"/>
      <w:autoSpaceDE w:val="0"/>
      <w:autoSpaceDN w:val="0"/>
      <w:adjustRightInd w:val="0"/>
      <w:ind w:left="284"/>
      <w:textAlignment w:val="center"/>
    </w:pPr>
    <w:rPr>
      <w:rFonts w:ascii="Arial" w:eastAsiaTheme="minorEastAsia" w:hAnsi="Arial" w:cs="Arial"/>
      <w:color w:val="000000"/>
      <w:lang w:val="en-US" w:eastAsia="en-GB"/>
      <w14:ligatures w14:val="standardContextual"/>
    </w:rPr>
  </w:style>
  <w:style w:type="character" w:customStyle="1" w:styleId="HyperlinkItalics">
    <w:name w:val="Hyperlink Italics"/>
    <w:basedOn w:val="Hyperlink"/>
    <w:uiPriority w:val="99"/>
    <w:rsid w:val="00D50522"/>
    <w:rPr>
      <w:i/>
      <w:iCs/>
      <w:color w:val="1178A2" w:themeColor="accent1"/>
      <w:w w:val="100"/>
      <w:u w:val="single"/>
    </w:rPr>
  </w:style>
  <w:style w:type="character" w:customStyle="1" w:styleId="Superscriptwhite">
    <w:name w:val="Superscript (white)"/>
    <w:basedOn w:val="DefaultParagraphFont"/>
    <w:uiPriority w:val="1"/>
    <w:qFormat/>
    <w:rsid w:val="00583975"/>
    <w:rPr>
      <w:bCs/>
      <w:color w:val="FFFFFF" w:themeColor="background1"/>
      <w:vertAlign w:val="superscript"/>
    </w:rPr>
  </w:style>
  <w:style w:type="character" w:customStyle="1" w:styleId="Cross-reference">
    <w:name w:val="Cross-reference"/>
    <w:basedOn w:val="DefaultParagraphFont"/>
    <w:uiPriority w:val="1"/>
    <w:qFormat/>
    <w:rsid w:val="000D390D"/>
    <w:rPr>
      <w:b w:val="0"/>
      <w:color w:val="1178A2" w:themeColor="accent1"/>
      <w:u w:val="single"/>
    </w:rPr>
  </w:style>
  <w:style w:type="paragraph" w:customStyle="1" w:styleId="PROMboxsubheadingsmall">
    <w:name w:val="PROM box subheading (small)"/>
    <w:basedOn w:val="PROMchapterboxsubheading"/>
    <w:qFormat/>
    <w:rsid w:val="007A2C87"/>
    <w:pPr>
      <w:spacing w:before="120" w:after="120"/>
    </w:pPr>
    <w:rPr>
      <w:rFonts w:ascii="Arial" w:eastAsia="Calibri"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00508">
      <w:bodyDiv w:val="1"/>
      <w:marLeft w:val="0"/>
      <w:marRight w:val="0"/>
      <w:marTop w:val="0"/>
      <w:marBottom w:val="0"/>
      <w:divBdr>
        <w:top w:val="none" w:sz="0" w:space="0" w:color="auto"/>
        <w:left w:val="none" w:sz="0" w:space="0" w:color="auto"/>
        <w:bottom w:val="none" w:sz="0" w:space="0" w:color="auto"/>
        <w:right w:val="none" w:sz="0" w:space="0" w:color="auto"/>
      </w:divBdr>
      <w:divsChild>
        <w:div w:id="239220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33720">
              <w:marLeft w:val="0"/>
              <w:marRight w:val="0"/>
              <w:marTop w:val="0"/>
              <w:marBottom w:val="0"/>
              <w:divBdr>
                <w:top w:val="none" w:sz="0" w:space="0" w:color="auto"/>
                <w:left w:val="none" w:sz="0" w:space="0" w:color="auto"/>
                <w:bottom w:val="none" w:sz="0" w:space="0" w:color="auto"/>
                <w:right w:val="none" w:sz="0" w:space="0" w:color="auto"/>
              </w:divBdr>
              <w:divsChild>
                <w:div w:id="198272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8642">
      <w:bodyDiv w:val="1"/>
      <w:marLeft w:val="0"/>
      <w:marRight w:val="0"/>
      <w:marTop w:val="0"/>
      <w:marBottom w:val="0"/>
      <w:divBdr>
        <w:top w:val="none" w:sz="0" w:space="0" w:color="auto"/>
        <w:left w:val="none" w:sz="0" w:space="0" w:color="auto"/>
        <w:bottom w:val="none" w:sz="0" w:space="0" w:color="auto"/>
        <w:right w:val="none" w:sz="0" w:space="0" w:color="auto"/>
      </w:divBdr>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328557972">
      <w:bodyDiv w:val="1"/>
      <w:marLeft w:val="0"/>
      <w:marRight w:val="0"/>
      <w:marTop w:val="0"/>
      <w:marBottom w:val="0"/>
      <w:divBdr>
        <w:top w:val="none" w:sz="0" w:space="0" w:color="auto"/>
        <w:left w:val="none" w:sz="0" w:space="0" w:color="auto"/>
        <w:bottom w:val="none" w:sz="0" w:space="0" w:color="auto"/>
        <w:right w:val="none" w:sz="0" w:space="0" w:color="auto"/>
      </w:divBdr>
      <w:divsChild>
        <w:div w:id="1517233468">
          <w:marLeft w:val="0"/>
          <w:marRight w:val="0"/>
          <w:marTop w:val="0"/>
          <w:marBottom w:val="0"/>
          <w:divBdr>
            <w:top w:val="none" w:sz="0" w:space="0" w:color="auto"/>
            <w:left w:val="none" w:sz="0" w:space="0" w:color="auto"/>
            <w:bottom w:val="none" w:sz="0" w:space="0" w:color="auto"/>
            <w:right w:val="none" w:sz="0" w:space="0" w:color="auto"/>
          </w:divBdr>
          <w:divsChild>
            <w:div w:id="383916949">
              <w:marLeft w:val="0"/>
              <w:marRight w:val="0"/>
              <w:marTop w:val="0"/>
              <w:marBottom w:val="0"/>
              <w:divBdr>
                <w:top w:val="none" w:sz="0" w:space="0" w:color="auto"/>
                <w:left w:val="none" w:sz="0" w:space="0" w:color="auto"/>
                <w:bottom w:val="none" w:sz="0" w:space="0" w:color="auto"/>
                <w:right w:val="none" w:sz="0" w:space="0" w:color="auto"/>
              </w:divBdr>
              <w:divsChild>
                <w:div w:id="58827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5776">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26617321">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715423625">
      <w:bodyDiv w:val="1"/>
      <w:marLeft w:val="0"/>
      <w:marRight w:val="0"/>
      <w:marTop w:val="0"/>
      <w:marBottom w:val="0"/>
      <w:divBdr>
        <w:top w:val="none" w:sz="0" w:space="0" w:color="auto"/>
        <w:left w:val="none" w:sz="0" w:space="0" w:color="auto"/>
        <w:bottom w:val="none" w:sz="0" w:space="0" w:color="auto"/>
        <w:right w:val="none" w:sz="0" w:space="0" w:color="auto"/>
      </w:divBdr>
      <w:divsChild>
        <w:div w:id="392239809">
          <w:marLeft w:val="0"/>
          <w:marRight w:val="0"/>
          <w:marTop w:val="0"/>
          <w:marBottom w:val="0"/>
          <w:divBdr>
            <w:top w:val="none" w:sz="0" w:space="0" w:color="auto"/>
            <w:left w:val="none" w:sz="0" w:space="0" w:color="auto"/>
            <w:bottom w:val="none" w:sz="0" w:space="0" w:color="auto"/>
            <w:right w:val="none" w:sz="0" w:space="0" w:color="auto"/>
          </w:divBdr>
          <w:divsChild>
            <w:div w:id="701058774">
              <w:marLeft w:val="0"/>
              <w:marRight w:val="0"/>
              <w:marTop w:val="0"/>
              <w:marBottom w:val="0"/>
              <w:divBdr>
                <w:top w:val="none" w:sz="0" w:space="0" w:color="auto"/>
                <w:left w:val="none" w:sz="0" w:space="0" w:color="auto"/>
                <w:bottom w:val="none" w:sz="0" w:space="0" w:color="auto"/>
                <w:right w:val="none" w:sz="0" w:space="0" w:color="auto"/>
              </w:divBdr>
              <w:divsChild>
                <w:div w:id="1498841065">
                  <w:marLeft w:val="0"/>
                  <w:marRight w:val="0"/>
                  <w:marTop w:val="0"/>
                  <w:marBottom w:val="0"/>
                  <w:divBdr>
                    <w:top w:val="none" w:sz="0" w:space="0" w:color="auto"/>
                    <w:left w:val="none" w:sz="0" w:space="0" w:color="auto"/>
                    <w:bottom w:val="none" w:sz="0" w:space="0" w:color="auto"/>
                    <w:right w:val="none" w:sz="0" w:space="0" w:color="auto"/>
                  </w:divBdr>
                  <w:divsChild>
                    <w:div w:id="43917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347968">
      <w:bodyDiv w:val="1"/>
      <w:marLeft w:val="0"/>
      <w:marRight w:val="0"/>
      <w:marTop w:val="0"/>
      <w:marBottom w:val="0"/>
      <w:divBdr>
        <w:top w:val="none" w:sz="0" w:space="0" w:color="auto"/>
        <w:left w:val="none" w:sz="0" w:space="0" w:color="auto"/>
        <w:bottom w:val="none" w:sz="0" w:space="0" w:color="auto"/>
        <w:right w:val="none" w:sz="0" w:space="0" w:color="auto"/>
      </w:divBdr>
    </w:div>
    <w:div w:id="2097246335">
      <w:bodyDiv w:val="1"/>
      <w:marLeft w:val="0"/>
      <w:marRight w:val="0"/>
      <w:marTop w:val="0"/>
      <w:marBottom w:val="0"/>
      <w:divBdr>
        <w:top w:val="none" w:sz="0" w:space="0" w:color="auto"/>
        <w:left w:val="none" w:sz="0" w:space="0" w:color="auto"/>
        <w:bottom w:val="none" w:sz="0" w:space="0" w:color="auto"/>
        <w:right w:val="none" w:sz="0" w:space="0" w:color="auto"/>
      </w:divBdr>
      <w:divsChild>
        <w:div w:id="203254761">
          <w:marLeft w:val="0"/>
          <w:marRight w:val="0"/>
          <w:marTop w:val="0"/>
          <w:marBottom w:val="0"/>
          <w:divBdr>
            <w:top w:val="none" w:sz="0" w:space="0" w:color="auto"/>
            <w:left w:val="none" w:sz="0" w:space="0" w:color="auto"/>
            <w:bottom w:val="none" w:sz="0" w:space="0" w:color="auto"/>
            <w:right w:val="none" w:sz="0" w:space="0" w:color="auto"/>
          </w:divBdr>
          <w:divsChild>
            <w:div w:id="650986853">
              <w:marLeft w:val="0"/>
              <w:marRight w:val="0"/>
              <w:marTop w:val="0"/>
              <w:marBottom w:val="0"/>
              <w:divBdr>
                <w:top w:val="none" w:sz="0" w:space="0" w:color="auto"/>
                <w:left w:val="none" w:sz="0" w:space="0" w:color="auto"/>
                <w:bottom w:val="none" w:sz="0" w:space="0" w:color="auto"/>
                <w:right w:val="none" w:sz="0" w:space="0" w:color="auto"/>
              </w:divBdr>
              <w:divsChild>
                <w:div w:id="216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afetyandquality.gov.au" TargetMode="External"/><Relationship Id="rId18" Type="http://schemas.openxmlformats.org/officeDocument/2006/relationships/header" Target="header2.xml"/><Relationship Id="rId26" Type="http://schemas.openxmlformats.org/officeDocument/2006/relationships/hyperlink" Target="https://www2.psy.unsw.edu.au/dass/" TargetMode="External"/><Relationship Id="rId39" Type="http://schemas.openxmlformats.org/officeDocument/2006/relationships/hyperlink" Target="https://www.safetyandquality.gov.au/our-work/patient-and-consumer-centred-care/health-literacy/tools-and-resources-for-health-service-organisations" TargetMode="External"/><Relationship Id="rId21" Type="http://schemas.openxmlformats.org/officeDocument/2006/relationships/header" Target="header4.xml"/><Relationship Id="rId34" Type="http://schemas.openxmlformats.org/officeDocument/2006/relationships/hyperlink" Target="https://www.safetyandquality.gov.au/sites/default/files/migrated/The-Third-Australian-Atlas-of-Healthcare-Variation-2018.pdf" TargetMode="External"/><Relationship Id="rId42" Type="http://schemas.openxmlformats.org/officeDocument/2006/relationships/hyperlink" Target="https://www.safetyandquality.gov.au/sites/default/files/2022-08/low_back_pain_clinical_care_standard.pdf" TargetMode="External"/><Relationship Id="rId47" Type="http://schemas.openxmlformats.org/officeDocument/2006/relationships/hyperlink" Target="https://eprovide.mapi-trust.org/instruments/oswestry-disability-index" TargetMode="External"/><Relationship Id="rId50" Type="http://schemas.openxmlformats.org/officeDocument/2006/relationships/image" Target="media/image12.png"/><Relationship Id="rId55" Type="http://schemas.openxmlformats.org/officeDocument/2006/relationships/image" Target="media/image14.png"/><Relationship Id="rId63" Type="http://schemas.openxmlformats.org/officeDocument/2006/relationships/hyperlink" Target="https://euroqol.org/wp-content/uploads/2023/11/EQ-5D-5LUserguide-23-07.pdf" TargetMode="External"/><Relationship Id="rId68" Type="http://schemas.openxmlformats.org/officeDocument/2006/relationships/hyperlink" Target="https://www.safetyandquality.gov.au/standards/nsqhs-standards/clinical-governance-standard/clinical-performance-and-effectiveness/action-128" TargetMode="External"/><Relationship Id="rId76" Type="http://schemas.openxmlformats.org/officeDocument/2006/relationships/hyperlink" Target="http://www.safetyandquality.gov.au/" TargetMode="External"/><Relationship Id="rId7" Type="http://schemas.openxmlformats.org/officeDocument/2006/relationships/endnotes" Target="endnotes.xml"/><Relationship Id="rId71" Type="http://schemas.openxmlformats.org/officeDocument/2006/relationships/hyperlink" Target="https://www.safetyandquality.gov.au/standards/clinical-care-standards" TargetMode="External"/><Relationship Id="rId2" Type="http://schemas.openxmlformats.org/officeDocument/2006/relationships/numbering" Target="numbering.xml"/><Relationship Id="rId16" Type="http://schemas.openxmlformats.org/officeDocument/2006/relationships/hyperlink" Target="mailto:communications@safetyandquality.gov.au" TargetMode="External"/><Relationship Id="rId29" Type="http://schemas.openxmlformats.org/officeDocument/2006/relationships/hyperlink" Target="https://euroqol.org/support/how-to-obtain-eq-5d/" TargetMode="External"/><Relationship Id="rId11" Type="http://schemas.openxmlformats.org/officeDocument/2006/relationships/footer" Target="footer2.xml"/><Relationship Id="rId24" Type="http://schemas.openxmlformats.org/officeDocument/2006/relationships/hyperlink" Target="http://www.rmdq.org/" TargetMode="External"/><Relationship Id="rId32" Type="http://schemas.openxmlformats.org/officeDocument/2006/relationships/hyperlink" Target="https://www.safetyandquality.gov.au/our-work/healthcare-variation/australian-atlas-healthcare-variation-series" TargetMode="External"/><Relationship Id="rId37" Type="http://schemas.openxmlformats.org/officeDocument/2006/relationships/image" Target="media/image5.png"/><Relationship Id="rId40" Type="http://schemas.openxmlformats.org/officeDocument/2006/relationships/image" Target="media/image7.png"/><Relationship Id="rId45" Type="http://schemas.openxmlformats.org/officeDocument/2006/relationships/image" Target="media/image10.png"/><Relationship Id="rId53" Type="http://schemas.openxmlformats.org/officeDocument/2006/relationships/hyperlink" Target="http://www.rmdq.org/Download.htm" TargetMode="External"/><Relationship Id="rId58" Type="http://schemas.openxmlformats.org/officeDocument/2006/relationships/hyperlink" Target="http://www2.psy.unsw.edu.au/groups/dass/translations.htm" TargetMode="External"/><Relationship Id="rId66" Type="http://schemas.openxmlformats.org/officeDocument/2006/relationships/image" Target="media/image18.png"/><Relationship Id="rId74"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eprovide.mapi-trust.org/instruments/oswestry-disability-index" TargetMode="External"/><Relationship Id="rId28" Type="http://schemas.openxmlformats.org/officeDocument/2006/relationships/hyperlink" Target="https://www2.psy.unsw.edu.au/dass/DASSFAQ.htm" TargetMode="External"/><Relationship Id="rId36" Type="http://schemas.openxmlformats.org/officeDocument/2006/relationships/hyperlink" Target="https://www.safetyandquality.gov.au/sites/default/files/2021-04/The%20Fourth%20Australian%20Atlas%20of%20Healthcare%20Variation%202021_Full%20publication.pdf" TargetMode="External"/><Relationship Id="rId49" Type="http://schemas.openxmlformats.org/officeDocument/2006/relationships/hyperlink" Target="https://eprovide.mapi-trust.org" TargetMode="External"/><Relationship Id="rId57" Type="http://schemas.openxmlformats.org/officeDocument/2006/relationships/hyperlink" Target="https://www2.psy.unsw.edu.au/dass/DASSFAQ.htm" TargetMode="External"/><Relationship Id="rId61" Type="http://schemas.openxmlformats.org/officeDocument/2006/relationships/hyperlink" Target="https://mkstudy.com.au/" TargetMode="Externa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hyperlink" Target="https://aci.health.nsw.gov.au/__data/assets/pdf_file/0007/633454/Analytic-Principles-for-Patient-Reported-Outcome-Measures.pdf" TargetMode="External"/><Relationship Id="rId44" Type="http://schemas.openxmlformats.org/officeDocument/2006/relationships/image" Target="media/image9.png"/><Relationship Id="rId52" Type="http://schemas.openxmlformats.org/officeDocument/2006/relationships/hyperlink" Target="http://www.rmdq.org" TargetMode="External"/><Relationship Id="rId60" Type="http://schemas.openxmlformats.org/officeDocument/2006/relationships/image" Target="media/image15.png"/><Relationship Id="rId65" Type="http://schemas.openxmlformats.org/officeDocument/2006/relationships/image" Target="media/image17.png"/><Relationship Id="rId73" Type="http://schemas.openxmlformats.org/officeDocument/2006/relationships/image" Target="media/image19.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creativecommons.org/licenses/by-nc-nd/4.0/" TargetMode="External"/><Relationship Id="rId22" Type="http://schemas.openxmlformats.org/officeDocument/2006/relationships/hyperlink" Target="https://eprovide.mapi-trust.org/instruments/oswestry-disability-index" TargetMode="External"/><Relationship Id="rId27" Type="http://schemas.openxmlformats.org/officeDocument/2006/relationships/hyperlink" Target="https://www2.psy.unsw.edu.au/dass/down.htm" TargetMode="External"/><Relationship Id="rId30" Type="http://schemas.openxmlformats.org/officeDocument/2006/relationships/hyperlink" Target="https://euroqol.org/wp-content/uploads/2023/11/EQ-5D-5LUserguide-23-07.pdf" TargetMode="External"/><Relationship Id="rId35" Type="http://schemas.openxmlformats.org/officeDocument/2006/relationships/hyperlink" Target="https://www.safetyandquality.gov.au/sites/default/files/2022-04/opioid-analgesic-stewardship-in-acute-pain-clinical-care-standard.pdf" TargetMode="External"/><Relationship Id="rId43" Type="http://schemas.openxmlformats.org/officeDocument/2006/relationships/hyperlink" Target="https://www.safetyandquality.gov.au/sites/default/files/2022-08/low_back_pain_clinical_care_standard.pdf" TargetMode="External"/><Relationship Id="rId48" Type="http://schemas.openxmlformats.org/officeDocument/2006/relationships/hyperlink" Target="https://eprovide.mapi-trust.org/instruments/oswestry-disability-index" TargetMode="External"/><Relationship Id="rId56" Type="http://schemas.openxmlformats.org/officeDocument/2006/relationships/hyperlink" Target="https://www2.psy.unsw.edu.au/dass/down.htm" TargetMode="External"/><Relationship Id="rId64" Type="http://schemas.openxmlformats.org/officeDocument/2006/relationships/hyperlink" Target="https://euroqol.org/support/how-to-obtain-eq-5d/" TargetMode="External"/><Relationship Id="rId69" Type="http://schemas.openxmlformats.org/officeDocument/2006/relationships/hyperlink" Target="https://www.safetyandquality.gov.au/standards/primary-and-community-healthcare/clinical-governance-standard"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3.png"/><Relationship Id="rId72" Type="http://schemas.openxmlformats.org/officeDocument/2006/relationships/hyperlink" Target="https://www.safetyandquality.gov.au/our-work/indicators-measurement-and-reporting/patient-reported-outcomes/proms-implementers/selecting-proms" TargetMode="External"/><Relationship Id="rId3" Type="http://schemas.openxmlformats.org/officeDocument/2006/relationships/styles" Target="styles.xml"/><Relationship Id="rId12" Type="http://schemas.openxmlformats.org/officeDocument/2006/relationships/hyperlink" Target="mailto:mail@safetyandquality.gov.au" TargetMode="External"/><Relationship Id="rId17" Type="http://schemas.openxmlformats.org/officeDocument/2006/relationships/image" Target="media/image4.png"/><Relationship Id="rId25" Type="http://schemas.openxmlformats.org/officeDocument/2006/relationships/hyperlink" Target="http://www.rmdq.org/" TargetMode="External"/><Relationship Id="rId33" Type="http://schemas.openxmlformats.org/officeDocument/2006/relationships/hyperlink" Target="https://www.safetyandquality.gov.au/sites/default/files/2022-08/low_back_pain_clinical_care_standard.pdf" TargetMode="External"/><Relationship Id="rId38" Type="http://schemas.openxmlformats.org/officeDocument/2006/relationships/image" Target="media/image6.png"/><Relationship Id="rId46" Type="http://schemas.openxmlformats.org/officeDocument/2006/relationships/image" Target="media/image11.png"/><Relationship Id="rId59" Type="http://schemas.openxmlformats.org/officeDocument/2006/relationships/hyperlink" Target="https://www2.psy.unsw.edu.au/dass/" TargetMode="External"/><Relationship Id="rId67" Type="http://schemas.openxmlformats.org/officeDocument/2006/relationships/hyperlink" Target="http://www.euroqol.org" TargetMode="External"/><Relationship Id="rId20" Type="http://schemas.openxmlformats.org/officeDocument/2006/relationships/footer" Target="footer3.xml"/><Relationship Id="rId41" Type="http://schemas.openxmlformats.org/officeDocument/2006/relationships/image" Target="media/image8.png"/><Relationship Id="rId54" Type="http://schemas.openxmlformats.org/officeDocument/2006/relationships/hyperlink" Target="http://www.rmdq.org/" TargetMode="External"/><Relationship Id="rId62" Type="http://schemas.openxmlformats.org/officeDocument/2006/relationships/image" Target="media/image16.png"/><Relationship Id="rId70" Type="http://schemas.openxmlformats.org/officeDocument/2006/relationships/hyperlink" Target="https://www.safetyandquality.gov.au/publications-and-resources/australian-register-clinical-registries" TargetMode="External"/><Relationship Id="rId75" Type="http://schemas.openxmlformats.org/officeDocument/2006/relationships/hyperlink" Target="mailto:mail@safetyandquality.gov.au"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komoda\AppData\Roaming\Hewlett-Packard\HP%20TRIM\Offline%20Records%20(CP)\Handy%20Stuff%20TEMPLATE%20with%20COVER%20for%20Commission%20publications.dotx" TargetMode="External"/></Relationships>
</file>

<file path=word/theme/theme1.xml><?xml version="1.0" encoding="utf-8"?>
<a:theme xmlns:a="http://schemas.openxmlformats.org/drawingml/2006/main" name="Office Theme">
  <a:themeElements>
    <a:clrScheme name="Commission">
      <a:dk1>
        <a:sysClr val="windowText" lastClr="000000"/>
      </a:dk1>
      <a:lt1>
        <a:sysClr val="window" lastClr="FFFFFF"/>
      </a:lt1>
      <a:dk2>
        <a:srgbClr val="1178A2"/>
      </a:dk2>
      <a:lt2>
        <a:srgbClr val="EEECE1"/>
      </a:lt2>
      <a:accent1>
        <a:srgbClr val="1178A2"/>
      </a:accent1>
      <a:accent2>
        <a:srgbClr val="00A9DD"/>
      </a:accent2>
      <a:accent3>
        <a:srgbClr val="125370"/>
      </a:accent3>
      <a:accent4>
        <a:srgbClr val="119066"/>
      </a:accent4>
      <a:accent5>
        <a:srgbClr val="DC5827"/>
      </a:accent5>
      <a:accent6>
        <a:srgbClr val="8F278B"/>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1AC59-0F8C-4CB4-AD05-25DDB4298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Handy Stuff TEMPLATE with COVER for Commission publications.dotx</Template>
  <TotalTime>1</TotalTime>
  <Pages>52</Pages>
  <Words>11332</Words>
  <Characters>64597</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Patient-Reported Outcome Measure Recommendations for Low Back Pain</vt:lpstr>
    </vt:vector>
  </TitlesOfParts>
  <Manager/>
  <Company/>
  <LinksUpToDate>false</LinksUpToDate>
  <CharactersWithSpaces>75778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Patient-Reported Outcome Measure Recommendations for Low Back Pain</dc:title>
  <dc:subject/>
  <dc:creator>Australian Commission on Safety and Quality in Health Care</dc:creator>
  <cp:keywords/>
  <dc:description/>
  <cp:lastModifiedBy>POWAR, Maushmi</cp:lastModifiedBy>
  <cp:revision>2</cp:revision>
  <cp:lastPrinted>2020-08-03T07:24:00Z</cp:lastPrinted>
  <dcterms:created xsi:type="dcterms:W3CDTF">2024-09-05T23:26:00Z</dcterms:created>
  <dcterms:modified xsi:type="dcterms:W3CDTF">2024-09-05T23:26:00Z</dcterms:modified>
  <cp:category/>
</cp:coreProperties>
</file>