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E981" w14:textId="0F7D7FEC" w:rsidR="00BC6298" w:rsidRPr="00466C72" w:rsidRDefault="006A3396" w:rsidP="0068599B">
      <w:pPr>
        <w:pStyle w:val="Category"/>
        <w:keepLines w:val="0"/>
        <w:widowControl w:val="0"/>
        <w:snapToGrid w:val="0"/>
        <w:rPr>
          <w:smallCaps/>
        </w:rPr>
      </w:pPr>
      <w:bookmarkStart w:id="0" w:name="_Toc476822632"/>
      <w:bookmarkStart w:id="1" w:name="_Toc476822653"/>
      <w:r>
        <w:rPr>
          <w:smallCaps/>
        </w:rPr>
        <w:t>FACT SHEET</w:t>
      </w:r>
    </w:p>
    <w:p w14:paraId="6948469B" w14:textId="243C4A1F" w:rsidR="00BC6298" w:rsidRPr="00BC6298" w:rsidRDefault="00BC6298" w:rsidP="0068599B">
      <w:pPr>
        <w:pStyle w:val="Category"/>
        <w:keepLines w:val="0"/>
        <w:widowControl w:val="0"/>
        <w:snapToGrid w:val="0"/>
        <w:ind w:left="5103"/>
        <w:rPr>
          <w:b w:val="0"/>
          <w:bCs/>
        </w:rPr>
      </w:pPr>
      <w:r w:rsidRPr="00FE44FA">
        <w:rPr>
          <w:b w:val="0"/>
          <w:lang w:val="en-GB"/>
        </w:rPr>
        <w:t xml:space="preserve">for </w:t>
      </w:r>
      <w:r w:rsidR="00B34883">
        <w:rPr>
          <w:b w:val="0"/>
          <w:lang w:val="en-GB"/>
        </w:rPr>
        <w:t>health service organisations</w:t>
      </w:r>
      <w:r w:rsidRPr="00466C72">
        <w:rPr>
          <w:b w:val="0"/>
          <w:bCs/>
        </w:rPr>
        <w:t xml:space="preserve"> </w:t>
      </w:r>
      <w:bookmarkEnd w:id="0"/>
      <w:bookmarkEnd w:id="1"/>
    </w:p>
    <w:p w14:paraId="702D2863" w14:textId="77777777" w:rsidR="00BC6298" w:rsidRPr="005F2C28" w:rsidRDefault="00BC6298" w:rsidP="0068599B">
      <w:pPr>
        <w:pStyle w:val="Title"/>
        <w:widowControl w:val="0"/>
        <w:snapToGrid w:val="0"/>
      </w:pPr>
      <w:r w:rsidRPr="005F2C28">
        <w:t xml:space="preserve">Australian Framework for </w:t>
      </w:r>
    </w:p>
    <w:p w14:paraId="0C809AD5" w14:textId="77777777" w:rsidR="00BC6298" w:rsidRDefault="00BC6298" w:rsidP="0068599B">
      <w:pPr>
        <w:pStyle w:val="Title"/>
        <w:widowControl w:val="0"/>
        <w:snapToGrid w:val="0"/>
        <w:rPr>
          <w:i/>
          <w:sz w:val="28"/>
          <w:szCs w:val="28"/>
        </w:rPr>
      </w:pPr>
      <w:r w:rsidRPr="005F2C28">
        <w:t>National Clinical Quality Registries 2024</w:t>
      </w:r>
      <w:r>
        <w:rPr>
          <w:i/>
          <w:sz w:val="28"/>
          <w:szCs w:val="28"/>
        </w:rPr>
        <w:t xml:space="preserve"> </w:t>
      </w:r>
    </w:p>
    <w:p w14:paraId="3734E839" w14:textId="77777777" w:rsidR="009460C6" w:rsidRDefault="009460C6" w:rsidP="0068599B">
      <w:pPr>
        <w:widowControl w:val="0"/>
        <w:snapToGrid w:val="0"/>
        <w:rPr>
          <w:color w:val="000000" w:themeColor="text1"/>
        </w:rPr>
        <w:sectPr w:rsidR="009460C6" w:rsidSect="00341A91">
          <w:headerReference w:type="even" r:id="rId11"/>
          <w:headerReference w:type="default" r:id="rId12"/>
          <w:footerReference w:type="even" r:id="rId13"/>
          <w:footerReference w:type="default" r:id="rId14"/>
          <w:headerReference w:type="first" r:id="rId15"/>
          <w:type w:val="continuous"/>
          <w:pgSz w:w="11906" w:h="16838"/>
          <w:pgMar w:top="2126" w:right="1134" w:bottom="1418" w:left="1134" w:header="709" w:footer="709" w:gutter="0"/>
          <w:cols w:space="720"/>
          <w:titlePg/>
          <w:docGrid w:linePitch="299"/>
        </w:sectPr>
      </w:pPr>
    </w:p>
    <w:p w14:paraId="76D27B8A" w14:textId="77777777" w:rsidR="00BC2684" w:rsidRPr="00D46F78" w:rsidRDefault="00BC2684" w:rsidP="0068599B">
      <w:pPr>
        <w:widowControl w:val="0"/>
        <w:snapToGrid w:val="0"/>
        <w:rPr>
          <w:color w:val="000000" w:themeColor="text1"/>
        </w:rPr>
      </w:pPr>
    </w:p>
    <w:p w14:paraId="22AB60B8" w14:textId="77777777" w:rsidR="00AE5001" w:rsidRDefault="00AE5001" w:rsidP="0068599B">
      <w:pPr>
        <w:pStyle w:val="PulloutTextBody"/>
        <w:widowControl w:val="0"/>
        <w:snapToGrid w:val="0"/>
        <w:sectPr w:rsidR="00AE5001" w:rsidSect="009460C6">
          <w:type w:val="continuous"/>
          <w:pgSz w:w="11906" w:h="16838"/>
          <w:pgMar w:top="2126" w:right="1134" w:bottom="1418" w:left="1134" w:header="709" w:footer="709" w:gutter="0"/>
          <w:cols w:space="720"/>
          <w:titlePg/>
          <w:docGrid w:linePitch="299"/>
        </w:sectPr>
      </w:pPr>
    </w:p>
    <w:p w14:paraId="0E9A3883" w14:textId="2F3925AA" w:rsidR="006A3396" w:rsidRDefault="006A3396" w:rsidP="0068599B">
      <w:pPr>
        <w:pStyle w:val="PulloutTextBody"/>
        <w:widowControl w:val="0"/>
        <w:snapToGrid w:val="0"/>
        <w:rPr>
          <w:color w:val="000000" w:themeColor="text1"/>
          <w:lang w:val="en-GB"/>
        </w:rPr>
      </w:pPr>
      <w:r w:rsidRPr="006A3396">
        <w:t>National Clinical Quality Registries (CQRs) collect and analyse data from across the health system and provide timely feedback about clinical outcomes to clinicians, health service organisations and governments to help drive improvements in health care.</w:t>
      </w:r>
    </w:p>
    <w:p w14:paraId="2DFCA2EF" w14:textId="77777777" w:rsidR="00CD566F" w:rsidRDefault="00CD566F" w:rsidP="0068599B">
      <w:pPr>
        <w:pStyle w:val="Heading3"/>
        <w:widowControl w:val="0"/>
        <w:snapToGrid w:val="0"/>
        <w:rPr>
          <w:lang w:val="en-GB"/>
        </w:rPr>
        <w:sectPr w:rsidR="00CD566F" w:rsidSect="00CD566F">
          <w:type w:val="continuous"/>
          <w:pgSz w:w="11906" w:h="16838"/>
          <w:pgMar w:top="2126" w:right="1134" w:bottom="1418" w:left="1134" w:header="709" w:footer="709" w:gutter="0"/>
          <w:cols w:space="720"/>
          <w:docGrid w:linePitch="299"/>
        </w:sectPr>
      </w:pPr>
    </w:p>
    <w:tbl>
      <w:tblPr>
        <w:tblStyle w:val="PulloutBox"/>
        <w:tblpPr w:leftFromText="180" w:rightFromText="180" w:vertAnchor="text" w:horzAnchor="margin" w:tblpXSpec="right" w:tblpY="293"/>
        <w:tblW w:w="5000" w:type="pct"/>
        <w:tblLook w:val="0020" w:firstRow="1" w:lastRow="0" w:firstColumn="0" w:lastColumn="0" w:noHBand="0" w:noVBand="0"/>
        <w:tblDescription w:val="Box 1"/>
      </w:tblPr>
      <w:tblGrid>
        <w:gridCol w:w="4459"/>
      </w:tblGrid>
      <w:tr w:rsidR="00CD566F" w14:paraId="1D708989" w14:textId="77777777" w:rsidTr="00CD566F">
        <w:trPr>
          <w:trHeight w:val="60"/>
        </w:trPr>
        <w:tc>
          <w:tcPr>
            <w:tcW w:w="5000" w:type="pct"/>
            <w:tcMar>
              <w:bottom w:w="0" w:type="dxa"/>
            </w:tcMar>
          </w:tcPr>
          <w:p w14:paraId="6B6BB0F5" w14:textId="251AE7D3" w:rsidR="00CD566F" w:rsidRDefault="00CD566F" w:rsidP="0068599B">
            <w:pPr>
              <w:pStyle w:val="PulloutBoxHeading"/>
              <w:widowControl w:val="0"/>
              <w:snapToGrid w:val="0"/>
            </w:pPr>
            <w:r>
              <w:t xml:space="preserve">Key benefits for </w:t>
            </w:r>
            <w:r w:rsidR="00B34883">
              <w:t>health service organisations</w:t>
            </w:r>
          </w:p>
        </w:tc>
      </w:tr>
      <w:tr w:rsidR="00CD566F" w14:paraId="38325983" w14:textId="77777777" w:rsidTr="00CD566F">
        <w:trPr>
          <w:trHeight w:val="60"/>
        </w:trPr>
        <w:tc>
          <w:tcPr>
            <w:tcW w:w="5000" w:type="pct"/>
            <w:tcMar>
              <w:top w:w="0" w:type="dxa"/>
            </w:tcMar>
          </w:tcPr>
          <w:p w14:paraId="38C3C326" w14:textId="77777777" w:rsidR="00B34883" w:rsidRPr="00B34883" w:rsidRDefault="00B34883" w:rsidP="0068599B">
            <w:pPr>
              <w:pStyle w:val="TicksLists"/>
              <w:widowControl w:val="0"/>
              <w:numPr>
                <w:ilvl w:val="0"/>
                <w:numId w:val="34"/>
              </w:numPr>
              <w:snapToGrid w:val="0"/>
              <w:spacing w:before="100" w:after="100"/>
              <w:ind w:left="357" w:hanging="357"/>
              <w:rPr>
                <w:lang w:val="en-GB"/>
              </w:rPr>
            </w:pPr>
            <w:r w:rsidRPr="00B34883">
              <w:rPr>
                <w:lang w:val="en-GB"/>
              </w:rPr>
              <w:t>Timely and meaningful reports that inform clinical decision-making</w:t>
            </w:r>
          </w:p>
          <w:p w14:paraId="49226019" w14:textId="77777777" w:rsidR="00B34883" w:rsidRPr="00B34883" w:rsidRDefault="00B34883" w:rsidP="0068599B">
            <w:pPr>
              <w:pStyle w:val="TicksLists"/>
              <w:widowControl w:val="0"/>
              <w:numPr>
                <w:ilvl w:val="0"/>
                <w:numId w:val="34"/>
              </w:numPr>
              <w:snapToGrid w:val="0"/>
              <w:spacing w:before="100" w:after="100"/>
              <w:ind w:left="357" w:hanging="357"/>
              <w:rPr>
                <w:lang w:val="en-GB"/>
              </w:rPr>
            </w:pPr>
            <w:r w:rsidRPr="00B34883">
              <w:rPr>
                <w:lang w:val="en-GB"/>
              </w:rPr>
              <w:t>Confidence in data quality and data security</w:t>
            </w:r>
          </w:p>
          <w:p w14:paraId="0CEB413C" w14:textId="46CD6A03" w:rsidR="00CD566F" w:rsidRPr="00CD566F" w:rsidRDefault="00B34883" w:rsidP="0068599B">
            <w:pPr>
              <w:pStyle w:val="TicksLists"/>
              <w:widowControl w:val="0"/>
              <w:numPr>
                <w:ilvl w:val="0"/>
                <w:numId w:val="34"/>
              </w:numPr>
              <w:snapToGrid w:val="0"/>
              <w:spacing w:before="100" w:after="100"/>
              <w:ind w:left="357" w:hanging="357"/>
              <w:rPr>
                <w:lang w:val="en-GB"/>
              </w:rPr>
            </w:pPr>
            <w:r w:rsidRPr="00B34883">
              <w:rPr>
                <w:lang w:val="en-GB"/>
              </w:rPr>
              <w:t>Contributing to a learning health system.</w:t>
            </w:r>
          </w:p>
        </w:tc>
      </w:tr>
    </w:tbl>
    <w:p w14:paraId="60862C8E" w14:textId="651AA248" w:rsidR="006A3396" w:rsidRDefault="006A3396" w:rsidP="0068599B">
      <w:pPr>
        <w:pStyle w:val="Heading3"/>
        <w:widowControl w:val="0"/>
        <w:snapToGrid w:val="0"/>
        <w:rPr>
          <w:lang w:val="en-GB"/>
        </w:rPr>
      </w:pPr>
      <w:r w:rsidRPr="006A3396">
        <w:rPr>
          <w:lang w:val="en-GB"/>
        </w:rPr>
        <w:t>What is the Framework?</w:t>
      </w:r>
    </w:p>
    <w:p w14:paraId="45BB7C8D" w14:textId="77777777" w:rsidR="00CD566F" w:rsidRDefault="006A3396" w:rsidP="0068599B">
      <w:pPr>
        <w:widowControl w:val="0"/>
        <w:snapToGrid w:val="0"/>
        <w:rPr>
          <w:color w:val="000000" w:themeColor="text1"/>
          <w:lang w:val="en-GB"/>
        </w:rPr>
      </w:pPr>
      <w:r w:rsidRPr="006A3396">
        <w:rPr>
          <w:color w:val="000000" w:themeColor="text1"/>
          <w:lang w:val="en-GB"/>
        </w:rPr>
        <w:t xml:space="preserve">The </w:t>
      </w:r>
      <w:r w:rsidRPr="006A3396">
        <w:rPr>
          <w:i/>
          <w:iCs/>
          <w:color w:val="000000" w:themeColor="text1"/>
          <w:lang w:val="en-GB"/>
        </w:rPr>
        <w:t>Australian Framework for National Clinical Quality Registries 2024</w:t>
      </w:r>
      <w:r w:rsidRPr="006A3396">
        <w:rPr>
          <w:color w:val="000000" w:themeColor="text1"/>
          <w:lang w:val="en-GB"/>
        </w:rPr>
        <w:t xml:space="preserve"> (the Framework) is a principles-based document that provides best practice on establishing and operating CQRs in Australia. It provides practical guidance to support new, developing and well-established CQRs to work towards achieving best practice in governance, logical design, security and privacy compliance, reporting and outlier measurement. </w:t>
      </w:r>
    </w:p>
    <w:p w14:paraId="2EDD1455" w14:textId="77777777" w:rsidR="00CD566F" w:rsidRDefault="006A3396" w:rsidP="0068599B">
      <w:pPr>
        <w:widowControl w:val="0"/>
        <w:snapToGrid w:val="0"/>
        <w:rPr>
          <w:color w:val="000000" w:themeColor="text1"/>
          <w:lang w:val="en-GB"/>
        </w:rPr>
      </w:pPr>
      <w:r w:rsidRPr="006A3396">
        <w:rPr>
          <w:color w:val="000000" w:themeColor="text1"/>
          <w:lang w:val="en-GB"/>
        </w:rPr>
        <w:t>It is part of a national body of work to help CQRs establish and maintain systems and processes to achieve their core purpose of contributing to a learning health system that will drive better health care and</w:t>
      </w:r>
      <w:r w:rsidR="009460C6">
        <w:rPr>
          <w:color w:val="000000" w:themeColor="text1"/>
          <w:lang w:val="en-GB"/>
        </w:rPr>
        <w:t xml:space="preserve"> </w:t>
      </w:r>
      <w:r w:rsidRPr="006A3396">
        <w:rPr>
          <w:color w:val="000000" w:themeColor="text1"/>
          <w:lang w:val="en-GB"/>
        </w:rPr>
        <w:t xml:space="preserve">patient outcomes. </w:t>
      </w:r>
    </w:p>
    <w:p w14:paraId="48B64315" w14:textId="30C03B39" w:rsidR="00BC6298" w:rsidRDefault="006A3396" w:rsidP="0068599B">
      <w:pPr>
        <w:widowControl w:val="0"/>
        <w:snapToGrid w:val="0"/>
        <w:rPr>
          <w:color w:val="000000" w:themeColor="text1"/>
          <w:lang w:val="en-GB"/>
        </w:rPr>
      </w:pPr>
      <w:r w:rsidRPr="006A3396">
        <w:rPr>
          <w:color w:val="000000" w:themeColor="text1"/>
          <w:lang w:val="en-GB"/>
        </w:rPr>
        <w:t xml:space="preserve">The Framework is an update to the </w:t>
      </w:r>
      <w:r w:rsidRPr="006A3396">
        <w:rPr>
          <w:i/>
          <w:iCs/>
          <w:color w:val="000000" w:themeColor="text1"/>
          <w:lang w:val="en-GB"/>
        </w:rPr>
        <w:t>Framework for Australian Clinical Quality Registries 2014</w:t>
      </w:r>
      <w:r w:rsidRPr="006A3396">
        <w:rPr>
          <w:color w:val="000000" w:themeColor="text1"/>
          <w:lang w:val="en-GB"/>
        </w:rPr>
        <w:t xml:space="preserve"> and underpins the </w:t>
      </w:r>
      <w:hyperlink r:id="rId16" w:tooltip="Department of Health and Aged Care - National Strategy for Clinical Quality Registries and Virtual Registries 2020–2030" w:history="1">
        <w:r w:rsidRPr="006A3396">
          <w:rPr>
            <w:rStyle w:val="Hyperlink"/>
            <w:lang w:val="en-GB"/>
          </w:rPr>
          <w:t>National Strategy for Clinical Quality Registries and Virtual Registries 2020–2030</w:t>
        </w:r>
      </w:hyperlink>
      <w:r w:rsidRPr="006A3396">
        <w:rPr>
          <w:color w:val="000000" w:themeColor="text1"/>
          <w:lang w:val="en-GB"/>
        </w:rPr>
        <w:t>. It was produced by the Australian Commission on Safety and Quality in Health Care, with input from an Advisory Group including CQR experts and representatives from all state and territories and informed by a national process of stakeholder consultation.</w:t>
      </w:r>
    </w:p>
    <w:p w14:paraId="5A12996A" w14:textId="3AD56EEA" w:rsidR="00BD0D0F" w:rsidRPr="00ED6FBC" w:rsidRDefault="00005B74" w:rsidP="0068599B">
      <w:pPr>
        <w:pStyle w:val="FigureTableTitle"/>
        <w:widowControl w:val="0"/>
        <w:snapToGrid w:val="0"/>
        <w:rPr>
          <w:bCs/>
          <w:spacing w:val="-2"/>
          <w:lang w:val="en-GB"/>
        </w:rPr>
      </w:pPr>
      <w:r>
        <w:rPr>
          <w:spacing w:val="-4"/>
        </w:rPr>
        <w:br/>
      </w:r>
      <w:r w:rsidR="00BD0D0F" w:rsidRPr="00ED6FBC">
        <w:rPr>
          <w:spacing w:val="-2"/>
        </w:rPr>
        <w:t xml:space="preserve">Below: </w:t>
      </w:r>
      <w:r w:rsidR="00C50900" w:rsidRPr="00ED6FBC">
        <w:rPr>
          <w:b w:val="0"/>
          <w:bCs/>
          <w:spacing w:val="-2"/>
          <w:lang w:val="en-GB"/>
        </w:rPr>
        <w:t>CQR feedback loop for improvements in the safety and quality of health care.</w:t>
      </w:r>
    </w:p>
    <w:p w14:paraId="38181CE5" w14:textId="77777777" w:rsidR="002615BD" w:rsidRDefault="00BD0D0F" w:rsidP="00B43C4A">
      <w:pPr>
        <w:pStyle w:val="FootnoteText"/>
        <w:widowControl w:val="0"/>
        <w:tabs>
          <w:tab w:val="right" w:pos="8931"/>
        </w:tabs>
        <w:snapToGrid w:val="0"/>
        <w:rPr>
          <w:rFonts w:eastAsiaTheme="majorEastAsia" w:cs="Arial"/>
          <w:b/>
          <w:bCs/>
          <w:iCs/>
          <w:color w:val="005370" w:themeColor="text2"/>
          <w:kern w:val="28"/>
          <w:sz w:val="28"/>
          <w:szCs w:val="26"/>
        </w:rPr>
        <w:sectPr w:rsidR="002615BD" w:rsidSect="005036F3">
          <w:type w:val="continuous"/>
          <w:pgSz w:w="11906" w:h="16838"/>
          <w:pgMar w:top="1006" w:right="1134" w:bottom="1418" w:left="1134" w:header="709" w:footer="709" w:gutter="0"/>
          <w:cols w:num="2" w:space="720"/>
          <w:docGrid w:linePitch="299"/>
        </w:sectPr>
      </w:pPr>
      <w:r>
        <w:rPr>
          <w:noProof/>
        </w:rPr>
        <w:drawing>
          <wp:inline distT="0" distB="0" distL="0" distR="0" wp14:anchorId="529459EB" wp14:editId="18C000CD">
            <wp:extent cx="2370197" cy="2350770"/>
            <wp:effectExtent l="0" t="0" r="5080" b="0"/>
            <wp:docPr id="1591125346" name="Picture 1" descr="Feedback loop for ongoing improvements in the safety and quality of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7846" name="Picture 1" descr="Feedback loop for ongoing improvements in the safety and quality of healthcare."/>
                    <pic:cNvPicPr/>
                  </pic:nvPicPr>
                  <pic:blipFill>
                    <a:blip r:embed="rId17"/>
                    <a:stretch>
                      <a:fillRect/>
                    </a:stretch>
                  </pic:blipFill>
                  <pic:spPr>
                    <a:xfrm>
                      <a:off x="0" y="0"/>
                      <a:ext cx="2405969" cy="2386248"/>
                    </a:xfrm>
                    <a:prstGeom prst="rect">
                      <a:avLst/>
                    </a:prstGeom>
                  </pic:spPr>
                </pic:pic>
              </a:graphicData>
            </a:graphic>
          </wp:inline>
        </w:drawing>
      </w:r>
      <w:r w:rsidR="00B43C4A">
        <w:rPr>
          <w:noProof/>
        </w:rPr>
        <w:br/>
      </w:r>
    </w:p>
    <w:p w14:paraId="54C5E623" w14:textId="377D6047" w:rsidR="00B34883" w:rsidRDefault="00B34883" w:rsidP="00807BB5">
      <w:pPr>
        <w:pStyle w:val="FootnoteText"/>
        <w:widowControl w:val="0"/>
        <w:tabs>
          <w:tab w:val="right" w:pos="8931"/>
        </w:tabs>
        <w:snapToGrid w:val="0"/>
        <w:spacing w:line="216" w:lineRule="auto"/>
        <w:rPr>
          <w:rFonts w:eastAsiaTheme="majorEastAsia" w:cs="Arial"/>
          <w:b/>
          <w:bCs/>
          <w:iCs/>
          <w:color w:val="005370" w:themeColor="text2"/>
          <w:kern w:val="28"/>
          <w:sz w:val="28"/>
          <w:szCs w:val="26"/>
        </w:rPr>
      </w:pPr>
      <w:r w:rsidRPr="00B34883">
        <w:rPr>
          <w:rFonts w:eastAsiaTheme="majorEastAsia" w:cs="Arial"/>
          <w:b/>
          <w:bCs/>
          <w:iCs/>
          <w:color w:val="005370" w:themeColor="text2"/>
          <w:kern w:val="28"/>
          <w:sz w:val="28"/>
          <w:szCs w:val="26"/>
        </w:rPr>
        <w:lastRenderedPageBreak/>
        <w:t>How will the Framework help health service organisations?</w:t>
      </w:r>
    </w:p>
    <w:p w14:paraId="5C3B4E07" w14:textId="7B8A6A28" w:rsidR="00B34883" w:rsidRPr="00BD0D0F" w:rsidRDefault="00B34883" w:rsidP="0068599B">
      <w:pPr>
        <w:widowControl w:val="0"/>
        <w:snapToGrid w:val="0"/>
        <w:spacing w:before="100" w:after="100"/>
        <w:rPr>
          <w:rFonts w:eastAsiaTheme="majorEastAsia"/>
        </w:rPr>
      </w:pPr>
      <w:r w:rsidRPr="00BD0D0F">
        <w:rPr>
          <w:rFonts w:eastAsiaTheme="majorEastAsia"/>
        </w:rPr>
        <w:t xml:space="preserve">The Framework includes a new Quality Standard for establishing and operating CQRs. This voluntary Quality Standard aligns with the </w:t>
      </w:r>
      <w:r w:rsidRPr="008A118C">
        <w:rPr>
          <w:rFonts w:eastAsiaTheme="majorEastAsia"/>
          <w:i/>
          <w:iCs/>
        </w:rPr>
        <w:t>National Safety and Quality Health Service Standards</w:t>
      </w:r>
      <w:r w:rsidRPr="00BD0D0F">
        <w:rPr>
          <w:rFonts w:eastAsiaTheme="majorEastAsia"/>
        </w:rPr>
        <w:t xml:space="preserve"> (NSQHS Standards) and guides CQRs towards best practice in their work with </w:t>
      </w:r>
      <w:r w:rsidRPr="00B34883">
        <w:rPr>
          <w:rFonts w:eastAsiaTheme="majorEastAsia"/>
          <w:lang w:val="en-GB"/>
        </w:rPr>
        <w:t>health service organisations</w:t>
      </w:r>
      <w:r w:rsidRPr="00BD0D0F">
        <w:rPr>
          <w:rFonts w:eastAsiaTheme="majorEastAsia"/>
        </w:rPr>
        <w:t xml:space="preserve">. The Framework has the following key benefits for </w:t>
      </w:r>
      <w:r w:rsidRPr="00B34883">
        <w:rPr>
          <w:rFonts w:eastAsiaTheme="majorEastAsia"/>
          <w:lang w:val="en-GB"/>
        </w:rPr>
        <w:t>health service organisations</w:t>
      </w:r>
      <w:r w:rsidRPr="00BD0D0F">
        <w:rPr>
          <w:rFonts w:eastAsiaTheme="majorEastAsia"/>
        </w:rPr>
        <w:t>.</w:t>
      </w:r>
    </w:p>
    <w:p w14:paraId="6A2D5C00" w14:textId="1FA7B0FD" w:rsidR="00B34883" w:rsidRDefault="00B34883" w:rsidP="0068599B">
      <w:pPr>
        <w:widowControl w:val="0"/>
        <w:snapToGrid w:val="0"/>
        <w:spacing w:before="100" w:after="100"/>
        <w:rPr>
          <w:rFonts w:eastAsiaTheme="majorEastAsia"/>
        </w:rPr>
      </w:pPr>
      <w:r w:rsidRPr="008A118C">
        <w:rPr>
          <w:rFonts w:eastAsiaTheme="majorEastAsia"/>
          <w:b/>
          <w:bCs/>
        </w:rPr>
        <w:t>Improved feedback and reporting</w:t>
      </w:r>
      <w:r w:rsidRPr="00BD0D0F">
        <w:rPr>
          <w:rFonts w:eastAsiaTheme="majorEastAsia"/>
        </w:rPr>
        <w:t xml:space="preserve"> The Quality Standard guides CQRs to deliver </w:t>
      </w:r>
      <w:r w:rsidR="00807BB5" w:rsidRPr="00807BB5">
        <w:rPr>
          <w:rFonts w:eastAsiaTheme="majorEastAsia"/>
        </w:rPr>
        <w:t>timely and meaningful feedback tailored to clinicians, health service organisations and governments through routine and ad hoc reports. CQR reports that inform organisational decision</w:t>
      </w:r>
      <w:r w:rsidR="00807BB5">
        <w:rPr>
          <w:rFonts w:eastAsiaTheme="majorEastAsia"/>
        </w:rPr>
        <w:t>-</w:t>
      </w:r>
      <w:r w:rsidR="00807BB5" w:rsidRPr="00807BB5">
        <w:rPr>
          <w:rFonts w:eastAsiaTheme="majorEastAsia"/>
        </w:rPr>
        <w:t>making will help clinicians and health service organisations achieve improved health outcomes for patients through</w:t>
      </w:r>
      <w:r w:rsidRPr="00D327D9">
        <w:rPr>
          <w:rFonts w:eastAsiaTheme="majorEastAsia"/>
          <w:spacing w:val="-4"/>
        </w:rPr>
        <w:t>:</w:t>
      </w:r>
    </w:p>
    <w:p w14:paraId="692F56B2" w14:textId="754805BC" w:rsidR="00B34883" w:rsidRPr="00D327D9" w:rsidRDefault="00B34883" w:rsidP="0068599B">
      <w:pPr>
        <w:pStyle w:val="ListBullet"/>
        <w:widowControl w:val="0"/>
        <w:snapToGrid w:val="0"/>
        <w:spacing w:before="100" w:after="100"/>
        <w:rPr>
          <w:spacing w:val="-6"/>
        </w:rPr>
      </w:pPr>
      <w:r w:rsidRPr="00D327D9">
        <w:rPr>
          <w:spacing w:val="-6"/>
        </w:rPr>
        <w:t>Supporting clinicians to identify trends and potential unwarranted variation, and prioritise areas for quality improvement activities</w:t>
      </w:r>
    </w:p>
    <w:p w14:paraId="581DDDAE" w14:textId="77777777" w:rsidR="00B34883" w:rsidRPr="008A118C" w:rsidRDefault="00B34883" w:rsidP="0068599B">
      <w:pPr>
        <w:pStyle w:val="ListBullet"/>
        <w:widowControl w:val="0"/>
        <w:snapToGrid w:val="0"/>
        <w:spacing w:before="100" w:after="100"/>
      </w:pPr>
      <w:r w:rsidRPr="008A118C">
        <w:t>Encouraging clinicians to participate in CQRs, which in turn will provide them with the information they need to improve the safety and quality of care</w:t>
      </w:r>
    </w:p>
    <w:p w14:paraId="0CCE2F16" w14:textId="77777777" w:rsidR="00B34883" w:rsidRPr="008A118C" w:rsidRDefault="00B34883" w:rsidP="0068599B">
      <w:pPr>
        <w:pStyle w:val="ListBullet"/>
        <w:widowControl w:val="0"/>
        <w:snapToGrid w:val="0"/>
        <w:spacing w:before="100" w:after="100"/>
        <w:rPr>
          <w:rFonts w:eastAsiaTheme="majorEastAsia"/>
        </w:rPr>
      </w:pPr>
      <w:r w:rsidRPr="008A118C">
        <w:t>Helping clinicians to collect data that might not be readily available to them through usual means (e.g. audits).</w:t>
      </w:r>
    </w:p>
    <w:p w14:paraId="5CF10E6C" w14:textId="77777777" w:rsidR="00B34883" w:rsidRPr="008A118C" w:rsidRDefault="00B34883" w:rsidP="0068599B">
      <w:pPr>
        <w:widowControl w:val="0"/>
        <w:snapToGrid w:val="0"/>
        <w:spacing w:before="100" w:after="100"/>
        <w:rPr>
          <w:rFonts w:eastAsiaTheme="majorEastAsia"/>
        </w:rPr>
      </w:pPr>
      <w:r w:rsidRPr="008A118C">
        <w:rPr>
          <w:rFonts w:eastAsiaTheme="majorEastAsia"/>
          <w:b/>
          <w:bCs/>
        </w:rPr>
        <w:t>Sound governance</w:t>
      </w:r>
      <w:r w:rsidRPr="008A118C">
        <w:rPr>
          <w:rFonts w:eastAsiaTheme="majorEastAsia"/>
        </w:rPr>
        <w:t xml:space="preserve"> The Quality Standard aims to reduce risks related to data collection and management through practical guidance on corporate governance, including data governance.</w:t>
      </w:r>
    </w:p>
    <w:p w14:paraId="26C31E40" w14:textId="77777777" w:rsidR="00B34883" w:rsidRDefault="00B34883" w:rsidP="0068599B">
      <w:pPr>
        <w:widowControl w:val="0"/>
        <w:snapToGrid w:val="0"/>
        <w:spacing w:before="100" w:after="100"/>
        <w:rPr>
          <w:rFonts w:eastAsiaTheme="majorEastAsia"/>
        </w:rPr>
      </w:pPr>
      <w:r w:rsidRPr="008A118C">
        <w:rPr>
          <w:rFonts w:eastAsiaTheme="majorEastAsia"/>
          <w:b/>
          <w:bCs/>
        </w:rPr>
        <w:t>Meaningful partnerships to improve care</w:t>
      </w:r>
      <w:r w:rsidRPr="008A118C">
        <w:rPr>
          <w:rFonts w:eastAsiaTheme="majorEastAsia"/>
        </w:rPr>
        <w:t xml:space="preserve"> </w:t>
      </w:r>
      <w:r w:rsidRPr="00D327D9">
        <w:rPr>
          <w:rFonts w:eastAsiaTheme="majorEastAsia"/>
          <w:spacing w:val="3"/>
        </w:rPr>
        <w:t>The Framework emphasises that collaboration and partnership between CQRs, health service organisations and clinicians can</w:t>
      </w:r>
      <w:r w:rsidRPr="008A118C">
        <w:rPr>
          <w:rFonts w:eastAsiaTheme="majorEastAsia"/>
        </w:rPr>
        <w:t xml:space="preserve"> achieve better patient outcomes. It encourages clinicians, clinical teams and health service decision-makers to collaborate on quality improvement activities.</w:t>
      </w:r>
    </w:p>
    <w:p w14:paraId="2789D094" w14:textId="77777777" w:rsidR="002B7EA5" w:rsidRDefault="002B7EA5" w:rsidP="00807BB5">
      <w:pPr>
        <w:widowControl w:val="0"/>
        <w:snapToGrid w:val="0"/>
        <w:spacing w:before="180" w:after="180" w:line="216" w:lineRule="auto"/>
        <w:rPr>
          <w:rFonts w:eastAsiaTheme="majorEastAsia" w:cs="Arial"/>
          <w:b/>
          <w:bCs/>
          <w:iCs/>
          <w:color w:val="005370" w:themeColor="text2"/>
          <w:kern w:val="28"/>
          <w:sz w:val="28"/>
          <w:szCs w:val="26"/>
        </w:rPr>
      </w:pPr>
      <w:r w:rsidRPr="0079071F">
        <w:rPr>
          <w:rFonts w:eastAsiaTheme="majorEastAsia" w:cs="Arial"/>
          <w:b/>
          <w:bCs/>
          <w:iCs/>
          <w:color w:val="005370" w:themeColor="text2"/>
          <w:kern w:val="28"/>
          <w:sz w:val="28"/>
          <w:szCs w:val="26"/>
        </w:rPr>
        <w:t xml:space="preserve">Using registry data to report actions for improvement </w:t>
      </w:r>
    </w:p>
    <w:p w14:paraId="6D137343" w14:textId="77777777" w:rsidR="002B7EA5" w:rsidRPr="002B7EA5" w:rsidRDefault="002B7EA5" w:rsidP="0068599B">
      <w:pPr>
        <w:pStyle w:val="Heading3"/>
        <w:widowControl w:val="0"/>
        <w:snapToGrid w:val="0"/>
        <w:spacing w:before="100" w:after="100"/>
        <w:rPr>
          <w:rFonts w:eastAsiaTheme="majorEastAsia" w:cs="Times New Roman"/>
          <w:b w:val="0"/>
          <w:bCs w:val="0"/>
          <w:iCs w:val="0"/>
          <w:color w:val="auto"/>
          <w:spacing w:val="-3"/>
          <w:kern w:val="0"/>
          <w:sz w:val="22"/>
          <w:szCs w:val="22"/>
        </w:rPr>
      </w:pPr>
      <w:r w:rsidRPr="002B7EA5">
        <w:rPr>
          <w:rFonts w:eastAsiaTheme="majorEastAsia" w:cs="Times New Roman"/>
          <w:b w:val="0"/>
          <w:bCs w:val="0"/>
          <w:iCs w:val="0"/>
          <w:color w:val="auto"/>
          <w:spacing w:val="-3"/>
          <w:kern w:val="0"/>
          <w:sz w:val="22"/>
          <w:szCs w:val="22"/>
        </w:rPr>
        <w:t xml:space="preserve">The NSQHS Standards require health service organisations to measure system-wide quality </w:t>
      </w:r>
      <w:r w:rsidRPr="002B7EA5">
        <w:rPr>
          <w:rFonts w:eastAsiaTheme="majorEastAsia" w:cs="Times New Roman"/>
          <w:b w:val="0"/>
          <w:bCs w:val="0"/>
          <w:iCs w:val="0"/>
          <w:color w:val="auto"/>
          <w:spacing w:val="-3"/>
          <w:kern w:val="0"/>
          <w:sz w:val="22"/>
          <w:szCs w:val="22"/>
        </w:rPr>
        <w:t xml:space="preserve">improvement and to provide timely reports to the governing body, workforce and consumers. Health service organisations that show they have integrated CQR data into clinical quality activities will satisfy, in part, the requirements of NSQHS Standards Actions for: </w:t>
      </w:r>
    </w:p>
    <w:p w14:paraId="1E39C5B5" w14:textId="77777777" w:rsidR="002B7EA5" w:rsidRPr="002B7EA5" w:rsidRDefault="002B7EA5" w:rsidP="0068599B">
      <w:pPr>
        <w:pStyle w:val="ListParagraph"/>
        <w:widowControl w:val="0"/>
        <w:numPr>
          <w:ilvl w:val="0"/>
          <w:numId w:val="41"/>
        </w:numPr>
        <w:snapToGrid w:val="0"/>
        <w:spacing w:before="100" w:after="100"/>
        <w:ind w:left="714" w:hanging="357"/>
        <w:rPr>
          <w:rFonts w:eastAsiaTheme="majorEastAsia"/>
          <w:i/>
          <w:iCs/>
          <w:spacing w:val="-4"/>
        </w:rPr>
      </w:pPr>
      <w:r w:rsidRPr="002B7EA5">
        <w:rPr>
          <w:rFonts w:eastAsiaTheme="majorEastAsia"/>
          <w:i/>
          <w:iCs/>
          <w:spacing w:val="-4"/>
        </w:rPr>
        <w:t>Variation in clinical practice and health outcomes (Action 1.28)</w:t>
      </w:r>
    </w:p>
    <w:p w14:paraId="4E0B6E0D" w14:textId="2F3229DE" w:rsidR="002B7EA5" w:rsidRPr="002B7EA5" w:rsidRDefault="002B7EA5" w:rsidP="0068599B">
      <w:pPr>
        <w:pStyle w:val="ListParagraph"/>
        <w:widowControl w:val="0"/>
        <w:numPr>
          <w:ilvl w:val="0"/>
          <w:numId w:val="41"/>
        </w:numPr>
        <w:snapToGrid w:val="0"/>
        <w:spacing w:before="100" w:after="100"/>
        <w:ind w:left="714" w:hanging="357"/>
        <w:rPr>
          <w:rFonts w:eastAsiaTheme="majorEastAsia"/>
          <w:i/>
          <w:iCs/>
          <w:spacing w:val="-4"/>
        </w:rPr>
      </w:pPr>
      <w:r w:rsidRPr="002B7EA5">
        <w:rPr>
          <w:rFonts w:eastAsiaTheme="majorEastAsia"/>
          <w:i/>
          <w:iCs/>
          <w:spacing w:val="-4"/>
        </w:rPr>
        <w:t>Measurement and quality improvement (Action 1.08 and Action 1.09).</w:t>
      </w:r>
    </w:p>
    <w:p w14:paraId="3B3F1C5C" w14:textId="77777777" w:rsidR="009F3F79" w:rsidRPr="00DB7175" w:rsidRDefault="009F3F79" w:rsidP="0068599B">
      <w:pPr>
        <w:pStyle w:val="ListBullet"/>
        <w:widowControl w:val="0"/>
        <w:numPr>
          <w:ilvl w:val="0"/>
          <w:numId w:val="0"/>
        </w:numPr>
        <w:snapToGrid w:val="0"/>
        <w:spacing w:before="0" w:after="0"/>
        <w:rPr>
          <w:rFonts w:eastAsiaTheme="majorEastAsia"/>
          <w:iCs/>
          <w:sz w:val="15"/>
          <w:szCs w:val="15"/>
          <w:lang w:val="en-GB"/>
        </w:rPr>
      </w:pPr>
    </w:p>
    <w:p w14:paraId="7C59B672" w14:textId="74E61EF9" w:rsidR="009F3F79" w:rsidRPr="009F3F79" w:rsidRDefault="009F3F79" w:rsidP="0068599B">
      <w:pPr>
        <w:pStyle w:val="PulloutTextBody"/>
        <w:widowControl w:val="0"/>
        <w:snapToGrid w:val="0"/>
        <w:spacing w:before="100" w:after="100"/>
        <w:rPr>
          <w:rFonts w:eastAsiaTheme="majorEastAsia"/>
        </w:rPr>
      </w:pPr>
      <w:r w:rsidRPr="009F3F79">
        <w:rPr>
          <w:rFonts w:eastAsiaTheme="majorEastAsia"/>
        </w:rPr>
        <w:t>SEARCH THE REGISTER</w:t>
      </w:r>
    </w:p>
    <w:p w14:paraId="5955B2C6" w14:textId="7650BF84" w:rsidR="0079071F" w:rsidRDefault="009F3F79" w:rsidP="0068599B">
      <w:pPr>
        <w:pStyle w:val="PulloutTextBody"/>
        <w:widowControl w:val="0"/>
        <w:snapToGrid w:val="0"/>
        <w:spacing w:before="100" w:after="100"/>
        <w:rPr>
          <w:rFonts w:eastAsiaTheme="majorEastAsia"/>
        </w:rPr>
      </w:pPr>
      <w:r w:rsidRPr="009F3F79">
        <w:rPr>
          <w:rFonts w:eastAsiaTheme="majorEastAsia"/>
        </w:rPr>
        <w:t xml:space="preserve">Do you know about the </w:t>
      </w:r>
      <w:hyperlink r:id="rId18" w:tooltip="Australian Commission on Safety and Quality in Health Care - Australian Register of Clinical Registries " w:history="1">
        <w:r w:rsidRPr="00B460CF">
          <w:rPr>
            <w:rStyle w:val="Hyperlink"/>
            <w:rFonts w:eastAsiaTheme="majorEastAsia"/>
          </w:rPr>
          <w:t>Australian Register of Clinical Registries</w:t>
        </w:r>
      </w:hyperlink>
      <w:r w:rsidRPr="009F3F79">
        <w:rPr>
          <w:rFonts w:eastAsiaTheme="majorEastAsia"/>
        </w:rPr>
        <w:t xml:space="preserve"> (the Register)? The Commission hosts the Register to facilitate collaboration and awareness of registry activity within Australia. The Register lists more than 120 clinical registries, audits and databases, and their participating sites.</w:t>
      </w:r>
    </w:p>
    <w:p w14:paraId="2B028650" w14:textId="77777777" w:rsidR="000C2C1D" w:rsidRPr="00807BB5" w:rsidRDefault="000C2C1D" w:rsidP="0068599B">
      <w:pPr>
        <w:widowControl w:val="0"/>
        <w:snapToGrid w:val="0"/>
        <w:spacing w:before="0" w:after="0"/>
        <w:rPr>
          <w:rFonts w:eastAsiaTheme="majorEastAsia"/>
          <w:sz w:val="10"/>
          <w:szCs w:val="10"/>
        </w:rPr>
      </w:pPr>
    </w:p>
    <w:tbl>
      <w:tblPr>
        <w:tblStyle w:val="PulloutBox"/>
        <w:tblpPr w:leftFromText="180" w:rightFromText="180" w:vertAnchor="text" w:horzAnchor="margin" w:tblpXSpec="right" w:tblpY="109"/>
        <w:tblW w:w="5000" w:type="pct"/>
        <w:shd w:val="clear" w:color="auto" w:fill="FDE9D7"/>
        <w:tblLayout w:type="fixed"/>
        <w:tblCellMar>
          <w:top w:w="170" w:type="dxa"/>
          <w:left w:w="170" w:type="dxa"/>
          <w:bottom w:w="170" w:type="dxa"/>
          <w:right w:w="170" w:type="dxa"/>
        </w:tblCellMar>
        <w:tblLook w:val="0020" w:firstRow="1" w:lastRow="0" w:firstColumn="0" w:lastColumn="0" w:noHBand="0" w:noVBand="0"/>
        <w:tblDescription w:val="Box 1"/>
      </w:tblPr>
      <w:tblGrid>
        <w:gridCol w:w="4493"/>
      </w:tblGrid>
      <w:tr w:rsidR="000C2C1D" w14:paraId="3BCEDE07" w14:textId="77777777" w:rsidTr="00D327D9">
        <w:trPr>
          <w:trHeight w:val="60"/>
        </w:trPr>
        <w:tc>
          <w:tcPr>
            <w:tcW w:w="5000" w:type="pct"/>
            <w:shd w:val="clear" w:color="auto" w:fill="FDE9D7"/>
            <w:tcMar>
              <w:bottom w:w="0" w:type="dxa"/>
            </w:tcMar>
          </w:tcPr>
          <w:p w14:paraId="1AE77060" w14:textId="77777777" w:rsidR="000C2C1D" w:rsidRDefault="000C2C1D" w:rsidP="0068599B">
            <w:pPr>
              <w:pStyle w:val="PulloutBoxHeading"/>
              <w:widowControl w:val="0"/>
              <w:snapToGrid w:val="0"/>
              <w:spacing w:before="0"/>
            </w:pPr>
            <w:r>
              <w:t>Your checklist</w:t>
            </w:r>
          </w:p>
        </w:tc>
      </w:tr>
      <w:tr w:rsidR="000C2C1D" w14:paraId="3E8904DA" w14:textId="77777777" w:rsidTr="00D327D9">
        <w:trPr>
          <w:trHeight w:val="60"/>
        </w:trPr>
        <w:tc>
          <w:tcPr>
            <w:tcW w:w="5000" w:type="pct"/>
            <w:shd w:val="clear" w:color="auto" w:fill="FDE9D7"/>
            <w:tcMar>
              <w:top w:w="0" w:type="dxa"/>
            </w:tcMar>
          </w:tcPr>
          <w:p w14:paraId="0A289381"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sidRPr="0079071F">
              <w:rPr>
                <w:lang w:val="en-GB"/>
              </w:rPr>
              <w:t xml:space="preserve">Is your health service organisation engaging effectively with CQRs to drive improvements in the safety and quality of the care provided? </w:t>
            </w:r>
          </w:p>
          <w:p w14:paraId="51AF70FD"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Pr>
                <w:lang w:val="en-GB"/>
              </w:rPr>
              <w:t>A</w:t>
            </w:r>
            <w:r w:rsidRPr="0079071F">
              <w:rPr>
                <w:lang w:val="en-GB"/>
              </w:rPr>
              <w:t xml:space="preserve">re you confident CQRs have robust governance arrangements? </w:t>
            </w:r>
          </w:p>
          <w:p w14:paraId="528E6B6E"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sidRPr="0079071F">
              <w:rPr>
                <w:lang w:val="en-GB"/>
              </w:rPr>
              <w:t xml:space="preserve">Are you satisfied CQRs are storing data safely and securely? </w:t>
            </w:r>
          </w:p>
          <w:p w14:paraId="3CBC4CC7"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sidRPr="0079071F">
              <w:rPr>
                <w:lang w:val="en-GB"/>
              </w:rPr>
              <w:t xml:space="preserve">Are the data collected by CQRs useful for quality improvement? </w:t>
            </w:r>
          </w:p>
          <w:p w14:paraId="1EDA44C3"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sidRPr="0079071F">
              <w:rPr>
                <w:lang w:val="en-GB"/>
              </w:rPr>
              <w:t xml:space="preserve">Is your organisation receiving timely reports from CQRs? </w:t>
            </w:r>
          </w:p>
          <w:p w14:paraId="368CB7D8" w14:textId="10195948" w:rsidR="000C2C1D" w:rsidRPr="00A96D92" w:rsidRDefault="000C2C1D" w:rsidP="002615BD">
            <w:pPr>
              <w:pStyle w:val="TicksLists"/>
              <w:widowControl w:val="0"/>
              <w:numPr>
                <w:ilvl w:val="0"/>
                <w:numId w:val="38"/>
              </w:numPr>
              <w:snapToGrid w:val="0"/>
              <w:spacing w:before="80" w:after="80"/>
              <w:ind w:left="357" w:hanging="357"/>
              <w:rPr>
                <w:lang w:val="en-GB"/>
              </w:rPr>
            </w:pPr>
            <w:r w:rsidRPr="00A96D92">
              <w:rPr>
                <w:lang w:val="en-GB"/>
              </w:rPr>
              <w:t>Do reports support improvements in safety and quality in the organisation?</w:t>
            </w:r>
          </w:p>
          <w:p w14:paraId="4F75AC7D" w14:textId="77777777" w:rsidR="000C2C1D" w:rsidRPr="00807BB5" w:rsidRDefault="000C2C1D" w:rsidP="002615BD">
            <w:pPr>
              <w:pStyle w:val="TicksLists"/>
              <w:widowControl w:val="0"/>
              <w:numPr>
                <w:ilvl w:val="0"/>
                <w:numId w:val="38"/>
              </w:numPr>
              <w:snapToGrid w:val="0"/>
              <w:spacing w:before="80" w:after="80"/>
              <w:ind w:left="357" w:hanging="357"/>
              <w:rPr>
                <w:spacing w:val="-2"/>
                <w:lang w:val="en-GB"/>
              </w:rPr>
            </w:pPr>
            <w:r w:rsidRPr="00807BB5">
              <w:rPr>
                <w:spacing w:val="-2"/>
                <w:lang w:val="en-GB"/>
              </w:rPr>
              <w:t xml:space="preserve">Does your organisation have processes to respond to CQR feedback? </w:t>
            </w:r>
          </w:p>
          <w:p w14:paraId="70671B23" w14:textId="77777777" w:rsidR="000C2C1D" w:rsidRPr="0079071F" w:rsidRDefault="000C2C1D" w:rsidP="0068599B">
            <w:pPr>
              <w:pStyle w:val="TicksLists"/>
              <w:widowControl w:val="0"/>
              <w:numPr>
                <w:ilvl w:val="0"/>
                <w:numId w:val="38"/>
              </w:numPr>
              <w:snapToGrid w:val="0"/>
              <w:spacing w:before="80" w:after="80"/>
              <w:ind w:left="357" w:hanging="357"/>
              <w:rPr>
                <w:lang w:val="en-GB"/>
              </w:rPr>
            </w:pPr>
            <w:r w:rsidRPr="0079071F">
              <w:rPr>
                <w:lang w:val="en-GB"/>
              </w:rPr>
              <w:t>Does your organisation have processes to address outlier performance and unwarranted variation in care?</w:t>
            </w:r>
          </w:p>
        </w:tc>
      </w:tr>
    </w:tbl>
    <w:p w14:paraId="7642A308" w14:textId="77777777" w:rsidR="002B7EA5" w:rsidRPr="009460C6" w:rsidRDefault="002B7EA5" w:rsidP="0068599B">
      <w:pPr>
        <w:pStyle w:val="Heading3"/>
        <w:widowControl w:val="0"/>
        <w:snapToGrid w:val="0"/>
        <w:spacing w:before="100" w:after="100"/>
        <w:rPr>
          <w:rFonts w:eastAsiaTheme="majorEastAsia"/>
        </w:rPr>
      </w:pPr>
      <w:r>
        <w:rPr>
          <w:rFonts w:eastAsiaTheme="majorEastAsia"/>
        </w:rPr>
        <w:t>Find out more</w:t>
      </w:r>
    </w:p>
    <w:p w14:paraId="6992701E" w14:textId="1681515B" w:rsidR="005036F3" w:rsidRPr="005036F3" w:rsidRDefault="002B7EA5" w:rsidP="0068599B">
      <w:pPr>
        <w:widowControl w:val="0"/>
        <w:snapToGrid w:val="0"/>
        <w:spacing w:before="100" w:after="100"/>
        <w:rPr>
          <w:rFonts w:eastAsiaTheme="majorEastAsia"/>
          <w:lang w:val="en-GB"/>
        </w:rPr>
      </w:pPr>
      <w:r w:rsidRPr="009460C6">
        <w:rPr>
          <w:rFonts w:eastAsiaTheme="majorEastAsia"/>
          <w:lang w:val="en-GB"/>
        </w:rPr>
        <w:t xml:space="preserve">View or download the </w:t>
      </w:r>
      <w:hyperlink r:id="rId19" w:tooltip="Australian Commission on Safety and Quality in Health Care - Australian Framework for National Clinical Quality Registries 2024 " w:history="1">
        <w:r w:rsidRPr="00C80A22">
          <w:rPr>
            <w:rStyle w:val="Hyperlink"/>
            <w:rFonts w:eastAsiaTheme="majorEastAsia"/>
            <w:i/>
            <w:iCs/>
            <w:lang w:val="en-GB"/>
          </w:rPr>
          <w:t>Australian Framework for National Clinical Quality Registries 2024</w:t>
        </w:r>
      </w:hyperlink>
      <w:r w:rsidRPr="00C80A22">
        <w:rPr>
          <w:rFonts w:eastAsiaTheme="majorEastAsia"/>
          <w:i/>
          <w:iCs/>
          <w:lang w:val="en-GB"/>
        </w:rPr>
        <w:t>.</w:t>
      </w:r>
    </w:p>
    <w:p w14:paraId="31E40D62" w14:textId="77777777" w:rsidR="005036F3" w:rsidRDefault="005036F3" w:rsidP="0068599B">
      <w:pPr>
        <w:pStyle w:val="Website"/>
        <w:snapToGrid w:val="0"/>
        <w:spacing w:before="240"/>
        <w:sectPr w:rsidR="005036F3" w:rsidSect="002615BD">
          <w:type w:val="continuous"/>
          <w:pgSz w:w="11906" w:h="16838"/>
          <w:pgMar w:top="1006" w:right="1134" w:bottom="1418" w:left="1134" w:header="709" w:footer="709" w:gutter="0"/>
          <w:cols w:num="2" w:space="652"/>
          <w:docGrid w:linePitch="299"/>
        </w:sectPr>
      </w:pPr>
    </w:p>
    <w:p w14:paraId="14E24451" w14:textId="77777777" w:rsidR="005036F3" w:rsidRPr="0014386A" w:rsidRDefault="00000000" w:rsidP="00F42427">
      <w:pPr>
        <w:pStyle w:val="Website"/>
        <w:snapToGrid w:val="0"/>
        <w:spacing w:before="200"/>
        <w:rPr>
          <w:rStyle w:val="Hyperlink"/>
        </w:rPr>
      </w:pPr>
      <w:hyperlink r:id="rId20" w:history="1">
        <w:r w:rsidR="005036F3" w:rsidRPr="0014386A">
          <w:rPr>
            <w:rStyle w:val="Hyperlink"/>
          </w:rPr>
          <w:t>safetyandquality.gov.au</w:t>
        </w:r>
      </w:hyperlink>
    </w:p>
    <w:p w14:paraId="704D0B8E" w14:textId="3D39DD93" w:rsidR="00767D2A" w:rsidRPr="00FA02E0" w:rsidRDefault="005036F3" w:rsidP="0068599B">
      <w:pPr>
        <w:pStyle w:val="Website"/>
        <w:keepLines w:val="0"/>
        <w:snapToGrid w:val="0"/>
        <w:spacing w:before="120"/>
        <w:rPr>
          <w:rFonts w:eastAsiaTheme="majorEastAsia"/>
          <w:sz w:val="16"/>
          <w:szCs w:val="16"/>
        </w:rPr>
      </w:pPr>
      <w:r w:rsidRPr="00146BFB">
        <w:rPr>
          <w:noProof/>
          <w:sz w:val="16"/>
          <w:szCs w:val="16"/>
          <w:lang w:eastAsia="en-US"/>
        </w:rPr>
        <w:drawing>
          <wp:inline distT="0" distB="0" distL="0" distR="0" wp14:anchorId="6417A4E0" wp14:editId="2727D3FB">
            <wp:extent cx="596265" cy="211455"/>
            <wp:effectExtent l="0" t="0" r="3810" b="635"/>
            <wp:docPr id="1032460519" name="Picture 103246051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inline>
        </w:drawing>
      </w:r>
      <w:r w:rsidR="00D327D9">
        <w:rPr>
          <w:rStyle w:val="Roman"/>
          <w:rFonts w:eastAsiaTheme="majorEastAsia"/>
          <w:sz w:val="16"/>
          <w:szCs w:val="16"/>
        </w:rPr>
        <w:t xml:space="preserve"> </w:t>
      </w:r>
      <w:r w:rsidRPr="00FA02E0">
        <w:rPr>
          <w:rStyle w:val="Roman"/>
          <w:rFonts w:eastAsiaTheme="majorEastAsia"/>
          <w:color w:val="000000" w:themeColor="text1"/>
          <w:sz w:val="16"/>
          <w:szCs w:val="16"/>
        </w:rPr>
        <w:t>© Australian Commission on Safety and</w:t>
      </w:r>
      <w:r w:rsidR="0068599B" w:rsidRPr="00FA02E0">
        <w:rPr>
          <w:rStyle w:val="Roman"/>
          <w:rFonts w:eastAsiaTheme="majorEastAsia"/>
          <w:color w:val="000000" w:themeColor="text1"/>
          <w:sz w:val="16"/>
          <w:szCs w:val="16"/>
        </w:rPr>
        <w:t xml:space="preserve"> </w:t>
      </w:r>
      <w:r w:rsidRPr="00FA02E0">
        <w:rPr>
          <w:rStyle w:val="Roman"/>
          <w:rFonts w:eastAsiaTheme="majorEastAsia"/>
          <w:color w:val="000000" w:themeColor="text1"/>
          <w:sz w:val="16"/>
          <w:szCs w:val="16"/>
        </w:rPr>
        <w:t>Quality in Health Care 202</w:t>
      </w:r>
      <w:r w:rsidR="00D327D9" w:rsidRPr="00FA02E0">
        <w:rPr>
          <w:rStyle w:val="Roman"/>
          <w:rFonts w:eastAsiaTheme="majorEastAsia"/>
          <w:color w:val="000000" w:themeColor="text1"/>
          <w:sz w:val="16"/>
          <w:szCs w:val="16"/>
        </w:rPr>
        <w:t>4</w:t>
      </w:r>
    </w:p>
    <w:sectPr w:rsidR="00767D2A" w:rsidRPr="00FA02E0" w:rsidSect="00FA02E0">
      <w:type w:val="continuous"/>
      <w:pgSz w:w="11906" w:h="16838"/>
      <w:pgMar w:top="100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D9925" w14:textId="77777777" w:rsidR="00E77999" w:rsidRDefault="00E77999" w:rsidP="000B0274">
      <w:r>
        <w:separator/>
      </w:r>
    </w:p>
    <w:p w14:paraId="0268CF20" w14:textId="77777777" w:rsidR="00E77999" w:rsidRDefault="00E77999"/>
    <w:p w14:paraId="09DEB853" w14:textId="77777777" w:rsidR="00E77999" w:rsidRDefault="00E77999"/>
    <w:p w14:paraId="4051F663" w14:textId="77777777" w:rsidR="00E77999" w:rsidRDefault="00E77999"/>
    <w:p w14:paraId="23660135" w14:textId="77777777" w:rsidR="00E77999" w:rsidRDefault="00E77999"/>
  </w:endnote>
  <w:endnote w:type="continuationSeparator" w:id="0">
    <w:p w14:paraId="5FD91ACC" w14:textId="77777777" w:rsidR="00E77999" w:rsidRDefault="00E77999" w:rsidP="000B0274">
      <w:r>
        <w:continuationSeparator/>
      </w:r>
    </w:p>
    <w:p w14:paraId="26E5DCD4" w14:textId="77777777" w:rsidR="00E77999" w:rsidRDefault="00E77999"/>
    <w:p w14:paraId="5B5566E3" w14:textId="77777777" w:rsidR="00E77999" w:rsidRDefault="00E77999"/>
    <w:p w14:paraId="7659034E" w14:textId="77777777" w:rsidR="00E77999" w:rsidRDefault="00E77999"/>
    <w:p w14:paraId="4FE0B64E" w14:textId="77777777" w:rsidR="00E77999" w:rsidRDefault="00E779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00"/>
    <w:family w:val="auto"/>
    <w:notTrueType/>
    <w:pitch w:val="variable"/>
    <w:sig w:usb0="A00002E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DCA2" w14:textId="77777777" w:rsidR="00295887" w:rsidRDefault="00295887" w:rsidP="00D84622">
    <w:pPr>
      <w:pStyle w:val="Footer"/>
    </w:pPr>
  </w:p>
  <w:p w14:paraId="45F51B87" w14:textId="77777777" w:rsidR="00295887" w:rsidRDefault="00295887"/>
  <w:p w14:paraId="672DDA5D" w14:textId="77777777" w:rsidR="00295887" w:rsidRDefault="00295887"/>
  <w:p w14:paraId="651F1732"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528B" w14:textId="545C4EFE" w:rsidR="00327E4E" w:rsidRPr="0022422A" w:rsidRDefault="00327E4E" w:rsidP="00327E4E">
    <w:pPr>
      <w:pStyle w:val="Footer"/>
      <w:tabs>
        <w:tab w:val="right" w:pos="14570"/>
      </w:tabs>
      <w:rPr>
        <w:b/>
        <w:bCs/>
        <w:lang w:val="en-GB"/>
      </w:rPr>
    </w:pPr>
    <w:r w:rsidRPr="0026569B">
      <w:tab/>
    </w:r>
    <w:r w:rsidRPr="0026569B">
      <w:fldChar w:fldCharType="begin"/>
    </w:r>
    <w:r w:rsidRPr="0026569B">
      <w:instrText xml:space="preserve"> PAGE </w:instrText>
    </w:r>
    <w:r w:rsidRPr="0026569B">
      <w:fldChar w:fldCharType="separate"/>
    </w:r>
    <w:r>
      <w:t>5</w:t>
    </w:r>
    <w:r w:rsidRPr="0026569B">
      <w:fldChar w:fldCharType="end"/>
    </w:r>
  </w:p>
  <w:p w14:paraId="352F46C3" w14:textId="77777777" w:rsidR="00327E4E" w:rsidRDefault="00327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651C42" w14:textId="77777777" w:rsidR="00E77999" w:rsidRDefault="00E77999" w:rsidP="000B0274">
      <w:r>
        <w:separator/>
      </w:r>
    </w:p>
    <w:p w14:paraId="18F9DF54" w14:textId="77777777" w:rsidR="00E77999" w:rsidRDefault="00E77999"/>
    <w:p w14:paraId="44F95AB4" w14:textId="77777777" w:rsidR="00E77999" w:rsidRDefault="00E77999"/>
    <w:p w14:paraId="2D198648" w14:textId="77777777" w:rsidR="00E77999" w:rsidRDefault="00E77999"/>
    <w:p w14:paraId="4741384B" w14:textId="77777777" w:rsidR="00E77999" w:rsidRDefault="00E77999"/>
  </w:footnote>
  <w:footnote w:type="continuationSeparator" w:id="0">
    <w:p w14:paraId="69905097" w14:textId="77777777" w:rsidR="00E77999" w:rsidRDefault="00E77999" w:rsidP="000B0274">
      <w:r>
        <w:continuationSeparator/>
      </w:r>
    </w:p>
    <w:p w14:paraId="60709808" w14:textId="77777777" w:rsidR="00E77999" w:rsidRDefault="00E77999"/>
    <w:p w14:paraId="5A854951" w14:textId="77777777" w:rsidR="00E77999" w:rsidRDefault="00E77999"/>
    <w:p w14:paraId="465A7D2B" w14:textId="77777777" w:rsidR="00E77999" w:rsidRDefault="00E77999"/>
    <w:p w14:paraId="1880C52C" w14:textId="77777777" w:rsidR="00E77999" w:rsidRDefault="00E779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9268" w14:textId="77777777" w:rsidR="00295887" w:rsidRDefault="00295887"/>
  <w:p w14:paraId="307F7B7F" w14:textId="77777777" w:rsidR="00295887" w:rsidRDefault="00295887"/>
  <w:p w14:paraId="25B17734" w14:textId="77777777" w:rsidR="00295887" w:rsidRDefault="00295887"/>
  <w:p w14:paraId="2436C4F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9ABC" w14:textId="2B1DBF23" w:rsidR="00295887" w:rsidRPr="002E4B35" w:rsidRDefault="00295887" w:rsidP="002E4B35">
    <w:pPr>
      <w:tabs>
        <w:tab w:val="left" w:pos="7062"/>
        <w:tab w:val="right" w:pos="9638"/>
      </w:tabs>
      <w:spacing w:before="0"/>
      <w:ind w:left="-142"/>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2DA0" w14:textId="45683EC6" w:rsidR="00341A91" w:rsidRDefault="00341A91">
    <w:pPr>
      <w:pStyle w:val="Header"/>
    </w:pPr>
    <w:r w:rsidRPr="00FB375B">
      <w:rPr>
        <w:rFonts w:eastAsiaTheme="majorEastAsia"/>
        <w:noProof/>
        <w:lang w:val="en-US" w:eastAsia="en-US"/>
      </w:rPr>
      <w:drawing>
        <wp:inline distT="0" distB="0" distL="0" distR="0" wp14:anchorId="4B3CF8BD" wp14:editId="7D1F3715">
          <wp:extent cx="4307149" cy="543600"/>
          <wp:effectExtent l="0" t="0" r="0" b="2540"/>
          <wp:docPr id="1637778302" name="Picture 163777830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783B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9AEA57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9DE98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706B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1E75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A78E3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DE1D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392B1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3E9A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EC52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0A3E3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0913885"/>
    <w:multiLevelType w:val="hybridMultilevel"/>
    <w:tmpl w:val="D3C81DAA"/>
    <w:lvl w:ilvl="0" w:tplc="430481A6">
      <w:start w:val="1"/>
      <w:numFmt w:val="bullet"/>
      <w:lvlText w:val="o"/>
      <w:lvlJc w:val="left"/>
      <w:pPr>
        <w:ind w:left="360" w:hanging="360"/>
      </w:pPr>
      <w:rPr>
        <w:rFonts w:ascii="Wingdings" w:hAnsi="Wingding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2EF7FF1"/>
    <w:multiLevelType w:val="hybridMultilevel"/>
    <w:tmpl w:val="21681086"/>
    <w:lvl w:ilvl="0" w:tplc="432A0E3E">
      <w:start w:val="1"/>
      <w:numFmt w:val="bullet"/>
      <w:pStyle w:val="TicksLists"/>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3683F7E"/>
    <w:multiLevelType w:val="hybridMultilevel"/>
    <w:tmpl w:val="F192E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1A9321C1"/>
    <w:multiLevelType w:val="hybridMultilevel"/>
    <w:tmpl w:val="2D94D590"/>
    <w:lvl w:ilvl="0" w:tplc="AF26D9E0">
      <w:start w:val="1"/>
      <w:numFmt w:val="bullet"/>
      <w:lvlText w:val="c"/>
      <w:lvlJc w:val="left"/>
      <w:pPr>
        <w:ind w:left="360" w:hanging="360"/>
      </w:pPr>
      <w:rPr>
        <w:rFonts w:ascii="Webdings" w:hAnsi="Web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DC12D85"/>
    <w:multiLevelType w:val="hybridMultilevel"/>
    <w:tmpl w:val="0974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6"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DCA7297"/>
    <w:multiLevelType w:val="hybridMultilevel"/>
    <w:tmpl w:val="CC72C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011F28"/>
    <w:multiLevelType w:val="hybridMultilevel"/>
    <w:tmpl w:val="FF0C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76AD1C46"/>
    <w:multiLevelType w:val="hybridMultilevel"/>
    <w:tmpl w:val="B632197C"/>
    <w:lvl w:ilvl="0" w:tplc="430481A6">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8" w15:restartNumberingAfterBreak="0">
    <w:nsid w:val="79AA47E0"/>
    <w:multiLevelType w:val="hybridMultilevel"/>
    <w:tmpl w:val="6772DD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D5B727D"/>
    <w:multiLevelType w:val="hybridMultilevel"/>
    <w:tmpl w:val="D58CF5E0"/>
    <w:lvl w:ilvl="0" w:tplc="430481A6">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7008C"/>
    <w:multiLevelType w:val="hybridMultilevel"/>
    <w:tmpl w:val="46C6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264671">
    <w:abstractNumId w:val="11"/>
  </w:num>
  <w:num w:numId="2" w16cid:durableId="151913477">
    <w:abstractNumId w:val="13"/>
  </w:num>
  <w:num w:numId="3" w16cid:durableId="348606052">
    <w:abstractNumId w:val="25"/>
  </w:num>
  <w:num w:numId="4" w16cid:durableId="1235355125">
    <w:abstractNumId w:val="29"/>
  </w:num>
  <w:num w:numId="5" w16cid:durableId="1472750514">
    <w:abstractNumId w:val="28"/>
  </w:num>
  <w:num w:numId="6" w16cid:durableId="614288394">
    <w:abstractNumId w:val="14"/>
  </w:num>
  <w:num w:numId="7" w16cid:durableId="245379576">
    <w:abstractNumId w:val="18"/>
  </w:num>
  <w:num w:numId="8" w16cid:durableId="172110863">
    <w:abstractNumId w:val="12"/>
  </w:num>
  <w:num w:numId="9" w16cid:durableId="58670212">
    <w:abstractNumId w:val="35"/>
  </w:num>
  <w:num w:numId="10" w16cid:durableId="534196612">
    <w:abstractNumId w:val="22"/>
  </w:num>
  <w:num w:numId="11" w16cid:durableId="827283642">
    <w:abstractNumId w:val="20"/>
  </w:num>
  <w:num w:numId="12" w16cid:durableId="1909533196">
    <w:abstractNumId w:val="34"/>
  </w:num>
  <w:num w:numId="13" w16cid:durableId="32389037">
    <w:abstractNumId w:val="21"/>
  </w:num>
  <w:num w:numId="14" w16cid:durableId="600066042">
    <w:abstractNumId w:val="27"/>
  </w:num>
  <w:num w:numId="15" w16cid:durableId="1676572075">
    <w:abstractNumId w:val="37"/>
  </w:num>
  <w:num w:numId="16" w16cid:durableId="1887064147">
    <w:abstractNumId w:val="26"/>
  </w:num>
  <w:num w:numId="17" w16cid:durableId="1194685873">
    <w:abstractNumId w:val="19"/>
  </w:num>
  <w:num w:numId="18" w16cid:durableId="1656180747">
    <w:abstractNumId w:val="32"/>
  </w:num>
  <w:num w:numId="19" w16cid:durableId="507600832">
    <w:abstractNumId w:val="33"/>
  </w:num>
  <w:num w:numId="20" w16cid:durableId="432896054">
    <w:abstractNumId w:val="1"/>
  </w:num>
  <w:num w:numId="21" w16cid:durableId="709962027">
    <w:abstractNumId w:val="2"/>
  </w:num>
  <w:num w:numId="22" w16cid:durableId="127600342">
    <w:abstractNumId w:val="3"/>
  </w:num>
  <w:num w:numId="23" w16cid:durableId="510798662">
    <w:abstractNumId w:val="4"/>
  </w:num>
  <w:num w:numId="24" w16cid:durableId="1460763758">
    <w:abstractNumId w:val="9"/>
  </w:num>
  <w:num w:numId="25" w16cid:durableId="32459187">
    <w:abstractNumId w:val="5"/>
  </w:num>
  <w:num w:numId="26" w16cid:durableId="606155784">
    <w:abstractNumId w:val="6"/>
  </w:num>
  <w:num w:numId="27" w16cid:durableId="1602303292">
    <w:abstractNumId w:val="7"/>
  </w:num>
  <w:num w:numId="28" w16cid:durableId="1497647213">
    <w:abstractNumId w:val="8"/>
  </w:num>
  <w:num w:numId="29" w16cid:durableId="167600216">
    <w:abstractNumId w:val="10"/>
  </w:num>
  <w:num w:numId="30" w16cid:durableId="1389576648">
    <w:abstractNumId w:val="31"/>
  </w:num>
  <w:num w:numId="31" w16cid:durableId="1921331399">
    <w:abstractNumId w:val="40"/>
  </w:num>
  <w:num w:numId="32" w16cid:durableId="689916061">
    <w:abstractNumId w:val="16"/>
  </w:num>
  <w:num w:numId="33" w16cid:durableId="1595284034">
    <w:abstractNumId w:val="24"/>
  </w:num>
  <w:num w:numId="34" w16cid:durableId="383649336">
    <w:abstractNumId w:val="30"/>
  </w:num>
  <w:num w:numId="35" w16cid:durableId="752048130">
    <w:abstractNumId w:val="23"/>
  </w:num>
  <w:num w:numId="36" w16cid:durableId="1741127443">
    <w:abstractNumId w:val="36"/>
  </w:num>
  <w:num w:numId="37" w16cid:durableId="821508311">
    <w:abstractNumId w:val="0"/>
  </w:num>
  <w:num w:numId="38" w16cid:durableId="384108940">
    <w:abstractNumId w:val="15"/>
  </w:num>
  <w:num w:numId="39" w16cid:durableId="714818944">
    <w:abstractNumId w:val="39"/>
  </w:num>
  <w:num w:numId="40" w16cid:durableId="689455699">
    <w:abstractNumId w:val="38"/>
  </w:num>
  <w:num w:numId="41" w16cid:durableId="170127869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98"/>
    <w:rsid w:val="00002668"/>
    <w:rsid w:val="00003743"/>
    <w:rsid w:val="00005B74"/>
    <w:rsid w:val="000077FA"/>
    <w:rsid w:val="0001053B"/>
    <w:rsid w:val="00012782"/>
    <w:rsid w:val="00020DBD"/>
    <w:rsid w:val="00024A26"/>
    <w:rsid w:val="00025A92"/>
    <w:rsid w:val="0003162D"/>
    <w:rsid w:val="00036AB8"/>
    <w:rsid w:val="00036F5E"/>
    <w:rsid w:val="000406F8"/>
    <w:rsid w:val="00043671"/>
    <w:rsid w:val="00050775"/>
    <w:rsid w:val="00054B74"/>
    <w:rsid w:val="00054E14"/>
    <w:rsid w:val="00061777"/>
    <w:rsid w:val="00067456"/>
    <w:rsid w:val="00067CE9"/>
    <w:rsid w:val="00070812"/>
    <w:rsid w:val="000720AA"/>
    <w:rsid w:val="00074553"/>
    <w:rsid w:val="0008065C"/>
    <w:rsid w:val="00083CD1"/>
    <w:rsid w:val="00085BA1"/>
    <w:rsid w:val="00090EFF"/>
    <w:rsid w:val="00091FC5"/>
    <w:rsid w:val="00092229"/>
    <w:rsid w:val="00092E65"/>
    <w:rsid w:val="000957FA"/>
    <w:rsid w:val="00095DA6"/>
    <w:rsid w:val="00095DC5"/>
    <w:rsid w:val="000A3F0D"/>
    <w:rsid w:val="000A4C01"/>
    <w:rsid w:val="000B0274"/>
    <w:rsid w:val="000B0BFE"/>
    <w:rsid w:val="000B4610"/>
    <w:rsid w:val="000B79D3"/>
    <w:rsid w:val="000C1722"/>
    <w:rsid w:val="000C1DD4"/>
    <w:rsid w:val="000C2C1D"/>
    <w:rsid w:val="000C5B0F"/>
    <w:rsid w:val="000C798B"/>
    <w:rsid w:val="000C7A69"/>
    <w:rsid w:val="000D017D"/>
    <w:rsid w:val="000D6405"/>
    <w:rsid w:val="000E15DA"/>
    <w:rsid w:val="000E2F2E"/>
    <w:rsid w:val="000E6572"/>
    <w:rsid w:val="000F0D77"/>
    <w:rsid w:val="000F29C7"/>
    <w:rsid w:val="000F6B39"/>
    <w:rsid w:val="00105EFD"/>
    <w:rsid w:val="0010673D"/>
    <w:rsid w:val="00106CF5"/>
    <w:rsid w:val="00115403"/>
    <w:rsid w:val="00115E61"/>
    <w:rsid w:val="00120FCB"/>
    <w:rsid w:val="00131E52"/>
    <w:rsid w:val="00140002"/>
    <w:rsid w:val="00143A76"/>
    <w:rsid w:val="00145BE3"/>
    <w:rsid w:val="00146A66"/>
    <w:rsid w:val="00147FC6"/>
    <w:rsid w:val="001507C6"/>
    <w:rsid w:val="00150FF0"/>
    <w:rsid w:val="00153C6E"/>
    <w:rsid w:val="00155F03"/>
    <w:rsid w:val="00157B31"/>
    <w:rsid w:val="00160453"/>
    <w:rsid w:val="001652A9"/>
    <w:rsid w:val="00167632"/>
    <w:rsid w:val="00173ED5"/>
    <w:rsid w:val="00174141"/>
    <w:rsid w:val="00174535"/>
    <w:rsid w:val="0017675C"/>
    <w:rsid w:val="00182C0F"/>
    <w:rsid w:val="00183675"/>
    <w:rsid w:val="00184C86"/>
    <w:rsid w:val="001852DE"/>
    <w:rsid w:val="001859B5"/>
    <w:rsid w:val="001860B2"/>
    <w:rsid w:val="001918F7"/>
    <w:rsid w:val="001921ED"/>
    <w:rsid w:val="00195458"/>
    <w:rsid w:val="001962DE"/>
    <w:rsid w:val="00196AC8"/>
    <w:rsid w:val="001A11A5"/>
    <w:rsid w:val="001A1EBD"/>
    <w:rsid w:val="001A4A68"/>
    <w:rsid w:val="001B15D1"/>
    <w:rsid w:val="001B3443"/>
    <w:rsid w:val="001B7C8B"/>
    <w:rsid w:val="001C0F51"/>
    <w:rsid w:val="001C562C"/>
    <w:rsid w:val="001D0D87"/>
    <w:rsid w:val="001E1042"/>
    <w:rsid w:val="001E38B8"/>
    <w:rsid w:val="001E77C4"/>
    <w:rsid w:val="001E7F08"/>
    <w:rsid w:val="001F5AD3"/>
    <w:rsid w:val="001F6D10"/>
    <w:rsid w:val="00203D15"/>
    <w:rsid w:val="00212A89"/>
    <w:rsid w:val="0021323F"/>
    <w:rsid w:val="002132AE"/>
    <w:rsid w:val="002166E4"/>
    <w:rsid w:val="002255F7"/>
    <w:rsid w:val="0023112B"/>
    <w:rsid w:val="0023231A"/>
    <w:rsid w:val="00237ADF"/>
    <w:rsid w:val="00237F1B"/>
    <w:rsid w:val="00240277"/>
    <w:rsid w:val="00245D81"/>
    <w:rsid w:val="0024767D"/>
    <w:rsid w:val="002503C3"/>
    <w:rsid w:val="002505F5"/>
    <w:rsid w:val="00251167"/>
    <w:rsid w:val="002550A7"/>
    <w:rsid w:val="00255596"/>
    <w:rsid w:val="00255DCB"/>
    <w:rsid w:val="002615BD"/>
    <w:rsid w:val="00261F43"/>
    <w:rsid w:val="00262327"/>
    <w:rsid w:val="002625FB"/>
    <w:rsid w:val="00263A63"/>
    <w:rsid w:val="00264387"/>
    <w:rsid w:val="00264A5A"/>
    <w:rsid w:val="002662B4"/>
    <w:rsid w:val="00266546"/>
    <w:rsid w:val="0026675D"/>
    <w:rsid w:val="002674D8"/>
    <w:rsid w:val="00267635"/>
    <w:rsid w:val="00277A59"/>
    <w:rsid w:val="002808AE"/>
    <w:rsid w:val="0028150E"/>
    <w:rsid w:val="00281FD4"/>
    <w:rsid w:val="002851F2"/>
    <w:rsid w:val="002854C3"/>
    <w:rsid w:val="00291EBD"/>
    <w:rsid w:val="00293CDE"/>
    <w:rsid w:val="00295887"/>
    <w:rsid w:val="002A5442"/>
    <w:rsid w:val="002B7EA5"/>
    <w:rsid w:val="002C1CA0"/>
    <w:rsid w:val="002C529B"/>
    <w:rsid w:val="002C6AF0"/>
    <w:rsid w:val="002C6E07"/>
    <w:rsid w:val="002D0EB0"/>
    <w:rsid w:val="002D247E"/>
    <w:rsid w:val="002E195D"/>
    <w:rsid w:val="002E1AAD"/>
    <w:rsid w:val="002E2DBA"/>
    <w:rsid w:val="002E3986"/>
    <w:rsid w:val="002E4B35"/>
    <w:rsid w:val="002E6A48"/>
    <w:rsid w:val="002E7082"/>
    <w:rsid w:val="002F022E"/>
    <w:rsid w:val="002F3AE3"/>
    <w:rsid w:val="002F7E6F"/>
    <w:rsid w:val="0030786C"/>
    <w:rsid w:val="00312A62"/>
    <w:rsid w:val="00316683"/>
    <w:rsid w:val="003241DC"/>
    <w:rsid w:val="00327E4E"/>
    <w:rsid w:val="00341A36"/>
    <w:rsid w:val="00341A91"/>
    <w:rsid w:val="00341BEE"/>
    <w:rsid w:val="00343286"/>
    <w:rsid w:val="0034680F"/>
    <w:rsid w:val="0035015C"/>
    <w:rsid w:val="0035066E"/>
    <w:rsid w:val="00350BE1"/>
    <w:rsid w:val="003523A5"/>
    <w:rsid w:val="00354BCF"/>
    <w:rsid w:val="003559EA"/>
    <w:rsid w:val="003657DB"/>
    <w:rsid w:val="0036588B"/>
    <w:rsid w:val="00370326"/>
    <w:rsid w:val="00380792"/>
    <w:rsid w:val="003808E4"/>
    <w:rsid w:val="0038248B"/>
    <w:rsid w:val="00382B2D"/>
    <w:rsid w:val="00386683"/>
    <w:rsid w:val="003873C6"/>
    <w:rsid w:val="00392002"/>
    <w:rsid w:val="00392A85"/>
    <w:rsid w:val="00393C9C"/>
    <w:rsid w:val="00396AFB"/>
    <w:rsid w:val="003A07D5"/>
    <w:rsid w:val="003A4E56"/>
    <w:rsid w:val="003A70CE"/>
    <w:rsid w:val="003C0E23"/>
    <w:rsid w:val="003C297A"/>
    <w:rsid w:val="003C540E"/>
    <w:rsid w:val="003C5F0C"/>
    <w:rsid w:val="003D17F9"/>
    <w:rsid w:val="003D3806"/>
    <w:rsid w:val="003D437B"/>
    <w:rsid w:val="003D4829"/>
    <w:rsid w:val="003E197F"/>
    <w:rsid w:val="003E442B"/>
    <w:rsid w:val="003E6E73"/>
    <w:rsid w:val="003E76C8"/>
    <w:rsid w:val="003F3F0B"/>
    <w:rsid w:val="003F4E83"/>
    <w:rsid w:val="0040152C"/>
    <w:rsid w:val="00402CBA"/>
    <w:rsid w:val="00412E9D"/>
    <w:rsid w:val="00414952"/>
    <w:rsid w:val="00416643"/>
    <w:rsid w:val="00423210"/>
    <w:rsid w:val="00425504"/>
    <w:rsid w:val="0042727E"/>
    <w:rsid w:val="004305D6"/>
    <w:rsid w:val="004377EE"/>
    <w:rsid w:val="00440CC0"/>
    <w:rsid w:val="00440D73"/>
    <w:rsid w:val="004437F3"/>
    <w:rsid w:val="00447D31"/>
    <w:rsid w:val="00452849"/>
    <w:rsid w:val="00455560"/>
    <w:rsid w:val="00456385"/>
    <w:rsid w:val="00465AB0"/>
    <w:rsid w:val="00470AB8"/>
    <w:rsid w:val="00477E9B"/>
    <w:rsid w:val="00482ECA"/>
    <w:rsid w:val="00485776"/>
    <w:rsid w:val="00485794"/>
    <w:rsid w:val="004867E2"/>
    <w:rsid w:val="00486826"/>
    <w:rsid w:val="0048784D"/>
    <w:rsid w:val="00493AA0"/>
    <w:rsid w:val="004A0670"/>
    <w:rsid w:val="004A299A"/>
    <w:rsid w:val="004A4851"/>
    <w:rsid w:val="004A5C81"/>
    <w:rsid w:val="004B0417"/>
    <w:rsid w:val="004B2999"/>
    <w:rsid w:val="004C04EB"/>
    <w:rsid w:val="004C3664"/>
    <w:rsid w:val="004C4927"/>
    <w:rsid w:val="004C6833"/>
    <w:rsid w:val="004D38A4"/>
    <w:rsid w:val="004D3F4C"/>
    <w:rsid w:val="004D448C"/>
    <w:rsid w:val="004E067A"/>
    <w:rsid w:val="004E179B"/>
    <w:rsid w:val="004E2389"/>
    <w:rsid w:val="004E50C2"/>
    <w:rsid w:val="004E58C1"/>
    <w:rsid w:val="004F412D"/>
    <w:rsid w:val="00500FFF"/>
    <w:rsid w:val="005036F3"/>
    <w:rsid w:val="00505824"/>
    <w:rsid w:val="0051563D"/>
    <w:rsid w:val="005179C7"/>
    <w:rsid w:val="0052107C"/>
    <w:rsid w:val="005221B7"/>
    <w:rsid w:val="00530100"/>
    <w:rsid w:val="0053231E"/>
    <w:rsid w:val="00532FA1"/>
    <w:rsid w:val="00536E0C"/>
    <w:rsid w:val="005408C7"/>
    <w:rsid w:val="005422E7"/>
    <w:rsid w:val="005437FD"/>
    <w:rsid w:val="00544A4E"/>
    <w:rsid w:val="00550138"/>
    <w:rsid w:val="0055205D"/>
    <w:rsid w:val="00553E33"/>
    <w:rsid w:val="00555C4C"/>
    <w:rsid w:val="00555D6E"/>
    <w:rsid w:val="00562F72"/>
    <w:rsid w:val="0056304B"/>
    <w:rsid w:val="00565356"/>
    <w:rsid w:val="0056556C"/>
    <w:rsid w:val="00566B97"/>
    <w:rsid w:val="00570C6C"/>
    <w:rsid w:val="00584334"/>
    <w:rsid w:val="00587203"/>
    <w:rsid w:val="00591A14"/>
    <w:rsid w:val="0059380A"/>
    <w:rsid w:val="00596C05"/>
    <w:rsid w:val="0059724C"/>
    <w:rsid w:val="005A1AA7"/>
    <w:rsid w:val="005A4D0B"/>
    <w:rsid w:val="005A61B4"/>
    <w:rsid w:val="005A65E0"/>
    <w:rsid w:val="005A735B"/>
    <w:rsid w:val="005B04D8"/>
    <w:rsid w:val="005C1496"/>
    <w:rsid w:val="005C5EF4"/>
    <w:rsid w:val="005C6AAE"/>
    <w:rsid w:val="005D1073"/>
    <w:rsid w:val="005D1804"/>
    <w:rsid w:val="005D2770"/>
    <w:rsid w:val="005D5434"/>
    <w:rsid w:val="005D5912"/>
    <w:rsid w:val="005D5D06"/>
    <w:rsid w:val="005D62B5"/>
    <w:rsid w:val="005E1DCE"/>
    <w:rsid w:val="005E2614"/>
    <w:rsid w:val="005E2695"/>
    <w:rsid w:val="005E7144"/>
    <w:rsid w:val="005F1E4A"/>
    <w:rsid w:val="006002BE"/>
    <w:rsid w:val="0060642C"/>
    <w:rsid w:val="00607B0B"/>
    <w:rsid w:val="00611870"/>
    <w:rsid w:val="00614E29"/>
    <w:rsid w:val="0062216A"/>
    <w:rsid w:val="0062531C"/>
    <w:rsid w:val="00625634"/>
    <w:rsid w:val="00625EC1"/>
    <w:rsid w:val="00626F7D"/>
    <w:rsid w:val="00630199"/>
    <w:rsid w:val="006317C9"/>
    <w:rsid w:val="00632475"/>
    <w:rsid w:val="00632C35"/>
    <w:rsid w:val="006340B0"/>
    <w:rsid w:val="00636395"/>
    <w:rsid w:val="00636580"/>
    <w:rsid w:val="00641773"/>
    <w:rsid w:val="00641CB0"/>
    <w:rsid w:val="0064239F"/>
    <w:rsid w:val="006452FC"/>
    <w:rsid w:val="006456F1"/>
    <w:rsid w:val="006501AE"/>
    <w:rsid w:val="00653E73"/>
    <w:rsid w:val="00656A90"/>
    <w:rsid w:val="00656D82"/>
    <w:rsid w:val="00657DD2"/>
    <w:rsid w:val="00662E5A"/>
    <w:rsid w:val="00664B6D"/>
    <w:rsid w:val="00664F67"/>
    <w:rsid w:val="006655E2"/>
    <w:rsid w:val="00670F54"/>
    <w:rsid w:val="006728F9"/>
    <w:rsid w:val="006746DA"/>
    <w:rsid w:val="006765C3"/>
    <w:rsid w:val="006767BC"/>
    <w:rsid w:val="006803BA"/>
    <w:rsid w:val="00684FB9"/>
    <w:rsid w:val="0068599B"/>
    <w:rsid w:val="006922F5"/>
    <w:rsid w:val="00694113"/>
    <w:rsid w:val="006947D9"/>
    <w:rsid w:val="006A16DD"/>
    <w:rsid w:val="006A2587"/>
    <w:rsid w:val="006A3396"/>
    <w:rsid w:val="006A641D"/>
    <w:rsid w:val="006B2EBD"/>
    <w:rsid w:val="006B3CFC"/>
    <w:rsid w:val="006B5E85"/>
    <w:rsid w:val="006C0CD8"/>
    <w:rsid w:val="006C3EBB"/>
    <w:rsid w:val="006C45E7"/>
    <w:rsid w:val="006C5476"/>
    <w:rsid w:val="006C5AEE"/>
    <w:rsid w:val="006C679A"/>
    <w:rsid w:val="006D09FE"/>
    <w:rsid w:val="006D0C40"/>
    <w:rsid w:val="006D15C1"/>
    <w:rsid w:val="006D2783"/>
    <w:rsid w:val="006D4CD4"/>
    <w:rsid w:val="006D732F"/>
    <w:rsid w:val="006E110B"/>
    <w:rsid w:val="006E27DA"/>
    <w:rsid w:val="006E4597"/>
    <w:rsid w:val="006E688D"/>
    <w:rsid w:val="006F0027"/>
    <w:rsid w:val="006F1432"/>
    <w:rsid w:val="006F618A"/>
    <w:rsid w:val="006F7964"/>
    <w:rsid w:val="007028EC"/>
    <w:rsid w:val="007035D8"/>
    <w:rsid w:val="0070703E"/>
    <w:rsid w:val="00707D22"/>
    <w:rsid w:val="007103BE"/>
    <w:rsid w:val="00711E21"/>
    <w:rsid w:val="00712832"/>
    <w:rsid w:val="00713F05"/>
    <w:rsid w:val="00715168"/>
    <w:rsid w:val="0071637F"/>
    <w:rsid w:val="00716597"/>
    <w:rsid w:val="00716E2B"/>
    <w:rsid w:val="00716FED"/>
    <w:rsid w:val="00722691"/>
    <w:rsid w:val="007238E8"/>
    <w:rsid w:val="0072413F"/>
    <w:rsid w:val="00725FB9"/>
    <w:rsid w:val="00730020"/>
    <w:rsid w:val="007333AD"/>
    <w:rsid w:val="007360BF"/>
    <w:rsid w:val="00737D4D"/>
    <w:rsid w:val="007406E6"/>
    <w:rsid w:val="0074571C"/>
    <w:rsid w:val="00746CCD"/>
    <w:rsid w:val="00747CE1"/>
    <w:rsid w:val="007517A6"/>
    <w:rsid w:val="0075340B"/>
    <w:rsid w:val="007545C7"/>
    <w:rsid w:val="0076005C"/>
    <w:rsid w:val="0076111D"/>
    <w:rsid w:val="007635C1"/>
    <w:rsid w:val="00766B42"/>
    <w:rsid w:val="0076731D"/>
    <w:rsid w:val="00767650"/>
    <w:rsid w:val="00767A90"/>
    <w:rsid w:val="00767D2A"/>
    <w:rsid w:val="00770588"/>
    <w:rsid w:val="00770EDE"/>
    <w:rsid w:val="0078070C"/>
    <w:rsid w:val="00784541"/>
    <w:rsid w:val="00787790"/>
    <w:rsid w:val="0079071F"/>
    <w:rsid w:val="00794DF2"/>
    <w:rsid w:val="007968CC"/>
    <w:rsid w:val="00796FB7"/>
    <w:rsid w:val="0079708B"/>
    <w:rsid w:val="007A4FD1"/>
    <w:rsid w:val="007B04A9"/>
    <w:rsid w:val="007B16AC"/>
    <w:rsid w:val="007B1D5C"/>
    <w:rsid w:val="007B2B8A"/>
    <w:rsid w:val="007B54E0"/>
    <w:rsid w:val="007B5D05"/>
    <w:rsid w:val="007B5D1E"/>
    <w:rsid w:val="007C2217"/>
    <w:rsid w:val="007C2E29"/>
    <w:rsid w:val="007C471C"/>
    <w:rsid w:val="007C52D3"/>
    <w:rsid w:val="007D4258"/>
    <w:rsid w:val="007E000D"/>
    <w:rsid w:val="007E175B"/>
    <w:rsid w:val="007E3F8A"/>
    <w:rsid w:val="007F3645"/>
    <w:rsid w:val="007F58DD"/>
    <w:rsid w:val="007F6791"/>
    <w:rsid w:val="00802131"/>
    <w:rsid w:val="0080450E"/>
    <w:rsid w:val="00805E44"/>
    <w:rsid w:val="00807BB5"/>
    <w:rsid w:val="00811C26"/>
    <w:rsid w:val="00812A44"/>
    <w:rsid w:val="00820059"/>
    <w:rsid w:val="008264EB"/>
    <w:rsid w:val="00827924"/>
    <w:rsid w:val="00830756"/>
    <w:rsid w:val="00837A90"/>
    <w:rsid w:val="00841F74"/>
    <w:rsid w:val="008448B1"/>
    <w:rsid w:val="0084624A"/>
    <w:rsid w:val="00855A49"/>
    <w:rsid w:val="00856DF5"/>
    <w:rsid w:val="00857E76"/>
    <w:rsid w:val="0086059A"/>
    <w:rsid w:val="00865932"/>
    <w:rsid w:val="00872059"/>
    <w:rsid w:val="008723F6"/>
    <w:rsid w:val="00873673"/>
    <w:rsid w:val="008803A1"/>
    <w:rsid w:val="0088122A"/>
    <w:rsid w:val="008839CD"/>
    <w:rsid w:val="00886FEA"/>
    <w:rsid w:val="00892AC8"/>
    <w:rsid w:val="00897E5A"/>
    <w:rsid w:val="008A07AF"/>
    <w:rsid w:val="008A118C"/>
    <w:rsid w:val="008A4580"/>
    <w:rsid w:val="008A4AC8"/>
    <w:rsid w:val="008A4E8B"/>
    <w:rsid w:val="008A58F9"/>
    <w:rsid w:val="008B014E"/>
    <w:rsid w:val="008C1853"/>
    <w:rsid w:val="008D09DE"/>
    <w:rsid w:val="008D5AFD"/>
    <w:rsid w:val="008D7939"/>
    <w:rsid w:val="008E3658"/>
    <w:rsid w:val="008E59EB"/>
    <w:rsid w:val="008E5D6A"/>
    <w:rsid w:val="008F26C0"/>
    <w:rsid w:val="008F42F4"/>
    <w:rsid w:val="00901462"/>
    <w:rsid w:val="00901D6C"/>
    <w:rsid w:val="00902A76"/>
    <w:rsid w:val="00904474"/>
    <w:rsid w:val="00904D1C"/>
    <w:rsid w:val="0091137C"/>
    <w:rsid w:val="0091384C"/>
    <w:rsid w:val="0091791A"/>
    <w:rsid w:val="009213F3"/>
    <w:rsid w:val="0092204C"/>
    <w:rsid w:val="009221AE"/>
    <w:rsid w:val="00922DEE"/>
    <w:rsid w:val="009238AA"/>
    <w:rsid w:val="009244B8"/>
    <w:rsid w:val="00924894"/>
    <w:rsid w:val="00925748"/>
    <w:rsid w:val="00932407"/>
    <w:rsid w:val="00933B21"/>
    <w:rsid w:val="00933EC2"/>
    <w:rsid w:val="009374DD"/>
    <w:rsid w:val="00941048"/>
    <w:rsid w:val="009424A5"/>
    <w:rsid w:val="009460C6"/>
    <w:rsid w:val="00950089"/>
    <w:rsid w:val="0095539D"/>
    <w:rsid w:val="009561A8"/>
    <w:rsid w:val="00957E88"/>
    <w:rsid w:val="00961B39"/>
    <w:rsid w:val="00961FBE"/>
    <w:rsid w:val="00964277"/>
    <w:rsid w:val="0097582E"/>
    <w:rsid w:val="00977D26"/>
    <w:rsid w:val="00977E26"/>
    <w:rsid w:val="009805EC"/>
    <w:rsid w:val="00984227"/>
    <w:rsid w:val="009904EA"/>
    <w:rsid w:val="00991AF5"/>
    <w:rsid w:val="0099343F"/>
    <w:rsid w:val="00995094"/>
    <w:rsid w:val="009A007B"/>
    <w:rsid w:val="009A0425"/>
    <w:rsid w:val="009A263C"/>
    <w:rsid w:val="009A53EC"/>
    <w:rsid w:val="009B053D"/>
    <w:rsid w:val="009B3E5D"/>
    <w:rsid w:val="009B64E3"/>
    <w:rsid w:val="009C5964"/>
    <w:rsid w:val="009C672E"/>
    <w:rsid w:val="009C77A3"/>
    <w:rsid w:val="009D0B90"/>
    <w:rsid w:val="009D1A6C"/>
    <w:rsid w:val="009D3827"/>
    <w:rsid w:val="009D6852"/>
    <w:rsid w:val="009E0725"/>
    <w:rsid w:val="009E0D48"/>
    <w:rsid w:val="009E1F38"/>
    <w:rsid w:val="009E5D18"/>
    <w:rsid w:val="009E6B78"/>
    <w:rsid w:val="009E6D37"/>
    <w:rsid w:val="009F1EC9"/>
    <w:rsid w:val="009F2763"/>
    <w:rsid w:val="009F33F8"/>
    <w:rsid w:val="009F3F79"/>
    <w:rsid w:val="009F430A"/>
    <w:rsid w:val="009F4ACF"/>
    <w:rsid w:val="009F5557"/>
    <w:rsid w:val="00A028AC"/>
    <w:rsid w:val="00A02BFF"/>
    <w:rsid w:val="00A0554C"/>
    <w:rsid w:val="00A1015B"/>
    <w:rsid w:val="00A12B60"/>
    <w:rsid w:val="00A139AB"/>
    <w:rsid w:val="00A14828"/>
    <w:rsid w:val="00A15082"/>
    <w:rsid w:val="00A16AEE"/>
    <w:rsid w:val="00A2438F"/>
    <w:rsid w:val="00A25AF1"/>
    <w:rsid w:val="00A2711B"/>
    <w:rsid w:val="00A34CBF"/>
    <w:rsid w:val="00A369E8"/>
    <w:rsid w:val="00A4199A"/>
    <w:rsid w:val="00A44515"/>
    <w:rsid w:val="00A4512D"/>
    <w:rsid w:val="00A541E1"/>
    <w:rsid w:val="00A54775"/>
    <w:rsid w:val="00A5502C"/>
    <w:rsid w:val="00A5694A"/>
    <w:rsid w:val="00A62B2E"/>
    <w:rsid w:val="00A65795"/>
    <w:rsid w:val="00A6672E"/>
    <w:rsid w:val="00A678FF"/>
    <w:rsid w:val="00A705AF"/>
    <w:rsid w:val="00A7126D"/>
    <w:rsid w:val="00A73C2F"/>
    <w:rsid w:val="00A75B58"/>
    <w:rsid w:val="00A77349"/>
    <w:rsid w:val="00A81D72"/>
    <w:rsid w:val="00A91C04"/>
    <w:rsid w:val="00A931E2"/>
    <w:rsid w:val="00A93A18"/>
    <w:rsid w:val="00A964DB"/>
    <w:rsid w:val="00A96D92"/>
    <w:rsid w:val="00A96DED"/>
    <w:rsid w:val="00AA0055"/>
    <w:rsid w:val="00AA0A90"/>
    <w:rsid w:val="00AA3A3E"/>
    <w:rsid w:val="00AA603A"/>
    <w:rsid w:val="00AA6DC2"/>
    <w:rsid w:val="00AA7B58"/>
    <w:rsid w:val="00AB05F5"/>
    <w:rsid w:val="00AB0A6E"/>
    <w:rsid w:val="00AB23D2"/>
    <w:rsid w:val="00AB40AB"/>
    <w:rsid w:val="00AB5D37"/>
    <w:rsid w:val="00AB64E5"/>
    <w:rsid w:val="00AB67C9"/>
    <w:rsid w:val="00AB6E76"/>
    <w:rsid w:val="00AB6ED9"/>
    <w:rsid w:val="00AB6F9B"/>
    <w:rsid w:val="00AC1F54"/>
    <w:rsid w:val="00AC282B"/>
    <w:rsid w:val="00AC6331"/>
    <w:rsid w:val="00AC637F"/>
    <w:rsid w:val="00AD01B4"/>
    <w:rsid w:val="00AD055C"/>
    <w:rsid w:val="00AD243E"/>
    <w:rsid w:val="00AD52A0"/>
    <w:rsid w:val="00AD5717"/>
    <w:rsid w:val="00AE05BB"/>
    <w:rsid w:val="00AE0BA6"/>
    <w:rsid w:val="00AE3267"/>
    <w:rsid w:val="00AE5001"/>
    <w:rsid w:val="00AF6154"/>
    <w:rsid w:val="00B00182"/>
    <w:rsid w:val="00B004EB"/>
    <w:rsid w:val="00B07615"/>
    <w:rsid w:val="00B15DF3"/>
    <w:rsid w:val="00B163F6"/>
    <w:rsid w:val="00B17FDF"/>
    <w:rsid w:val="00B20701"/>
    <w:rsid w:val="00B213FD"/>
    <w:rsid w:val="00B2338E"/>
    <w:rsid w:val="00B24DF4"/>
    <w:rsid w:val="00B2665E"/>
    <w:rsid w:val="00B30753"/>
    <w:rsid w:val="00B328AF"/>
    <w:rsid w:val="00B32DD1"/>
    <w:rsid w:val="00B34883"/>
    <w:rsid w:val="00B37148"/>
    <w:rsid w:val="00B3720C"/>
    <w:rsid w:val="00B37974"/>
    <w:rsid w:val="00B41409"/>
    <w:rsid w:val="00B4251C"/>
    <w:rsid w:val="00B42851"/>
    <w:rsid w:val="00B42EA6"/>
    <w:rsid w:val="00B43C4A"/>
    <w:rsid w:val="00B456E0"/>
    <w:rsid w:val="00B459E9"/>
    <w:rsid w:val="00B460CF"/>
    <w:rsid w:val="00B47076"/>
    <w:rsid w:val="00B5113E"/>
    <w:rsid w:val="00B55FCC"/>
    <w:rsid w:val="00B56B37"/>
    <w:rsid w:val="00B57759"/>
    <w:rsid w:val="00B60D44"/>
    <w:rsid w:val="00B60D86"/>
    <w:rsid w:val="00B77175"/>
    <w:rsid w:val="00B904EC"/>
    <w:rsid w:val="00B91269"/>
    <w:rsid w:val="00B91454"/>
    <w:rsid w:val="00B929D9"/>
    <w:rsid w:val="00B93CD5"/>
    <w:rsid w:val="00B9432A"/>
    <w:rsid w:val="00B95803"/>
    <w:rsid w:val="00B95A67"/>
    <w:rsid w:val="00B96A84"/>
    <w:rsid w:val="00BA0015"/>
    <w:rsid w:val="00BA2A5D"/>
    <w:rsid w:val="00BA2DE8"/>
    <w:rsid w:val="00BA4AEE"/>
    <w:rsid w:val="00BB2D0A"/>
    <w:rsid w:val="00BB2E41"/>
    <w:rsid w:val="00BC07E4"/>
    <w:rsid w:val="00BC0896"/>
    <w:rsid w:val="00BC2684"/>
    <w:rsid w:val="00BC4293"/>
    <w:rsid w:val="00BC4D09"/>
    <w:rsid w:val="00BC6298"/>
    <w:rsid w:val="00BD0B57"/>
    <w:rsid w:val="00BD0D0F"/>
    <w:rsid w:val="00BD5F76"/>
    <w:rsid w:val="00BD649D"/>
    <w:rsid w:val="00BD741B"/>
    <w:rsid w:val="00BE0DE7"/>
    <w:rsid w:val="00BE6832"/>
    <w:rsid w:val="00BF2561"/>
    <w:rsid w:val="00BF5905"/>
    <w:rsid w:val="00BF6152"/>
    <w:rsid w:val="00C025A9"/>
    <w:rsid w:val="00C06314"/>
    <w:rsid w:val="00C10135"/>
    <w:rsid w:val="00C123DF"/>
    <w:rsid w:val="00C206EE"/>
    <w:rsid w:val="00C23604"/>
    <w:rsid w:val="00C236B2"/>
    <w:rsid w:val="00C261EA"/>
    <w:rsid w:val="00C308FA"/>
    <w:rsid w:val="00C31839"/>
    <w:rsid w:val="00C31A7F"/>
    <w:rsid w:val="00C32280"/>
    <w:rsid w:val="00C33D29"/>
    <w:rsid w:val="00C35287"/>
    <w:rsid w:val="00C35DEC"/>
    <w:rsid w:val="00C35ED6"/>
    <w:rsid w:val="00C35F32"/>
    <w:rsid w:val="00C436EE"/>
    <w:rsid w:val="00C47531"/>
    <w:rsid w:val="00C477AC"/>
    <w:rsid w:val="00C50900"/>
    <w:rsid w:val="00C51BE7"/>
    <w:rsid w:val="00C53C65"/>
    <w:rsid w:val="00C565EF"/>
    <w:rsid w:val="00C57409"/>
    <w:rsid w:val="00C57614"/>
    <w:rsid w:val="00C618D7"/>
    <w:rsid w:val="00C624CC"/>
    <w:rsid w:val="00C63431"/>
    <w:rsid w:val="00C63C14"/>
    <w:rsid w:val="00C64BBB"/>
    <w:rsid w:val="00C64D00"/>
    <w:rsid w:val="00C64DEA"/>
    <w:rsid w:val="00C74935"/>
    <w:rsid w:val="00C7543A"/>
    <w:rsid w:val="00C80A22"/>
    <w:rsid w:val="00C810DB"/>
    <w:rsid w:val="00C8400B"/>
    <w:rsid w:val="00C84B06"/>
    <w:rsid w:val="00C85E91"/>
    <w:rsid w:val="00C911AD"/>
    <w:rsid w:val="00C929AD"/>
    <w:rsid w:val="00CA04C6"/>
    <w:rsid w:val="00CA522F"/>
    <w:rsid w:val="00CB0684"/>
    <w:rsid w:val="00CB2190"/>
    <w:rsid w:val="00CB5999"/>
    <w:rsid w:val="00CB5B1A"/>
    <w:rsid w:val="00CB733F"/>
    <w:rsid w:val="00CC36EF"/>
    <w:rsid w:val="00CC4B4F"/>
    <w:rsid w:val="00CC4B8E"/>
    <w:rsid w:val="00CC5CD8"/>
    <w:rsid w:val="00CC697B"/>
    <w:rsid w:val="00CC6F53"/>
    <w:rsid w:val="00CC7207"/>
    <w:rsid w:val="00CD566F"/>
    <w:rsid w:val="00CE16CC"/>
    <w:rsid w:val="00CE1712"/>
    <w:rsid w:val="00CE3387"/>
    <w:rsid w:val="00CE3A39"/>
    <w:rsid w:val="00CE7355"/>
    <w:rsid w:val="00CF34D6"/>
    <w:rsid w:val="00CF4118"/>
    <w:rsid w:val="00CF419C"/>
    <w:rsid w:val="00CF702F"/>
    <w:rsid w:val="00D03291"/>
    <w:rsid w:val="00D042A3"/>
    <w:rsid w:val="00D05CB2"/>
    <w:rsid w:val="00D07BC5"/>
    <w:rsid w:val="00D07C0D"/>
    <w:rsid w:val="00D10D90"/>
    <w:rsid w:val="00D116AD"/>
    <w:rsid w:val="00D11C9F"/>
    <w:rsid w:val="00D13C42"/>
    <w:rsid w:val="00D16B25"/>
    <w:rsid w:val="00D20AD1"/>
    <w:rsid w:val="00D24922"/>
    <w:rsid w:val="00D301EA"/>
    <w:rsid w:val="00D31DC2"/>
    <w:rsid w:val="00D327D9"/>
    <w:rsid w:val="00D41AE5"/>
    <w:rsid w:val="00D429E0"/>
    <w:rsid w:val="00D42B9A"/>
    <w:rsid w:val="00D443A1"/>
    <w:rsid w:val="00D446AF"/>
    <w:rsid w:val="00D4484E"/>
    <w:rsid w:val="00D469E4"/>
    <w:rsid w:val="00D4728F"/>
    <w:rsid w:val="00D50BCB"/>
    <w:rsid w:val="00D50F47"/>
    <w:rsid w:val="00D5354B"/>
    <w:rsid w:val="00D563D0"/>
    <w:rsid w:val="00D738DB"/>
    <w:rsid w:val="00D73FE2"/>
    <w:rsid w:val="00D7465B"/>
    <w:rsid w:val="00D77741"/>
    <w:rsid w:val="00D81026"/>
    <w:rsid w:val="00D812BD"/>
    <w:rsid w:val="00D84622"/>
    <w:rsid w:val="00D8694D"/>
    <w:rsid w:val="00D87CBD"/>
    <w:rsid w:val="00D9306A"/>
    <w:rsid w:val="00D944BF"/>
    <w:rsid w:val="00D96327"/>
    <w:rsid w:val="00D975CE"/>
    <w:rsid w:val="00DB07A4"/>
    <w:rsid w:val="00DB5454"/>
    <w:rsid w:val="00DB5911"/>
    <w:rsid w:val="00DB7175"/>
    <w:rsid w:val="00DC0477"/>
    <w:rsid w:val="00DC0D24"/>
    <w:rsid w:val="00DD047B"/>
    <w:rsid w:val="00DD5D99"/>
    <w:rsid w:val="00DD6F15"/>
    <w:rsid w:val="00DE3C4E"/>
    <w:rsid w:val="00DE5D9E"/>
    <w:rsid w:val="00DE75D8"/>
    <w:rsid w:val="00DF0B12"/>
    <w:rsid w:val="00DF3751"/>
    <w:rsid w:val="00DF515C"/>
    <w:rsid w:val="00DF5695"/>
    <w:rsid w:val="00E00C20"/>
    <w:rsid w:val="00E015E6"/>
    <w:rsid w:val="00E02BEB"/>
    <w:rsid w:val="00E05B44"/>
    <w:rsid w:val="00E066B4"/>
    <w:rsid w:val="00E06BF5"/>
    <w:rsid w:val="00E101E3"/>
    <w:rsid w:val="00E13C5C"/>
    <w:rsid w:val="00E209BF"/>
    <w:rsid w:val="00E2144C"/>
    <w:rsid w:val="00E22C12"/>
    <w:rsid w:val="00E236C6"/>
    <w:rsid w:val="00E3115C"/>
    <w:rsid w:val="00E34F33"/>
    <w:rsid w:val="00E35CBB"/>
    <w:rsid w:val="00E35DC5"/>
    <w:rsid w:val="00E40F95"/>
    <w:rsid w:val="00E41CF8"/>
    <w:rsid w:val="00E4269D"/>
    <w:rsid w:val="00E4312B"/>
    <w:rsid w:val="00E5222C"/>
    <w:rsid w:val="00E57576"/>
    <w:rsid w:val="00E604B3"/>
    <w:rsid w:val="00E60650"/>
    <w:rsid w:val="00E60EE1"/>
    <w:rsid w:val="00E6109E"/>
    <w:rsid w:val="00E65475"/>
    <w:rsid w:val="00E708F6"/>
    <w:rsid w:val="00E716B4"/>
    <w:rsid w:val="00E7210E"/>
    <w:rsid w:val="00E77999"/>
    <w:rsid w:val="00E86B67"/>
    <w:rsid w:val="00E9314D"/>
    <w:rsid w:val="00E95DFC"/>
    <w:rsid w:val="00EA33D5"/>
    <w:rsid w:val="00EA5C37"/>
    <w:rsid w:val="00EA5E02"/>
    <w:rsid w:val="00EA5FD0"/>
    <w:rsid w:val="00EA63B1"/>
    <w:rsid w:val="00EA78C1"/>
    <w:rsid w:val="00EB0020"/>
    <w:rsid w:val="00EB25DC"/>
    <w:rsid w:val="00EB3985"/>
    <w:rsid w:val="00EC7D3F"/>
    <w:rsid w:val="00ED0468"/>
    <w:rsid w:val="00ED0DD3"/>
    <w:rsid w:val="00ED2736"/>
    <w:rsid w:val="00ED648B"/>
    <w:rsid w:val="00ED6FBC"/>
    <w:rsid w:val="00EE16DD"/>
    <w:rsid w:val="00EE2AE5"/>
    <w:rsid w:val="00EE31B0"/>
    <w:rsid w:val="00EE356F"/>
    <w:rsid w:val="00EE397E"/>
    <w:rsid w:val="00EE552C"/>
    <w:rsid w:val="00EE65B1"/>
    <w:rsid w:val="00EF1C55"/>
    <w:rsid w:val="00EF1C95"/>
    <w:rsid w:val="00EF23C0"/>
    <w:rsid w:val="00EF2774"/>
    <w:rsid w:val="00EF4059"/>
    <w:rsid w:val="00EF5586"/>
    <w:rsid w:val="00F00403"/>
    <w:rsid w:val="00F04E47"/>
    <w:rsid w:val="00F067A6"/>
    <w:rsid w:val="00F078B7"/>
    <w:rsid w:val="00F07B77"/>
    <w:rsid w:val="00F100D6"/>
    <w:rsid w:val="00F1278D"/>
    <w:rsid w:val="00F14BFD"/>
    <w:rsid w:val="00F17566"/>
    <w:rsid w:val="00F20F84"/>
    <w:rsid w:val="00F238F2"/>
    <w:rsid w:val="00F332B3"/>
    <w:rsid w:val="00F34D63"/>
    <w:rsid w:val="00F35F7A"/>
    <w:rsid w:val="00F41C35"/>
    <w:rsid w:val="00F42427"/>
    <w:rsid w:val="00F4438C"/>
    <w:rsid w:val="00F46ED7"/>
    <w:rsid w:val="00F549D7"/>
    <w:rsid w:val="00F556DB"/>
    <w:rsid w:val="00F560D5"/>
    <w:rsid w:val="00F56325"/>
    <w:rsid w:val="00F64D83"/>
    <w:rsid w:val="00F73D95"/>
    <w:rsid w:val="00F7441E"/>
    <w:rsid w:val="00F77044"/>
    <w:rsid w:val="00F776F9"/>
    <w:rsid w:val="00F8015E"/>
    <w:rsid w:val="00F83598"/>
    <w:rsid w:val="00F85766"/>
    <w:rsid w:val="00F86673"/>
    <w:rsid w:val="00F866FA"/>
    <w:rsid w:val="00F87AD4"/>
    <w:rsid w:val="00F91869"/>
    <w:rsid w:val="00F91CCA"/>
    <w:rsid w:val="00F931D3"/>
    <w:rsid w:val="00F9524F"/>
    <w:rsid w:val="00F95769"/>
    <w:rsid w:val="00FA02E0"/>
    <w:rsid w:val="00FA289A"/>
    <w:rsid w:val="00FA3C5E"/>
    <w:rsid w:val="00FA4197"/>
    <w:rsid w:val="00FB3323"/>
    <w:rsid w:val="00FB375B"/>
    <w:rsid w:val="00FB6425"/>
    <w:rsid w:val="00FB722E"/>
    <w:rsid w:val="00FB731C"/>
    <w:rsid w:val="00FC3BB9"/>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601E7C"/>
  <w15:docId w15:val="{2AF5480B-02E6-C641-A790-1D2A2D21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style>
  <w:style w:type="paragraph" w:styleId="Heading1">
    <w:name w:val="heading 1"/>
    <w:basedOn w:val="Normal"/>
    <w:next w:val="Normal"/>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qFormat/>
    <w:rsid w:val="002A5442"/>
    <w:pPr>
      <w:spacing w:before="360"/>
      <w:outlineLvl w:val="1"/>
    </w:pPr>
    <w:rPr>
      <w:bCs w:val="0"/>
      <w:iCs/>
      <w:sz w:val="32"/>
      <w:szCs w:val="28"/>
    </w:rPr>
  </w:style>
  <w:style w:type="paragraph" w:styleId="Heading3">
    <w:name w:val="heading 3"/>
    <w:basedOn w:val="Heading2"/>
    <w:next w:val="Normal"/>
    <w:link w:val="Heading3Char"/>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themeColor="text1"/>
      <w:sz w:val="24"/>
      <w:szCs w:val="26"/>
    </w:rPr>
  </w:style>
  <w:style w:type="paragraph" w:styleId="Heading5">
    <w:name w:val="heading 5"/>
    <w:basedOn w:val="Normal"/>
    <w:next w:val="Normal"/>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4A299A"/>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1 headi"/>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1 headi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Category">
    <w:name w:val="Category"/>
    <w:basedOn w:val="Normal"/>
    <w:qFormat/>
    <w:rsid w:val="00BC6298"/>
    <w:pPr>
      <w:keepLines/>
      <w:spacing w:before="0" w:after="0"/>
      <w:jc w:val="right"/>
    </w:pPr>
    <w:rPr>
      <w:b/>
      <w:color w:val="000000" w:themeColor="text1"/>
      <w:sz w:val="28"/>
      <w:szCs w:val="40"/>
      <w:lang w:val="en-US"/>
    </w:rPr>
  </w:style>
  <w:style w:type="paragraph" w:customStyle="1" w:styleId="designdirection">
    <w:name w:val="design direction"/>
    <w:basedOn w:val="Normal"/>
    <w:qFormat/>
    <w:rsid w:val="00BC6298"/>
    <w:pPr>
      <w:spacing w:before="0" w:after="0" w:line="276" w:lineRule="auto"/>
    </w:pPr>
    <w:rPr>
      <w:rFonts w:ascii="Arial" w:eastAsia="Arial" w:hAnsi="Arial" w:cs="Arial"/>
      <w:color w:val="0432FF"/>
      <w:lang w:val="en-GB" w:eastAsia="en-GB"/>
    </w:rPr>
  </w:style>
  <w:style w:type="paragraph" w:customStyle="1" w:styleId="TicksLists">
    <w:name w:val="Ticks (Lists)"/>
    <w:basedOn w:val="Normal"/>
    <w:uiPriority w:val="99"/>
    <w:rsid w:val="002E1AAD"/>
    <w:pPr>
      <w:numPr>
        <w:numId w:val="32"/>
      </w:numPr>
      <w:ind w:left="357" w:hanging="357"/>
    </w:pPr>
    <w:rPr>
      <w:rFonts w:ascii="Arial" w:hAnsi="Arial" w:cs="Arial"/>
      <w:color w:val="000000" w:themeColor="text1"/>
      <w:lang w:eastAsia="en-US"/>
    </w:rPr>
  </w:style>
  <w:style w:type="character" w:styleId="CommentReference">
    <w:name w:val="annotation reference"/>
    <w:basedOn w:val="DefaultParagraphFont"/>
    <w:unhideWhenUsed/>
    <w:locked/>
    <w:rsid w:val="00A2438F"/>
    <w:rPr>
      <w:sz w:val="16"/>
      <w:szCs w:val="16"/>
    </w:rPr>
  </w:style>
  <w:style w:type="paragraph" w:customStyle="1" w:styleId="Website">
    <w:name w:val="Website"/>
    <w:basedOn w:val="Normal"/>
    <w:uiPriority w:val="99"/>
    <w:rsid w:val="00327E4E"/>
    <w:pPr>
      <w:keepLines/>
      <w:widowControl w:val="0"/>
      <w:suppressAutoHyphens/>
      <w:autoSpaceDE w:val="0"/>
      <w:autoSpaceDN w:val="0"/>
      <w:adjustRightInd w:val="0"/>
      <w:spacing w:before="480" w:after="60"/>
      <w:textAlignment w:val="center"/>
    </w:pPr>
    <w:rPr>
      <w:rFonts w:cs="ProximaNova-Bold"/>
      <w:b/>
      <w:bCs/>
      <w:color w:val="005370" w:themeColor="text2"/>
      <w:sz w:val="27"/>
      <w:szCs w:val="27"/>
      <w:u w:color="1178A2"/>
      <w:lang w:val="en-US"/>
    </w:rPr>
  </w:style>
  <w:style w:type="paragraph" w:styleId="CommentText">
    <w:name w:val="annotation text"/>
    <w:basedOn w:val="Normal"/>
    <w:link w:val="CommentTextChar"/>
    <w:semiHidden/>
    <w:unhideWhenUsed/>
    <w:locked/>
    <w:rsid w:val="00886FEA"/>
    <w:rPr>
      <w:sz w:val="20"/>
      <w:szCs w:val="20"/>
    </w:rPr>
  </w:style>
  <w:style w:type="character" w:customStyle="1" w:styleId="CommentTextChar">
    <w:name w:val="Comment Text Char"/>
    <w:basedOn w:val="DefaultParagraphFont"/>
    <w:link w:val="CommentText"/>
    <w:semiHidden/>
    <w:rsid w:val="00886FEA"/>
    <w:rPr>
      <w:sz w:val="20"/>
      <w:szCs w:val="20"/>
    </w:rPr>
  </w:style>
  <w:style w:type="paragraph" w:styleId="CommentSubject">
    <w:name w:val="annotation subject"/>
    <w:basedOn w:val="CommentText"/>
    <w:next w:val="CommentText"/>
    <w:link w:val="CommentSubjectChar"/>
    <w:uiPriority w:val="98"/>
    <w:semiHidden/>
    <w:unhideWhenUsed/>
    <w:locked/>
    <w:rsid w:val="00886FEA"/>
    <w:rPr>
      <w:b/>
      <w:bCs/>
    </w:rPr>
  </w:style>
  <w:style w:type="character" w:customStyle="1" w:styleId="CommentSubjectChar">
    <w:name w:val="Comment Subject Char"/>
    <w:basedOn w:val="CommentTextChar"/>
    <w:link w:val="CommentSubject"/>
    <w:uiPriority w:val="98"/>
    <w:semiHidden/>
    <w:rsid w:val="00886FEA"/>
    <w:rPr>
      <w:b/>
      <w:bCs/>
      <w:sz w:val="20"/>
      <w:szCs w:val="20"/>
    </w:rPr>
  </w:style>
  <w:style w:type="paragraph" w:styleId="NoSpacing">
    <w:name w:val="No Spacing"/>
    <w:uiPriority w:val="98"/>
    <w:locked/>
    <w:rsid w:val="006A3396"/>
    <w:pPr>
      <w:spacing w:after="0"/>
    </w:pPr>
  </w:style>
  <w:style w:type="paragraph" w:styleId="ListBullet">
    <w:name w:val="List Bullet"/>
    <w:basedOn w:val="Normal"/>
    <w:uiPriority w:val="98"/>
    <w:locked/>
    <w:rsid w:val="008A118C"/>
    <w:pPr>
      <w:numPr>
        <w:numId w:val="29"/>
      </w:numPr>
      <w:contextualSpacing/>
    </w:pPr>
  </w:style>
  <w:style w:type="character" w:customStyle="1" w:styleId="Heading3Char">
    <w:name w:val="Heading 3 Char"/>
    <w:basedOn w:val="DefaultParagraphFont"/>
    <w:link w:val="Heading3"/>
    <w:rsid w:val="002B7EA5"/>
    <w:rPr>
      <w:rFonts w:cs="Arial"/>
      <w:b/>
      <w:bCs/>
      <w:iCs/>
      <w:color w:val="005370" w:themeColor="text2"/>
      <w:kern w:val="28"/>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20965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publications-and-resources/australian-register-clinical-registries"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health.gov.au/resources/publications/a-national-strategy-for-clinical-quality-registries-and-virtual-registries-2020-2030" TargetMode="External"/><Relationship Id="rId20" Type="http://schemas.openxmlformats.org/officeDocument/2006/relationships/hyperlink" Target="http://www.safetyandquali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fetyandquality.gov.au/publications-and-resources/resource-library/australian-framework-national-clinical-quality-registries-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6022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JESSOP, Tommy</cp:lastModifiedBy>
  <cp:revision>2</cp:revision>
  <cp:lastPrinted>2020-03-04T03:32:00Z</cp:lastPrinted>
  <dcterms:created xsi:type="dcterms:W3CDTF">2024-11-20T22:21:00Z</dcterms:created>
  <dcterms:modified xsi:type="dcterms:W3CDTF">2024-11-20T22:21:00Z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ediaServiceImageTags">
    <vt:lpwstr/>
  </property>
</Properties>
</file>