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C98B6" w14:textId="51C07545" w:rsidR="00466C72" w:rsidRPr="00466C72" w:rsidRDefault="006F4572" w:rsidP="00466C72">
      <w:pPr>
        <w:pStyle w:val="Category"/>
        <w:rPr>
          <w:smallCaps/>
        </w:rPr>
      </w:pPr>
      <w:bookmarkStart w:id="0" w:name="_Toc476822632"/>
      <w:bookmarkStart w:id="1" w:name="_Toc476822653"/>
      <w:r>
        <w:rPr>
          <w:smallCaps/>
        </w:rPr>
        <w:t>FACT SHEET</w:t>
      </w:r>
      <w:r w:rsidR="00466C72" w:rsidRPr="00466C72">
        <w:rPr>
          <w:smallCaps/>
        </w:rPr>
        <w:t xml:space="preserve"> </w:t>
      </w:r>
    </w:p>
    <w:p w14:paraId="640B4842" w14:textId="5CE1D84A" w:rsidR="00466C72" w:rsidRDefault="00466C72" w:rsidP="00466C72">
      <w:pPr>
        <w:pStyle w:val="Category"/>
        <w:rPr>
          <w:b w:val="0"/>
          <w:bCs/>
        </w:rPr>
      </w:pPr>
      <w:r w:rsidRPr="00466C72">
        <w:rPr>
          <w:b w:val="0"/>
          <w:bCs/>
        </w:rPr>
        <w:t xml:space="preserve">for </w:t>
      </w:r>
      <w:r w:rsidR="000429EE">
        <w:rPr>
          <w:b w:val="0"/>
          <w:bCs/>
        </w:rPr>
        <w:t>clinicians</w:t>
      </w:r>
    </w:p>
    <w:bookmarkEnd w:id="0"/>
    <w:bookmarkEnd w:id="1"/>
    <w:p w14:paraId="2AAADFFE" w14:textId="77777777" w:rsidR="00591EE8" w:rsidRDefault="00591EE8" w:rsidP="00F60CA8">
      <w:pPr>
        <w:pStyle w:val="Title"/>
        <w:rPr>
          <w:lang w:val="en-AU"/>
        </w:rPr>
      </w:pPr>
      <w:r w:rsidRPr="00591EE8">
        <w:rPr>
          <w:lang w:val="en-AU"/>
        </w:rPr>
        <w:t xml:space="preserve">Paediatric prescribing position statement </w:t>
      </w:r>
    </w:p>
    <w:p w14:paraId="21A78FBE" w14:textId="77777777" w:rsidR="00B6073C" w:rsidRPr="00B6073C" w:rsidRDefault="00B6073C" w:rsidP="00B6073C">
      <w:pPr>
        <w:rPr>
          <w:b/>
          <w:bCs/>
          <w:color w:val="125370" w:themeColor="accent3"/>
          <w:sz w:val="32"/>
          <w:szCs w:val="32"/>
          <w:lang w:val="en-GB"/>
        </w:rPr>
      </w:pPr>
      <w:r w:rsidRPr="00B6073C">
        <w:rPr>
          <w:b/>
          <w:bCs/>
          <w:color w:val="125370" w:themeColor="accent3"/>
          <w:sz w:val="32"/>
          <w:szCs w:val="32"/>
          <w:lang w:val="en-GB"/>
        </w:rPr>
        <w:t xml:space="preserve">Children are more vulnerable to harm from medication errors. </w:t>
      </w:r>
    </w:p>
    <w:p w14:paraId="15522CD7" w14:textId="258DD70E" w:rsidR="00591EE8" w:rsidRPr="002F46D7" w:rsidRDefault="00B6073C" w:rsidP="002F46D7">
      <w:pPr>
        <w:rPr>
          <w:rFonts w:cs="Arial"/>
          <w:b/>
          <w:bCs/>
          <w:iCs/>
          <w:color w:val="125370" w:themeColor="accent3"/>
          <w:kern w:val="28"/>
          <w:sz w:val="32"/>
          <w:szCs w:val="32"/>
          <w:lang w:val="en-GB"/>
        </w:rPr>
      </w:pPr>
      <w:r w:rsidRPr="00B6073C">
        <w:rPr>
          <w:b/>
          <w:bCs/>
          <w:color w:val="125370" w:themeColor="accent3"/>
          <w:sz w:val="32"/>
          <w:szCs w:val="32"/>
          <w:lang w:val="en-GB"/>
        </w:rPr>
        <w:t>Small errors in prescribing can have significant consequences for children.</w:t>
      </w:r>
    </w:p>
    <w:tbl>
      <w:tblPr>
        <w:tblStyle w:val="MDBAsimpletabl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Description w:val="Stop, Think, Check! "/>
      </w:tblPr>
      <w:tblGrid>
        <w:gridCol w:w="1417"/>
        <w:gridCol w:w="8221"/>
      </w:tblGrid>
      <w:tr w:rsidR="002F46D7" w14:paraId="5215746E" w14:textId="77777777" w:rsidTr="00443742">
        <w:trPr>
          <w:cnfStyle w:val="100000000000" w:firstRow="1" w:lastRow="0" w:firstColumn="0" w:lastColumn="0" w:oddVBand="0" w:evenVBand="0" w:oddHBand="0" w:evenHBand="0" w:firstRowFirstColumn="0" w:firstRowLastColumn="0" w:lastRowFirstColumn="0" w:lastRowLastColumn="0"/>
          <w:cantSplit/>
          <w:tblHeader/>
        </w:trPr>
        <w:tc>
          <w:tcPr>
            <w:tcW w:w="5000" w:type="pct"/>
            <w:gridSpan w:val="2"/>
            <w:shd w:val="clear" w:color="auto" w:fill="auto"/>
          </w:tcPr>
          <w:p w14:paraId="638A7773" w14:textId="536A7B56" w:rsidR="002F46D7" w:rsidRPr="002F46D7" w:rsidRDefault="002F46D7" w:rsidP="002F46D7">
            <w:pPr>
              <w:pStyle w:val="Heading2"/>
              <w:spacing w:before="360"/>
              <w:ind w:left="-57"/>
              <w:rPr>
                <w:b/>
                <w:bCs/>
              </w:rPr>
            </w:pPr>
            <w:r w:rsidRPr="002F46D7">
              <w:rPr>
                <w:b/>
                <w:bCs/>
              </w:rPr>
              <w:t xml:space="preserve">Stop, Think, Check! </w:t>
            </w:r>
          </w:p>
        </w:tc>
      </w:tr>
      <w:tr w:rsidR="002F46D7" w14:paraId="235DD9C5" w14:textId="77777777" w:rsidTr="00443742">
        <w:trPr>
          <w:cnfStyle w:val="100000000000" w:firstRow="1" w:lastRow="0" w:firstColumn="0" w:lastColumn="0" w:oddVBand="0" w:evenVBand="0" w:oddHBand="0" w:evenHBand="0" w:firstRowFirstColumn="0" w:firstRowLastColumn="0" w:lastRowFirstColumn="0" w:lastRowLastColumn="0"/>
          <w:cantSplit/>
          <w:tblHeader/>
        </w:trPr>
        <w:tc>
          <w:tcPr>
            <w:tcW w:w="735" w:type="pct"/>
            <w:shd w:val="clear" w:color="auto" w:fill="FCE7DD"/>
          </w:tcPr>
          <w:p w14:paraId="20C45684" w14:textId="54E392EC" w:rsidR="002F46D7" w:rsidRPr="002D46E6" w:rsidRDefault="002F46D7" w:rsidP="002F46D7">
            <w:pPr>
              <w:spacing w:before="0" w:after="0"/>
              <w:rPr>
                <w:noProof/>
              </w:rPr>
            </w:pPr>
            <w:r w:rsidRPr="002D46E6">
              <w:rPr>
                <w:noProof/>
              </w:rPr>
              <w:drawing>
                <wp:inline distT="0" distB="0" distL="0" distR="0" wp14:anchorId="398839DB" wp14:editId="3A206365">
                  <wp:extent cx="685800" cy="685800"/>
                  <wp:effectExtent l="0" t="0" r="0" b="0"/>
                  <wp:docPr id="1838092242" name="Picture 1838092242" descr="Sto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op icon"/>
                          <pic:cNvPicPr/>
                        </pic:nvPicPr>
                        <pic:blipFill>
                          <a:blip r:embed="rId8"/>
                          <a:stretch>
                            <a:fillRect/>
                          </a:stretch>
                        </pic:blipFill>
                        <pic:spPr>
                          <a:xfrm>
                            <a:off x="0" y="0"/>
                            <a:ext cx="685800" cy="685800"/>
                          </a:xfrm>
                          <a:prstGeom prst="rect">
                            <a:avLst/>
                          </a:prstGeom>
                        </pic:spPr>
                      </pic:pic>
                    </a:graphicData>
                  </a:graphic>
                </wp:inline>
              </w:drawing>
            </w:r>
          </w:p>
        </w:tc>
        <w:tc>
          <w:tcPr>
            <w:tcW w:w="4265" w:type="pct"/>
            <w:shd w:val="clear" w:color="auto" w:fill="FCE7DD"/>
          </w:tcPr>
          <w:p w14:paraId="2737D11C" w14:textId="0791F58F" w:rsidR="002F46D7" w:rsidRPr="00B6073C" w:rsidRDefault="002F46D7" w:rsidP="002F46D7">
            <w:pPr>
              <w:pStyle w:val="Heading3"/>
              <w:rPr>
                <w:lang w:val="en-GB"/>
              </w:rPr>
            </w:pPr>
            <w:r w:rsidRPr="00B6073C">
              <w:rPr>
                <w:lang w:val="en-GB"/>
              </w:rPr>
              <w:t>Stop and review the appropriateness of the medicine for the child and the information required to prescribe safely</w:t>
            </w:r>
          </w:p>
        </w:tc>
      </w:tr>
      <w:tr w:rsidR="00591EE8" w14:paraId="1A4AFF9C" w14:textId="77777777" w:rsidTr="00443742">
        <w:trPr>
          <w:cnfStyle w:val="100000000000" w:firstRow="1" w:lastRow="0" w:firstColumn="0" w:lastColumn="0" w:oddVBand="0" w:evenVBand="0" w:oddHBand="0" w:evenHBand="0" w:firstRowFirstColumn="0" w:firstRowLastColumn="0" w:lastRowFirstColumn="0" w:lastRowLastColumn="0"/>
          <w:cantSplit/>
          <w:tblHeader/>
        </w:trPr>
        <w:tc>
          <w:tcPr>
            <w:tcW w:w="735" w:type="pct"/>
            <w:shd w:val="clear" w:color="auto" w:fill="auto"/>
          </w:tcPr>
          <w:p w14:paraId="1C209141" w14:textId="0F23D078" w:rsidR="00591EE8" w:rsidRPr="002D46E6" w:rsidRDefault="004F604A" w:rsidP="00971781">
            <w:pPr>
              <w:spacing w:before="0" w:after="0"/>
              <w:jc w:val="center"/>
            </w:pPr>
            <w:r w:rsidRPr="00A047FE">
              <w:rPr>
                <w:noProof/>
              </w:rPr>
              <w:drawing>
                <wp:inline distT="0" distB="0" distL="0" distR="0" wp14:anchorId="6C014DFA" wp14:editId="0947FDE0">
                  <wp:extent cx="355600" cy="823265"/>
                  <wp:effectExtent l="0" t="0" r="0" b="2540"/>
                  <wp:docPr id="1114912917" name="Picture 11149129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912917" name="Picture 1114912917">
                            <a:extLst>
                              <a:ext uri="{C183D7F6-B498-43B3-948B-1728B52AA6E4}">
                                <adec:decorative xmlns:adec="http://schemas.microsoft.com/office/drawing/2017/decorative" val="1"/>
                              </a:ext>
                            </a:extLst>
                          </pic:cNvPr>
                          <pic:cNvPicPr/>
                        </pic:nvPicPr>
                        <pic:blipFill rotWithShape="1">
                          <a:blip r:embed="rId9"/>
                          <a:srcRect t="39918" r="-100" b="-1"/>
                          <a:stretch/>
                        </pic:blipFill>
                        <pic:spPr bwMode="auto">
                          <a:xfrm>
                            <a:off x="0" y="0"/>
                            <a:ext cx="355954" cy="824085"/>
                          </a:xfrm>
                          <a:prstGeom prst="rect">
                            <a:avLst/>
                          </a:prstGeom>
                          <a:ln>
                            <a:noFill/>
                          </a:ln>
                          <a:extLst>
                            <a:ext uri="{53640926-AAD7-44D8-BBD7-CCE9431645EC}">
                              <a14:shadowObscured xmlns:a14="http://schemas.microsoft.com/office/drawing/2010/main"/>
                            </a:ext>
                          </a:extLst>
                        </pic:spPr>
                      </pic:pic>
                    </a:graphicData>
                  </a:graphic>
                </wp:inline>
              </w:drawing>
            </w:r>
          </w:p>
        </w:tc>
        <w:tc>
          <w:tcPr>
            <w:tcW w:w="4265" w:type="pct"/>
            <w:shd w:val="clear" w:color="auto" w:fill="auto"/>
          </w:tcPr>
          <w:p w14:paraId="50C6E442" w14:textId="1BA68150" w:rsidR="00591EE8" w:rsidRPr="00B6073C" w:rsidRDefault="00B6073C" w:rsidP="00591EE8">
            <w:pPr>
              <w:rPr>
                <w:lang w:val="en-GB"/>
              </w:rPr>
            </w:pPr>
            <w:r w:rsidRPr="00B6073C">
              <w:rPr>
                <w:lang w:val="en-GB"/>
              </w:rPr>
              <w:t>If the medicine is indicated, is the medicine appropriate for the child, noting any known allergies; is this the right formulation; and is the dose correct based on:</w:t>
            </w:r>
          </w:p>
          <w:p w14:paraId="69DF38B2" w14:textId="77777777" w:rsidR="00B6073C" w:rsidRPr="00B6073C" w:rsidRDefault="00B6073C" w:rsidP="00B6073C">
            <w:pPr>
              <w:pStyle w:val="ListParagraph"/>
              <w:numPr>
                <w:ilvl w:val="0"/>
                <w:numId w:val="38"/>
              </w:numPr>
              <w:rPr>
                <w:b w:val="0"/>
                <w:bCs/>
                <w:lang w:val="en-GB"/>
              </w:rPr>
            </w:pPr>
            <w:r w:rsidRPr="00B6073C">
              <w:rPr>
                <w:bCs/>
                <w:lang w:val="en-GB"/>
              </w:rPr>
              <w:t xml:space="preserve">Age and/or date of birth </w:t>
            </w:r>
          </w:p>
          <w:p w14:paraId="287136AB" w14:textId="26B348DE" w:rsidR="00591EE8" w:rsidRDefault="00B6073C" w:rsidP="00B6073C">
            <w:pPr>
              <w:pStyle w:val="ListParagraph"/>
              <w:numPr>
                <w:ilvl w:val="0"/>
                <w:numId w:val="38"/>
              </w:numPr>
            </w:pPr>
            <w:r w:rsidRPr="00B6073C">
              <w:rPr>
                <w:bCs/>
              </w:rPr>
              <w:t>Current and accurate body weight</w:t>
            </w:r>
            <w:r w:rsidR="00591EE8">
              <w:t>.</w:t>
            </w:r>
          </w:p>
        </w:tc>
      </w:tr>
      <w:tr w:rsidR="00591EE8" w14:paraId="1C3D1182" w14:textId="77777777" w:rsidTr="00443742">
        <w:trPr>
          <w:cnfStyle w:val="100000000000" w:firstRow="1" w:lastRow="0" w:firstColumn="0" w:lastColumn="0" w:oddVBand="0" w:evenVBand="0" w:oddHBand="0" w:evenHBand="0" w:firstRowFirstColumn="0" w:firstRowLastColumn="0" w:lastRowFirstColumn="0" w:lastRowLastColumn="0"/>
          <w:cantSplit/>
          <w:tblHeader/>
        </w:trPr>
        <w:tc>
          <w:tcPr>
            <w:tcW w:w="735" w:type="pct"/>
            <w:shd w:val="clear" w:color="auto" w:fill="FFF1E2"/>
          </w:tcPr>
          <w:p w14:paraId="4A3CD412" w14:textId="77777777" w:rsidR="00591EE8" w:rsidRDefault="00591EE8" w:rsidP="00971781">
            <w:pPr>
              <w:spacing w:before="0" w:after="0"/>
            </w:pPr>
            <w:r w:rsidRPr="002D46E6">
              <w:rPr>
                <w:noProof/>
              </w:rPr>
              <w:drawing>
                <wp:inline distT="0" distB="0" distL="0" distR="0" wp14:anchorId="1E8FE8A3" wp14:editId="11DC6C24">
                  <wp:extent cx="685800" cy="685800"/>
                  <wp:effectExtent l="0" t="0" r="0" b="0"/>
                  <wp:docPr id="5" name="Picture 5" descr="Clipboard and pe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lipboard and pen icon"/>
                          <pic:cNvPicPr/>
                        </pic:nvPicPr>
                        <pic:blipFill>
                          <a:blip r:embed="rId10"/>
                          <a:stretch>
                            <a:fillRect/>
                          </a:stretch>
                        </pic:blipFill>
                        <pic:spPr>
                          <a:xfrm>
                            <a:off x="0" y="0"/>
                            <a:ext cx="685800" cy="685800"/>
                          </a:xfrm>
                          <a:prstGeom prst="rect">
                            <a:avLst/>
                          </a:prstGeom>
                        </pic:spPr>
                      </pic:pic>
                    </a:graphicData>
                  </a:graphic>
                </wp:inline>
              </w:drawing>
            </w:r>
          </w:p>
        </w:tc>
        <w:tc>
          <w:tcPr>
            <w:tcW w:w="4265" w:type="pct"/>
            <w:shd w:val="clear" w:color="auto" w:fill="FFF1E2"/>
          </w:tcPr>
          <w:p w14:paraId="1AA08C8F" w14:textId="1E21BD98" w:rsidR="00591EE8" w:rsidRPr="00B6073C" w:rsidRDefault="00B6073C" w:rsidP="0064059B">
            <w:pPr>
              <w:pStyle w:val="Heading3"/>
              <w:rPr>
                <w:lang w:val="en-GB"/>
              </w:rPr>
            </w:pPr>
            <w:r w:rsidRPr="00B6073C">
              <w:rPr>
                <w:lang w:val="en-GB"/>
              </w:rPr>
              <w:t>Think about the prescription information for the pharmacist to dispense, nurse and others to administer, and patient to use</w:t>
            </w:r>
          </w:p>
        </w:tc>
      </w:tr>
      <w:tr w:rsidR="00591EE8" w14:paraId="4A896E3E" w14:textId="77777777" w:rsidTr="00443742">
        <w:trPr>
          <w:cnfStyle w:val="100000000000" w:firstRow="1" w:lastRow="0" w:firstColumn="0" w:lastColumn="0" w:oddVBand="0" w:evenVBand="0" w:oddHBand="0" w:evenHBand="0" w:firstRowFirstColumn="0" w:firstRowLastColumn="0" w:lastRowFirstColumn="0" w:lastRowLastColumn="0"/>
          <w:cantSplit/>
          <w:tblHeader/>
        </w:trPr>
        <w:tc>
          <w:tcPr>
            <w:tcW w:w="735" w:type="pct"/>
            <w:shd w:val="clear" w:color="auto" w:fill="FFFFFF" w:themeFill="background1"/>
          </w:tcPr>
          <w:p w14:paraId="6DD56D9C" w14:textId="77777777" w:rsidR="00591EE8" w:rsidRPr="002D46E6" w:rsidRDefault="00591EE8" w:rsidP="00971781">
            <w:pPr>
              <w:spacing w:before="0" w:after="0"/>
              <w:jc w:val="center"/>
            </w:pPr>
            <w:r w:rsidRPr="00A047FE">
              <w:rPr>
                <w:noProof/>
              </w:rPr>
              <w:drawing>
                <wp:inline distT="0" distB="0" distL="0" distR="0" wp14:anchorId="502D5A06" wp14:editId="29E32935">
                  <wp:extent cx="355600" cy="1139639"/>
                  <wp:effectExtent l="0" t="0" r="0" b="381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rotWithShape="1">
                          <a:blip r:embed="rId9"/>
                          <a:srcRect l="-1" t="16809" r="-125"/>
                          <a:stretch/>
                        </pic:blipFill>
                        <pic:spPr bwMode="auto">
                          <a:xfrm>
                            <a:off x="0" y="0"/>
                            <a:ext cx="356043" cy="1141060"/>
                          </a:xfrm>
                          <a:prstGeom prst="rect">
                            <a:avLst/>
                          </a:prstGeom>
                          <a:ln>
                            <a:noFill/>
                          </a:ln>
                          <a:extLst>
                            <a:ext uri="{53640926-AAD7-44D8-BBD7-CCE9431645EC}">
                              <a14:shadowObscured xmlns:a14="http://schemas.microsoft.com/office/drawing/2010/main"/>
                            </a:ext>
                          </a:extLst>
                        </pic:spPr>
                      </pic:pic>
                    </a:graphicData>
                  </a:graphic>
                </wp:inline>
              </w:drawing>
            </w:r>
          </w:p>
        </w:tc>
        <w:tc>
          <w:tcPr>
            <w:tcW w:w="4265" w:type="pct"/>
            <w:shd w:val="clear" w:color="auto" w:fill="FFFFFF" w:themeFill="background1"/>
          </w:tcPr>
          <w:p w14:paraId="1C417DEF" w14:textId="77777777" w:rsidR="00B6073C" w:rsidRPr="00B6073C" w:rsidRDefault="00B6073C" w:rsidP="00B6073C">
            <w:pPr>
              <w:rPr>
                <w:lang w:val="en-GB"/>
              </w:rPr>
            </w:pPr>
            <w:r w:rsidRPr="00B6073C">
              <w:rPr>
                <w:lang w:val="en-GB"/>
              </w:rPr>
              <w:t>On the prescription, in addition to age and weight, include:</w:t>
            </w:r>
          </w:p>
          <w:p w14:paraId="1788F88B" w14:textId="77777777" w:rsidR="00B6073C" w:rsidRPr="00B6073C" w:rsidRDefault="00B6073C" w:rsidP="00B6073C">
            <w:pPr>
              <w:pStyle w:val="ListParagraph"/>
              <w:numPr>
                <w:ilvl w:val="0"/>
                <w:numId w:val="48"/>
              </w:numPr>
              <w:rPr>
                <w:lang w:val="en-GB"/>
              </w:rPr>
            </w:pPr>
            <w:r w:rsidRPr="00B6073C">
              <w:rPr>
                <w:rStyle w:val="Strong"/>
                <w:lang w:val="en-GB"/>
              </w:rPr>
              <w:t>Indication</w:t>
            </w:r>
            <w:r w:rsidRPr="00B6073C">
              <w:rPr>
                <w:lang w:val="en-GB"/>
              </w:rPr>
              <w:t xml:space="preserve"> for the medicine</w:t>
            </w:r>
          </w:p>
          <w:p w14:paraId="7CB3A13E" w14:textId="77777777" w:rsidR="00B6073C" w:rsidRPr="00B6073C" w:rsidRDefault="00B6073C" w:rsidP="00B6073C">
            <w:pPr>
              <w:pStyle w:val="ListParagraph"/>
              <w:numPr>
                <w:ilvl w:val="0"/>
                <w:numId w:val="48"/>
              </w:numPr>
              <w:rPr>
                <w:rStyle w:val="Strong"/>
                <w:lang w:val="en-GB"/>
              </w:rPr>
            </w:pPr>
            <w:r w:rsidRPr="00B6073C">
              <w:rPr>
                <w:rStyle w:val="Strong"/>
                <w:lang w:val="en-GB"/>
              </w:rPr>
              <w:t>Allergy status</w:t>
            </w:r>
          </w:p>
          <w:p w14:paraId="123DC2EF" w14:textId="344C9617" w:rsidR="00B6073C" w:rsidRPr="00B6073C" w:rsidRDefault="00B6073C" w:rsidP="00B6073C">
            <w:pPr>
              <w:pStyle w:val="ListParagraph"/>
              <w:numPr>
                <w:ilvl w:val="0"/>
                <w:numId w:val="48"/>
              </w:numPr>
              <w:rPr>
                <w:lang w:val="en-GB"/>
              </w:rPr>
            </w:pPr>
            <w:r w:rsidRPr="00B6073C">
              <w:rPr>
                <w:rStyle w:val="Strong"/>
                <w:lang w:val="en-GB"/>
              </w:rPr>
              <w:t>Dose</w:t>
            </w:r>
            <w:r w:rsidRPr="00B6073C">
              <w:rPr>
                <w:lang w:val="en-GB"/>
              </w:rPr>
              <w:t xml:space="preserve"> in units of mass – for example, 150 mg per dose, given four times a</w:t>
            </w:r>
            <w:r w:rsidR="00901E18">
              <w:rPr>
                <w:lang w:val="en-GB"/>
              </w:rPr>
              <w:t> </w:t>
            </w:r>
            <w:r w:rsidRPr="00B6073C">
              <w:rPr>
                <w:lang w:val="en-GB"/>
              </w:rPr>
              <w:t>day</w:t>
            </w:r>
          </w:p>
          <w:p w14:paraId="666C0498" w14:textId="77777777" w:rsidR="00B6073C" w:rsidRPr="00B6073C" w:rsidRDefault="00B6073C" w:rsidP="00B6073C">
            <w:pPr>
              <w:pStyle w:val="ListParagraph"/>
              <w:numPr>
                <w:ilvl w:val="0"/>
                <w:numId w:val="48"/>
              </w:numPr>
              <w:rPr>
                <w:lang w:val="en-GB"/>
              </w:rPr>
            </w:pPr>
            <w:r w:rsidRPr="00B6073C">
              <w:rPr>
                <w:rStyle w:val="Strong"/>
                <w:lang w:val="en-GB"/>
              </w:rPr>
              <w:t>Basis for the dose calculation</w:t>
            </w:r>
            <w:r w:rsidRPr="00B6073C">
              <w:rPr>
                <w:lang w:val="en-GB"/>
              </w:rPr>
              <w:t xml:space="preserve"> such as mg/kg (use a calculator)</w:t>
            </w:r>
          </w:p>
          <w:p w14:paraId="3DCBB271" w14:textId="7B037CE8" w:rsidR="00591EE8" w:rsidRPr="00B6073C" w:rsidRDefault="00B6073C" w:rsidP="00B6073C">
            <w:pPr>
              <w:pStyle w:val="ListParagraph"/>
              <w:numPr>
                <w:ilvl w:val="0"/>
                <w:numId w:val="48"/>
              </w:numPr>
              <w:rPr>
                <w:lang w:val="en-GB"/>
              </w:rPr>
            </w:pPr>
            <w:r w:rsidRPr="00B6073C">
              <w:rPr>
                <w:rStyle w:val="Strong"/>
                <w:lang w:val="en-GB"/>
              </w:rPr>
              <w:t>Duration of treatment</w:t>
            </w:r>
            <w:r w:rsidRPr="00B6073C">
              <w:rPr>
                <w:lang w:val="en-GB"/>
              </w:rPr>
              <w:t xml:space="preserve"> with appropriate </w:t>
            </w:r>
            <w:r w:rsidRPr="00B6073C">
              <w:rPr>
                <w:rStyle w:val="Strong"/>
                <w:lang w:val="en-GB"/>
              </w:rPr>
              <w:t>quantity</w:t>
            </w:r>
            <w:r w:rsidRPr="00B6073C">
              <w:rPr>
                <w:lang w:val="en-GB"/>
              </w:rPr>
              <w:t>.</w:t>
            </w:r>
          </w:p>
        </w:tc>
      </w:tr>
    </w:tbl>
    <w:p w14:paraId="35EC8746" w14:textId="2913B40A" w:rsidR="00F60CA8" w:rsidRDefault="001C1265" w:rsidP="001C1265">
      <w:pPr>
        <w:jc w:val="right"/>
      </w:pPr>
      <w:r>
        <w:t>(continued over)</w:t>
      </w:r>
      <w:r w:rsidR="00F60CA8">
        <w:br w:type="page"/>
      </w:r>
    </w:p>
    <w:tbl>
      <w:tblPr>
        <w:tblStyle w:val="MDBAsimpletabl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Description w:val="Stop, Think, Check! "/>
      </w:tblPr>
      <w:tblGrid>
        <w:gridCol w:w="1417"/>
        <w:gridCol w:w="8221"/>
      </w:tblGrid>
      <w:tr w:rsidR="00443742" w:rsidRPr="00443742" w14:paraId="7B7F3CEE" w14:textId="77777777" w:rsidTr="00827F8B">
        <w:trPr>
          <w:cnfStyle w:val="100000000000" w:firstRow="1" w:lastRow="0" w:firstColumn="0" w:lastColumn="0" w:oddVBand="0" w:evenVBand="0" w:oddHBand="0" w:evenHBand="0" w:firstRowFirstColumn="0" w:firstRowLastColumn="0" w:lastRowFirstColumn="0" w:lastRowLastColumn="0"/>
          <w:cantSplit/>
          <w:tblHeader/>
        </w:trPr>
        <w:tc>
          <w:tcPr>
            <w:tcW w:w="5000" w:type="pct"/>
            <w:gridSpan w:val="2"/>
            <w:shd w:val="clear" w:color="auto" w:fill="auto"/>
          </w:tcPr>
          <w:p w14:paraId="6370DA9A" w14:textId="26DD42D9" w:rsidR="00443742" w:rsidRPr="00443742" w:rsidRDefault="00443742" w:rsidP="00443742">
            <w:pPr>
              <w:pStyle w:val="Heading2"/>
              <w:spacing w:before="0" w:after="0"/>
              <w:ind w:left="-57"/>
              <w:rPr>
                <w:b/>
                <w:bCs/>
                <w:color w:val="FFFFFF" w:themeColor="background1"/>
                <w:sz w:val="2"/>
                <w:szCs w:val="2"/>
              </w:rPr>
            </w:pPr>
            <w:r w:rsidRPr="00827F8B">
              <w:rPr>
                <w:b/>
                <w:bCs/>
                <w:color w:val="FFFFFF" w:themeColor="background1"/>
                <w:sz w:val="2"/>
                <w:szCs w:val="2"/>
              </w:rPr>
              <w:lastRenderedPageBreak/>
              <w:t>Stop, Think, Check! (continued)</w:t>
            </w:r>
          </w:p>
        </w:tc>
      </w:tr>
      <w:tr w:rsidR="00443742" w14:paraId="081CA489" w14:textId="77777777" w:rsidTr="00443742">
        <w:tc>
          <w:tcPr>
            <w:tcW w:w="735" w:type="pct"/>
            <w:shd w:val="clear" w:color="auto" w:fill="ECEFF5"/>
            <w:vAlign w:val="center"/>
          </w:tcPr>
          <w:p w14:paraId="48629DC5" w14:textId="17E8445D" w:rsidR="00443742" w:rsidRPr="002A25AC" w:rsidRDefault="00443742" w:rsidP="00443742">
            <w:pPr>
              <w:rPr>
                <w:noProof/>
              </w:rPr>
            </w:pPr>
            <w:r w:rsidRPr="002A25AC">
              <w:rPr>
                <w:noProof/>
              </w:rPr>
              <w:drawing>
                <wp:inline distT="0" distB="0" distL="0" distR="0" wp14:anchorId="44935949" wp14:editId="63D51385">
                  <wp:extent cx="762000" cy="762000"/>
                  <wp:effectExtent l="0" t="0" r="0" b="0"/>
                  <wp:docPr id="712820051" name="Picture 1" descr="Patient and car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432657" name="Picture 1" descr="Patient and carer icon"/>
                          <pic:cNvPicPr/>
                        </pic:nvPicPr>
                        <pic:blipFill>
                          <a:blip r:embed="rId11"/>
                          <a:stretch>
                            <a:fillRect/>
                          </a:stretch>
                        </pic:blipFill>
                        <pic:spPr>
                          <a:xfrm>
                            <a:off x="0" y="0"/>
                            <a:ext cx="762000" cy="762000"/>
                          </a:xfrm>
                          <a:prstGeom prst="rect">
                            <a:avLst/>
                          </a:prstGeom>
                        </pic:spPr>
                      </pic:pic>
                    </a:graphicData>
                  </a:graphic>
                </wp:inline>
              </w:drawing>
            </w:r>
          </w:p>
        </w:tc>
        <w:tc>
          <w:tcPr>
            <w:tcW w:w="4265" w:type="pct"/>
            <w:shd w:val="clear" w:color="auto" w:fill="ECEFF5"/>
            <w:vAlign w:val="center"/>
          </w:tcPr>
          <w:p w14:paraId="0A4B5C32" w14:textId="005AB288" w:rsidR="00443742" w:rsidRPr="00B6073C" w:rsidRDefault="00443742" w:rsidP="00443742">
            <w:pPr>
              <w:pStyle w:val="Heading3"/>
              <w:rPr>
                <w:lang w:val="en-GB"/>
              </w:rPr>
            </w:pPr>
            <w:r w:rsidRPr="00B6073C">
              <w:rPr>
                <w:lang w:val="en-GB"/>
              </w:rPr>
              <w:t>Think about your patient and their carer’s understanding</w:t>
            </w:r>
          </w:p>
        </w:tc>
      </w:tr>
      <w:tr w:rsidR="002A25AC" w14:paraId="07793E93" w14:textId="77777777" w:rsidTr="00443742">
        <w:tc>
          <w:tcPr>
            <w:tcW w:w="735" w:type="pct"/>
          </w:tcPr>
          <w:p w14:paraId="29C9D6A5" w14:textId="7C7E1760" w:rsidR="002A25AC" w:rsidRPr="002D46E6" w:rsidRDefault="004F604A" w:rsidP="00971781">
            <w:pPr>
              <w:spacing w:before="0" w:after="0"/>
              <w:jc w:val="center"/>
            </w:pPr>
            <w:r w:rsidRPr="004F604A">
              <w:rPr>
                <w:noProof/>
              </w:rPr>
              <w:drawing>
                <wp:inline distT="0" distB="0" distL="0" distR="0" wp14:anchorId="0C53BF6E" wp14:editId="1D677946">
                  <wp:extent cx="381000" cy="2070100"/>
                  <wp:effectExtent l="0" t="0" r="0" b="0"/>
                  <wp:docPr id="208741848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418488" name="Picture 1">
                            <a:extLst>
                              <a:ext uri="{C183D7F6-B498-43B3-948B-1728B52AA6E4}">
                                <adec:decorative xmlns:adec="http://schemas.microsoft.com/office/drawing/2017/decorative" val="1"/>
                              </a:ext>
                            </a:extLst>
                          </pic:cNvPr>
                          <pic:cNvPicPr/>
                        </pic:nvPicPr>
                        <pic:blipFill rotWithShape="1">
                          <a:blip r:embed="rId12"/>
                          <a:srcRect l="-7143" t="1213"/>
                          <a:stretch/>
                        </pic:blipFill>
                        <pic:spPr bwMode="auto">
                          <a:xfrm>
                            <a:off x="0" y="0"/>
                            <a:ext cx="381000" cy="2070100"/>
                          </a:xfrm>
                          <a:prstGeom prst="rect">
                            <a:avLst/>
                          </a:prstGeom>
                          <a:ln>
                            <a:noFill/>
                          </a:ln>
                          <a:extLst>
                            <a:ext uri="{53640926-AAD7-44D8-BBD7-CCE9431645EC}">
                              <a14:shadowObscured xmlns:a14="http://schemas.microsoft.com/office/drawing/2010/main"/>
                            </a:ext>
                          </a:extLst>
                        </pic:spPr>
                      </pic:pic>
                    </a:graphicData>
                  </a:graphic>
                </wp:inline>
              </w:drawing>
            </w:r>
          </w:p>
        </w:tc>
        <w:tc>
          <w:tcPr>
            <w:tcW w:w="4265" w:type="pct"/>
          </w:tcPr>
          <w:p w14:paraId="2D76A5C8" w14:textId="77777777" w:rsidR="00B6073C" w:rsidRPr="00B6073C" w:rsidRDefault="00B6073C" w:rsidP="00B6073C">
            <w:pPr>
              <w:pStyle w:val="ListParagraph"/>
              <w:numPr>
                <w:ilvl w:val="0"/>
                <w:numId w:val="41"/>
              </w:numPr>
              <w:rPr>
                <w:lang w:val="en-GB"/>
              </w:rPr>
            </w:pPr>
            <w:r w:rsidRPr="00B6073C">
              <w:rPr>
                <w:lang w:val="en-GB"/>
              </w:rPr>
              <w:t xml:space="preserve">Is this a new medicine and do they know why it is prescribed? </w:t>
            </w:r>
          </w:p>
          <w:p w14:paraId="3BC2C19F" w14:textId="77777777" w:rsidR="00B6073C" w:rsidRPr="00B6073C" w:rsidRDefault="00B6073C" w:rsidP="00B6073C">
            <w:pPr>
              <w:pStyle w:val="ListParagraph"/>
              <w:numPr>
                <w:ilvl w:val="0"/>
                <w:numId w:val="41"/>
              </w:numPr>
              <w:rPr>
                <w:lang w:val="en-GB"/>
              </w:rPr>
            </w:pPr>
            <w:r w:rsidRPr="00B6073C">
              <w:rPr>
                <w:lang w:val="en-GB"/>
              </w:rPr>
              <w:t>Is it being used for an approved indication or ‘off-label’?</w:t>
            </w:r>
          </w:p>
          <w:p w14:paraId="398AD40B" w14:textId="77777777" w:rsidR="00B6073C" w:rsidRPr="00B6073C" w:rsidRDefault="00B6073C" w:rsidP="00B6073C">
            <w:pPr>
              <w:pStyle w:val="ListParagraph"/>
              <w:numPr>
                <w:ilvl w:val="0"/>
                <w:numId w:val="41"/>
              </w:numPr>
              <w:rPr>
                <w:lang w:val="en-GB"/>
              </w:rPr>
            </w:pPr>
            <w:r w:rsidRPr="00B6073C">
              <w:rPr>
                <w:lang w:val="en-GB"/>
              </w:rPr>
              <w:t>Is the formulation appropriate for age and administration route?</w:t>
            </w:r>
          </w:p>
          <w:p w14:paraId="1DF57753" w14:textId="77777777" w:rsidR="00B6073C" w:rsidRPr="00B6073C" w:rsidRDefault="00B6073C" w:rsidP="00B6073C">
            <w:pPr>
              <w:pStyle w:val="ListParagraph"/>
              <w:numPr>
                <w:ilvl w:val="0"/>
                <w:numId w:val="41"/>
              </w:numPr>
              <w:rPr>
                <w:lang w:val="en-GB"/>
              </w:rPr>
            </w:pPr>
            <w:r w:rsidRPr="00B6073C">
              <w:rPr>
                <w:lang w:val="en-GB"/>
              </w:rPr>
              <w:t>Are they able to give the medicine, in the correct dose, measured accurately?</w:t>
            </w:r>
          </w:p>
          <w:p w14:paraId="6CEF7002" w14:textId="77777777" w:rsidR="00B6073C" w:rsidRPr="00B6073C" w:rsidRDefault="00B6073C" w:rsidP="00B6073C">
            <w:pPr>
              <w:pStyle w:val="ListParagraph"/>
              <w:numPr>
                <w:ilvl w:val="0"/>
                <w:numId w:val="41"/>
              </w:numPr>
              <w:rPr>
                <w:lang w:val="en-GB"/>
              </w:rPr>
            </w:pPr>
            <w:r w:rsidRPr="00B6073C">
              <w:rPr>
                <w:lang w:val="en-GB"/>
              </w:rPr>
              <w:t xml:space="preserve">Where appropriate, do they know what the delivery device looks like and how to administer correctly? </w:t>
            </w:r>
          </w:p>
          <w:p w14:paraId="38A8FA28" w14:textId="77777777" w:rsidR="00B6073C" w:rsidRPr="00B6073C" w:rsidRDefault="00B6073C" w:rsidP="00B6073C">
            <w:pPr>
              <w:pStyle w:val="ListParagraph"/>
              <w:numPr>
                <w:ilvl w:val="0"/>
                <w:numId w:val="41"/>
              </w:numPr>
              <w:rPr>
                <w:lang w:val="en-GB"/>
              </w:rPr>
            </w:pPr>
            <w:r w:rsidRPr="00B6073C">
              <w:rPr>
                <w:lang w:val="en-GB"/>
              </w:rPr>
              <w:t>Do they know the duration of treatment and how to dispose of medicines with limited shelf-life, for example antibiotic liquids?</w:t>
            </w:r>
          </w:p>
          <w:p w14:paraId="4591AD11" w14:textId="05F41DFB" w:rsidR="00B6073C" w:rsidRPr="00B6073C" w:rsidRDefault="00B6073C" w:rsidP="00B6073C">
            <w:pPr>
              <w:pStyle w:val="ListParagraph"/>
              <w:numPr>
                <w:ilvl w:val="0"/>
                <w:numId w:val="41"/>
              </w:numPr>
              <w:rPr>
                <w:lang w:val="en-GB"/>
              </w:rPr>
            </w:pPr>
            <w:r w:rsidRPr="00B6073C">
              <w:rPr>
                <w:lang w:val="en-GB"/>
              </w:rPr>
              <w:t>Do they know how to store the medicine, including keeping out of reach of</w:t>
            </w:r>
            <w:r>
              <w:rPr>
                <w:lang w:val="en-GB"/>
              </w:rPr>
              <w:t> </w:t>
            </w:r>
            <w:r w:rsidRPr="00B6073C">
              <w:rPr>
                <w:lang w:val="en-GB"/>
              </w:rPr>
              <w:t>children?</w:t>
            </w:r>
          </w:p>
          <w:p w14:paraId="3F3C4D96" w14:textId="4F913EB9" w:rsidR="002A25AC" w:rsidRPr="00B6073C" w:rsidRDefault="00B6073C" w:rsidP="002A25AC">
            <w:pPr>
              <w:pStyle w:val="ListParagraph"/>
              <w:numPr>
                <w:ilvl w:val="0"/>
                <w:numId w:val="41"/>
              </w:numPr>
              <w:rPr>
                <w:lang w:val="en-GB"/>
              </w:rPr>
            </w:pPr>
            <w:r w:rsidRPr="00B6073C">
              <w:rPr>
                <w:lang w:val="en-GB"/>
              </w:rPr>
              <w:t>Are there any monitoring requirements? Are there any side effects that should be monitored?</w:t>
            </w:r>
          </w:p>
        </w:tc>
      </w:tr>
      <w:tr w:rsidR="00591EE8" w14:paraId="420F2D7B" w14:textId="77777777" w:rsidTr="00443742">
        <w:tc>
          <w:tcPr>
            <w:tcW w:w="735" w:type="pct"/>
            <w:shd w:val="clear" w:color="auto" w:fill="E8EFE5"/>
            <w:vAlign w:val="center"/>
          </w:tcPr>
          <w:p w14:paraId="15572E85" w14:textId="77777777" w:rsidR="00591EE8" w:rsidRDefault="00591EE8" w:rsidP="00971781">
            <w:r w:rsidRPr="002D46E6">
              <w:rPr>
                <w:noProof/>
              </w:rPr>
              <w:drawing>
                <wp:inline distT="0" distB="0" distL="0" distR="0" wp14:anchorId="0EDEF863" wp14:editId="1AEBB154">
                  <wp:extent cx="685800" cy="685800"/>
                  <wp:effectExtent l="0" t="0" r="0" b="0"/>
                  <wp:docPr id="7" name="Picture 7" descr="Tic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ick icon"/>
                          <pic:cNvPicPr/>
                        </pic:nvPicPr>
                        <pic:blipFill>
                          <a:blip r:embed="rId13"/>
                          <a:stretch>
                            <a:fillRect/>
                          </a:stretch>
                        </pic:blipFill>
                        <pic:spPr>
                          <a:xfrm>
                            <a:off x="0" y="0"/>
                            <a:ext cx="685800" cy="685800"/>
                          </a:xfrm>
                          <a:prstGeom prst="rect">
                            <a:avLst/>
                          </a:prstGeom>
                        </pic:spPr>
                      </pic:pic>
                    </a:graphicData>
                  </a:graphic>
                </wp:inline>
              </w:drawing>
            </w:r>
          </w:p>
        </w:tc>
        <w:tc>
          <w:tcPr>
            <w:tcW w:w="4265" w:type="pct"/>
            <w:shd w:val="clear" w:color="auto" w:fill="E8EFE5"/>
            <w:vAlign w:val="center"/>
          </w:tcPr>
          <w:p w14:paraId="4CA070AB" w14:textId="40292660" w:rsidR="00591EE8" w:rsidRPr="00B6073C" w:rsidRDefault="00B6073C" w:rsidP="0064059B">
            <w:pPr>
              <w:pStyle w:val="Heading3"/>
              <w:rPr>
                <w:lang w:val="en-GB"/>
              </w:rPr>
            </w:pPr>
            <w:r w:rsidRPr="00B6073C">
              <w:rPr>
                <w:lang w:val="en-GB"/>
              </w:rPr>
              <w:t>Check the dose is accurately described on the prescription with appropriate follow up</w:t>
            </w:r>
          </w:p>
        </w:tc>
      </w:tr>
      <w:tr w:rsidR="00591EE8" w14:paraId="3205F6F0" w14:textId="77777777" w:rsidTr="00443742">
        <w:tc>
          <w:tcPr>
            <w:tcW w:w="735" w:type="pct"/>
          </w:tcPr>
          <w:p w14:paraId="5B50ADF6" w14:textId="77777777" w:rsidR="00591EE8" w:rsidRPr="002D46E6" w:rsidRDefault="00591EE8" w:rsidP="00971781">
            <w:pPr>
              <w:spacing w:before="0" w:after="0"/>
              <w:jc w:val="center"/>
            </w:pPr>
          </w:p>
        </w:tc>
        <w:tc>
          <w:tcPr>
            <w:tcW w:w="4265" w:type="pct"/>
          </w:tcPr>
          <w:p w14:paraId="7D1DF730" w14:textId="77777777" w:rsidR="00B6073C" w:rsidRPr="00B6073C" w:rsidRDefault="00B6073C" w:rsidP="00B6073C">
            <w:pPr>
              <w:pStyle w:val="ListParagraph"/>
              <w:numPr>
                <w:ilvl w:val="0"/>
                <w:numId w:val="49"/>
              </w:numPr>
              <w:rPr>
                <w:lang w:val="en-GB"/>
              </w:rPr>
            </w:pPr>
            <w:r w:rsidRPr="00B6073C">
              <w:rPr>
                <w:rStyle w:val="Strong"/>
                <w:lang w:val="en-GB"/>
              </w:rPr>
              <w:t>Verify</w:t>
            </w:r>
            <w:r w:rsidRPr="00B6073C">
              <w:rPr>
                <w:lang w:val="en-GB"/>
              </w:rPr>
              <w:t xml:space="preserve"> all dose calculations and the specified dose.</w:t>
            </w:r>
          </w:p>
          <w:p w14:paraId="412E8DE2" w14:textId="01A0F855" w:rsidR="00591EE8" w:rsidRPr="00B6073C" w:rsidRDefault="00B6073C" w:rsidP="00B6073C">
            <w:pPr>
              <w:pStyle w:val="ListParagraph"/>
              <w:numPr>
                <w:ilvl w:val="0"/>
                <w:numId w:val="49"/>
              </w:numPr>
              <w:rPr>
                <w:lang w:val="en-US"/>
              </w:rPr>
            </w:pPr>
            <w:r w:rsidRPr="00B6073C">
              <w:t>Schedule a review of ongoing need of the medicine and a measurement of the child’s weight.</w:t>
            </w:r>
          </w:p>
        </w:tc>
      </w:tr>
    </w:tbl>
    <w:p w14:paraId="298225EA" w14:textId="77777777" w:rsidR="00B6073C" w:rsidRDefault="00B6073C" w:rsidP="000256C1">
      <w:pPr>
        <w:spacing w:before="360"/>
      </w:pPr>
      <w:r>
        <w:t xml:space="preserve">The Australian Commission on Safety and Quality in Health Care (the Commission) recommends that authorised prescribers clearly specify the following information on </w:t>
      </w:r>
      <w:r>
        <w:rPr>
          <w:rStyle w:val="Strongsemibold"/>
        </w:rPr>
        <w:t>all</w:t>
      </w:r>
      <w:r>
        <w:t xml:space="preserve"> prescriptions for children:</w:t>
      </w:r>
    </w:p>
    <w:p w14:paraId="00F55D80" w14:textId="77777777" w:rsidR="00B6073C" w:rsidRPr="00B6073C" w:rsidRDefault="00B6073C" w:rsidP="00B6073C">
      <w:pPr>
        <w:pStyle w:val="ListParagraph"/>
        <w:numPr>
          <w:ilvl w:val="0"/>
          <w:numId w:val="50"/>
        </w:numPr>
        <w:rPr>
          <w:rStyle w:val="Strong"/>
        </w:rPr>
      </w:pPr>
      <w:r w:rsidRPr="00B6073C">
        <w:rPr>
          <w:rStyle w:val="Strong"/>
        </w:rPr>
        <w:t xml:space="preserve">Age and/or date of birth </w:t>
      </w:r>
    </w:p>
    <w:p w14:paraId="6010A2A8" w14:textId="77777777" w:rsidR="00B6073C" w:rsidRPr="00B6073C" w:rsidRDefault="00B6073C" w:rsidP="00B6073C">
      <w:pPr>
        <w:pStyle w:val="ListParagraph"/>
        <w:numPr>
          <w:ilvl w:val="0"/>
          <w:numId w:val="50"/>
        </w:numPr>
        <w:rPr>
          <w:rStyle w:val="Strong"/>
        </w:rPr>
      </w:pPr>
      <w:r w:rsidRPr="00B6073C">
        <w:rPr>
          <w:rStyle w:val="Strong"/>
        </w:rPr>
        <w:t xml:space="preserve">Current and accurate body weight </w:t>
      </w:r>
    </w:p>
    <w:p w14:paraId="793CF8D8" w14:textId="77777777" w:rsidR="00B6073C" w:rsidRDefault="00B6073C" w:rsidP="00B6073C">
      <w:pPr>
        <w:pStyle w:val="ListParagraph"/>
        <w:numPr>
          <w:ilvl w:val="0"/>
          <w:numId w:val="50"/>
        </w:numPr>
      </w:pPr>
      <w:r w:rsidRPr="00B6073C">
        <w:rPr>
          <w:rStyle w:val="Strong"/>
        </w:rPr>
        <w:t>Indication</w:t>
      </w:r>
      <w:r>
        <w:t xml:space="preserve"> for the medicine</w:t>
      </w:r>
    </w:p>
    <w:p w14:paraId="33237EC4" w14:textId="77777777" w:rsidR="00B6073C" w:rsidRDefault="00B6073C" w:rsidP="00B6073C">
      <w:pPr>
        <w:pStyle w:val="ListParagraph"/>
        <w:numPr>
          <w:ilvl w:val="0"/>
          <w:numId w:val="50"/>
        </w:numPr>
      </w:pPr>
      <w:r w:rsidRPr="00B6073C">
        <w:rPr>
          <w:rStyle w:val="Strong"/>
        </w:rPr>
        <w:t>Allergy status</w:t>
      </w:r>
      <w:r>
        <w:t xml:space="preserve"> (both active ingredient and excipients)</w:t>
      </w:r>
    </w:p>
    <w:p w14:paraId="73C2E843" w14:textId="77777777" w:rsidR="00B6073C" w:rsidRDefault="00B6073C" w:rsidP="00B6073C">
      <w:pPr>
        <w:pStyle w:val="ListParagraph"/>
        <w:numPr>
          <w:ilvl w:val="0"/>
          <w:numId w:val="50"/>
        </w:numPr>
      </w:pPr>
      <w:r w:rsidRPr="00B6073C">
        <w:rPr>
          <w:rStyle w:val="Strong"/>
        </w:rPr>
        <w:t>Dose</w:t>
      </w:r>
      <w:r>
        <w:t xml:space="preserve"> in units of mass – for example, 150 mg per dose, given four times a day </w:t>
      </w:r>
    </w:p>
    <w:p w14:paraId="175541FC" w14:textId="77777777" w:rsidR="00B6073C" w:rsidRDefault="00B6073C" w:rsidP="00B6073C">
      <w:pPr>
        <w:pStyle w:val="ListParagraph"/>
        <w:numPr>
          <w:ilvl w:val="0"/>
          <w:numId w:val="50"/>
        </w:numPr>
      </w:pPr>
      <w:r w:rsidRPr="00B6073C">
        <w:rPr>
          <w:rStyle w:val="Strong"/>
        </w:rPr>
        <w:t>Basis for the dose calculation</w:t>
      </w:r>
      <w:r>
        <w:t xml:space="preserve"> such as mg/kg, if appropriate</w:t>
      </w:r>
    </w:p>
    <w:p w14:paraId="3CD12CE6" w14:textId="3BFD1D1A" w:rsidR="00B6073C" w:rsidRDefault="00B6073C" w:rsidP="00B6073C">
      <w:pPr>
        <w:pStyle w:val="ListParagraph"/>
        <w:numPr>
          <w:ilvl w:val="0"/>
          <w:numId w:val="50"/>
        </w:numPr>
      </w:pPr>
      <w:r w:rsidRPr="00B6073C">
        <w:rPr>
          <w:rStyle w:val="Strong"/>
        </w:rPr>
        <w:t>Duration of treatment and quantity</w:t>
      </w:r>
      <w:r>
        <w:t xml:space="preserve"> in line with a review of ongoing need and child’s weight.</w:t>
      </w:r>
    </w:p>
    <w:p w14:paraId="3FB450EA" w14:textId="77777777" w:rsidR="00B6073C" w:rsidRDefault="00B6073C" w:rsidP="00B6073C">
      <w:r>
        <w:t>Documenting patient weight and age and adopting good prescribing practices can prevent patient harm associated with dosing errors.</w:t>
      </w:r>
    </w:p>
    <w:p w14:paraId="7D55A07D" w14:textId="77777777" w:rsidR="00AB1F06" w:rsidRDefault="00AB1F06" w:rsidP="00B6073C">
      <w:r>
        <w:br w:type="page"/>
      </w:r>
    </w:p>
    <w:p w14:paraId="0391074A" w14:textId="6E0628BC" w:rsidR="00B6073C" w:rsidRDefault="00B6073C" w:rsidP="00B6073C">
      <w:r>
        <w:lastRenderedPageBreak/>
        <w:t>All clinicians involved in prescribing, dispensing and administering medicines to children should review the above information and:</w:t>
      </w:r>
    </w:p>
    <w:p w14:paraId="6DD15309" w14:textId="77777777" w:rsidR="00B6073C" w:rsidRDefault="00B6073C" w:rsidP="002778C2">
      <w:pPr>
        <w:pStyle w:val="ListParagraph"/>
        <w:numPr>
          <w:ilvl w:val="0"/>
          <w:numId w:val="51"/>
        </w:numPr>
      </w:pPr>
      <w:r w:rsidRPr="002778C2">
        <w:rPr>
          <w:rStyle w:val="Strong"/>
        </w:rPr>
        <w:t>Check</w:t>
      </w:r>
      <w:r>
        <w:t xml:space="preserve"> the appropriateness of the medicine for the child, the prescribed dose and appropriateness of formulation</w:t>
      </w:r>
    </w:p>
    <w:p w14:paraId="126B601B" w14:textId="15A36A6A" w:rsidR="00B6073C" w:rsidRDefault="00B6073C" w:rsidP="002778C2">
      <w:pPr>
        <w:pStyle w:val="ListParagraph"/>
        <w:numPr>
          <w:ilvl w:val="0"/>
          <w:numId w:val="51"/>
        </w:numPr>
      </w:pPr>
      <w:r w:rsidRPr="002778C2">
        <w:rPr>
          <w:rStyle w:val="Strong"/>
        </w:rPr>
        <w:t>Check</w:t>
      </w:r>
      <w:r>
        <w:t xml:space="preserve"> for any known adverse reactions – for example, allergies to medicines and</w:t>
      </w:r>
      <w:r w:rsidR="00A71F5C">
        <w:t> </w:t>
      </w:r>
      <w:r>
        <w:t>excipients</w:t>
      </w:r>
    </w:p>
    <w:p w14:paraId="3C52AB93" w14:textId="77777777" w:rsidR="00B6073C" w:rsidRDefault="00B6073C" w:rsidP="002778C2">
      <w:pPr>
        <w:pStyle w:val="ListParagraph"/>
        <w:numPr>
          <w:ilvl w:val="0"/>
          <w:numId w:val="51"/>
        </w:numPr>
      </w:pPr>
      <w:r w:rsidRPr="002778C2">
        <w:rPr>
          <w:rStyle w:val="Strong"/>
        </w:rPr>
        <w:t>Discuss and clarify</w:t>
      </w:r>
      <w:r>
        <w:t xml:space="preserve"> with parents and carers the reason for the medicine’s use, the correct dose and instructions for dose measurement and administration, the duration of treatment, storage requirements, when and how to dispose of any unused medicines safely and where to obtain a follow up supply for specialised medicines</w:t>
      </w:r>
    </w:p>
    <w:p w14:paraId="4A8CEFFB" w14:textId="71CD15AB" w:rsidR="00B6073C" w:rsidRDefault="00B6073C" w:rsidP="002778C2">
      <w:pPr>
        <w:pStyle w:val="ListParagraph"/>
        <w:numPr>
          <w:ilvl w:val="0"/>
          <w:numId w:val="51"/>
        </w:numPr>
        <w:rPr>
          <w:rStyle w:val="Strongbold"/>
        </w:rPr>
      </w:pPr>
      <w:r w:rsidRPr="002778C2">
        <w:rPr>
          <w:rStyle w:val="Strong"/>
        </w:rPr>
        <w:t>Verify</w:t>
      </w:r>
      <w:r>
        <w:t xml:space="preserve"> all dose calculations (using a calculator) and the specified dose</w:t>
      </w:r>
      <w:r w:rsidR="002778C2">
        <w:t>.</w:t>
      </w:r>
      <w:r>
        <w:t xml:space="preserve"> </w:t>
      </w:r>
    </w:p>
    <w:p w14:paraId="1BDF5843" w14:textId="77777777" w:rsidR="00B6073C" w:rsidRDefault="00B6073C" w:rsidP="002778C2">
      <w:pPr>
        <w:pStyle w:val="Heading2"/>
        <w:rPr>
          <w:rStyle w:val="Strongbold"/>
          <w:b/>
          <w:bCs w:val="0"/>
        </w:rPr>
      </w:pPr>
      <w:r>
        <w:rPr>
          <w:rStyle w:val="Strongbold"/>
          <w:b/>
          <w:bCs w:val="0"/>
        </w:rPr>
        <w:t>Dose</w:t>
      </w:r>
    </w:p>
    <w:p w14:paraId="6249C147" w14:textId="77777777" w:rsidR="00B6073C" w:rsidRDefault="00B6073C" w:rsidP="00B6073C">
      <w:r>
        <w:t xml:space="preserve">An accurate weight is essential to calculate the dose at the time of prescribing; and to verify the dose during dispensing and/or administration. </w:t>
      </w:r>
    </w:p>
    <w:p w14:paraId="4288B0D0" w14:textId="22C62368" w:rsidR="00B6073C" w:rsidRDefault="00B6073C" w:rsidP="00B6073C">
      <w:r>
        <w:t xml:space="preserve">For children whose weight </w:t>
      </w:r>
      <w:r w:rsidRPr="002778C2">
        <w:rPr>
          <w:rStyle w:val="Strong"/>
        </w:rPr>
        <w:t>significantly exceeds the ideal weight</w:t>
      </w:r>
      <w:r>
        <w:t xml:space="preserve"> for their age, prescribers should use the child’s ideal weight (not actual weight) for dose calculations. It may be useful to </w:t>
      </w:r>
      <w:r w:rsidRPr="002778C2">
        <w:rPr>
          <w:rStyle w:val="Strong"/>
        </w:rPr>
        <w:t>consider the average weight of a child of their age</w:t>
      </w:r>
      <w:r>
        <w:t>, and their height to determine an appropriate</w:t>
      </w:r>
      <w:r w:rsidR="002778C2">
        <w:t> </w:t>
      </w:r>
      <w:r>
        <w:t>dose.</w:t>
      </w:r>
    </w:p>
    <w:p w14:paraId="10F3E43F" w14:textId="77777777" w:rsidR="00B6073C" w:rsidRDefault="00B6073C" w:rsidP="00B6073C">
      <w:r>
        <w:t xml:space="preserve">Use a paediatric specific resource where possible. </w:t>
      </w:r>
      <w:r>
        <w:rPr>
          <w:rStyle w:val="Italic"/>
        </w:rPr>
        <w:t>The Australian Medicine Handbook Children Dosing Companion</w:t>
      </w:r>
      <w:r>
        <w:rPr>
          <w:rStyle w:val="Superscript"/>
        </w:rPr>
        <w:t>1</w:t>
      </w:r>
      <w:r>
        <w:t xml:space="preserve"> provides dosing advice for prescribing in children; and specifies when ideal weight should apply for some drug monographs. To calculate doses based on ideal weight, use the </w:t>
      </w:r>
      <w:hyperlink r:id="rId14" w:history="1">
        <w:r>
          <w:rPr>
            <w:rStyle w:val="Hyperlink"/>
          </w:rPr>
          <w:t>average weights-for-age table</w:t>
        </w:r>
      </w:hyperlink>
      <w:r>
        <w:t xml:space="preserve"> in the handbook.</w:t>
      </w:r>
    </w:p>
    <w:p w14:paraId="7787FFB4" w14:textId="77777777" w:rsidR="00B6073C" w:rsidRDefault="00B6073C" w:rsidP="00B6073C">
      <w:r>
        <w:t xml:space="preserve">For </w:t>
      </w:r>
      <w:r w:rsidRPr="004E63A2">
        <w:rPr>
          <w:rStyle w:val="Strong"/>
        </w:rPr>
        <w:t>ALL paediatric patients</w:t>
      </w:r>
      <w:r>
        <w:t xml:space="preserve">, including those over 40 to 50 kg, ensure that the upper dose limits for adults are </w:t>
      </w:r>
      <w:r w:rsidRPr="004E63A2">
        <w:rPr>
          <w:rStyle w:val="Strong"/>
        </w:rPr>
        <w:t>not exceeded</w:t>
      </w:r>
      <w:r>
        <w:t xml:space="preserve">. </w:t>
      </w:r>
    </w:p>
    <w:p w14:paraId="37698CC9" w14:textId="77777777" w:rsidR="00B6073C" w:rsidRDefault="00B6073C" w:rsidP="00B6073C">
      <w:r>
        <w:t>Rounding of doses for ease of measurement (such as half a tablet or 2 mL of liquid) can be undertaken; with primary consideration of age and weight.</w:t>
      </w:r>
    </w:p>
    <w:p w14:paraId="674AC02D" w14:textId="77777777" w:rsidR="00B6073C" w:rsidRDefault="00B6073C" w:rsidP="00B6073C">
      <w:r>
        <w:t>It may not be applicable to specify the dose in units of mass in certain circumstances, such as when prescribing eye drops, ear drops, topical products, inhalers, or insulin.</w:t>
      </w:r>
    </w:p>
    <w:p w14:paraId="39BB714A" w14:textId="77777777" w:rsidR="00B6073C" w:rsidRDefault="00B6073C" w:rsidP="00B6073C">
      <w:r>
        <w:t xml:space="preserve">Electronic medication management has the capacity to improve medication error rates. However, paediatric dose errors continue to occur and processes to support safe electronic prescribing should be adopted. These include ensuring an accurate weight is recorded in the system; forcing functions are used to increase the frequency of updating the child’s weight; and using independent double checks. Ensure in-built dose calculators are audited to avoid introducing medication errors. </w:t>
      </w:r>
    </w:p>
    <w:p w14:paraId="66F5EFC8" w14:textId="77777777" w:rsidR="00B6073C" w:rsidRDefault="00B6073C" w:rsidP="002778C2">
      <w:pPr>
        <w:pStyle w:val="Heading3"/>
      </w:pPr>
      <w:r>
        <w:t>Rationale</w:t>
      </w:r>
    </w:p>
    <w:p w14:paraId="03FCCBF0" w14:textId="77777777" w:rsidR="00B6073C" w:rsidRDefault="00B6073C" w:rsidP="00B6073C">
      <w:r>
        <w:t>Medication errors are one of the most common and preventable adverse events in healthcare settings.</w:t>
      </w:r>
      <w:r>
        <w:rPr>
          <w:rStyle w:val="Superscript"/>
        </w:rPr>
        <w:t>2</w:t>
      </w:r>
      <w:r>
        <w:t xml:space="preserve"> Children are more prone to medication errors and are more vulnerable to harm from the effect of medication errors than adults.</w:t>
      </w:r>
      <w:r>
        <w:rPr>
          <w:rStyle w:val="Superscript"/>
        </w:rPr>
        <w:t>2,3,4</w:t>
      </w:r>
      <w:r>
        <w:t xml:space="preserve"> A worldwide systematic review has estimated 100 to 400 prescribing errors occur per 1,000 paediatric patients.</w:t>
      </w:r>
      <w:r>
        <w:rPr>
          <w:rStyle w:val="Superscript"/>
        </w:rPr>
        <w:t>5</w:t>
      </w:r>
      <w:r>
        <w:t xml:space="preserve"> Dose calculation errors are one of the most common types of medication error in children.</w:t>
      </w:r>
      <w:r>
        <w:rPr>
          <w:rStyle w:val="Superscript"/>
        </w:rPr>
        <w:t>1,3,6,7</w:t>
      </w:r>
      <w:r>
        <w:t xml:space="preserve"> </w:t>
      </w:r>
    </w:p>
    <w:p w14:paraId="3EC21B78" w14:textId="77777777" w:rsidR="00D472F5" w:rsidRDefault="00D472F5" w:rsidP="002778C2">
      <w:pPr>
        <w:pStyle w:val="Heading2"/>
      </w:pPr>
      <w:r>
        <w:br w:type="page"/>
      </w:r>
    </w:p>
    <w:p w14:paraId="14286878" w14:textId="102035F1" w:rsidR="00B6073C" w:rsidRDefault="00B6073C" w:rsidP="002778C2">
      <w:pPr>
        <w:pStyle w:val="Heading2"/>
      </w:pPr>
      <w:r>
        <w:t>Scope</w:t>
      </w:r>
    </w:p>
    <w:p w14:paraId="6D3C727F" w14:textId="77777777" w:rsidR="00B6073C" w:rsidRDefault="00B6073C" w:rsidP="00B6073C">
      <w:r>
        <w:t xml:space="preserve">This position statement is applicable to all paediatric prescribing. However, these recommendations are </w:t>
      </w:r>
      <w:r w:rsidRPr="004E63A2">
        <w:rPr>
          <w:rStyle w:val="Strong"/>
        </w:rPr>
        <w:t>not exhaustive</w:t>
      </w:r>
      <w:r>
        <w:t xml:space="preserve">. Use of up-to-date evidence-based paediatric reference texts and guidelines for more detailed information on optimising paediatric prescribing is especially important when dealing with special patient cohorts such as those with renal or hepatic impairment. </w:t>
      </w:r>
    </w:p>
    <w:p w14:paraId="27DD18C1" w14:textId="77777777" w:rsidR="00B6073C" w:rsidRDefault="00B6073C" w:rsidP="002778C2">
      <w:pPr>
        <w:pStyle w:val="Heading2"/>
      </w:pPr>
      <w:r>
        <w:t>Supplementary notes</w:t>
      </w:r>
    </w:p>
    <w:p w14:paraId="680B6274" w14:textId="77777777" w:rsidR="00B6073C" w:rsidRDefault="00B6073C" w:rsidP="00B6073C">
      <w:r>
        <w:t>It is important to document the child’s weight and the basis for dose calculation to support safe prescribing on all prescriptions for children.</w:t>
      </w:r>
      <w:r>
        <w:rPr>
          <w:rStyle w:val="Superscript"/>
        </w:rPr>
        <w:t>1,8,9,10</w:t>
      </w:r>
      <w:r>
        <w:t xml:space="preserve"> Most dosing recommendations in paediatric reference materials are standardised by weight (mg/kg).</w:t>
      </w:r>
      <w:r>
        <w:rPr>
          <w:rStyle w:val="Superscript"/>
        </w:rPr>
        <w:t>1,8</w:t>
      </w:r>
      <w:r>
        <w:t xml:space="preserve"> Weight and dose calculation are included as required fields on the national standard medication chart (NSMC) and in electronic prescribing systems. Although there is no specific field on outpatient or community prescriptions, it is still recommended to record weight and dose calculation. </w:t>
      </w:r>
    </w:p>
    <w:p w14:paraId="17CCDAC7" w14:textId="77777777" w:rsidR="00B6073C" w:rsidRDefault="00B6073C" w:rsidP="00B6073C">
      <w:r>
        <w:t>In addition to accurate weight, the appropriateness of the prescribed medicine for use in children should also take into consideration:</w:t>
      </w:r>
    </w:p>
    <w:p w14:paraId="28F1C795" w14:textId="77777777" w:rsidR="00B6073C" w:rsidRDefault="00B6073C" w:rsidP="004E63A2">
      <w:pPr>
        <w:pStyle w:val="ListParagraph"/>
        <w:numPr>
          <w:ilvl w:val="0"/>
          <w:numId w:val="52"/>
        </w:numPr>
      </w:pPr>
      <w:r>
        <w:t>Dosing based on age</w:t>
      </w:r>
    </w:p>
    <w:p w14:paraId="5E8256F3" w14:textId="77777777" w:rsidR="00B6073C" w:rsidRDefault="00B6073C" w:rsidP="004E63A2">
      <w:pPr>
        <w:pStyle w:val="ListParagraph"/>
        <w:numPr>
          <w:ilvl w:val="0"/>
          <w:numId w:val="52"/>
        </w:numPr>
      </w:pPr>
      <w:r>
        <w:t>Age restrictions within the licensed use of that medicine</w:t>
      </w:r>
    </w:p>
    <w:p w14:paraId="494E8E7B" w14:textId="77777777" w:rsidR="00B6073C" w:rsidRDefault="00B6073C" w:rsidP="004E63A2">
      <w:pPr>
        <w:pStyle w:val="ListParagraph"/>
        <w:numPr>
          <w:ilvl w:val="0"/>
          <w:numId w:val="52"/>
        </w:numPr>
      </w:pPr>
      <w:r>
        <w:t>Formulation, for example, a liquid vs. solid formulation, avoiding less palatable medicines, using alternative routes of administration or a multi-dose inhaler vs. a dry powder inhaler with age limitations based on respiratory capacity</w:t>
      </w:r>
    </w:p>
    <w:p w14:paraId="65BCD53B" w14:textId="77777777" w:rsidR="00B6073C" w:rsidRDefault="00B6073C" w:rsidP="004E63A2">
      <w:pPr>
        <w:pStyle w:val="ListParagraph"/>
        <w:numPr>
          <w:ilvl w:val="0"/>
          <w:numId w:val="52"/>
        </w:numPr>
      </w:pPr>
      <w:r>
        <w:t>Dose frequency, minimising where possible</w:t>
      </w:r>
    </w:p>
    <w:p w14:paraId="184D1C64" w14:textId="77777777" w:rsidR="00B6073C" w:rsidRDefault="00B6073C" w:rsidP="004E63A2">
      <w:pPr>
        <w:pStyle w:val="ListParagraph"/>
        <w:numPr>
          <w:ilvl w:val="0"/>
          <w:numId w:val="52"/>
        </w:numPr>
      </w:pPr>
      <w:r>
        <w:t>Route of administration, for example, using a rectal formulation for children who cannot tolerate oral medicines.</w:t>
      </w:r>
    </w:p>
    <w:p w14:paraId="6146E7A4" w14:textId="77777777" w:rsidR="00B6073C" w:rsidRDefault="00B6073C" w:rsidP="00B6073C">
      <w:r>
        <w:t>Neonates are a sub-population of ‘paediatrics’ who require additional specialist considerations. This includes the use of specialty reference sources to guide prescribing and medicines use appropriate for their unique needs.</w:t>
      </w:r>
    </w:p>
    <w:p w14:paraId="78316B12" w14:textId="77777777" w:rsidR="00B6073C" w:rsidRDefault="00B6073C" w:rsidP="00B6073C">
      <w:r>
        <w:t>Some clinical areas are not designated solely for children. Processes should be in place to support safe prescribing and medicines use in the paediatric population where and whenever children receive care. This includes higher risk settings where children are treated in areas not designated solely for paediatric care.</w:t>
      </w:r>
      <w:r>
        <w:rPr>
          <w:rStyle w:val="Superscript"/>
        </w:rPr>
        <w:t>11</w:t>
      </w:r>
      <w:r>
        <w:t xml:space="preserve"> </w:t>
      </w:r>
    </w:p>
    <w:p w14:paraId="1AE59258" w14:textId="77777777" w:rsidR="00B6073C" w:rsidRDefault="00B6073C" w:rsidP="00B6073C">
      <w:r>
        <w:t>Electronic medication management (EMM) has been associated with an increase in medication error rates, particularly relating to dose errors.</w:t>
      </w:r>
      <w:r>
        <w:rPr>
          <w:rStyle w:val="Superscript"/>
        </w:rPr>
        <w:t>7</w:t>
      </w:r>
      <w:r>
        <w:t xml:space="preserve"> Processes to support safe prescribing include ensuring the most accurate weight recorded in the system is used and optimising default rounding rules in dose calculations.</w:t>
      </w:r>
      <w:r>
        <w:rPr>
          <w:rStyle w:val="Superscript"/>
        </w:rPr>
        <w:t>12</w:t>
      </w:r>
      <w:r>
        <w:t xml:space="preserve"> Mixed adult and paediatric designed EMM systems should include features that support safe prescribing in paediatric patients. </w:t>
      </w:r>
    </w:p>
    <w:p w14:paraId="7D618748" w14:textId="77777777" w:rsidR="00D472F5" w:rsidRDefault="00D472F5" w:rsidP="002778C2">
      <w:pPr>
        <w:pStyle w:val="Heading2"/>
      </w:pPr>
      <w:r>
        <w:br w:type="page"/>
      </w:r>
    </w:p>
    <w:p w14:paraId="55A5700C" w14:textId="4064FD98" w:rsidR="00B6073C" w:rsidRDefault="00B6073C" w:rsidP="002778C2">
      <w:pPr>
        <w:pStyle w:val="Heading2"/>
      </w:pPr>
      <w:r>
        <w:t>Reference texts and resources</w:t>
      </w:r>
    </w:p>
    <w:p w14:paraId="46C86FF9" w14:textId="77777777" w:rsidR="00B6073C" w:rsidRDefault="00000000" w:rsidP="004E63A2">
      <w:pPr>
        <w:pStyle w:val="ListParagraph"/>
        <w:numPr>
          <w:ilvl w:val="0"/>
          <w:numId w:val="53"/>
        </w:numPr>
      </w:pPr>
      <w:hyperlink r:id="rId15" w:history="1">
        <w:r w:rsidR="00B6073C">
          <w:rPr>
            <w:rStyle w:val="Hyperlink"/>
          </w:rPr>
          <w:t>Australian Medicines Handbook Children’s Dosing Companion</w:t>
        </w:r>
      </w:hyperlink>
      <w:r w:rsidR="00B6073C">
        <w:t xml:space="preserve"> </w:t>
      </w:r>
    </w:p>
    <w:p w14:paraId="127C87B7" w14:textId="77777777" w:rsidR="00B6073C" w:rsidRDefault="00000000" w:rsidP="004E63A2">
      <w:pPr>
        <w:pStyle w:val="ListParagraph"/>
        <w:numPr>
          <w:ilvl w:val="0"/>
          <w:numId w:val="53"/>
        </w:numPr>
      </w:pPr>
      <w:hyperlink r:id="rId16" w:history="1">
        <w:r w:rsidR="00B6073C">
          <w:rPr>
            <w:rStyle w:val="Hyperlink"/>
          </w:rPr>
          <w:t>Australian Pharmaceutical Formulary and Handbook</w:t>
        </w:r>
      </w:hyperlink>
      <w:r w:rsidR="00B6073C">
        <w:t xml:space="preserve"> </w:t>
      </w:r>
    </w:p>
    <w:p w14:paraId="4E6F2C4E" w14:textId="77777777" w:rsidR="00B6073C" w:rsidRDefault="00B6073C" w:rsidP="004E63A2">
      <w:pPr>
        <w:pStyle w:val="ListParagraph"/>
        <w:numPr>
          <w:ilvl w:val="0"/>
          <w:numId w:val="53"/>
        </w:numPr>
      </w:pPr>
      <w:r>
        <w:t xml:space="preserve">Society of Hospital Pharmacists of Australia </w:t>
      </w:r>
      <w:hyperlink r:id="rId17" w:history="1">
        <w:r>
          <w:rPr>
            <w:rStyle w:val="Hyperlink"/>
          </w:rPr>
          <w:t>Don’t Rush to Crush</w:t>
        </w:r>
      </w:hyperlink>
      <w:r>
        <w:t xml:space="preserve"> </w:t>
      </w:r>
    </w:p>
    <w:p w14:paraId="1A03885A" w14:textId="77777777" w:rsidR="00B6073C" w:rsidRDefault="00000000" w:rsidP="004E63A2">
      <w:pPr>
        <w:pStyle w:val="ListParagraph"/>
        <w:numPr>
          <w:ilvl w:val="0"/>
          <w:numId w:val="53"/>
        </w:numPr>
      </w:pPr>
      <w:hyperlink r:id="rId18" w:history="1">
        <w:r w:rsidR="00B6073C">
          <w:rPr>
            <w:rStyle w:val="Hyperlink"/>
          </w:rPr>
          <w:t>Therapeutic Guidelines</w:t>
        </w:r>
      </w:hyperlink>
      <w:r w:rsidR="00B6073C">
        <w:t xml:space="preserve"> </w:t>
      </w:r>
    </w:p>
    <w:p w14:paraId="14929A46" w14:textId="77777777" w:rsidR="00B6073C" w:rsidRDefault="00B6073C" w:rsidP="004E63A2">
      <w:pPr>
        <w:pStyle w:val="ListParagraph"/>
        <w:numPr>
          <w:ilvl w:val="0"/>
          <w:numId w:val="53"/>
        </w:numPr>
        <w:rPr>
          <w:rStyle w:val="Hyperlink"/>
        </w:rPr>
      </w:pPr>
      <w:r>
        <w:t xml:space="preserve">The Royal Children’s Hospital </w:t>
      </w:r>
      <w:hyperlink r:id="rId19" w:history="1">
        <w:r>
          <w:rPr>
            <w:rStyle w:val="Hyperlink"/>
          </w:rPr>
          <w:t>Paediatric Injectable Guidelines</w:t>
        </w:r>
      </w:hyperlink>
    </w:p>
    <w:p w14:paraId="57351E09" w14:textId="77777777" w:rsidR="00B6073C" w:rsidRDefault="00000000" w:rsidP="004E63A2">
      <w:pPr>
        <w:pStyle w:val="ListParagraph"/>
        <w:numPr>
          <w:ilvl w:val="0"/>
          <w:numId w:val="53"/>
        </w:numPr>
      </w:pPr>
      <w:hyperlink r:id="rId20" w:history="1">
        <w:r w:rsidR="00B6073C">
          <w:rPr>
            <w:rStyle w:val="Hyperlink"/>
          </w:rPr>
          <w:t>British National Formulary for Children</w:t>
        </w:r>
      </w:hyperlink>
      <w:r w:rsidR="00B6073C">
        <w:t xml:space="preserve"> </w:t>
      </w:r>
    </w:p>
    <w:p w14:paraId="2BCE185C" w14:textId="77777777" w:rsidR="00B6073C" w:rsidRDefault="00B6073C" w:rsidP="004E63A2">
      <w:pPr>
        <w:pStyle w:val="ListParagraph"/>
        <w:numPr>
          <w:ilvl w:val="0"/>
          <w:numId w:val="53"/>
        </w:numPr>
        <w:rPr>
          <w:rStyle w:val="Hyperlink"/>
        </w:rPr>
      </w:pPr>
      <w:r>
        <w:t xml:space="preserve">Australian Commission on Safety and Quality in Health Care </w:t>
      </w:r>
      <w:hyperlink r:id="rId21" w:history="1">
        <w:r>
          <w:rPr>
            <w:rStyle w:val="Hyperlink"/>
          </w:rPr>
          <w:t>Recommendations for terminology, abbreviations and symbols used in medicines documentation</w:t>
        </w:r>
      </w:hyperlink>
    </w:p>
    <w:p w14:paraId="1C895A24" w14:textId="77777777" w:rsidR="00B6073C" w:rsidRDefault="00B6073C" w:rsidP="004E63A2">
      <w:pPr>
        <w:pStyle w:val="ListParagraph"/>
        <w:numPr>
          <w:ilvl w:val="0"/>
          <w:numId w:val="53"/>
        </w:numPr>
      </w:pPr>
      <w:r>
        <w:t xml:space="preserve">Agency for Healthcare Research and Quality (US) </w:t>
      </w:r>
      <w:hyperlink r:id="rId22" w:history="1">
        <w:r>
          <w:rPr>
            <w:rStyle w:val="Hyperlink"/>
          </w:rPr>
          <w:t>Health literacy universal precautions toolkit, 3rd edition: use the teach-back method</w:t>
        </w:r>
      </w:hyperlink>
      <w:r>
        <w:t xml:space="preserve"> </w:t>
      </w:r>
    </w:p>
    <w:p w14:paraId="5C53CCF3" w14:textId="5BC7F57A" w:rsidR="00B6073C" w:rsidRDefault="00B6073C" w:rsidP="002778C2">
      <w:pPr>
        <w:pStyle w:val="Heading2"/>
      </w:pPr>
      <w:r w:rsidRPr="002778C2">
        <w:t>Consultation</w:t>
      </w:r>
    </w:p>
    <w:p w14:paraId="15EA771F" w14:textId="77777777" w:rsidR="00B6073C" w:rsidRDefault="00B6073C" w:rsidP="00B6073C">
      <w:r>
        <w:t>This position statement is endorsed by the following organisations:</w:t>
      </w:r>
    </w:p>
    <w:p w14:paraId="5EE8A8DE" w14:textId="77777777" w:rsidR="00B6073C" w:rsidRDefault="00B6073C" w:rsidP="004E63A2">
      <w:pPr>
        <w:pStyle w:val="ListParagraph"/>
        <w:numPr>
          <w:ilvl w:val="0"/>
          <w:numId w:val="54"/>
        </w:numPr>
      </w:pPr>
      <w:r>
        <w:t xml:space="preserve">Advanced Pharmacy Australia </w:t>
      </w:r>
    </w:p>
    <w:p w14:paraId="1EA326DD" w14:textId="77777777" w:rsidR="00B6073C" w:rsidRDefault="00B6073C" w:rsidP="004E63A2">
      <w:pPr>
        <w:pStyle w:val="ListParagraph"/>
        <w:numPr>
          <w:ilvl w:val="0"/>
          <w:numId w:val="54"/>
        </w:numPr>
      </w:pPr>
      <w:r>
        <w:t>Australian College of Nurse Practitioners</w:t>
      </w:r>
    </w:p>
    <w:p w14:paraId="7416BA6F" w14:textId="77777777" w:rsidR="00B6073C" w:rsidRDefault="00B6073C" w:rsidP="004E63A2">
      <w:pPr>
        <w:pStyle w:val="ListParagraph"/>
        <w:numPr>
          <w:ilvl w:val="0"/>
          <w:numId w:val="54"/>
        </w:numPr>
      </w:pPr>
      <w:r>
        <w:t xml:space="preserve">Australian Nursing and Midwifery Federation </w:t>
      </w:r>
    </w:p>
    <w:p w14:paraId="26FB1F79" w14:textId="77777777" w:rsidR="00B6073C" w:rsidRDefault="00B6073C" w:rsidP="004E63A2">
      <w:pPr>
        <w:pStyle w:val="ListParagraph"/>
        <w:numPr>
          <w:ilvl w:val="0"/>
          <w:numId w:val="54"/>
        </w:numPr>
      </w:pPr>
      <w:r>
        <w:t>Pharmaceutical Society of Australia</w:t>
      </w:r>
    </w:p>
    <w:p w14:paraId="0AF33535" w14:textId="77777777" w:rsidR="00B6073C" w:rsidRDefault="00B6073C" w:rsidP="004E63A2">
      <w:pPr>
        <w:pStyle w:val="ListParagraph"/>
        <w:numPr>
          <w:ilvl w:val="0"/>
          <w:numId w:val="54"/>
        </w:numPr>
      </w:pPr>
      <w:r>
        <w:t>Royal Australasian College of Physicians</w:t>
      </w:r>
    </w:p>
    <w:p w14:paraId="2F4CFA56" w14:textId="77777777" w:rsidR="00B6073C" w:rsidRDefault="00B6073C" w:rsidP="004E63A2">
      <w:pPr>
        <w:pStyle w:val="ListParagraph"/>
        <w:numPr>
          <w:ilvl w:val="0"/>
          <w:numId w:val="54"/>
        </w:numPr>
      </w:pPr>
      <w:r>
        <w:t>Women’s and Children’s Healthcare Australasia.</w:t>
      </w:r>
    </w:p>
    <w:p w14:paraId="19C2EE86" w14:textId="7734F45A" w:rsidR="00E33DB8" w:rsidRPr="00E33DB8" w:rsidRDefault="00E33DB8" w:rsidP="00D22D6A">
      <w:pPr>
        <w:spacing w:before="360" w:after="240"/>
        <w:ind w:hanging="142"/>
      </w:pPr>
      <w:r w:rsidRPr="00E33DB8">
        <w:rPr>
          <w:noProof/>
        </w:rPr>
        <w:drawing>
          <wp:inline distT="0" distB="0" distL="0" distR="0" wp14:anchorId="5C871E26" wp14:editId="01208A2A">
            <wp:extent cx="6466050" cy="1458410"/>
            <wp:effectExtent l="0" t="0" r="0" b="2540"/>
            <wp:docPr id="641627666" name="Picture 1" descr="Advanced Pharmacy Australia &#10;&#10;Australian College of Nurse Practitioners logo&#10;&#10;Australian Nursing and Midwifery Federation logo&#10;&#10;Pharmaceutical Society of Australia logo&#10;&#10;Royal Australasian College of Physicians logo&#10;&#10;Women’s and Children’s Healthcare Australasi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627666" name="Picture 1" descr="Advanced Pharmacy Australia &#10;&#10;Australian College of Nurse Practitioners logo&#10;&#10;Australian Nursing and Midwifery Federation logo&#10;&#10;Pharmaceutical Society of Australia logo&#10;&#10;Royal Australasian College of Physicians logo&#10;&#10;Women’s and Children’s Healthcare Australasia logo&#10;"/>
                    <pic:cNvPicPr/>
                  </pic:nvPicPr>
                  <pic:blipFill>
                    <a:blip r:embed="rId23"/>
                    <a:stretch>
                      <a:fillRect/>
                    </a:stretch>
                  </pic:blipFill>
                  <pic:spPr>
                    <a:xfrm>
                      <a:off x="0" y="0"/>
                      <a:ext cx="6484943" cy="1462671"/>
                    </a:xfrm>
                    <a:prstGeom prst="rect">
                      <a:avLst/>
                    </a:prstGeom>
                  </pic:spPr>
                </pic:pic>
              </a:graphicData>
            </a:graphic>
          </wp:inline>
        </w:drawing>
      </w:r>
    </w:p>
    <w:p w14:paraId="6477F036" w14:textId="77777777" w:rsidR="005A34D0" w:rsidRDefault="005A34D0" w:rsidP="005A34D0">
      <w:pPr>
        <w:pStyle w:val="Heading2"/>
      </w:pPr>
      <w:r w:rsidRPr="002778C2">
        <w:t>Questions</w:t>
      </w:r>
      <w:r>
        <w:t xml:space="preserve"> </w:t>
      </w:r>
    </w:p>
    <w:p w14:paraId="6847214E" w14:textId="77777777" w:rsidR="005A34D0" w:rsidRDefault="005A34D0" w:rsidP="005A34D0">
      <w:r>
        <w:t xml:space="preserve">For more information, please visit: </w:t>
      </w:r>
      <w:hyperlink r:id="rId24" w:history="1">
        <w:r>
          <w:rPr>
            <w:rStyle w:val="Hyperlink"/>
          </w:rPr>
          <w:t>safetyandquality.gov.au/our-work/medication-safety</w:t>
        </w:r>
      </w:hyperlink>
      <w:r>
        <w:t>.</w:t>
      </w:r>
    </w:p>
    <w:p w14:paraId="1E62343B" w14:textId="1C1F5EF5" w:rsidR="00591EE8" w:rsidRDefault="005A34D0" w:rsidP="00591EE8">
      <w:r>
        <w:t xml:space="preserve">You can also contact the Medicines Safety and Quality Team at: </w:t>
      </w:r>
      <w:hyperlink r:id="rId25" w:history="1">
        <w:r>
          <w:rPr>
            <w:rStyle w:val="Hyperlink"/>
          </w:rPr>
          <w:t>medsafety@safetyandquality.gov.au</w:t>
        </w:r>
      </w:hyperlink>
      <w:r>
        <w:t>.</w:t>
      </w:r>
    </w:p>
    <w:p w14:paraId="40FB07BF" w14:textId="4CC5F4AD" w:rsidR="00423FC4" w:rsidRPr="00423FC4" w:rsidRDefault="00423FC4" w:rsidP="00423FC4">
      <w:pPr>
        <w:sectPr w:rsidR="00423FC4" w:rsidRPr="00423FC4" w:rsidSect="00A901B3">
          <w:headerReference w:type="even" r:id="rId26"/>
          <w:headerReference w:type="default" r:id="rId27"/>
          <w:footerReference w:type="even" r:id="rId28"/>
          <w:footerReference w:type="default" r:id="rId29"/>
          <w:pgSz w:w="11906" w:h="16838"/>
          <w:pgMar w:top="2126" w:right="1134" w:bottom="1418" w:left="1134" w:header="709" w:footer="709" w:gutter="0"/>
          <w:cols w:space="708"/>
          <w:docGrid w:linePitch="360"/>
        </w:sectPr>
      </w:pPr>
    </w:p>
    <w:p w14:paraId="28C83AED" w14:textId="77777777" w:rsidR="00A45258" w:rsidRDefault="00A45258" w:rsidP="006F5249">
      <w:pPr>
        <w:pStyle w:val="Heading2"/>
      </w:pPr>
      <w:r>
        <w:br w:type="page"/>
      </w:r>
    </w:p>
    <w:p w14:paraId="6DBABFD4" w14:textId="1FA5700C" w:rsidR="006F5249" w:rsidRDefault="006F5249" w:rsidP="006F5249">
      <w:pPr>
        <w:pStyle w:val="Heading2"/>
      </w:pPr>
      <w:r>
        <w:t>References</w:t>
      </w:r>
    </w:p>
    <w:p w14:paraId="305E0753" w14:textId="77777777" w:rsidR="006F5249" w:rsidRDefault="006F5249" w:rsidP="006F5249">
      <w:pPr>
        <w:pStyle w:val="ListParagraph"/>
        <w:numPr>
          <w:ilvl w:val="0"/>
          <w:numId w:val="56"/>
        </w:numPr>
        <w:ind w:left="426" w:hanging="426"/>
      </w:pPr>
      <w:r>
        <w:t xml:space="preserve">Australian Medicines Handbook. </w:t>
      </w:r>
      <w:hyperlink r:id="rId30" w:history="1">
        <w:r>
          <w:rPr>
            <w:rStyle w:val="Hyperlink"/>
          </w:rPr>
          <w:t>AMH children’s dosing companion</w:t>
        </w:r>
      </w:hyperlink>
      <w:r>
        <w:t xml:space="preserve">. Adelaide: Australian Medicines Handbook Pty Ltd; 2023. </w:t>
      </w:r>
    </w:p>
    <w:p w14:paraId="224BD6CB" w14:textId="77777777" w:rsidR="006F5249" w:rsidRDefault="006F5249" w:rsidP="006F5249">
      <w:pPr>
        <w:pStyle w:val="ListParagraph"/>
        <w:numPr>
          <w:ilvl w:val="0"/>
          <w:numId w:val="56"/>
        </w:numPr>
        <w:ind w:left="426" w:hanging="426"/>
      </w:pPr>
      <w:r>
        <w:t>Joint Commission. Preventing pediatric medication errors. Sentinel Event Alert 2008; issue 39.</w:t>
      </w:r>
    </w:p>
    <w:p w14:paraId="527BE2D7" w14:textId="77777777" w:rsidR="006F5249" w:rsidRDefault="006F5249" w:rsidP="006F5249">
      <w:pPr>
        <w:pStyle w:val="ListParagraph"/>
        <w:numPr>
          <w:ilvl w:val="0"/>
          <w:numId w:val="56"/>
        </w:numPr>
        <w:ind w:left="426" w:hanging="426"/>
      </w:pPr>
      <w:r>
        <w:t>Benavides S, Huynh D, Morgan J, Briars L. Approach to the pediatric prescription in a community pharmacy. J Pediatr Pharmacol Ther 2011;16(4):298–307.</w:t>
      </w:r>
    </w:p>
    <w:p w14:paraId="75BA3BAD" w14:textId="77777777" w:rsidR="006F5249" w:rsidRDefault="006F5249" w:rsidP="006F5249">
      <w:pPr>
        <w:pStyle w:val="ListParagraph"/>
        <w:numPr>
          <w:ilvl w:val="0"/>
          <w:numId w:val="56"/>
        </w:numPr>
        <w:ind w:left="426" w:hanging="426"/>
      </w:pPr>
      <w:r>
        <w:t>Kaushal R, Bates DW, Landrigan C, McKenna KJ, Clapp MD, Federico F, et al. Medication errors and adverse drug events in pediatric inpatients. JAMA 2001;285(16):2114–20.</w:t>
      </w:r>
    </w:p>
    <w:p w14:paraId="0490596E" w14:textId="77777777" w:rsidR="006F5249" w:rsidRDefault="006F5249" w:rsidP="006F5249">
      <w:pPr>
        <w:pStyle w:val="ListParagraph"/>
        <w:numPr>
          <w:ilvl w:val="0"/>
          <w:numId w:val="56"/>
        </w:numPr>
        <w:ind w:left="426" w:hanging="426"/>
      </w:pPr>
      <w:r>
        <w:t>Miller MR, Robinson KA, Lubomski LH, Rinke ML, Pronovost PJ. Medication errors in paediatric care: a systematic review of epidemiology and an evaluation of evidence supporting reduction strategy recommendations. Qual Saf Health Care 2007;16(2):116–26.</w:t>
      </w:r>
    </w:p>
    <w:p w14:paraId="30C394EC" w14:textId="77777777" w:rsidR="006F5249" w:rsidRDefault="006F5249" w:rsidP="006F5249">
      <w:pPr>
        <w:pStyle w:val="ListParagraph"/>
        <w:numPr>
          <w:ilvl w:val="0"/>
          <w:numId w:val="56"/>
        </w:numPr>
        <w:ind w:left="426" w:hanging="426"/>
      </w:pPr>
      <w:r>
        <w:t>Doherty C, McDonnell C. Tenfold medication errors: 5 years’ experience at a university-affiliated pediatric hospital. Pediatrics 2012;129(5):916–24.</w:t>
      </w:r>
    </w:p>
    <w:p w14:paraId="5A34F1E8" w14:textId="77777777" w:rsidR="006F5249" w:rsidRDefault="006F5249" w:rsidP="006F5249">
      <w:pPr>
        <w:pStyle w:val="ListParagraph"/>
        <w:numPr>
          <w:ilvl w:val="0"/>
          <w:numId w:val="56"/>
        </w:numPr>
        <w:ind w:left="426" w:hanging="426"/>
      </w:pPr>
      <w:r>
        <w:t xml:space="preserve">Westbrook JI, Li L, Raban MZ, Mumford V, Badgery-Parker T, Gates P, et al. Short- and long-term effects of an electronic medication management system on paediatric prescribing errors. NPJ Digit Med 2022 13;5(1):179. </w:t>
      </w:r>
      <w:hyperlink r:id="rId31" w:history="1">
        <w:r>
          <w:rPr>
            <w:rStyle w:val="Hyperlink"/>
          </w:rPr>
          <w:t>doi.org/10.1038/s41746-022-00739-x</w:t>
        </w:r>
      </w:hyperlink>
    </w:p>
    <w:p w14:paraId="3C3138C2" w14:textId="77777777" w:rsidR="006F5249" w:rsidRDefault="006F5249" w:rsidP="006F5249">
      <w:pPr>
        <w:pStyle w:val="ListParagraph"/>
        <w:numPr>
          <w:ilvl w:val="0"/>
          <w:numId w:val="56"/>
        </w:numPr>
        <w:ind w:left="426" w:hanging="426"/>
      </w:pPr>
      <w:r>
        <w:t xml:space="preserve">Royal Pharmaceutical Society of Great Britain. </w:t>
      </w:r>
      <w:hyperlink r:id="rId32" w:history="1">
        <w:r>
          <w:rPr>
            <w:rStyle w:val="Hyperlink"/>
          </w:rPr>
          <w:t>British National Formulary for children</w:t>
        </w:r>
      </w:hyperlink>
      <w:r>
        <w:t xml:space="preserve">. London: BMJ Publishing; 2023. </w:t>
      </w:r>
    </w:p>
    <w:p w14:paraId="475B3E65" w14:textId="77777777" w:rsidR="006F5249" w:rsidRDefault="006F5249" w:rsidP="006F5249">
      <w:pPr>
        <w:pStyle w:val="ListParagraph"/>
        <w:numPr>
          <w:ilvl w:val="0"/>
          <w:numId w:val="56"/>
        </w:numPr>
        <w:ind w:left="426" w:hanging="426"/>
      </w:pPr>
      <w:r>
        <w:t>Levine S, Cohen M, Blanchard N, Frederico F, Magelli M, Lomax C, et al. Guidelines for preventing medication errors in paediatrics. J Pediatr Pharmacol Ther 2001;6:426–42.</w:t>
      </w:r>
    </w:p>
    <w:p w14:paraId="12759351" w14:textId="77777777" w:rsidR="006F5249" w:rsidRDefault="006F5249" w:rsidP="006F5249">
      <w:pPr>
        <w:pStyle w:val="ListParagraph"/>
        <w:numPr>
          <w:ilvl w:val="0"/>
          <w:numId w:val="56"/>
        </w:numPr>
        <w:ind w:left="426" w:hanging="426"/>
      </w:pPr>
      <w:r>
        <w:t>American Academy of Pediatrics. Prevention of medication errors in the pediatric inpatient setting. Pediatrics 2003;112(2):431–6.</w:t>
      </w:r>
    </w:p>
    <w:p w14:paraId="43A1501C" w14:textId="77777777" w:rsidR="006F5249" w:rsidRDefault="006F5249" w:rsidP="006F5249">
      <w:pPr>
        <w:pStyle w:val="ListParagraph"/>
        <w:numPr>
          <w:ilvl w:val="0"/>
          <w:numId w:val="56"/>
        </w:numPr>
        <w:ind w:left="426" w:hanging="426"/>
      </w:pPr>
      <w:r>
        <w:t xml:space="preserve">Institute for Safe Medication Practices (ISMP). Assessing Medication Safety in Settings Not Designated Solely for Pediatric Patients. </w:t>
      </w:r>
      <w:hyperlink r:id="rId33" w:history="1">
        <w:r>
          <w:rPr>
            <w:rStyle w:val="Hyperlink"/>
          </w:rPr>
          <w:t>ISMP Medication Safety Alert! Acute Care.</w:t>
        </w:r>
      </w:hyperlink>
      <w:r>
        <w:t xml:space="preserve"> 2023;28(12):1–5.</w:t>
      </w:r>
    </w:p>
    <w:p w14:paraId="1E8B192A" w14:textId="77777777" w:rsidR="006F5249" w:rsidRDefault="006F5249" w:rsidP="006F5249">
      <w:pPr>
        <w:pStyle w:val="ListParagraph"/>
        <w:numPr>
          <w:ilvl w:val="0"/>
          <w:numId w:val="56"/>
        </w:numPr>
        <w:ind w:left="426" w:hanging="426"/>
      </w:pPr>
      <w:r>
        <w:t xml:space="preserve">Australian Institute of Health </w:t>
      </w:r>
      <w:r w:rsidRPr="006F5249">
        <w:t>Innovation</w:t>
      </w:r>
      <w:r>
        <w:t xml:space="preserve"> (AIHI). E-Medication Safety Health Innovation Series. </w:t>
      </w:r>
      <w:hyperlink r:id="rId34" w:history="1">
        <w:r>
          <w:rPr>
            <w:rStyle w:val="Hyperlink"/>
          </w:rPr>
          <w:t>Evidence based recommendations to improve care delivery and outcomes</w:t>
        </w:r>
      </w:hyperlink>
    </w:p>
    <w:p w14:paraId="021D58F1" w14:textId="04307945" w:rsidR="00485B53" w:rsidRPr="00485B53" w:rsidRDefault="00000000" w:rsidP="006F5249">
      <w:pPr>
        <w:tabs>
          <w:tab w:val="left" w:pos="4220"/>
        </w:tabs>
        <w:spacing w:before="600" w:after="60"/>
        <w:rPr>
          <w:rStyle w:val="Roman"/>
          <w:rFonts w:cstheme="minorHAnsi"/>
          <w:b/>
          <w:bCs/>
          <w:sz w:val="27"/>
          <w:szCs w:val="27"/>
        </w:rPr>
      </w:pPr>
      <w:hyperlink r:id="rId35" w:history="1">
        <w:r w:rsidR="00195458" w:rsidRPr="0026569B">
          <w:rPr>
            <w:rStyle w:val="Hyperlink"/>
            <w:rFonts w:cstheme="minorHAnsi"/>
            <w:b/>
            <w:bCs/>
            <w:color w:val="007EA5" w:themeColor="accent2" w:themeShade="BF"/>
            <w:sz w:val="27"/>
            <w:szCs w:val="27"/>
            <w:u w:val="none"/>
          </w:rPr>
          <w:t>safetyandquality.gov.au</w:t>
        </w:r>
      </w:hyperlink>
      <w:r w:rsidR="006F5249">
        <w:rPr>
          <w:rStyle w:val="Hyperlink"/>
          <w:rFonts w:cstheme="minorHAnsi"/>
          <w:b/>
          <w:bCs/>
          <w:color w:val="007EA5" w:themeColor="accent2" w:themeShade="BF"/>
          <w:sz w:val="27"/>
          <w:szCs w:val="27"/>
          <w:u w:val="none"/>
        </w:rPr>
        <w:tab/>
      </w:r>
    </w:p>
    <w:p w14:paraId="63A1EB33" w14:textId="61DA804E" w:rsidR="00485B53" w:rsidRDefault="001918F7" w:rsidP="00146BFB">
      <w:pPr>
        <w:pStyle w:val="FootnoteText"/>
        <w:tabs>
          <w:tab w:val="right" w:pos="8931"/>
        </w:tabs>
        <w:spacing w:before="140"/>
        <w:rPr>
          <w:rStyle w:val="Roman"/>
          <w:rFonts w:eastAsiaTheme="majorEastAsia"/>
          <w:sz w:val="16"/>
          <w:szCs w:val="16"/>
        </w:rPr>
      </w:pPr>
      <w:r w:rsidRPr="00146BFB">
        <w:rPr>
          <w:noProof/>
          <w:sz w:val="16"/>
          <w:szCs w:val="16"/>
          <w:lang w:val="en-US" w:eastAsia="en-US"/>
        </w:rPr>
        <w:drawing>
          <wp:inline distT="0" distB="0" distL="0" distR="0" wp14:anchorId="52E40C1F" wp14:editId="35E8E22F">
            <wp:extent cx="596265" cy="211455"/>
            <wp:effectExtent l="0" t="0" r="635" b="4445"/>
            <wp:docPr id="4" name="Picture 4"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c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6265" cy="211455"/>
                    </a:xfrm>
                    <a:prstGeom prst="rect">
                      <a:avLst/>
                    </a:prstGeom>
                    <a:noFill/>
                    <a:ln>
                      <a:noFill/>
                    </a:ln>
                  </pic:spPr>
                </pic:pic>
              </a:graphicData>
            </a:graphic>
          </wp:inline>
        </w:drawing>
      </w:r>
      <w:r w:rsidR="00AA77B0">
        <w:rPr>
          <w:rStyle w:val="Roman"/>
          <w:rFonts w:eastAsiaTheme="majorEastAsia"/>
          <w:sz w:val="16"/>
          <w:szCs w:val="16"/>
        </w:rPr>
        <w:t xml:space="preserve"> </w:t>
      </w:r>
    </w:p>
    <w:p w14:paraId="6D08FD41" w14:textId="440D8B0F" w:rsidR="00C477AC" w:rsidRPr="00146BFB" w:rsidRDefault="001918F7" w:rsidP="00146BFB">
      <w:pPr>
        <w:pStyle w:val="FootnoteText"/>
        <w:tabs>
          <w:tab w:val="right" w:pos="8931"/>
        </w:tabs>
        <w:spacing w:before="140"/>
        <w:rPr>
          <w:rStyle w:val="Roman"/>
          <w:rFonts w:eastAsiaTheme="majorEastAsia"/>
          <w:sz w:val="16"/>
          <w:szCs w:val="16"/>
        </w:rPr>
      </w:pPr>
      <w:r w:rsidRPr="00146BFB">
        <w:rPr>
          <w:rStyle w:val="Roman"/>
          <w:rFonts w:eastAsiaTheme="majorEastAsia"/>
          <w:sz w:val="16"/>
          <w:szCs w:val="16"/>
        </w:rPr>
        <w:t>© Australian Commission on Safety</w:t>
      </w:r>
      <w:r w:rsidR="00146BFB" w:rsidRPr="00146BFB">
        <w:rPr>
          <w:rStyle w:val="Roman"/>
          <w:rFonts w:eastAsiaTheme="majorEastAsia"/>
          <w:sz w:val="16"/>
          <w:szCs w:val="16"/>
        </w:rPr>
        <w:t xml:space="preserve"> </w:t>
      </w:r>
      <w:r w:rsidRPr="00146BFB">
        <w:rPr>
          <w:rStyle w:val="Roman"/>
          <w:rFonts w:eastAsiaTheme="majorEastAsia"/>
          <w:sz w:val="16"/>
          <w:szCs w:val="16"/>
        </w:rPr>
        <w:t>and</w:t>
      </w:r>
      <w:r w:rsidR="00146BFB">
        <w:rPr>
          <w:rStyle w:val="Roman"/>
          <w:rFonts w:eastAsiaTheme="majorEastAsia"/>
          <w:sz w:val="16"/>
          <w:szCs w:val="16"/>
        </w:rPr>
        <w:softHyphen/>
      </w:r>
      <w:r w:rsidR="00146BFB">
        <w:rPr>
          <w:rStyle w:val="Roman"/>
          <w:rFonts w:eastAsiaTheme="majorEastAsia"/>
          <w:sz w:val="16"/>
          <w:szCs w:val="16"/>
        </w:rPr>
        <w:softHyphen/>
      </w:r>
      <w:r w:rsidRPr="00146BFB">
        <w:rPr>
          <w:rStyle w:val="Roman"/>
          <w:rFonts w:eastAsiaTheme="majorEastAsia"/>
          <w:sz w:val="16"/>
          <w:szCs w:val="16"/>
        </w:rPr>
        <w:t xml:space="preserve"> </w:t>
      </w:r>
      <w:r w:rsidR="00146BFB" w:rsidRPr="00146BFB">
        <w:rPr>
          <w:rStyle w:val="Roman"/>
          <w:rFonts w:eastAsiaTheme="majorEastAsia"/>
          <w:sz w:val="16"/>
          <w:szCs w:val="16"/>
        </w:rPr>
        <w:softHyphen/>
      </w:r>
      <w:r w:rsidRPr="00146BFB">
        <w:rPr>
          <w:rStyle w:val="Roman"/>
          <w:rFonts w:eastAsiaTheme="majorEastAsia"/>
          <w:sz w:val="16"/>
          <w:szCs w:val="16"/>
        </w:rPr>
        <w:t>Quality in Health Care 20</w:t>
      </w:r>
      <w:r w:rsidR="003A70CE" w:rsidRPr="00146BFB">
        <w:rPr>
          <w:rStyle w:val="Roman"/>
          <w:rFonts w:eastAsiaTheme="majorEastAsia"/>
          <w:sz w:val="16"/>
          <w:szCs w:val="16"/>
        </w:rPr>
        <w:t>2</w:t>
      </w:r>
      <w:r w:rsidR="00485B53">
        <w:rPr>
          <w:rStyle w:val="Roman"/>
          <w:rFonts w:eastAsiaTheme="majorEastAsia"/>
          <w:sz w:val="16"/>
          <w:szCs w:val="16"/>
        </w:rPr>
        <w:t>4</w:t>
      </w:r>
      <w:r w:rsidR="007B5D1E" w:rsidRPr="00146BFB">
        <w:rPr>
          <w:sz w:val="16"/>
          <w:szCs w:val="16"/>
        </w:rPr>
        <w:t xml:space="preserve"> </w:t>
      </w:r>
      <w:r w:rsidR="007B5D1E" w:rsidRPr="00146BFB" w:rsidDel="00174535">
        <w:rPr>
          <w:rStyle w:val="Roman"/>
          <w:rFonts w:eastAsiaTheme="majorEastAsia"/>
          <w:sz w:val="16"/>
          <w:szCs w:val="16"/>
        </w:rPr>
        <w:t xml:space="preserve"> </w:t>
      </w:r>
      <w:r w:rsidR="00820059" w:rsidRPr="00146BFB">
        <w:rPr>
          <w:rStyle w:val="Roman"/>
          <w:rFonts w:eastAsiaTheme="majorEastAsia"/>
          <w:sz w:val="16"/>
          <w:szCs w:val="16"/>
        </w:rPr>
        <w:br/>
      </w:r>
    </w:p>
    <w:p w14:paraId="4FD3C59B" w14:textId="595D5E21" w:rsidR="00C477AC" w:rsidRDefault="006D0C40" w:rsidP="00820059">
      <w:pPr>
        <w:pStyle w:val="FootnoteText"/>
        <w:spacing w:before="0"/>
        <w:ind w:left="-142"/>
      </w:pPr>
      <w:r w:rsidRPr="006D0C40">
        <w:rPr>
          <w:noProof/>
        </w:rPr>
        <w:t xml:space="preserve"> </w:t>
      </w:r>
      <w:r w:rsidR="0028150E" w:rsidRPr="0028150E">
        <w:rPr>
          <w:noProof/>
        </w:rPr>
        <w:t xml:space="preserve"> </w:t>
      </w:r>
    </w:p>
    <w:sectPr w:rsidR="00C477AC" w:rsidSect="000E0981">
      <w:type w:val="continuous"/>
      <w:pgSz w:w="11906" w:h="16838"/>
      <w:pgMar w:top="2126"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3232F5" w14:textId="77777777" w:rsidR="00B63A7C" w:rsidRDefault="00B63A7C" w:rsidP="000B0274">
      <w:r>
        <w:separator/>
      </w:r>
    </w:p>
    <w:p w14:paraId="11D9A198" w14:textId="77777777" w:rsidR="00B63A7C" w:rsidRDefault="00B63A7C"/>
    <w:p w14:paraId="65190DB9" w14:textId="77777777" w:rsidR="00B63A7C" w:rsidRDefault="00B63A7C"/>
    <w:p w14:paraId="0D305351" w14:textId="77777777" w:rsidR="00B63A7C" w:rsidRDefault="00B63A7C"/>
  </w:endnote>
  <w:endnote w:type="continuationSeparator" w:id="0">
    <w:p w14:paraId="1A873DB1" w14:textId="77777777" w:rsidR="00B63A7C" w:rsidRDefault="00B63A7C" w:rsidP="000B0274">
      <w:r>
        <w:continuationSeparator/>
      </w:r>
    </w:p>
    <w:p w14:paraId="51567B81" w14:textId="77777777" w:rsidR="00B63A7C" w:rsidRDefault="00B63A7C"/>
    <w:p w14:paraId="7DCCD349" w14:textId="77777777" w:rsidR="00B63A7C" w:rsidRDefault="00B63A7C"/>
    <w:p w14:paraId="35D2860A" w14:textId="77777777" w:rsidR="00B63A7C" w:rsidRDefault="00B63A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Arial Bold">
    <w:altName w:val="Arial"/>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otham Medium">
    <w:panose1 w:val="00000000000000000000"/>
    <w:charset w:val="00"/>
    <w:family w:val="auto"/>
    <w:notTrueType/>
    <w:pitch w:val="variable"/>
    <w:sig w:usb0="A100007F" w:usb1="4000005B" w:usb2="00000000" w:usb3="00000000" w:csb0="0000009B" w:csb1="00000000"/>
  </w:font>
  <w:font w:name="MinionPro-Regular">
    <w:altName w:val="Arial"/>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Calluna-It">
    <w:altName w:val="Arial"/>
    <w:panose1 w:val="00000000000000000000"/>
    <w:charset w:val="4D"/>
    <w:family w:val="auto"/>
    <w:notTrueType/>
    <w:pitch w:val="default"/>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ProximaNova-Bold">
    <w:altName w:val="Proxima Nova"/>
    <w:panose1 w:val="00000000000000000000"/>
    <w:charset w:val="00"/>
    <w:family w:val="auto"/>
    <w:notTrueType/>
    <w:pitch w:val="variable"/>
    <w:sig w:usb0="20000287" w:usb1="00000001" w:usb2="00000000" w:usb3="00000000" w:csb0="0000019F" w:csb1="00000000"/>
  </w:font>
  <w:font w:name="Proxima Nova">
    <w:panose1 w:val="00000000000000000000"/>
    <w:charset w:val="00"/>
    <w:family w:val="auto"/>
    <w:notTrueType/>
    <w:pitch w:val="variable"/>
    <w:sig w:usb0="A00002EF" w:usb1="5000E0F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Proxima Nova Extrabold">
    <w:panose1 w:val="00000000000000000000"/>
    <w:charset w:val="00"/>
    <w:family w:val="auto"/>
    <w:notTrueType/>
    <w:pitch w:val="variable"/>
    <w:sig w:usb0="A00002EF" w:usb1="5000E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800FC" w14:textId="37E2D28D" w:rsidR="00A5694A" w:rsidRDefault="00A5694A">
    <w:pPr>
      <w:pStyle w:val="Footer"/>
    </w:pPr>
  </w:p>
  <w:p w14:paraId="15F8C43E" w14:textId="77777777" w:rsidR="000D3447" w:rsidRDefault="000D34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F3ACF" w14:textId="17ACD5E3" w:rsidR="000D3447" w:rsidRPr="00F63F23" w:rsidRDefault="0063130B" w:rsidP="00F63F23">
    <w:pPr>
      <w:pStyle w:val="Footer"/>
      <w:tabs>
        <w:tab w:val="right" w:pos="9638"/>
      </w:tabs>
      <w:rPr>
        <w:b/>
        <w:bCs/>
        <w:iCs/>
        <w:lang w:val="en-GB"/>
      </w:rPr>
    </w:pPr>
    <w:r w:rsidRPr="0063130B">
      <w:t>Paediatric prescribing position statement</w:t>
    </w:r>
    <w:r w:rsidR="00F63F23" w:rsidRPr="00F63F23">
      <w:rPr>
        <w:b/>
        <w:bCs/>
        <w:iCs/>
        <w:lang w:val="en-GB"/>
      </w:rPr>
      <w:t xml:space="preserve"> </w:t>
    </w:r>
    <w:r w:rsidR="0026569B" w:rsidRPr="0026569B">
      <w:tab/>
    </w:r>
    <w:r w:rsidR="00830412">
      <w:tab/>
    </w:r>
    <w:r w:rsidR="0026569B" w:rsidRPr="0026569B">
      <w:fldChar w:fldCharType="begin"/>
    </w:r>
    <w:r w:rsidR="0026569B" w:rsidRPr="0026569B">
      <w:instrText xml:space="preserve"> PAGE </w:instrText>
    </w:r>
    <w:r w:rsidR="0026569B" w:rsidRPr="0026569B">
      <w:fldChar w:fldCharType="separate"/>
    </w:r>
    <w:r w:rsidR="0026569B" w:rsidRPr="0026569B">
      <w:t>1</w:t>
    </w:r>
    <w:r w:rsidR="0026569B" w:rsidRPr="0026569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C21C1" w14:textId="77777777" w:rsidR="00B63A7C" w:rsidRDefault="00B63A7C" w:rsidP="000B0274">
      <w:r>
        <w:separator/>
      </w:r>
    </w:p>
    <w:p w14:paraId="6997BFF4" w14:textId="77777777" w:rsidR="00B63A7C" w:rsidRDefault="00B63A7C"/>
    <w:p w14:paraId="7DABE17B" w14:textId="77777777" w:rsidR="00B63A7C" w:rsidRDefault="00B63A7C"/>
    <w:p w14:paraId="45F636D3" w14:textId="77777777" w:rsidR="00B63A7C" w:rsidRDefault="00B63A7C"/>
  </w:footnote>
  <w:footnote w:type="continuationSeparator" w:id="0">
    <w:p w14:paraId="140BDD04" w14:textId="77777777" w:rsidR="00B63A7C" w:rsidRDefault="00B63A7C" w:rsidP="000B0274">
      <w:r>
        <w:continuationSeparator/>
      </w:r>
    </w:p>
    <w:p w14:paraId="262A9688" w14:textId="77777777" w:rsidR="00B63A7C" w:rsidRDefault="00B63A7C"/>
    <w:p w14:paraId="4ADD9C19" w14:textId="77777777" w:rsidR="00B63A7C" w:rsidRDefault="00B63A7C"/>
    <w:p w14:paraId="32BA49DE" w14:textId="77777777" w:rsidR="00B63A7C" w:rsidRDefault="00B63A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53CD3" w14:textId="0F215348" w:rsidR="00A5694A" w:rsidRDefault="00A5694A">
    <w:pPr>
      <w:pStyle w:val="Header"/>
    </w:pPr>
  </w:p>
  <w:p w14:paraId="42D3D454" w14:textId="77777777" w:rsidR="000D3447" w:rsidRDefault="000D344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B3B42" w14:textId="27C572CB" w:rsidR="000D3447" w:rsidRDefault="0036588B" w:rsidP="00423FC4">
    <w:pPr>
      <w:pStyle w:val="Header"/>
      <w:tabs>
        <w:tab w:val="clear" w:pos="4513"/>
        <w:tab w:val="clear" w:pos="9026"/>
        <w:tab w:val="right" w:pos="9638"/>
      </w:tabs>
      <w:ind w:left="-142"/>
    </w:pPr>
    <w:r w:rsidRPr="00FB375B">
      <w:rPr>
        <w:rFonts w:eastAsiaTheme="majorEastAsia"/>
        <w:noProof/>
        <w:lang w:val="en-US" w:eastAsia="en-US"/>
      </w:rPr>
      <w:drawing>
        <wp:inline distT="0" distB="0" distL="0" distR="0" wp14:anchorId="752AEEBE" wp14:editId="3E628E3B">
          <wp:extent cx="3921369" cy="553493"/>
          <wp:effectExtent l="0" t="0" r="3175" b="5715"/>
          <wp:docPr id="1530013642" name="Picture 1530013642" descr="Australian Commission on Safety and Quality in Health Care log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SQHC_logo_inline_CMYK300_JPG (53722) (D15-408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67302" cy="574091"/>
                  </a:xfrm>
                  <a:prstGeom prst="rect">
                    <a:avLst/>
                  </a:prstGeom>
                </pic:spPr>
              </pic:pic>
            </a:graphicData>
          </a:graphic>
        </wp:inline>
      </w:drawing>
    </w:r>
    <w:r w:rsidR="00423FC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F3A29"/>
    <w:multiLevelType w:val="hybridMultilevel"/>
    <w:tmpl w:val="EFD0B5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6738A4"/>
    <w:multiLevelType w:val="hybridMultilevel"/>
    <w:tmpl w:val="4830CD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9049FA"/>
    <w:multiLevelType w:val="multilevel"/>
    <w:tmpl w:val="EABE25FA"/>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6105138"/>
    <w:multiLevelType w:val="hybridMultilevel"/>
    <w:tmpl w:val="0E8C4BC4"/>
    <w:lvl w:ilvl="0" w:tplc="EC840366">
      <w:start w:val="1"/>
      <w:numFmt w:val="bullet"/>
      <w:pStyle w:val="Dash"/>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922043"/>
    <w:multiLevelType w:val="hybridMultilevel"/>
    <w:tmpl w:val="9F725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B51086"/>
    <w:multiLevelType w:val="hybridMultilevel"/>
    <w:tmpl w:val="46F69BF8"/>
    <w:lvl w:ilvl="0" w:tplc="0809000F">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DCB4511"/>
    <w:multiLevelType w:val="multilevel"/>
    <w:tmpl w:val="0C09001D"/>
    <w:styleLink w:val="Bulle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Arial" w:hAnsi="Arial"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E7D76C9"/>
    <w:multiLevelType w:val="hybridMultilevel"/>
    <w:tmpl w:val="91828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9C32EB"/>
    <w:multiLevelType w:val="multilevel"/>
    <w:tmpl w:val="D1DCA2EC"/>
    <w:lvl w:ilvl="0">
      <w:start w:val="1"/>
      <w:numFmt w:val="bullet"/>
      <w:pStyle w:val="Bulletlist"/>
      <w:lvlText w:val=""/>
      <w:lvlJc w:val="left"/>
      <w:pPr>
        <w:ind w:left="567" w:hanging="283"/>
      </w:pPr>
      <w:rPr>
        <w:rFonts w:ascii="Symbol" w:hAnsi="Symbol" w:hint="default"/>
        <w:sz w:val="22"/>
      </w:rPr>
    </w:lvl>
    <w:lvl w:ilvl="1">
      <w:start w:val="1"/>
      <w:numFmt w:val="bullet"/>
      <w:lvlText w:val="-"/>
      <w:lvlJc w:val="left"/>
      <w:pPr>
        <w:ind w:left="851" w:hanging="284"/>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9" w15:restartNumberingAfterBreak="0">
    <w:nsid w:val="157E3742"/>
    <w:multiLevelType w:val="hybridMultilevel"/>
    <w:tmpl w:val="31A01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3220B2"/>
    <w:multiLevelType w:val="hybridMultilevel"/>
    <w:tmpl w:val="12128F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F1571C"/>
    <w:multiLevelType w:val="hybridMultilevel"/>
    <w:tmpl w:val="3C0AC47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19FB70A4"/>
    <w:multiLevelType w:val="hybridMultilevel"/>
    <w:tmpl w:val="06FA1C6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1A5E2DC9"/>
    <w:multiLevelType w:val="hybridMultilevel"/>
    <w:tmpl w:val="86E4779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1A6D700A"/>
    <w:multiLevelType w:val="hybridMultilevel"/>
    <w:tmpl w:val="F33E2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F00D5F"/>
    <w:multiLevelType w:val="hybridMultilevel"/>
    <w:tmpl w:val="66FC3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717C24"/>
    <w:multiLevelType w:val="hybridMultilevel"/>
    <w:tmpl w:val="EC38C45A"/>
    <w:lvl w:ilvl="0" w:tplc="3CC23B2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5123B0"/>
    <w:multiLevelType w:val="hybridMultilevel"/>
    <w:tmpl w:val="A08202C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3F52A50"/>
    <w:multiLevelType w:val="multilevel"/>
    <w:tmpl w:val="A3CE8E94"/>
    <w:styleLink w:val="Bullets"/>
    <w:lvl w:ilvl="0">
      <w:start w:val="1"/>
      <w:numFmt w:val="bullet"/>
      <w:lvlText w:val=""/>
      <w:lvlJc w:val="left"/>
      <w:pPr>
        <w:ind w:left="1080" w:hanging="360"/>
      </w:pPr>
      <w:rPr>
        <w:rFonts w:ascii="Symbol" w:hAnsi="Symbol" w:hint="default"/>
        <w:sz w:val="22"/>
      </w:rPr>
    </w:lvl>
    <w:lvl w:ilvl="1">
      <w:start w:val="1"/>
      <w:numFmt w:val="bullet"/>
      <w:lvlText w:val="-"/>
      <w:lvlJc w:val="left"/>
      <w:pPr>
        <w:ind w:left="1440" w:hanging="360"/>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0" w15:restartNumberingAfterBreak="0">
    <w:nsid w:val="26181D58"/>
    <w:multiLevelType w:val="hybridMultilevel"/>
    <w:tmpl w:val="5C5A4180"/>
    <w:lvl w:ilvl="0" w:tplc="2A5A3DA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97C354E"/>
    <w:multiLevelType w:val="hybridMultilevel"/>
    <w:tmpl w:val="6F0A6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2B495BBB"/>
    <w:multiLevelType w:val="hybridMultilevel"/>
    <w:tmpl w:val="BCB63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415D20"/>
    <w:multiLevelType w:val="hybridMultilevel"/>
    <w:tmpl w:val="BE00901E"/>
    <w:lvl w:ilvl="0" w:tplc="2A5A3DA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B04027"/>
    <w:multiLevelType w:val="hybridMultilevel"/>
    <w:tmpl w:val="90A21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A15D25"/>
    <w:multiLevelType w:val="hybridMultilevel"/>
    <w:tmpl w:val="63682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E0927E4"/>
    <w:multiLevelType w:val="hybridMultilevel"/>
    <w:tmpl w:val="FEA6C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3F6A0613"/>
    <w:multiLevelType w:val="hybridMultilevel"/>
    <w:tmpl w:val="93D846C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3FE90D34"/>
    <w:multiLevelType w:val="hybridMultilevel"/>
    <w:tmpl w:val="603C357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423935D3"/>
    <w:multiLevelType w:val="hybridMultilevel"/>
    <w:tmpl w:val="17741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46A452C3"/>
    <w:multiLevelType w:val="multilevel"/>
    <w:tmpl w:val="3FEA7ED4"/>
    <w:lvl w:ilvl="0">
      <w:start w:val="1"/>
      <w:numFmt w:val="decimal"/>
      <w:pStyle w:val="Numberedlists"/>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71C4723"/>
    <w:multiLevelType w:val="hybridMultilevel"/>
    <w:tmpl w:val="7D467C0C"/>
    <w:lvl w:ilvl="0" w:tplc="3CC23B2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71D6B46"/>
    <w:multiLevelType w:val="hybridMultilevel"/>
    <w:tmpl w:val="395E5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474D2069"/>
    <w:multiLevelType w:val="hybridMultilevel"/>
    <w:tmpl w:val="49967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48373784"/>
    <w:multiLevelType w:val="hybridMultilevel"/>
    <w:tmpl w:val="474ED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4B0E149C"/>
    <w:multiLevelType w:val="hybridMultilevel"/>
    <w:tmpl w:val="B2EA49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BD975F5"/>
    <w:multiLevelType w:val="multilevel"/>
    <w:tmpl w:val="0C09001D"/>
    <w:styleLink w:val="BulletsLevel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4FCE5E00"/>
    <w:multiLevelType w:val="hybridMultilevel"/>
    <w:tmpl w:val="BC06A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6194782"/>
    <w:multiLevelType w:val="hybridMultilevel"/>
    <w:tmpl w:val="38EC0B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5F4B020B"/>
    <w:multiLevelType w:val="hybridMultilevel"/>
    <w:tmpl w:val="11928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FA2230E"/>
    <w:multiLevelType w:val="hybridMultilevel"/>
    <w:tmpl w:val="0B54D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61635B45"/>
    <w:multiLevelType w:val="hybridMultilevel"/>
    <w:tmpl w:val="6BF88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2" w15:restartNumberingAfterBreak="0">
    <w:nsid w:val="636C00DF"/>
    <w:multiLevelType w:val="hybridMultilevel"/>
    <w:tmpl w:val="33349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49F7402"/>
    <w:multiLevelType w:val="hybridMultilevel"/>
    <w:tmpl w:val="A46A1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88A3B46"/>
    <w:multiLevelType w:val="hybridMultilevel"/>
    <w:tmpl w:val="48043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977367A"/>
    <w:multiLevelType w:val="hybridMultilevel"/>
    <w:tmpl w:val="C8D6723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6" w15:restartNumberingAfterBreak="0">
    <w:nsid w:val="6AE346B0"/>
    <w:multiLevelType w:val="hybridMultilevel"/>
    <w:tmpl w:val="2D5EC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CB3576A"/>
    <w:multiLevelType w:val="hybridMultilevel"/>
    <w:tmpl w:val="9CCA8A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4F82BE3"/>
    <w:multiLevelType w:val="hybridMultilevel"/>
    <w:tmpl w:val="B3DEC6A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9" w15:restartNumberingAfterBreak="0">
    <w:nsid w:val="768B077D"/>
    <w:multiLevelType w:val="hybridMultilevel"/>
    <w:tmpl w:val="D9344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7D73AC8"/>
    <w:multiLevelType w:val="hybridMultilevel"/>
    <w:tmpl w:val="9192FEC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1" w15:restartNumberingAfterBreak="0">
    <w:nsid w:val="79CA0B38"/>
    <w:multiLevelType w:val="hybridMultilevel"/>
    <w:tmpl w:val="47B0A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DCB169D"/>
    <w:multiLevelType w:val="hybridMultilevel"/>
    <w:tmpl w:val="74D45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E403597"/>
    <w:multiLevelType w:val="hybridMultilevel"/>
    <w:tmpl w:val="59FEEE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7E707200"/>
    <w:multiLevelType w:val="hybridMultilevel"/>
    <w:tmpl w:val="75E2E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EB94B4E"/>
    <w:multiLevelType w:val="hybridMultilevel"/>
    <w:tmpl w:val="47B2D3CA"/>
    <w:lvl w:ilvl="0" w:tplc="3CC23B2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7219449">
    <w:abstractNumId w:val="2"/>
  </w:num>
  <w:num w:numId="2" w16cid:durableId="1777559631">
    <w:abstractNumId w:val="6"/>
  </w:num>
  <w:num w:numId="3" w16cid:durableId="182743811">
    <w:abstractNumId w:val="19"/>
  </w:num>
  <w:num w:numId="4" w16cid:durableId="1140221004">
    <w:abstractNumId w:val="36"/>
  </w:num>
  <w:num w:numId="5" w16cid:durableId="577054313">
    <w:abstractNumId w:val="30"/>
  </w:num>
  <w:num w:numId="6" w16cid:durableId="328601325">
    <w:abstractNumId w:val="8"/>
  </w:num>
  <w:num w:numId="7" w16cid:durableId="585383809">
    <w:abstractNumId w:val="11"/>
  </w:num>
  <w:num w:numId="8" w16cid:durableId="309142670">
    <w:abstractNumId w:val="3"/>
  </w:num>
  <w:num w:numId="9" w16cid:durableId="1589339105">
    <w:abstractNumId w:val="48"/>
  </w:num>
  <w:num w:numId="10" w16cid:durableId="1464731885">
    <w:abstractNumId w:val="14"/>
  </w:num>
  <w:num w:numId="11" w16cid:durableId="2079668461">
    <w:abstractNumId w:val="12"/>
  </w:num>
  <w:num w:numId="12" w16cid:durableId="934440977">
    <w:abstractNumId w:val="45"/>
  </w:num>
  <w:num w:numId="13" w16cid:durableId="1237980440">
    <w:abstractNumId w:val="13"/>
  </w:num>
  <w:num w:numId="14" w16cid:durableId="1900359833">
    <w:abstractNumId w:val="28"/>
  </w:num>
  <w:num w:numId="15" w16cid:durableId="641737970">
    <w:abstractNumId w:val="50"/>
  </w:num>
  <w:num w:numId="16" w16cid:durableId="1678266034">
    <w:abstractNumId w:val="38"/>
  </w:num>
  <w:num w:numId="17" w16cid:durableId="1258517395">
    <w:abstractNumId w:val="26"/>
  </w:num>
  <w:num w:numId="18" w16cid:durableId="918558702">
    <w:abstractNumId w:val="29"/>
  </w:num>
  <w:num w:numId="19" w16cid:durableId="80421100">
    <w:abstractNumId w:val="34"/>
  </w:num>
  <w:num w:numId="20" w16cid:durableId="328557038">
    <w:abstractNumId w:val="41"/>
  </w:num>
  <w:num w:numId="21" w16cid:durableId="8803377">
    <w:abstractNumId w:val="21"/>
  </w:num>
  <w:num w:numId="22" w16cid:durableId="121963962">
    <w:abstractNumId w:val="33"/>
  </w:num>
  <w:num w:numId="23" w16cid:durableId="682586050">
    <w:abstractNumId w:val="40"/>
  </w:num>
  <w:num w:numId="24" w16cid:durableId="574322316">
    <w:abstractNumId w:val="32"/>
  </w:num>
  <w:num w:numId="25" w16cid:durableId="2124573833">
    <w:abstractNumId w:val="46"/>
  </w:num>
  <w:num w:numId="26" w16cid:durableId="575479041">
    <w:abstractNumId w:val="49"/>
  </w:num>
  <w:num w:numId="27" w16cid:durableId="2143502400">
    <w:abstractNumId w:val="39"/>
  </w:num>
  <w:num w:numId="28" w16cid:durableId="1805611172">
    <w:abstractNumId w:val="18"/>
  </w:num>
  <w:num w:numId="29" w16cid:durableId="550387446">
    <w:abstractNumId w:val="37"/>
  </w:num>
  <w:num w:numId="30" w16cid:durableId="583882961">
    <w:abstractNumId w:val="43"/>
  </w:num>
  <w:num w:numId="31" w16cid:durableId="2058553487">
    <w:abstractNumId w:val="44"/>
  </w:num>
  <w:num w:numId="32" w16cid:durableId="2030176794">
    <w:abstractNumId w:val="0"/>
  </w:num>
  <w:num w:numId="33" w16cid:durableId="1026753959">
    <w:abstractNumId w:val="22"/>
  </w:num>
  <w:num w:numId="34" w16cid:durableId="124735826">
    <w:abstractNumId w:val="9"/>
  </w:num>
  <w:num w:numId="35" w16cid:durableId="215316922">
    <w:abstractNumId w:val="4"/>
  </w:num>
  <w:num w:numId="36" w16cid:durableId="384915212">
    <w:abstractNumId w:val="51"/>
  </w:num>
  <w:num w:numId="37" w16cid:durableId="1636637878">
    <w:abstractNumId w:val="47"/>
  </w:num>
  <w:num w:numId="38" w16cid:durableId="91585108">
    <w:abstractNumId w:val="25"/>
  </w:num>
  <w:num w:numId="39" w16cid:durableId="1451238425">
    <w:abstractNumId w:val="16"/>
  </w:num>
  <w:num w:numId="40" w16cid:durableId="486871184">
    <w:abstractNumId w:val="10"/>
  </w:num>
  <w:num w:numId="41" w16cid:durableId="849871930">
    <w:abstractNumId w:val="35"/>
  </w:num>
  <w:num w:numId="42" w16cid:durableId="408814786">
    <w:abstractNumId w:val="24"/>
  </w:num>
  <w:num w:numId="43" w16cid:durableId="1470442872">
    <w:abstractNumId w:val="52"/>
  </w:num>
  <w:num w:numId="44" w16cid:durableId="712189857">
    <w:abstractNumId w:val="7"/>
  </w:num>
  <w:num w:numId="45" w16cid:durableId="1172571093">
    <w:abstractNumId w:val="20"/>
  </w:num>
  <w:num w:numId="46" w16cid:durableId="560214023">
    <w:abstractNumId w:val="23"/>
  </w:num>
  <w:num w:numId="47" w16cid:durableId="1807041728">
    <w:abstractNumId w:val="27"/>
  </w:num>
  <w:num w:numId="48" w16cid:durableId="1455369642">
    <w:abstractNumId w:val="1"/>
  </w:num>
  <w:num w:numId="49" w16cid:durableId="615016648">
    <w:abstractNumId w:val="53"/>
  </w:num>
  <w:num w:numId="50" w16cid:durableId="282540691">
    <w:abstractNumId w:val="42"/>
  </w:num>
  <w:num w:numId="51" w16cid:durableId="957761433">
    <w:abstractNumId w:val="54"/>
  </w:num>
  <w:num w:numId="52" w16cid:durableId="1468814091">
    <w:abstractNumId w:val="15"/>
  </w:num>
  <w:num w:numId="53" w16cid:durableId="1914704173">
    <w:abstractNumId w:val="17"/>
  </w:num>
  <w:num w:numId="54" w16cid:durableId="1854683703">
    <w:abstractNumId w:val="55"/>
  </w:num>
  <w:num w:numId="55" w16cid:durableId="374426930">
    <w:abstractNumId w:val="31"/>
  </w:num>
  <w:num w:numId="56" w16cid:durableId="294602250">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DEE"/>
    <w:rsid w:val="00002668"/>
    <w:rsid w:val="00003743"/>
    <w:rsid w:val="0001053B"/>
    <w:rsid w:val="00012782"/>
    <w:rsid w:val="00017900"/>
    <w:rsid w:val="00020DBD"/>
    <w:rsid w:val="000256C1"/>
    <w:rsid w:val="00025A92"/>
    <w:rsid w:val="0003162D"/>
    <w:rsid w:val="00036F5E"/>
    <w:rsid w:val="000406F8"/>
    <w:rsid w:val="000429A5"/>
    <w:rsid w:val="000429EE"/>
    <w:rsid w:val="00043671"/>
    <w:rsid w:val="000439D0"/>
    <w:rsid w:val="00047E9F"/>
    <w:rsid w:val="00050775"/>
    <w:rsid w:val="00054B74"/>
    <w:rsid w:val="00067456"/>
    <w:rsid w:val="00067C95"/>
    <w:rsid w:val="00070C9E"/>
    <w:rsid w:val="0008065C"/>
    <w:rsid w:val="00090EFF"/>
    <w:rsid w:val="00095DA6"/>
    <w:rsid w:val="000A3F0D"/>
    <w:rsid w:val="000A4C01"/>
    <w:rsid w:val="000B0274"/>
    <w:rsid w:val="000B0BFE"/>
    <w:rsid w:val="000B79D3"/>
    <w:rsid w:val="000C0F93"/>
    <w:rsid w:val="000C1722"/>
    <w:rsid w:val="000C1DD4"/>
    <w:rsid w:val="000C7A69"/>
    <w:rsid w:val="000D017D"/>
    <w:rsid w:val="000D3447"/>
    <w:rsid w:val="000D6405"/>
    <w:rsid w:val="000D6722"/>
    <w:rsid w:val="000E0981"/>
    <w:rsid w:val="000E1515"/>
    <w:rsid w:val="000E2F2E"/>
    <w:rsid w:val="000F0D77"/>
    <w:rsid w:val="000F32F5"/>
    <w:rsid w:val="0010673D"/>
    <w:rsid w:val="00106CF5"/>
    <w:rsid w:val="001102B8"/>
    <w:rsid w:val="00115375"/>
    <w:rsid w:val="00115403"/>
    <w:rsid w:val="00116540"/>
    <w:rsid w:val="00120FCB"/>
    <w:rsid w:val="00131E52"/>
    <w:rsid w:val="00135A95"/>
    <w:rsid w:val="00143A76"/>
    <w:rsid w:val="00145BE3"/>
    <w:rsid w:val="00146A66"/>
    <w:rsid w:val="00146BFB"/>
    <w:rsid w:val="001507C6"/>
    <w:rsid w:val="00157B31"/>
    <w:rsid w:val="00160453"/>
    <w:rsid w:val="0017215D"/>
    <w:rsid w:val="0017280A"/>
    <w:rsid w:val="00174535"/>
    <w:rsid w:val="0017675C"/>
    <w:rsid w:val="00183675"/>
    <w:rsid w:val="001852DE"/>
    <w:rsid w:val="001859B5"/>
    <w:rsid w:val="001860B2"/>
    <w:rsid w:val="001918F7"/>
    <w:rsid w:val="001921ED"/>
    <w:rsid w:val="00195458"/>
    <w:rsid w:val="00196AC8"/>
    <w:rsid w:val="001A11A5"/>
    <w:rsid w:val="001A1981"/>
    <w:rsid w:val="001B15D1"/>
    <w:rsid w:val="001B2BAA"/>
    <w:rsid w:val="001B3443"/>
    <w:rsid w:val="001C1265"/>
    <w:rsid w:val="001D05E4"/>
    <w:rsid w:val="001D52EE"/>
    <w:rsid w:val="001D6CD7"/>
    <w:rsid w:val="001E1042"/>
    <w:rsid w:val="001E38B8"/>
    <w:rsid w:val="001E77C4"/>
    <w:rsid w:val="001F6D10"/>
    <w:rsid w:val="002027C5"/>
    <w:rsid w:val="0020496B"/>
    <w:rsid w:val="00223943"/>
    <w:rsid w:val="0022735C"/>
    <w:rsid w:val="00227909"/>
    <w:rsid w:val="0023112B"/>
    <w:rsid w:val="0023231A"/>
    <w:rsid w:val="00237ADF"/>
    <w:rsid w:val="00245D81"/>
    <w:rsid w:val="0024767D"/>
    <w:rsid w:val="00247F3B"/>
    <w:rsid w:val="002503C3"/>
    <w:rsid w:val="00251167"/>
    <w:rsid w:val="002538F6"/>
    <w:rsid w:val="00255596"/>
    <w:rsid w:val="002555F1"/>
    <w:rsid w:val="00255DCB"/>
    <w:rsid w:val="00261F43"/>
    <w:rsid w:val="002625FB"/>
    <w:rsid w:val="00263A63"/>
    <w:rsid w:val="00264A5A"/>
    <w:rsid w:val="0026569B"/>
    <w:rsid w:val="002662B4"/>
    <w:rsid w:val="0026675D"/>
    <w:rsid w:val="00267635"/>
    <w:rsid w:val="002778C2"/>
    <w:rsid w:val="0028150E"/>
    <w:rsid w:val="00281FD4"/>
    <w:rsid w:val="00291EBD"/>
    <w:rsid w:val="002A0B75"/>
    <w:rsid w:val="002A25AC"/>
    <w:rsid w:val="002A6278"/>
    <w:rsid w:val="002A798B"/>
    <w:rsid w:val="002C1CA0"/>
    <w:rsid w:val="002C1D5D"/>
    <w:rsid w:val="002C54B8"/>
    <w:rsid w:val="002C6AF0"/>
    <w:rsid w:val="002D0EB0"/>
    <w:rsid w:val="002D46E6"/>
    <w:rsid w:val="002E195D"/>
    <w:rsid w:val="002E2DBA"/>
    <w:rsid w:val="002E3986"/>
    <w:rsid w:val="002E3D84"/>
    <w:rsid w:val="002E6A48"/>
    <w:rsid w:val="002E7082"/>
    <w:rsid w:val="002E7977"/>
    <w:rsid w:val="002F0A0A"/>
    <w:rsid w:val="002F3AE3"/>
    <w:rsid w:val="002F46D7"/>
    <w:rsid w:val="002F5DF1"/>
    <w:rsid w:val="002F7E6F"/>
    <w:rsid w:val="00302458"/>
    <w:rsid w:val="00304E73"/>
    <w:rsid w:val="0030786C"/>
    <w:rsid w:val="00312A62"/>
    <w:rsid w:val="00316683"/>
    <w:rsid w:val="00317452"/>
    <w:rsid w:val="00331CEE"/>
    <w:rsid w:val="00332777"/>
    <w:rsid w:val="00341BEE"/>
    <w:rsid w:val="00343286"/>
    <w:rsid w:val="0034680F"/>
    <w:rsid w:val="00350BE1"/>
    <w:rsid w:val="00355178"/>
    <w:rsid w:val="003624CA"/>
    <w:rsid w:val="003657DB"/>
    <w:rsid w:val="0036588B"/>
    <w:rsid w:val="003808E4"/>
    <w:rsid w:val="00386683"/>
    <w:rsid w:val="003873C6"/>
    <w:rsid w:val="00392002"/>
    <w:rsid w:val="00392A85"/>
    <w:rsid w:val="00396AFB"/>
    <w:rsid w:val="003A3DB2"/>
    <w:rsid w:val="003A70CE"/>
    <w:rsid w:val="003C297A"/>
    <w:rsid w:val="003C540E"/>
    <w:rsid w:val="003C5F0C"/>
    <w:rsid w:val="003D0532"/>
    <w:rsid w:val="003D17F9"/>
    <w:rsid w:val="003D437B"/>
    <w:rsid w:val="003D4829"/>
    <w:rsid w:val="003D7E7B"/>
    <w:rsid w:val="003E4A94"/>
    <w:rsid w:val="003E6E73"/>
    <w:rsid w:val="003E76C8"/>
    <w:rsid w:val="003E7AB8"/>
    <w:rsid w:val="003F3F0B"/>
    <w:rsid w:val="0040152C"/>
    <w:rsid w:val="00402CBA"/>
    <w:rsid w:val="00407B4B"/>
    <w:rsid w:val="00412E9D"/>
    <w:rsid w:val="00414952"/>
    <w:rsid w:val="00423FC4"/>
    <w:rsid w:val="00425504"/>
    <w:rsid w:val="0042727E"/>
    <w:rsid w:val="004305D6"/>
    <w:rsid w:val="00440CC0"/>
    <w:rsid w:val="00443742"/>
    <w:rsid w:val="004437F3"/>
    <w:rsid w:val="00447D31"/>
    <w:rsid w:val="00455560"/>
    <w:rsid w:val="00466C72"/>
    <w:rsid w:val="00466CA3"/>
    <w:rsid w:val="004703AE"/>
    <w:rsid w:val="00470AB8"/>
    <w:rsid w:val="00470E68"/>
    <w:rsid w:val="00471561"/>
    <w:rsid w:val="00477E9B"/>
    <w:rsid w:val="00482ECA"/>
    <w:rsid w:val="00485504"/>
    <w:rsid w:val="00485794"/>
    <w:rsid w:val="00485B53"/>
    <w:rsid w:val="004867E2"/>
    <w:rsid w:val="00486826"/>
    <w:rsid w:val="004A0670"/>
    <w:rsid w:val="004A4851"/>
    <w:rsid w:val="004A5C81"/>
    <w:rsid w:val="004B097A"/>
    <w:rsid w:val="004B2999"/>
    <w:rsid w:val="004C3664"/>
    <w:rsid w:val="004C4927"/>
    <w:rsid w:val="004E067A"/>
    <w:rsid w:val="004E179B"/>
    <w:rsid w:val="004E2389"/>
    <w:rsid w:val="004E50C2"/>
    <w:rsid w:val="004E58C1"/>
    <w:rsid w:val="004E5D43"/>
    <w:rsid w:val="004E63A2"/>
    <w:rsid w:val="004F604A"/>
    <w:rsid w:val="00505268"/>
    <w:rsid w:val="0051563D"/>
    <w:rsid w:val="005179C7"/>
    <w:rsid w:val="0052107C"/>
    <w:rsid w:val="005221B7"/>
    <w:rsid w:val="0052640B"/>
    <w:rsid w:val="00530100"/>
    <w:rsid w:val="00536E0C"/>
    <w:rsid w:val="005408C7"/>
    <w:rsid w:val="005422E7"/>
    <w:rsid w:val="005437FD"/>
    <w:rsid w:val="00544A4E"/>
    <w:rsid w:val="00553E33"/>
    <w:rsid w:val="00562F72"/>
    <w:rsid w:val="00566B97"/>
    <w:rsid w:val="00570C6C"/>
    <w:rsid w:val="00584334"/>
    <w:rsid w:val="00591EE8"/>
    <w:rsid w:val="0059380A"/>
    <w:rsid w:val="0059724C"/>
    <w:rsid w:val="005A1AA7"/>
    <w:rsid w:val="005A34D0"/>
    <w:rsid w:val="005A4D0B"/>
    <w:rsid w:val="005A701E"/>
    <w:rsid w:val="005A735B"/>
    <w:rsid w:val="005B04D8"/>
    <w:rsid w:val="005B5EFC"/>
    <w:rsid w:val="005B6AA2"/>
    <w:rsid w:val="005C090D"/>
    <w:rsid w:val="005C1496"/>
    <w:rsid w:val="005C5CBC"/>
    <w:rsid w:val="005C5EF4"/>
    <w:rsid w:val="005C6AAE"/>
    <w:rsid w:val="005D1073"/>
    <w:rsid w:val="005D5D06"/>
    <w:rsid w:val="005D62B5"/>
    <w:rsid w:val="005E2614"/>
    <w:rsid w:val="00607B0B"/>
    <w:rsid w:val="00614E29"/>
    <w:rsid w:val="0062216A"/>
    <w:rsid w:val="00623529"/>
    <w:rsid w:val="00625634"/>
    <w:rsid w:val="00630199"/>
    <w:rsid w:val="0063130B"/>
    <w:rsid w:val="006317C9"/>
    <w:rsid w:val="00632475"/>
    <w:rsid w:val="00632C35"/>
    <w:rsid w:val="0064059B"/>
    <w:rsid w:val="00641773"/>
    <w:rsid w:val="00641CB0"/>
    <w:rsid w:val="0064239F"/>
    <w:rsid w:val="00656A90"/>
    <w:rsid w:val="00664F67"/>
    <w:rsid w:val="00670F54"/>
    <w:rsid w:val="006728F9"/>
    <w:rsid w:val="006767BC"/>
    <w:rsid w:val="00677C77"/>
    <w:rsid w:val="006803BA"/>
    <w:rsid w:val="006821A3"/>
    <w:rsid w:val="006904F9"/>
    <w:rsid w:val="006922F5"/>
    <w:rsid w:val="0069288F"/>
    <w:rsid w:val="006947D9"/>
    <w:rsid w:val="006A0017"/>
    <w:rsid w:val="006A0F51"/>
    <w:rsid w:val="006A16DD"/>
    <w:rsid w:val="006A2587"/>
    <w:rsid w:val="006A3D78"/>
    <w:rsid w:val="006B3CFC"/>
    <w:rsid w:val="006C0CD8"/>
    <w:rsid w:val="006C5AEE"/>
    <w:rsid w:val="006C679A"/>
    <w:rsid w:val="006C786F"/>
    <w:rsid w:val="006D09FE"/>
    <w:rsid w:val="006D0C40"/>
    <w:rsid w:val="006D5FB1"/>
    <w:rsid w:val="006D732F"/>
    <w:rsid w:val="006E688D"/>
    <w:rsid w:val="006E71A6"/>
    <w:rsid w:val="006F1432"/>
    <w:rsid w:val="006F4572"/>
    <w:rsid w:val="006F5249"/>
    <w:rsid w:val="006F7964"/>
    <w:rsid w:val="007028EC"/>
    <w:rsid w:val="007035D8"/>
    <w:rsid w:val="0070703E"/>
    <w:rsid w:val="00711E21"/>
    <w:rsid w:val="00715168"/>
    <w:rsid w:val="0071637F"/>
    <w:rsid w:val="0072079E"/>
    <w:rsid w:val="007209EC"/>
    <w:rsid w:val="00722691"/>
    <w:rsid w:val="007238E8"/>
    <w:rsid w:val="007333AD"/>
    <w:rsid w:val="007360BF"/>
    <w:rsid w:val="007400BC"/>
    <w:rsid w:val="007406E6"/>
    <w:rsid w:val="007449EB"/>
    <w:rsid w:val="00747CE1"/>
    <w:rsid w:val="00751D3D"/>
    <w:rsid w:val="0075251A"/>
    <w:rsid w:val="007545C7"/>
    <w:rsid w:val="0076005C"/>
    <w:rsid w:val="0076111D"/>
    <w:rsid w:val="007635C1"/>
    <w:rsid w:val="00766B42"/>
    <w:rsid w:val="00767274"/>
    <w:rsid w:val="0076731D"/>
    <w:rsid w:val="00767650"/>
    <w:rsid w:val="00777B2E"/>
    <w:rsid w:val="0078070C"/>
    <w:rsid w:val="00781B23"/>
    <w:rsid w:val="00783705"/>
    <w:rsid w:val="00784541"/>
    <w:rsid w:val="0079277C"/>
    <w:rsid w:val="0079330B"/>
    <w:rsid w:val="007968CC"/>
    <w:rsid w:val="00796FB7"/>
    <w:rsid w:val="0079708B"/>
    <w:rsid w:val="007A7509"/>
    <w:rsid w:val="007B04A9"/>
    <w:rsid w:val="007B16AC"/>
    <w:rsid w:val="007B5D05"/>
    <w:rsid w:val="007B5D1E"/>
    <w:rsid w:val="007B6CA2"/>
    <w:rsid w:val="007C1E35"/>
    <w:rsid w:val="007C2217"/>
    <w:rsid w:val="007C471C"/>
    <w:rsid w:val="007C52D3"/>
    <w:rsid w:val="007D4258"/>
    <w:rsid w:val="007E000D"/>
    <w:rsid w:val="007F3645"/>
    <w:rsid w:val="007F58DD"/>
    <w:rsid w:val="007F6791"/>
    <w:rsid w:val="007F7B82"/>
    <w:rsid w:val="00805E44"/>
    <w:rsid w:val="00811C26"/>
    <w:rsid w:val="00820059"/>
    <w:rsid w:val="008264EB"/>
    <w:rsid w:val="00827924"/>
    <w:rsid w:val="00827F8B"/>
    <w:rsid w:val="00830412"/>
    <w:rsid w:val="00830756"/>
    <w:rsid w:val="00844E54"/>
    <w:rsid w:val="00856DF5"/>
    <w:rsid w:val="00857E76"/>
    <w:rsid w:val="00865932"/>
    <w:rsid w:val="00870BAF"/>
    <w:rsid w:val="00872059"/>
    <w:rsid w:val="00873673"/>
    <w:rsid w:val="008803A1"/>
    <w:rsid w:val="0088122A"/>
    <w:rsid w:val="008839CD"/>
    <w:rsid w:val="00884696"/>
    <w:rsid w:val="00892AC8"/>
    <w:rsid w:val="0089715A"/>
    <w:rsid w:val="008A07AF"/>
    <w:rsid w:val="008A2BFB"/>
    <w:rsid w:val="008A4AC8"/>
    <w:rsid w:val="008A58F9"/>
    <w:rsid w:val="008B55D3"/>
    <w:rsid w:val="008D09DE"/>
    <w:rsid w:val="008E59EB"/>
    <w:rsid w:val="008E5D6A"/>
    <w:rsid w:val="008F488B"/>
    <w:rsid w:val="008F4FAB"/>
    <w:rsid w:val="00901E18"/>
    <w:rsid w:val="0091137C"/>
    <w:rsid w:val="00912024"/>
    <w:rsid w:val="0091384C"/>
    <w:rsid w:val="0092204C"/>
    <w:rsid w:val="00922DEE"/>
    <w:rsid w:val="009238AA"/>
    <w:rsid w:val="009244B8"/>
    <w:rsid w:val="00933B21"/>
    <w:rsid w:val="009364EE"/>
    <w:rsid w:val="00941048"/>
    <w:rsid w:val="009424A5"/>
    <w:rsid w:val="00943D7C"/>
    <w:rsid w:val="0094763E"/>
    <w:rsid w:val="00950089"/>
    <w:rsid w:val="00953371"/>
    <w:rsid w:val="0095539D"/>
    <w:rsid w:val="00957E88"/>
    <w:rsid w:val="00961B39"/>
    <w:rsid w:val="00961FBE"/>
    <w:rsid w:val="00964277"/>
    <w:rsid w:val="0097582E"/>
    <w:rsid w:val="00977D26"/>
    <w:rsid w:val="00977E26"/>
    <w:rsid w:val="00984227"/>
    <w:rsid w:val="009917C7"/>
    <w:rsid w:val="00991AF5"/>
    <w:rsid w:val="0099343F"/>
    <w:rsid w:val="00995094"/>
    <w:rsid w:val="009A007B"/>
    <w:rsid w:val="009A0425"/>
    <w:rsid w:val="009A263C"/>
    <w:rsid w:val="009A39F2"/>
    <w:rsid w:val="009B053D"/>
    <w:rsid w:val="009B64E3"/>
    <w:rsid w:val="009C5964"/>
    <w:rsid w:val="009C7D25"/>
    <w:rsid w:val="009D0B90"/>
    <w:rsid w:val="009D3413"/>
    <w:rsid w:val="009D6852"/>
    <w:rsid w:val="009D6F97"/>
    <w:rsid w:val="009E0725"/>
    <w:rsid w:val="009E0D48"/>
    <w:rsid w:val="009E1F38"/>
    <w:rsid w:val="009E270E"/>
    <w:rsid w:val="009E6B78"/>
    <w:rsid w:val="009E6D37"/>
    <w:rsid w:val="009F1EC9"/>
    <w:rsid w:val="009F4ACF"/>
    <w:rsid w:val="009F5557"/>
    <w:rsid w:val="009F60CB"/>
    <w:rsid w:val="00A02BFF"/>
    <w:rsid w:val="00A047FE"/>
    <w:rsid w:val="00A0554C"/>
    <w:rsid w:val="00A06F15"/>
    <w:rsid w:val="00A1015B"/>
    <w:rsid w:val="00A15082"/>
    <w:rsid w:val="00A16AEE"/>
    <w:rsid w:val="00A2136D"/>
    <w:rsid w:val="00A32F5A"/>
    <w:rsid w:val="00A369E8"/>
    <w:rsid w:val="00A4199A"/>
    <w:rsid w:val="00A4512D"/>
    <w:rsid w:val="00A45258"/>
    <w:rsid w:val="00A467D6"/>
    <w:rsid w:val="00A541E1"/>
    <w:rsid w:val="00A54775"/>
    <w:rsid w:val="00A5502C"/>
    <w:rsid w:val="00A55572"/>
    <w:rsid w:val="00A5694A"/>
    <w:rsid w:val="00A569EB"/>
    <w:rsid w:val="00A57DD0"/>
    <w:rsid w:val="00A6672E"/>
    <w:rsid w:val="00A705AF"/>
    <w:rsid w:val="00A710AE"/>
    <w:rsid w:val="00A71F5C"/>
    <w:rsid w:val="00A73C2F"/>
    <w:rsid w:val="00A75B58"/>
    <w:rsid w:val="00A77349"/>
    <w:rsid w:val="00A901B3"/>
    <w:rsid w:val="00A931E2"/>
    <w:rsid w:val="00A93A18"/>
    <w:rsid w:val="00A950FE"/>
    <w:rsid w:val="00A964DB"/>
    <w:rsid w:val="00A96DED"/>
    <w:rsid w:val="00AA0A90"/>
    <w:rsid w:val="00AA3A3E"/>
    <w:rsid w:val="00AA45AD"/>
    <w:rsid w:val="00AA6DC2"/>
    <w:rsid w:val="00AA77B0"/>
    <w:rsid w:val="00AA7B58"/>
    <w:rsid w:val="00AB0A6E"/>
    <w:rsid w:val="00AB1F06"/>
    <w:rsid w:val="00AB40AB"/>
    <w:rsid w:val="00AB64E5"/>
    <w:rsid w:val="00AB6E76"/>
    <w:rsid w:val="00AB6ED9"/>
    <w:rsid w:val="00AC375C"/>
    <w:rsid w:val="00AC637F"/>
    <w:rsid w:val="00AD01B4"/>
    <w:rsid w:val="00AD055C"/>
    <w:rsid w:val="00AD52A0"/>
    <w:rsid w:val="00AD5717"/>
    <w:rsid w:val="00AE164C"/>
    <w:rsid w:val="00AE68FA"/>
    <w:rsid w:val="00AF6154"/>
    <w:rsid w:val="00B07615"/>
    <w:rsid w:val="00B12015"/>
    <w:rsid w:val="00B137CA"/>
    <w:rsid w:val="00B163F6"/>
    <w:rsid w:val="00B213FD"/>
    <w:rsid w:val="00B24DF4"/>
    <w:rsid w:val="00B2665E"/>
    <w:rsid w:val="00B30753"/>
    <w:rsid w:val="00B328AF"/>
    <w:rsid w:val="00B32DD1"/>
    <w:rsid w:val="00B35212"/>
    <w:rsid w:val="00B3720C"/>
    <w:rsid w:val="00B37974"/>
    <w:rsid w:val="00B41409"/>
    <w:rsid w:val="00B42851"/>
    <w:rsid w:val="00B44A2D"/>
    <w:rsid w:val="00B456E0"/>
    <w:rsid w:val="00B459E9"/>
    <w:rsid w:val="00B47076"/>
    <w:rsid w:val="00B53823"/>
    <w:rsid w:val="00B56B37"/>
    <w:rsid w:val="00B57759"/>
    <w:rsid w:val="00B6073C"/>
    <w:rsid w:val="00B60D44"/>
    <w:rsid w:val="00B60D86"/>
    <w:rsid w:val="00B63A7C"/>
    <w:rsid w:val="00B904EC"/>
    <w:rsid w:val="00B91269"/>
    <w:rsid w:val="00B91454"/>
    <w:rsid w:val="00B93CD5"/>
    <w:rsid w:val="00B9432A"/>
    <w:rsid w:val="00B95A67"/>
    <w:rsid w:val="00BA0015"/>
    <w:rsid w:val="00BA2A5D"/>
    <w:rsid w:val="00BA2DE8"/>
    <w:rsid w:val="00BA4AEE"/>
    <w:rsid w:val="00BA5233"/>
    <w:rsid w:val="00BC07E4"/>
    <w:rsid w:val="00BC2F51"/>
    <w:rsid w:val="00BC4293"/>
    <w:rsid w:val="00BC49CF"/>
    <w:rsid w:val="00BC4D09"/>
    <w:rsid w:val="00BD0B57"/>
    <w:rsid w:val="00BD649D"/>
    <w:rsid w:val="00BE0DE7"/>
    <w:rsid w:val="00BE6832"/>
    <w:rsid w:val="00BF2561"/>
    <w:rsid w:val="00BF5905"/>
    <w:rsid w:val="00BF6152"/>
    <w:rsid w:val="00C06314"/>
    <w:rsid w:val="00C07188"/>
    <w:rsid w:val="00C23604"/>
    <w:rsid w:val="00C308FA"/>
    <w:rsid w:val="00C31839"/>
    <w:rsid w:val="00C31A7F"/>
    <w:rsid w:val="00C32280"/>
    <w:rsid w:val="00C35287"/>
    <w:rsid w:val="00C35DEC"/>
    <w:rsid w:val="00C35F32"/>
    <w:rsid w:val="00C436EE"/>
    <w:rsid w:val="00C460B3"/>
    <w:rsid w:val="00C477AC"/>
    <w:rsid w:val="00C51BE7"/>
    <w:rsid w:val="00C565EF"/>
    <w:rsid w:val="00C63431"/>
    <w:rsid w:val="00C64BBB"/>
    <w:rsid w:val="00C74935"/>
    <w:rsid w:val="00C7543A"/>
    <w:rsid w:val="00C82FD9"/>
    <w:rsid w:val="00C900CC"/>
    <w:rsid w:val="00C911AD"/>
    <w:rsid w:val="00CA04C6"/>
    <w:rsid w:val="00CB052E"/>
    <w:rsid w:val="00CB0684"/>
    <w:rsid w:val="00CB2190"/>
    <w:rsid w:val="00CB5999"/>
    <w:rsid w:val="00CB5B1A"/>
    <w:rsid w:val="00CB733F"/>
    <w:rsid w:val="00CC35A0"/>
    <w:rsid w:val="00CC36EF"/>
    <w:rsid w:val="00CC4B8E"/>
    <w:rsid w:val="00CC697B"/>
    <w:rsid w:val="00CE1712"/>
    <w:rsid w:val="00CE3387"/>
    <w:rsid w:val="00CE3A39"/>
    <w:rsid w:val="00CE7355"/>
    <w:rsid w:val="00CF4118"/>
    <w:rsid w:val="00CF66EF"/>
    <w:rsid w:val="00D07C0D"/>
    <w:rsid w:val="00D10D90"/>
    <w:rsid w:val="00D116AD"/>
    <w:rsid w:val="00D13C42"/>
    <w:rsid w:val="00D16B25"/>
    <w:rsid w:val="00D22D6A"/>
    <w:rsid w:val="00D24922"/>
    <w:rsid w:val="00D301EA"/>
    <w:rsid w:val="00D31DC2"/>
    <w:rsid w:val="00D40DEC"/>
    <w:rsid w:val="00D41AE5"/>
    <w:rsid w:val="00D42B9A"/>
    <w:rsid w:val="00D469E4"/>
    <w:rsid w:val="00D4728F"/>
    <w:rsid w:val="00D472F5"/>
    <w:rsid w:val="00D51677"/>
    <w:rsid w:val="00D5354B"/>
    <w:rsid w:val="00D53C64"/>
    <w:rsid w:val="00D563D0"/>
    <w:rsid w:val="00D738DB"/>
    <w:rsid w:val="00D73FE2"/>
    <w:rsid w:val="00D7465B"/>
    <w:rsid w:val="00D77486"/>
    <w:rsid w:val="00D81026"/>
    <w:rsid w:val="00D812BD"/>
    <w:rsid w:val="00D96327"/>
    <w:rsid w:val="00DA2032"/>
    <w:rsid w:val="00DA334B"/>
    <w:rsid w:val="00DA73AC"/>
    <w:rsid w:val="00DB07A4"/>
    <w:rsid w:val="00DB5454"/>
    <w:rsid w:val="00DB5911"/>
    <w:rsid w:val="00DC0477"/>
    <w:rsid w:val="00DC0D24"/>
    <w:rsid w:val="00DD047B"/>
    <w:rsid w:val="00DD3EF0"/>
    <w:rsid w:val="00DD5D99"/>
    <w:rsid w:val="00DE75D8"/>
    <w:rsid w:val="00DF515C"/>
    <w:rsid w:val="00E015E6"/>
    <w:rsid w:val="00E13C5C"/>
    <w:rsid w:val="00E209BF"/>
    <w:rsid w:val="00E236C6"/>
    <w:rsid w:val="00E25485"/>
    <w:rsid w:val="00E33DB8"/>
    <w:rsid w:val="00E34F33"/>
    <w:rsid w:val="00E40F95"/>
    <w:rsid w:val="00E41CF8"/>
    <w:rsid w:val="00E4269D"/>
    <w:rsid w:val="00E4312B"/>
    <w:rsid w:val="00E520C2"/>
    <w:rsid w:val="00E57576"/>
    <w:rsid w:val="00E604B3"/>
    <w:rsid w:val="00E60650"/>
    <w:rsid w:val="00E60EE1"/>
    <w:rsid w:val="00E708F6"/>
    <w:rsid w:val="00E716B4"/>
    <w:rsid w:val="00E75C45"/>
    <w:rsid w:val="00E80C50"/>
    <w:rsid w:val="00E86B67"/>
    <w:rsid w:val="00E90997"/>
    <w:rsid w:val="00E9314D"/>
    <w:rsid w:val="00E954DF"/>
    <w:rsid w:val="00EA20E7"/>
    <w:rsid w:val="00EA33D5"/>
    <w:rsid w:val="00EA5E02"/>
    <w:rsid w:val="00EA5FD0"/>
    <w:rsid w:val="00EA63B1"/>
    <w:rsid w:val="00EB0020"/>
    <w:rsid w:val="00EB384D"/>
    <w:rsid w:val="00EC739A"/>
    <w:rsid w:val="00EC7D3F"/>
    <w:rsid w:val="00ED0DD3"/>
    <w:rsid w:val="00ED43C9"/>
    <w:rsid w:val="00ED648B"/>
    <w:rsid w:val="00EE0940"/>
    <w:rsid w:val="00EE16DD"/>
    <w:rsid w:val="00EE31B0"/>
    <w:rsid w:val="00EE356F"/>
    <w:rsid w:val="00EE397E"/>
    <w:rsid w:val="00EE65B1"/>
    <w:rsid w:val="00EF0A8E"/>
    <w:rsid w:val="00EF1C55"/>
    <w:rsid w:val="00EF1C95"/>
    <w:rsid w:val="00EF2774"/>
    <w:rsid w:val="00EF3CE9"/>
    <w:rsid w:val="00EF4059"/>
    <w:rsid w:val="00EF5586"/>
    <w:rsid w:val="00F078B7"/>
    <w:rsid w:val="00F126DB"/>
    <w:rsid w:val="00F1278D"/>
    <w:rsid w:val="00F14BFD"/>
    <w:rsid w:val="00F17566"/>
    <w:rsid w:val="00F238F2"/>
    <w:rsid w:val="00F332B3"/>
    <w:rsid w:val="00F34D63"/>
    <w:rsid w:val="00F41C35"/>
    <w:rsid w:val="00F4438C"/>
    <w:rsid w:val="00F45323"/>
    <w:rsid w:val="00F46ED7"/>
    <w:rsid w:val="00F549D7"/>
    <w:rsid w:val="00F556DB"/>
    <w:rsid w:val="00F560D5"/>
    <w:rsid w:val="00F60CA8"/>
    <w:rsid w:val="00F63F23"/>
    <w:rsid w:val="00F714A0"/>
    <w:rsid w:val="00F73D95"/>
    <w:rsid w:val="00F76DD2"/>
    <w:rsid w:val="00F77044"/>
    <w:rsid w:val="00F8015E"/>
    <w:rsid w:val="00F80A08"/>
    <w:rsid w:val="00F83598"/>
    <w:rsid w:val="00F83E61"/>
    <w:rsid w:val="00F85766"/>
    <w:rsid w:val="00F91CCA"/>
    <w:rsid w:val="00F91DBC"/>
    <w:rsid w:val="00F931D3"/>
    <w:rsid w:val="00F95769"/>
    <w:rsid w:val="00FA289A"/>
    <w:rsid w:val="00FB2998"/>
    <w:rsid w:val="00FB375B"/>
    <w:rsid w:val="00FB6425"/>
    <w:rsid w:val="00FB694C"/>
    <w:rsid w:val="00FC620F"/>
    <w:rsid w:val="00FC7F5D"/>
    <w:rsid w:val="00FD1D84"/>
    <w:rsid w:val="00FD50A4"/>
    <w:rsid w:val="00FE58D5"/>
    <w:rsid w:val="00FE5CA3"/>
    <w:rsid w:val="00FF08C3"/>
    <w:rsid w:val="00FF1AA5"/>
    <w:rsid w:val="00FF7C8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F0184B"/>
  <w15:docId w15:val="{DBBBFE20-0334-E74A-B88B-7CB72EDB3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sz w:val="22"/>
        <w:szCs w:val="22"/>
        <w:lang w:val="en-AU" w:eastAsia="en-AU" w:bidi="ar-SA"/>
      </w:rPr>
    </w:rPrDefault>
    <w:pPrDefault>
      <w:pPr>
        <w:spacing w:after="80"/>
      </w:pPr>
    </w:pPrDefault>
  </w:docDefaults>
  <w:latentStyles w:defLockedState="1" w:defUIPriority="98" w:defSemiHidden="0" w:defUnhideWhenUsed="0" w:defQFormat="0" w:count="376">
    <w:lsdException w:name="Normal" w:locked="0" w:uiPriority="0" w:qFormat="1"/>
    <w:lsdException w:name="heading 1" w:locked="0" w:uiPriority="0" w:qFormat="1"/>
    <w:lsdException w:name="heading 2" w:locked="0" w:uiPriority="0"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iPriority="0" w:unhideWhenUsed="1"/>
    <w:lsdException w:name="header" w:semiHidden="1" w:uiPriority="0" w:unhideWhenUsed="1"/>
    <w:lsdException w:name="footer" w:locked="0"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99" w:qFormat="1"/>
    <w:lsdException w:name="Closing" w:semiHidden="1" w:unhideWhenUsed="1"/>
    <w:lsdException w:name="Signature" w:semiHidden="1" w:unhideWhenUsed="1"/>
    <w:lsdException w:name="Default Paragraph Font" w:locked="0"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iPriority="0" w:unhideWhenUsed="1"/>
    <w:lsdException w:name="Strong" w:locked="0" w:uiPriority="99" w:qFormat="1"/>
    <w:lsdException w:name="Emphasis" w:locked="0" w:uiPriority="99" w:qFormat="1"/>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locked="0"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qFormat="1"/>
    <w:lsdException w:name="Quote" w:locked="0"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uiPriority="32" w:qFormat="1"/>
    <w:lsdException w:name="Bibliography" w:semiHidden="1" w:unhideWhenUsed="1"/>
    <w:lsdException w:name="TOC Heading" w:locked="0" w:semiHidden="1" w:uiPriority="0"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74535"/>
    <w:pPr>
      <w:spacing w:before="120" w:after="120"/>
    </w:pPr>
  </w:style>
  <w:style w:type="paragraph" w:styleId="Heading1">
    <w:name w:val="heading 1"/>
    <w:basedOn w:val="Normal"/>
    <w:next w:val="Normal"/>
    <w:qFormat/>
    <w:rsid w:val="00C74935"/>
    <w:pPr>
      <w:keepNext/>
      <w:spacing w:before="240"/>
      <w:outlineLvl w:val="0"/>
    </w:pPr>
    <w:rPr>
      <w:rFonts w:cs="Arial"/>
      <w:b/>
      <w:bCs/>
      <w:color w:val="1178A2"/>
      <w:kern w:val="28"/>
      <w:sz w:val="40"/>
      <w:szCs w:val="32"/>
    </w:rPr>
  </w:style>
  <w:style w:type="paragraph" w:styleId="Heading2">
    <w:name w:val="heading 2"/>
    <w:basedOn w:val="Heading1"/>
    <w:next w:val="Normal"/>
    <w:qFormat/>
    <w:rsid w:val="003E4A94"/>
    <w:pPr>
      <w:spacing w:before="300" w:after="240"/>
      <w:outlineLvl w:val="1"/>
    </w:pPr>
    <w:rPr>
      <w:bCs w:val="0"/>
      <w:iCs/>
      <w:color w:val="125370" w:themeColor="accent3"/>
      <w:sz w:val="32"/>
      <w:szCs w:val="28"/>
    </w:rPr>
  </w:style>
  <w:style w:type="paragraph" w:styleId="Heading3">
    <w:name w:val="heading 3"/>
    <w:basedOn w:val="Heading2"/>
    <w:next w:val="Normal"/>
    <w:qFormat/>
    <w:rsid w:val="0064059B"/>
    <w:pPr>
      <w:outlineLvl w:val="2"/>
    </w:pPr>
    <w:rPr>
      <w:bCs/>
      <w:color w:val="000000" w:themeColor="text1"/>
      <w:kern w:val="26"/>
      <w:sz w:val="28"/>
      <w:szCs w:val="26"/>
    </w:rPr>
  </w:style>
  <w:style w:type="paragraph" w:styleId="Heading4">
    <w:name w:val="heading 4"/>
    <w:basedOn w:val="Normal"/>
    <w:next w:val="Normal"/>
    <w:qFormat/>
    <w:rsid w:val="00943D7C"/>
    <w:pPr>
      <w:keepNext/>
      <w:spacing w:before="240" w:after="240"/>
      <w:outlineLvl w:val="3"/>
    </w:pPr>
    <w:rPr>
      <w:b/>
      <w:bCs/>
      <w:color w:val="404040" w:themeColor="text1" w:themeTint="BF"/>
      <w:sz w:val="26"/>
      <w:szCs w:val="26"/>
    </w:rPr>
  </w:style>
  <w:style w:type="paragraph" w:styleId="Heading5">
    <w:name w:val="heading 5"/>
    <w:basedOn w:val="Normal"/>
    <w:next w:val="Normal"/>
    <w:qFormat/>
    <w:rsid w:val="00A15082"/>
    <w:pPr>
      <w:keepNext/>
      <w:spacing w:before="240" w:after="60"/>
      <w:outlineLvl w:val="4"/>
    </w:pPr>
    <w:rPr>
      <w:b/>
      <w:bCs/>
      <w:iCs/>
      <w:color w:val="404040" w:themeColor="text1" w:themeTint="BF"/>
      <w:sz w:val="24"/>
    </w:rPr>
  </w:style>
  <w:style w:type="paragraph" w:styleId="Heading6">
    <w:name w:val="heading 6"/>
    <w:basedOn w:val="Normal"/>
    <w:next w:val="Normal"/>
    <w:uiPriority w:val="98"/>
    <w:locked/>
    <w:rsid w:val="00A705AF"/>
    <w:pPr>
      <w:keepNext/>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99"/>
    <w:qFormat/>
    <w:rsid w:val="00A705AF"/>
    <w:rPr>
      <w:i/>
      <w:iCs/>
    </w:rPr>
  </w:style>
  <w:style w:type="character" w:styleId="Strong">
    <w:name w:val="Strong"/>
    <w:basedOn w:val="DefaultParagraphFont"/>
    <w:uiPriority w:val="99"/>
    <w:qFormat/>
    <w:rsid w:val="00A705AF"/>
    <w:rPr>
      <w:b/>
      <w:bCs/>
    </w:rPr>
  </w:style>
  <w:style w:type="paragraph" w:styleId="Subtitle">
    <w:name w:val="Subtitle"/>
    <w:basedOn w:val="Title"/>
    <w:next w:val="Normal"/>
    <w:link w:val="SubtitleChar"/>
    <w:uiPriority w:val="99"/>
    <w:qFormat/>
    <w:locked/>
    <w:rsid w:val="00A2136D"/>
    <w:pPr>
      <w:numPr>
        <w:ilvl w:val="1"/>
      </w:numPr>
      <w:spacing w:before="120"/>
      <w:ind w:right="397"/>
    </w:pPr>
    <w:rPr>
      <w:rFonts w:ascii="Arial" w:hAnsi="Arial"/>
      <w:iCs/>
      <w:color w:val="1178A2" w:themeColor="accent1"/>
      <w:sz w:val="44"/>
      <w:szCs w:val="52"/>
    </w:rPr>
  </w:style>
  <w:style w:type="character" w:customStyle="1" w:styleId="SubtitleChar">
    <w:name w:val="Subtitle Char"/>
    <w:basedOn w:val="DefaultParagraphFont"/>
    <w:link w:val="Subtitle"/>
    <w:uiPriority w:val="99"/>
    <w:rsid w:val="00A2136D"/>
    <w:rPr>
      <w:rFonts w:ascii="Arial" w:eastAsiaTheme="majorEastAsia" w:hAnsi="Arial" w:cs="Times New Roman (Headings CS)"/>
      <w:b/>
      <w:iCs/>
      <w:color w:val="1178A2" w:themeColor="accent1"/>
      <w:spacing w:val="-2"/>
      <w:kern w:val="28"/>
      <w:sz w:val="44"/>
      <w:szCs w:val="52"/>
      <w:lang w:val="en-GB"/>
    </w:rPr>
  </w:style>
  <w:style w:type="paragraph" w:styleId="Title">
    <w:name w:val="Title"/>
    <w:basedOn w:val="Normal"/>
    <w:next w:val="Normal"/>
    <w:link w:val="TitleChar"/>
    <w:uiPriority w:val="99"/>
    <w:qFormat/>
    <w:rsid w:val="00CC35A0"/>
    <w:pPr>
      <w:spacing w:before="480" w:after="480"/>
      <w:contextualSpacing/>
    </w:pPr>
    <w:rPr>
      <w:rFonts w:ascii="Arial Bold" w:eastAsiaTheme="majorEastAsia" w:hAnsi="Arial Bold" w:cs="Times New Roman (Headings CS)"/>
      <w:b/>
      <w:color w:val="0A4A63"/>
      <w:spacing w:val="-2"/>
      <w:kern w:val="28"/>
      <w:sz w:val="56"/>
      <w:szCs w:val="56"/>
      <w:lang w:val="en-GB"/>
    </w:rPr>
  </w:style>
  <w:style w:type="character" w:customStyle="1" w:styleId="TitleChar">
    <w:name w:val="Title Char"/>
    <w:basedOn w:val="DefaultParagraphFont"/>
    <w:link w:val="Title"/>
    <w:uiPriority w:val="99"/>
    <w:rsid w:val="00CC35A0"/>
    <w:rPr>
      <w:rFonts w:ascii="Arial Bold" w:eastAsiaTheme="majorEastAsia" w:hAnsi="Arial Bold" w:cs="Times New Roman (Headings CS)"/>
      <w:b/>
      <w:color w:val="0A4A63"/>
      <w:spacing w:val="-2"/>
      <w:kern w:val="28"/>
      <w:sz w:val="56"/>
      <w:szCs w:val="56"/>
      <w:lang w:val="en-GB"/>
    </w:rPr>
  </w:style>
  <w:style w:type="paragraph" w:customStyle="1" w:styleId="Bulletlist">
    <w:name w:val="Bullet list"/>
    <w:qFormat/>
    <w:rsid w:val="00544A4E"/>
    <w:pPr>
      <w:numPr>
        <w:numId w:val="6"/>
      </w:numPr>
      <w:spacing w:after="200"/>
      <w:ind w:left="568" w:hanging="284"/>
      <w:contextualSpacing/>
    </w:pPr>
    <w:rPr>
      <w:rFonts w:ascii="Arial" w:hAnsi="Arial"/>
      <w:color w:val="000000" w:themeColor="text1"/>
      <w:szCs w:val="24"/>
      <w:lang w:eastAsia="en-US"/>
    </w:rPr>
  </w:style>
  <w:style w:type="paragraph" w:customStyle="1" w:styleId="Chaptertitle">
    <w:name w:val="Chapter title"/>
    <w:basedOn w:val="Title"/>
    <w:qFormat/>
    <w:rsid w:val="003873C6"/>
    <w:pPr>
      <w:spacing w:before="240" w:after="240"/>
      <w:contextualSpacing w:val="0"/>
    </w:pPr>
    <w:rPr>
      <w:color w:val="125370" w:themeColor="accent3"/>
      <w:sz w:val="48"/>
      <w:szCs w:val="48"/>
    </w:rPr>
  </w:style>
  <w:style w:type="paragraph" w:styleId="TOC1">
    <w:name w:val="toc 1"/>
    <w:basedOn w:val="Normal"/>
    <w:next w:val="Normal"/>
    <w:autoRedefine/>
    <w:uiPriority w:val="39"/>
    <w:qFormat/>
    <w:rsid w:val="005C1496"/>
    <w:rPr>
      <w:rFonts w:cstheme="minorHAnsi"/>
      <w:b/>
      <w:bCs/>
      <w:color w:val="1178A2" w:themeColor="text2"/>
      <w:sz w:val="24"/>
      <w:szCs w:val="20"/>
    </w:rPr>
  </w:style>
  <w:style w:type="paragraph" w:styleId="Quote">
    <w:name w:val="Quote"/>
    <w:basedOn w:val="Normal"/>
    <w:next w:val="Normal"/>
    <w:link w:val="QuoteChar"/>
    <w:qFormat/>
    <w:rsid w:val="000D017D"/>
    <w:pPr>
      <w:spacing w:before="240" w:after="240"/>
      <w:ind w:left="397"/>
    </w:pPr>
    <w:rPr>
      <w:iCs/>
      <w:sz w:val="20"/>
    </w:rPr>
  </w:style>
  <w:style w:type="character" w:customStyle="1" w:styleId="QuoteChar">
    <w:name w:val="Quote Char"/>
    <w:basedOn w:val="DefaultParagraphFont"/>
    <w:link w:val="Quote"/>
    <w:rsid w:val="007B04A9"/>
    <w:rPr>
      <w:iCs/>
      <w:sz w:val="20"/>
    </w:rPr>
  </w:style>
  <w:style w:type="paragraph" w:styleId="TOC2">
    <w:name w:val="toc 2"/>
    <w:basedOn w:val="Normal"/>
    <w:next w:val="Normal"/>
    <w:autoRedefine/>
    <w:uiPriority w:val="39"/>
    <w:qFormat/>
    <w:rsid w:val="009A263C"/>
    <w:pPr>
      <w:tabs>
        <w:tab w:val="right" w:pos="9016"/>
      </w:tabs>
      <w:ind w:left="221"/>
    </w:pPr>
    <w:rPr>
      <w:rFonts w:cstheme="minorHAnsi"/>
      <w:szCs w:val="20"/>
    </w:rPr>
  </w:style>
  <w:style w:type="paragraph" w:styleId="TOC3">
    <w:name w:val="toc 3"/>
    <w:basedOn w:val="Normal"/>
    <w:next w:val="Normal"/>
    <w:autoRedefine/>
    <w:uiPriority w:val="39"/>
    <w:qFormat/>
    <w:rsid w:val="00747CE1"/>
    <w:pPr>
      <w:tabs>
        <w:tab w:val="left" w:pos="8789"/>
      </w:tabs>
      <w:spacing w:after="0"/>
      <w:ind w:left="442" w:right="-188"/>
    </w:pPr>
    <w:rPr>
      <w:rFonts w:cstheme="minorHAnsi"/>
      <w:iCs/>
      <w:noProof/>
      <w:szCs w:val="20"/>
    </w:rPr>
  </w:style>
  <w:style w:type="paragraph" w:customStyle="1" w:styleId="FigureTitle">
    <w:name w:val="Figure Title"/>
    <w:basedOn w:val="Normal"/>
    <w:qFormat/>
    <w:rsid w:val="005C1496"/>
    <w:pPr>
      <w:contextualSpacing/>
    </w:pPr>
    <w:rPr>
      <w:b/>
    </w:rPr>
  </w:style>
  <w:style w:type="paragraph" w:styleId="FootnoteText">
    <w:name w:val="footnote text"/>
    <w:basedOn w:val="Normal"/>
    <w:link w:val="FootnoteTextChar"/>
    <w:rsid w:val="00C436EE"/>
    <w:pPr>
      <w:spacing w:after="0"/>
    </w:pPr>
    <w:rPr>
      <w:sz w:val="20"/>
      <w:szCs w:val="20"/>
    </w:rPr>
  </w:style>
  <w:style w:type="character" w:customStyle="1" w:styleId="FootnoteTextChar">
    <w:name w:val="Footnote Text Char"/>
    <w:basedOn w:val="DefaultParagraphFont"/>
    <w:link w:val="FootnoteText"/>
    <w:rsid w:val="00C436EE"/>
    <w:rPr>
      <w:rFonts w:ascii="Arial" w:hAnsi="Arial"/>
      <w:color w:val="000000" w:themeColor="text1"/>
      <w:lang w:eastAsia="en-US"/>
    </w:rPr>
  </w:style>
  <w:style w:type="paragraph" w:styleId="BalloonText">
    <w:name w:val="Balloon Text"/>
    <w:basedOn w:val="Normal"/>
    <w:link w:val="BalloonTextChar"/>
    <w:locked/>
    <w:rsid w:val="00A4199A"/>
    <w:pPr>
      <w:spacing w:after="0"/>
    </w:pPr>
    <w:rPr>
      <w:rFonts w:ascii="Tahoma" w:hAnsi="Tahoma" w:cs="Tahoma"/>
      <w:sz w:val="16"/>
      <w:szCs w:val="16"/>
    </w:rPr>
  </w:style>
  <w:style w:type="character" w:styleId="FootnoteReference">
    <w:name w:val="footnote reference"/>
    <w:basedOn w:val="DefaultParagraphFont"/>
    <w:rsid w:val="00E13C5C"/>
    <w:rPr>
      <w:rFonts w:ascii="Arial" w:hAnsi="Arial"/>
      <w:vertAlign w:val="superscript"/>
    </w:rPr>
  </w:style>
  <w:style w:type="table" w:styleId="TableGrid">
    <w:name w:val="Table Grid"/>
    <w:aliases w:val="Commission"/>
    <w:basedOn w:val="TableNormal"/>
    <w:locked/>
    <w:rsid w:val="00BC07E4"/>
    <w:pPr>
      <w:spacing w:after="0"/>
    </w:pPr>
    <w:rPr>
      <w:rFonts w:ascii="Arial" w:hAnsi="Arial"/>
      <w:color w:val="000000" w:themeColor="text1"/>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wordWrap/>
        <w:jc w:val="center"/>
        <w:outlineLvl w:val="9"/>
      </w:pPr>
      <w:rPr>
        <w:rFonts w:ascii="Arial Bold" w:hAnsi="Arial Bold"/>
        <w:b/>
        <w:color w:val="000000" w:themeColor="text1"/>
        <w:sz w:val="18"/>
      </w:rPr>
      <w:tblPr/>
      <w:tcPr>
        <w:shd w:val="clear" w:color="auto" w:fill="86D3F2" w:themeFill="text2" w:themeFillTint="66"/>
      </w:tcPr>
    </w:tblStylePr>
  </w:style>
  <w:style w:type="character" w:customStyle="1" w:styleId="Underline">
    <w:name w:val="Underline"/>
    <w:basedOn w:val="DefaultParagraphFont"/>
    <w:qFormat/>
    <w:rsid w:val="00E13C5C"/>
    <w:rPr>
      <w:u w:val="single"/>
    </w:rPr>
  </w:style>
  <w:style w:type="character" w:customStyle="1" w:styleId="BalloonTextChar">
    <w:name w:val="Balloon Text Char"/>
    <w:basedOn w:val="DefaultParagraphFont"/>
    <w:link w:val="BalloonText"/>
    <w:rsid w:val="00A4199A"/>
    <w:rPr>
      <w:rFonts w:ascii="Tahoma" w:hAnsi="Tahoma" w:cs="Tahoma"/>
      <w:sz w:val="16"/>
      <w:szCs w:val="16"/>
    </w:rPr>
  </w:style>
  <w:style w:type="paragraph" w:styleId="Header">
    <w:name w:val="header"/>
    <w:basedOn w:val="Normal"/>
    <w:link w:val="HeaderChar"/>
    <w:uiPriority w:val="98"/>
    <w:locked/>
    <w:rsid w:val="009B053D"/>
    <w:pPr>
      <w:tabs>
        <w:tab w:val="center" w:pos="4513"/>
        <w:tab w:val="right" w:pos="9026"/>
      </w:tabs>
      <w:spacing w:after="0"/>
    </w:pPr>
  </w:style>
  <w:style w:type="character" w:styleId="PlaceholderText">
    <w:name w:val="Placeholder Text"/>
    <w:basedOn w:val="DefaultParagraphFont"/>
    <w:uiPriority w:val="98"/>
    <w:semiHidden/>
    <w:locked/>
    <w:rsid w:val="00C51BE7"/>
    <w:rPr>
      <w:color w:val="808080"/>
    </w:rPr>
  </w:style>
  <w:style w:type="character" w:customStyle="1" w:styleId="HeaderChar">
    <w:name w:val="Header Char"/>
    <w:basedOn w:val="DefaultParagraphFont"/>
    <w:link w:val="Header"/>
    <w:uiPriority w:val="98"/>
    <w:rsid w:val="007B04A9"/>
  </w:style>
  <w:style w:type="character" w:styleId="Hyperlink">
    <w:name w:val="Hyperlink"/>
    <w:basedOn w:val="DefaultParagraphFont"/>
    <w:uiPriority w:val="99"/>
    <w:rsid w:val="00423FC4"/>
    <w:rPr>
      <w:color w:val="1178A2" w:themeColor="accent1"/>
      <w:u w:val="single"/>
    </w:rPr>
  </w:style>
  <w:style w:type="paragraph" w:styleId="Footer">
    <w:name w:val="footer"/>
    <w:basedOn w:val="Normal"/>
    <w:link w:val="FooterChar"/>
    <w:rsid w:val="007635C1"/>
    <w:pPr>
      <w:tabs>
        <w:tab w:val="center" w:pos="4513"/>
        <w:tab w:val="right" w:pos="9026"/>
      </w:tabs>
      <w:spacing w:after="0"/>
    </w:pPr>
    <w:rPr>
      <w:color w:val="404040" w:themeColor="text1" w:themeTint="BF"/>
      <w:sz w:val="20"/>
    </w:rPr>
  </w:style>
  <w:style w:type="character" w:customStyle="1" w:styleId="FooterChar">
    <w:name w:val="Footer Char"/>
    <w:basedOn w:val="DefaultParagraphFont"/>
    <w:link w:val="Footer"/>
    <w:rsid w:val="007B04A9"/>
    <w:rPr>
      <w:color w:val="404040" w:themeColor="text1" w:themeTint="BF"/>
      <w:sz w:val="20"/>
    </w:rPr>
  </w:style>
  <w:style w:type="character" w:styleId="FollowedHyperlink">
    <w:name w:val="FollowedHyperlink"/>
    <w:basedOn w:val="DefaultParagraphFont"/>
    <w:rsid w:val="00F95769"/>
    <w:rPr>
      <w:color w:val="800080" w:themeColor="followedHyperlink"/>
      <w:u w:val="single"/>
    </w:rPr>
  </w:style>
  <w:style w:type="paragraph" w:styleId="TOCHeading">
    <w:name w:val="TOC Heading"/>
    <w:basedOn w:val="Heading1"/>
    <w:next w:val="Normal"/>
    <w:unhideWhenUsed/>
    <w:qFormat/>
    <w:rsid w:val="00255596"/>
    <w:pPr>
      <w:keepLines/>
      <w:spacing w:before="480" w:after="0" w:line="276" w:lineRule="auto"/>
      <w:outlineLvl w:val="9"/>
    </w:pPr>
    <w:rPr>
      <w:rFonts w:asciiTheme="majorHAnsi" w:eastAsiaTheme="majorEastAsia" w:hAnsiTheme="majorHAnsi" w:cstheme="majorBidi"/>
      <w:color w:val="0C5979" w:themeColor="accent1" w:themeShade="BF"/>
      <w:kern w:val="0"/>
      <w:szCs w:val="28"/>
      <w:lang w:val="en-US" w:eastAsia="ja-JP"/>
    </w:rPr>
  </w:style>
  <w:style w:type="paragraph" w:customStyle="1" w:styleId="Captions">
    <w:name w:val="Captions"/>
    <w:basedOn w:val="Normal"/>
    <w:link w:val="CaptionsChar"/>
    <w:qFormat/>
    <w:rsid w:val="00A15082"/>
    <w:rPr>
      <w:sz w:val="20"/>
      <w:szCs w:val="20"/>
    </w:rPr>
  </w:style>
  <w:style w:type="character" w:customStyle="1" w:styleId="CaptionsChar">
    <w:name w:val="Captions Char"/>
    <w:basedOn w:val="DefaultParagraphFont"/>
    <w:link w:val="Captions"/>
    <w:rsid w:val="00A15082"/>
    <w:rPr>
      <w:rFonts w:ascii="Arial" w:hAnsi="Arial"/>
      <w:color w:val="000000" w:themeColor="text1"/>
      <w:lang w:eastAsia="en-US"/>
    </w:rPr>
  </w:style>
  <w:style w:type="numbering" w:customStyle="1" w:styleId="Listbullets">
    <w:name w:val="List bullets"/>
    <w:uiPriority w:val="99"/>
    <w:rsid w:val="000D017D"/>
    <w:pPr>
      <w:numPr>
        <w:numId w:val="1"/>
      </w:numPr>
    </w:pPr>
  </w:style>
  <w:style w:type="paragraph" w:customStyle="1" w:styleId="Numberedlists">
    <w:name w:val="Numbered lists"/>
    <w:basedOn w:val="Normal"/>
    <w:link w:val="NumberedlistsChar"/>
    <w:qFormat/>
    <w:rsid w:val="00A4199A"/>
    <w:pPr>
      <w:numPr>
        <w:numId w:val="5"/>
      </w:numPr>
      <w:contextualSpacing/>
    </w:pPr>
  </w:style>
  <w:style w:type="character" w:customStyle="1" w:styleId="NumberedlistsChar">
    <w:name w:val="Numbered lists Char"/>
    <w:basedOn w:val="DefaultParagraphFont"/>
    <w:link w:val="Numberedlists"/>
    <w:rsid w:val="00A4199A"/>
  </w:style>
  <w:style w:type="paragraph" w:customStyle="1" w:styleId="Subheading">
    <w:name w:val="Subheading"/>
    <w:basedOn w:val="Normal"/>
    <w:next w:val="Normal"/>
    <w:uiPriority w:val="99"/>
    <w:qFormat/>
    <w:rsid w:val="000B0274"/>
    <w:pPr>
      <w:spacing w:before="240"/>
    </w:pPr>
    <w:rPr>
      <w:b/>
      <w:color w:val="00A9E5"/>
      <w:sz w:val="36"/>
      <w:szCs w:val="36"/>
    </w:rPr>
  </w:style>
  <w:style w:type="numbering" w:customStyle="1" w:styleId="Bullet">
    <w:name w:val="Bullet"/>
    <w:uiPriority w:val="99"/>
    <w:locked/>
    <w:rsid w:val="000D017D"/>
    <w:pPr>
      <w:numPr>
        <w:numId w:val="2"/>
      </w:numPr>
    </w:pPr>
  </w:style>
  <w:style w:type="numbering" w:customStyle="1" w:styleId="Bullets">
    <w:name w:val="Bullets"/>
    <w:uiPriority w:val="99"/>
    <w:locked/>
    <w:rsid w:val="000D017D"/>
    <w:pPr>
      <w:numPr>
        <w:numId w:val="3"/>
      </w:numPr>
    </w:pPr>
  </w:style>
  <w:style w:type="numbering" w:customStyle="1" w:styleId="BulletsLevel1">
    <w:name w:val="Bullets Level 1"/>
    <w:uiPriority w:val="99"/>
    <w:locked/>
    <w:rsid w:val="000D017D"/>
    <w:pPr>
      <w:numPr>
        <w:numId w:val="4"/>
      </w:numPr>
    </w:pPr>
  </w:style>
  <w:style w:type="paragraph" w:customStyle="1" w:styleId="PublicationDate">
    <w:name w:val="Publication Date"/>
    <w:basedOn w:val="Normal"/>
    <w:link w:val="PublicationDateChar"/>
    <w:uiPriority w:val="99"/>
    <w:qFormat/>
    <w:rsid w:val="00447D31"/>
    <w:pPr>
      <w:spacing w:before="240" w:after="240"/>
    </w:pPr>
    <w:rPr>
      <w:color w:val="0A4A63"/>
      <w:sz w:val="32"/>
      <w:szCs w:val="40"/>
    </w:rPr>
  </w:style>
  <w:style w:type="character" w:customStyle="1" w:styleId="PublicationDateChar">
    <w:name w:val="Publication Date Char"/>
    <w:basedOn w:val="DefaultParagraphFont"/>
    <w:link w:val="PublicationDate"/>
    <w:rsid w:val="00447D31"/>
    <w:rPr>
      <w:rFonts w:ascii="Arial" w:hAnsi="Arial"/>
      <w:color w:val="0A4A63"/>
      <w:sz w:val="32"/>
      <w:szCs w:val="40"/>
      <w:lang w:eastAsia="en-US"/>
    </w:rPr>
  </w:style>
  <w:style w:type="paragraph" w:customStyle="1" w:styleId="Redtext">
    <w:name w:val="Red text"/>
    <w:basedOn w:val="Normal"/>
    <w:qFormat/>
    <w:rsid w:val="00BC07E4"/>
    <w:pPr>
      <w:spacing w:after="80"/>
    </w:pPr>
    <w:rPr>
      <w:color w:val="FF0000"/>
    </w:rPr>
  </w:style>
  <w:style w:type="paragraph" w:customStyle="1" w:styleId="Normal-beforebullets">
    <w:name w:val="Normal - before bullets"/>
    <w:basedOn w:val="Normal"/>
    <w:qFormat/>
    <w:rsid w:val="00020DBD"/>
    <w:pPr>
      <w:spacing w:after="0"/>
    </w:pPr>
  </w:style>
  <w:style w:type="paragraph" w:styleId="TOC4">
    <w:name w:val="toc 4"/>
    <w:basedOn w:val="Normal"/>
    <w:next w:val="Normal"/>
    <w:autoRedefine/>
    <w:uiPriority w:val="39"/>
    <w:locked/>
    <w:rsid w:val="002E6A48"/>
    <w:pPr>
      <w:tabs>
        <w:tab w:val="right" w:pos="9016"/>
      </w:tabs>
      <w:spacing w:after="0"/>
      <w:ind w:left="658"/>
    </w:pPr>
  </w:style>
  <w:style w:type="table" w:customStyle="1" w:styleId="MDBAsimpletable">
    <w:name w:val="MDBA simple table"/>
    <w:basedOn w:val="TableNormal"/>
    <w:uiPriority w:val="99"/>
    <w:rsid w:val="00B904EC"/>
    <w:pPr>
      <w:spacing w:after="0"/>
    </w:pPr>
    <w:rPr>
      <w:rFonts w:ascii="Arial" w:eastAsia="Calibri" w:hAnsi="Arial"/>
      <w:lang w:eastAsia="en-US"/>
    </w:rPr>
    <w:tblPr>
      <w:tblStyleRowBandSize w:val="1"/>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Pr>
    <w:tcPr>
      <w:shd w:val="clear" w:color="auto" w:fill="auto"/>
    </w:tcPr>
    <w:tblStylePr w:type="firstRow">
      <w:pPr>
        <w:wordWrap/>
        <w:spacing w:beforeLines="0" w:before="240" w:beforeAutospacing="0"/>
      </w:pPr>
      <w:rPr>
        <w:rFonts w:ascii="Arial" w:hAnsi="Arial"/>
        <w:b/>
        <w:color w:val="auto"/>
        <w:sz w:val="22"/>
      </w:rPr>
      <w:tblPr/>
      <w:tcPr>
        <w:shd w:val="clear" w:color="auto" w:fill="95B3D7"/>
      </w:tcPr>
    </w:tblStylePr>
    <w:tblStylePr w:type="lastRow">
      <w:tblPr/>
      <w:tcPr>
        <w:shd w:val="clear" w:color="auto" w:fill="BFBFBF"/>
      </w:tcPr>
    </w:tblStylePr>
    <w:tblStylePr w:type="band1Horz">
      <w:tblPr/>
      <w:tcPr>
        <w:shd w:val="clear" w:color="auto" w:fill="ECECEC"/>
      </w:tcPr>
    </w:tblStylePr>
  </w:style>
  <w:style w:type="table" w:customStyle="1" w:styleId="Commission1">
    <w:name w:val="Commission1"/>
    <w:basedOn w:val="TableNormal"/>
    <w:uiPriority w:val="99"/>
    <w:rsid w:val="00865932"/>
    <w:pPr>
      <w:spacing w:after="0"/>
    </w:pPr>
    <w:rPr>
      <w:rFonts w:ascii="Arial Narrow" w:hAnsi="Arial Narrow"/>
      <w:szCs w:val="20"/>
    </w:rPr>
    <w:tblPr>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rPr>
        <w:rFonts w:ascii="Arial Narrow" w:hAnsi="Arial Narrow"/>
        <w:b/>
        <w:color w:val="FFFFFF"/>
        <w:sz w:val="22"/>
      </w:rPr>
      <w:tblPr/>
      <w:tcPr>
        <w:shd w:val="clear" w:color="auto" w:fill="365F91"/>
      </w:tcPr>
    </w:tblStylePr>
  </w:style>
  <w:style w:type="table" w:customStyle="1" w:styleId="Commission2">
    <w:name w:val="Commission2"/>
    <w:basedOn w:val="TableNormal"/>
    <w:uiPriority w:val="99"/>
    <w:rsid w:val="00865932"/>
    <w:pPr>
      <w:spacing w:after="0"/>
    </w:pPr>
    <w:rPr>
      <w:rFonts w:ascii="Arial Narrow" w:hAnsi="Arial Narrow"/>
      <w:szCs w:val="20"/>
    </w:rPr>
    <w:tblPr>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rPr>
        <w:rFonts w:ascii="Arial Narrow" w:hAnsi="Arial Narrow"/>
        <w:b/>
        <w:color w:val="FFFFFF"/>
        <w:sz w:val="22"/>
      </w:rPr>
      <w:tblPr/>
      <w:tcPr>
        <w:shd w:val="clear" w:color="auto" w:fill="365F91"/>
      </w:tcPr>
    </w:tblStylePr>
  </w:style>
  <w:style w:type="paragraph" w:customStyle="1" w:styleId="FigureName">
    <w:name w:val="FigureName"/>
    <w:basedOn w:val="Normal"/>
    <w:next w:val="Normal"/>
    <w:rsid w:val="0003162D"/>
    <w:pPr>
      <w:keepNext/>
      <w:keepLines/>
      <w:tabs>
        <w:tab w:val="left" w:pos="1080"/>
      </w:tabs>
      <w:ind w:left="1077" w:hanging="1077"/>
    </w:pPr>
    <w:rPr>
      <w:rFonts w:ascii="Arial" w:hAnsi="Arial"/>
      <w:b/>
      <w:bCs/>
      <w:color w:val="1178A2" w:themeColor="accent1"/>
      <w:szCs w:val="20"/>
    </w:rPr>
  </w:style>
  <w:style w:type="paragraph" w:customStyle="1" w:styleId="TFAbbrevsSpace">
    <w:name w:val="TFAbbrevs+Space"/>
    <w:basedOn w:val="Normal"/>
    <w:next w:val="Normal"/>
    <w:rsid w:val="0003162D"/>
    <w:pPr>
      <w:keepNext/>
      <w:keepLines/>
      <w:spacing w:after="360"/>
    </w:pPr>
    <w:rPr>
      <w:rFonts w:ascii="Arial" w:hAnsi="Arial"/>
      <w:color w:val="000000"/>
      <w:sz w:val="18"/>
      <w:szCs w:val="18"/>
    </w:rPr>
  </w:style>
  <w:style w:type="paragraph" w:customStyle="1" w:styleId="BoxHeading">
    <w:name w:val="BoxHeading"/>
    <w:basedOn w:val="Normal"/>
    <w:rsid w:val="000B79D3"/>
    <w:pPr>
      <w:keepNext/>
      <w:pBdr>
        <w:top w:val="single" w:sz="4" w:space="4" w:color="0C5979" w:themeColor="accent1" w:themeShade="BF"/>
        <w:left w:val="single" w:sz="4" w:space="4" w:color="0C5979" w:themeColor="accent1" w:themeShade="BF"/>
        <w:bottom w:val="single" w:sz="4" w:space="4" w:color="0C5979" w:themeColor="accent1" w:themeShade="BF"/>
        <w:right w:val="single" w:sz="4" w:space="4" w:color="0C5979" w:themeColor="accent1" w:themeShade="BF"/>
      </w:pBdr>
      <w:spacing w:after="60"/>
    </w:pPr>
    <w:rPr>
      <w:rFonts w:ascii="Arial" w:hAnsi="Arial"/>
      <w:b/>
      <w:bCs/>
      <w:color w:val="1178A2" w:themeColor="accent1"/>
      <w:szCs w:val="20"/>
    </w:rPr>
  </w:style>
  <w:style w:type="paragraph" w:customStyle="1" w:styleId="BoxBullet">
    <w:name w:val="BoxBullet"/>
    <w:basedOn w:val="Normal"/>
    <w:link w:val="BoxBulletChar"/>
    <w:rsid w:val="000B79D3"/>
    <w:pPr>
      <w:numPr>
        <w:numId w:val="7"/>
      </w:numPr>
      <w:pBdr>
        <w:top w:val="single" w:sz="4" w:space="4" w:color="0C5979" w:themeColor="accent1" w:themeShade="BF"/>
        <w:left w:val="single" w:sz="4" w:space="4" w:color="0C5979" w:themeColor="accent1" w:themeShade="BF"/>
        <w:bottom w:val="single" w:sz="4" w:space="4" w:color="0C5979" w:themeColor="accent1" w:themeShade="BF"/>
        <w:right w:val="single" w:sz="4" w:space="4" w:color="0C5979" w:themeColor="accent1" w:themeShade="BF"/>
      </w:pBdr>
    </w:pPr>
    <w:rPr>
      <w:rFonts w:ascii="Arial" w:hAnsi="Arial"/>
      <w:color w:val="000000"/>
      <w:szCs w:val="20"/>
    </w:rPr>
  </w:style>
  <w:style w:type="character" w:customStyle="1" w:styleId="BoxBulletChar">
    <w:name w:val="BoxBullet Char"/>
    <w:link w:val="BoxBullet"/>
    <w:rsid w:val="000B79D3"/>
    <w:rPr>
      <w:rFonts w:ascii="Arial" w:hAnsi="Arial"/>
      <w:color w:val="000000"/>
      <w:szCs w:val="20"/>
    </w:rPr>
  </w:style>
  <w:style w:type="paragraph" w:customStyle="1" w:styleId="Dash">
    <w:name w:val="Dash"/>
    <w:basedOn w:val="Normal"/>
    <w:rsid w:val="002E195D"/>
    <w:pPr>
      <w:numPr>
        <w:numId w:val="8"/>
      </w:numPr>
      <w:tabs>
        <w:tab w:val="clear" w:pos="216"/>
        <w:tab w:val="left" w:pos="720"/>
      </w:tabs>
      <w:spacing w:after="0"/>
      <w:ind w:left="754" w:hanging="357"/>
    </w:pPr>
    <w:rPr>
      <w:rFonts w:ascii="Arial" w:hAnsi="Arial"/>
      <w:color w:val="000000"/>
      <w:szCs w:val="20"/>
    </w:rPr>
  </w:style>
  <w:style w:type="paragraph" w:customStyle="1" w:styleId="BoxText">
    <w:name w:val="BoxText"/>
    <w:basedOn w:val="Normal"/>
    <w:qFormat/>
    <w:rsid w:val="002E195D"/>
    <w:pPr>
      <w:pBdr>
        <w:top w:val="single" w:sz="4" w:space="4" w:color="0C5979" w:themeColor="accent1" w:themeShade="BF"/>
        <w:left w:val="single" w:sz="4" w:space="4" w:color="0C5979" w:themeColor="accent1" w:themeShade="BF"/>
        <w:bottom w:val="single" w:sz="4" w:space="4" w:color="0C5979" w:themeColor="accent1" w:themeShade="BF"/>
        <w:right w:val="single" w:sz="4" w:space="4" w:color="0C5979" w:themeColor="accent1" w:themeShade="BF"/>
      </w:pBdr>
    </w:pPr>
    <w:rPr>
      <w:rFonts w:ascii="Arial" w:hAnsi="Arial"/>
      <w:color w:val="000000"/>
      <w:szCs w:val="20"/>
    </w:rPr>
  </w:style>
  <w:style w:type="paragraph" w:customStyle="1" w:styleId="BoxNotes">
    <w:name w:val="BoxNotes"/>
    <w:basedOn w:val="BoxText"/>
    <w:rsid w:val="002E195D"/>
    <w:pPr>
      <w:spacing w:after="60"/>
    </w:pPr>
    <w:rPr>
      <w:sz w:val="18"/>
    </w:rPr>
  </w:style>
  <w:style w:type="paragraph" w:customStyle="1" w:styleId="BoxName">
    <w:name w:val="BoxName"/>
    <w:basedOn w:val="BoxText"/>
    <w:next w:val="BoxText"/>
    <w:rsid w:val="002E195D"/>
    <w:pPr>
      <w:keepNext/>
      <w:spacing w:before="180"/>
      <w:ind w:left="1077" w:hanging="1077"/>
    </w:pPr>
    <w:rPr>
      <w:b/>
      <w:bCs/>
      <w:color w:val="0C5979" w:themeColor="accent1" w:themeShade="BF"/>
      <w:sz w:val="24"/>
    </w:rPr>
  </w:style>
  <w:style w:type="paragraph" w:customStyle="1" w:styleId="BoxDash">
    <w:name w:val="BoxDash"/>
    <w:basedOn w:val="BoxText"/>
    <w:rsid w:val="002E195D"/>
    <w:pPr>
      <w:tabs>
        <w:tab w:val="left" w:pos="357"/>
      </w:tabs>
      <w:ind w:left="720" w:hanging="720"/>
    </w:pPr>
  </w:style>
  <w:style w:type="character" w:styleId="CommentReference">
    <w:name w:val="annotation reference"/>
    <w:basedOn w:val="DefaultParagraphFont"/>
    <w:locked/>
    <w:rsid w:val="001F6D10"/>
    <w:rPr>
      <w:sz w:val="16"/>
      <w:szCs w:val="16"/>
    </w:rPr>
  </w:style>
  <w:style w:type="paragraph" w:styleId="CommentText">
    <w:name w:val="annotation text"/>
    <w:basedOn w:val="Normal"/>
    <w:link w:val="CommentTextChar"/>
    <w:locked/>
    <w:rsid w:val="001F6D10"/>
    <w:rPr>
      <w:sz w:val="20"/>
      <w:szCs w:val="20"/>
    </w:rPr>
  </w:style>
  <w:style w:type="character" w:customStyle="1" w:styleId="CommentTextChar">
    <w:name w:val="Comment Text Char"/>
    <w:basedOn w:val="DefaultParagraphFont"/>
    <w:link w:val="CommentText"/>
    <w:rsid w:val="001F6D10"/>
    <w:rPr>
      <w:sz w:val="20"/>
      <w:szCs w:val="20"/>
    </w:rPr>
  </w:style>
  <w:style w:type="paragraph" w:customStyle="1" w:styleId="Commissionbodytext">
    <w:name w:val="Commission body text"/>
    <w:basedOn w:val="Normal"/>
    <w:link w:val="CommissionbodytextChar"/>
    <w:qFormat/>
    <w:rsid w:val="00BF5905"/>
    <w:pPr>
      <w:spacing w:after="0" w:line="276" w:lineRule="auto"/>
    </w:pPr>
    <w:rPr>
      <w:rFonts w:ascii="Arial" w:hAnsi="Arial" w:cs="Arial"/>
    </w:rPr>
  </w:style>
  <w:style w:type="character" w:customStyle="1" w:styleId="CommissionbodytextChar">
    <w:name w:val="Commission body text Char"/>
    <w:basedOn w:val="DefaultParagraphFont"/>
    <w:link w:val="Commissionbodytext"/>
    <w:rsid w:val="00BF5905"/>
    <w:rPr>
      <w:rFonts w:ascii="Arial" w:hAnsi="Arial" w:cs="Arial"/>
    </w:rPr>
  </w:style>
  <w:style w:type="paragraph" w:styleId="ListParagraph">
    <w:name w:val="List Paragraph"/>
    <w:aliases w:val="NFP GP Bulleted List,List Paragraph1,Recommendation,Bullet table,Bullet point,CV text,Dot pt,F5 List Paragraph,FooterText,L,List Paragraph11,List Paragraph111,List Paragraph2,Medium Grid 1 - Accent 21,NAST Quote,Numbered Paragraph"/>
    <w:basedOn w:val="Normal"/>
    <w:link w:val="ListParagraphChar"/>
    <w:uiPriority w:val="99"/>
    <w:qFormat/>
    <w:locked/>
    <w:rsid w:val="00E90997"/>
    <w:pPr>
      <w:keepLines/>
      <w:ind w:left="720"/>
      <w:contextualSpacing/>
    </w:pPr>
  </w:style>
  <w:style w:type="paragraph" w:styleId="CommentSubject">
    <w:name w:val="annotation subject"/>
    <w:basedOn w:val="CommentText"/>
    <w:next w:val="CommentText"/>
    <w:link w:val="CommentSubjectChar"/>
    <w:uiPriority w:val="98"/>
    <w:locked/>
    <w:rsid w:val="00A6672E"/>
    <w:rPr>
      <w:b/>
      <w:bCs/>
    </w:rPr>
  </w:style>
  <w:style w:type="character" w:customStyle="1" w:styleId="CommentSubjectChar">
    <w:name w:val="Comment Subject Char"/>
    <w:basedOn w:val="CommentTextChar"/>
    <w:link w:val="CommentSubject"/>
    <w:uiPriority w:val="98"/>
    <w:rsid w:val="00A6672E"/>
    <w:rPr>
      <w:b/>
      <w:bCs/>
      <w:sz w:val="20"/>
      <w:szCs w:val="20"/>
    </w:rPr>
  </w:style>
  <w:style w:type="paragraph" w:styleId="ListBullet">
    <w:name w:val="List Bullet"/>
    <w:basedOn w:val="Normal"/>
    <w:uiPriority w:val="98"/>
    <w:locked/>
    <w:rsid w:val="00A6672E"/>
    <w:pPr>
      <w:tabs>
        <w:tab w:val="num" w:pos="360"/>
      </w:tabs>
      <w:ind w:left="360" w:hanging="360"/>
      <w:contextualSpacing/>
    </w:pPr>
  </w:style>
  <w:style w:type="character" w:customStyle="1" w:styleId="ListParagraphChar">
    <w:name w:val="List Paragraph Char"/>
    <w:aliases w:val="NFP GP Bulleted List Char,List Paragraph1 Char,Recommendation Char,Bullet table Char,Bullet point Char,CV text Char,Dot pt Char,F5 List Paragraph Char,FooterText Char,L Char,List Paragraph11 Char,List Paragraph111 Char"/>
    <w:basedOn w:val="DefaultParagraphFont"/>
    <w:link w:val="ListParagraph"/>
    <w:uiPriority w:val="99"/>
    <w:rsid w:val="00E90997"/>
  </w:style>
  <w:style w:type="paragraph" w:styleId="EndnoteText">
    <w:name w:val="endnote text"/>
    <w:basedOn w:val="Normal"/>
    <w:link w:val="EndnoteTextChar"/>
    <w:unhideWhenUsed/>
    <w:locked/>
    <w:rsid w:val="00EA63B1"/>
    <w:pPr>
      <w:spacing w:after="0"/>
    </w:pPr>
    <w:rPr>
      <w:rFonts w:ascii="Arial" w:hAnsi="Arial"/>
      <w:sz w:val="20"/>
      <w:szCs w:val="20"/>
      <w:lang w:val="en-GB" w:eastAsia="en-US"/>
    </w:rPr>
  </w:style>
  <w:style w:type="character" w:customStyle="1" w:styleId="EndnoteTextChar">
    <w:name w:val="Endnote Text Char"/>
    <w:basedOn w:val="DefaultParagraphFont"/>
    <w:link w:val="EndnoteText"/>
    <w:rsid w:val="00EA63B1"/>
    <w:rPr>
      <w:rFonts w:ascii="Arial" w:hAnsi="Arial"/>
      <w:sz w:val="20"/>
      <w:szCs w:val="20"/>
      <w:lang w:val="en-GB" w:eastAsia="en-US"/>
    </w:rPr>
  </w:style>
  <w:style w:type="character" w:styleId="EndnoteReference">
    <w:name w:val="endnote reference"/>
    <w:basedOn w:val="DefaultParagraphFont"/>
    <w:unhideWhenUsed/>
    <w:locked/>
    <w:rsid w:val="00EA63B1"/>
    <w:rPr>
      <w:vertAlign w:val="superscript"/>
    </w:rPr>
  </w:style>
  <w:style w:type="character" w:customStyle="1" w:styleId="meta-citation-journal-name">
    <w:name w:val="meta-citation-journal-name"/>
    <w:basedOn w:val="DefaultParagraphFont"/>
    <w:rsid w:val="008A4AC8"/>
  </w:style>
  <w:style w:type="character" w:customStyle="1" w:styleId="meta-citation">
    <w:name w:val="meta-citation"/>
    <w:basedOn w:val="DefaultParagraphFont"/>
    <w:rsid w:val="008A4AC8"/>
  </w:style>
  <w:style w:type="table" w:customStyle="1" w:styleId="Commission3">
    <w:name w:val="Commission3"/>
    <w:basedOn w:val="TableNormal"/>
    <w:next w:val="TableGrid"/>
    <w:rsid w:val="008A4AC8"/>
    <w:pPr>
      <w:spacing w:after="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mmission4">
    <w:name w:val="Commission4"/>
    <w:basedOn w:val="TableNormal"/>
    <w:next w:val="TableGrid"/>
    <w:rsid w:val="00632475"/>
    <w:pPr>
      <w:spacing w:after="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2475"/>
    <w:pPr>
      <w:autoSpaceDE w:val="0"/>
      <w:autoSpaceDN w:val="0"/>
      <w:adjustRightInd w:val="0"/>
      <w:spacing w:after="0"/>
    </w:pPr>
    <w:rPr>
      <w:rFonts w:ascii="Gotham Medium" w:hAnsi="Gotham Medium" w:cs="Gotham Medium"/>
      <w:color w:val="000000"/>
      <w:sz w:val="24"/>
      <w:szCs w:val="24"/>
    </w:rPr>
  </w:style>
  <w:style w:type="table" w:customStyle="1" w:styleId="Commission5">
    <w:name w:val="Commission5"/>
    <w:basedOn w:val="TableNormal"/>
    <w:next w:val="TableGrid"/>
    <w:rsid w:val="0062216A"/>
    <w:pPr>
      <w:spacing w:after="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4E179B"/>
    <w:pPr>
      <w:spacing w:after="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IM">
    <w:name w:val="TRIM"/>
    <w:basedOn w:val="Normal"/>
    <w:qFormat/>
    <w:rsid w:val="00174535"/>
    <w:pPr>
      <w:spacing w:before="2000"/>
    </w:pPr>
  </w:style>
  <w:style w:type="paragraph" w:styleId="Revision">
    <w:name w:val="Revision"/>
    <w:hidden/>
    <w:uiPriority w:val="99"/>
    <w:semiHidden/>
    <w:rsid w:val="00174535"/>
    <w:pPr>
      <w:spacing w:after="0"/>
    </w:pPr>
  </w:style>
  <w:style w:type="paragraph" w:customStyle="1" w:styleId="NoParagraphStyle">
    <w:name w:val="[No Paragraph Style]"/>
    <w:rsid w:val="00183675"/>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GB" w:eastAsia="en-US"/>
    </w:rPr>
  </w:style>
  <w:style w:type="paragraph" w:customStyle="1" w:styleId="NormalFirstPara">
    <w:name w:val="NormalFirstPara"/>
    <w:basedOn w:val="Normal"/>
    <w:uiPriority w:val="99"/>
    <w:qFormat/>
    <w:rsid w:val="00DD5D99"/>
    <w:rPr>
      <w:b/>
    </w:rPr>
  </w:style>
  <w:style w:type="paragraph" w:customStyle="1" w:styleId="TableTitle">
    <w:name w:val="TableTitle"/>
    <w:basedOn w:val="Normal"/>
    <w:uiPriority w:val="99"/>
    <w:qFormat/>
    <w:rsid w:val="0099343F"/>
    <w:pPr>
      <w:spacing w:before="360" w:after="240"/>
    </w:pPr>
    <w:rPr>
      <w:b/>
      <w:lang w:eastAsia="en-US"/>
    </w:rPr>
  </w:style>
  <w:style w:type="paragraph" w:customStyle="1" w:styleId="NormalWord">
    <w:name w:val="Normal (&gt; Word)"/>
    <w:basedOn w:val="NoParagraphStyle"/>
    <w:uiPriority w:val="99"/>
    <w:rsid w:val="00183675"/>
    <w:pPr>
      <w:spacing w:before="120" w:after="120"/>
    </w:pPr>
    <w:rPr>
      <w:rFonts w:ascii="ArialMT" w:hAnsi="ArialMT" w:cs="ArialMT"/>
      <w:sz w:val="22"/>
      <w:szCs w:val="22"/>
      <w:lang w:val="en-US"/>
    </w:rPr>
  </w:style>
  <w:style w:type="paragraph" w:customStyle="1" w:styleId="NormalFirstWord">
    <w:name w:val="NormalFirst (&gt; Word)"/>
    <w:basedOn w:val="Normal"/>
    <w:uiPriority w:val="99"/>
    <w:rsid w:val="00183675"/>
    <w:pPr>
      <w:widowControl w:val="0"/>
      <w:autoSpaceDE w:val="0"/>
      <w:autoSpaceDN w:val="0"/>
      <w:adjustRightInd w:val="0"/>
      <w:spacing w:line="288" w:lineRule="auto"/>
      <w:textAlignment w:val="center"/>
    </w:pPr>
    <w:rPr>
      <w:rFonts w:ascii="Arial-BoldMT" w:hAnsi="Arial-BoldMT" w:cs="Arial-BoldMT"/>
      <w:b/>
      <w:bCs/>
      <w:color w:val="000000"/>
      <w:lang w:val="en-US" w:eastAsia="en-US"/>
    </w:rPr>
  </w:style>
  <w:style w:type="paragraph" w:customStyle="1" w:styleId="TableTitleWord">
    <w:name w:val="TableTitle (&gt; Word)"/>
    <w:basedOn w:val="Normal"/>
    <w:uiPriority w:val="99"/>
    <w:rsid w:val="00183675"/>
    <w:pPr>
      <w:widowControl w:val="0"/>
      <w:autoSpaceDE w:val="0"/>
      <w:autoSpaceDN w:val="0"/>
      <w:adjustRightInd w:val="0"/>
      <w:spacing w:line="288" w:lineRule="auto"/>
      <w:textAlignment w:val="center"/>
    </w:pPr>
    <w:rPr>
      <w:rFonts w:ascii="Arial-BoldMT" w:hAnsi="Arial-BoldMT" w:cs="Arial-BoldMT"/>
      <w:b/>
      <w:bCs/>
      <w:color w:val="000000"/>
      <w:lang w:val="en-US" w:eastAsia="en-US"/>
    </w:rPr>
  </w:style>
  <w:style w:type="paragraph" w:customStyle="1" w:styleId="TFIHolderBodystyles">
    <w:name w:val="TFIHolder (#) (Body styles)"/>
    <w:basedOn w:val="NormalWord"/>
    <w:uiPriority w:val="99"/>
    <w:rsid w:val="00183675"/>
    <w:pPr>
      <w:spacing w:before="113" w:after="170"/>
    </w:pPr>
  </w:style>
  <w:style w:type="paragraph" w:customStyle="1" w:styleId="NumberListLastBulletandNumberlists">
    <w:name w:val="NumberListLast (Bullet and Number lists)"/>
    <w:basedOn w:val="Normal"/>
    <w:uiPriority w:val="99"/>
    <w:rsid w:val="00D812BD"/>
    <w:pPr>
      <w:widowControl w:val="0"/>
      <w:autoSpaceDE w:val="0"/>
      <w:autoSpaceDN w:val="0"/>
      <w:adjustRightInd w:val="0"/>
      <w:spacing w:after="170" w:line="288" w:lineRule="auto"/>
      <w:ind w:left="720"/>
      <w:textAlignment w:val="center"/>
    </w:pPr>
    <w:rPr>
      <w:rFonts w:ascii="ArialMT" w:hAnsi="ArialMT" w:cs="ArialMT"/>
      <w:color w:val="000000"/>
      <w:lang w:val="en-US" w:eastAsia="en-US"/>
    </w:rPr>
  </w:style>
  <w:style w:type="paragraph" w:customStyle="1" w:styleId="FootnoteText1">
    <w:name w:val="Footnote Text1"/>
    <w:basedOn w:val="Normal"/>
    <w:uiPriority w:val="99"/>
    <w:rsid w:val="00183675"/>
    <w:pPr>
      <w:widowControl w:val="0"/>
      <w:autoSpaceDE w:val="0"/>
      <w:autoSpaceDN w:val="0"/>
      <w:adjustRightInd w:val="0"/>
      <w:spacing w:line="288" w:lineRule="auto"/>
      <w:textAlignment w:val="center"/>
    </w:pPr>
    <w:rPr>
      <w:rFonts w:ascii="ArialMT" w:hAnsi="ArialMT" w:cs="ArialMT"/>
      <w:color w:val="000000"/>
      <w:sz w:val="20"/>
      <w:szCs w:val="20"/>
      <w:lang w:val="en-US" w:eastAsia="en-US"/>
    </w:rPr>
  </w:style>
  <w:style w:type="paragraph" w:customStyle="1" w:styleId="GlossaryIndex">
    <w:name w:val="Glossary (Index"/>
    <w:aliases w:val="Glossary)"/>
    <w:basedOn w:val="NormalWord"/>
    <w:uiPriority w:val="99"/>
    <w:rsid w:val="00183675"/>
    <w:pPr>
      <w:keepLines/>
    </w:pPr>
  </w:style>
  <w:style w:type="character" w:customStyle="1" w:styleId="Superscript">
    <w:name w:val="Superscript"/>
    <w:uiPriority w:val="99"/>
    <w:rsid w:val="00183675"/>
    <w:rPr>
      <w:u w:val="none"/>
      <w:vertAlign w:val="superscript"/>
    </w:rPr>
  </w:style>
  <w:style w:type="character" w:customStyle="1" w:styleId="H3CAPS">
    <w:name w:val="H3 CAPS"/>
    <w:uiPriority w:val="99"/>
    <w:rsid w:val="00183675"/>
    <w:rPr>
      <w:sz w:val="27"/>
      <w:szCs w:val="27"/>
    </w:rPr>
  </w:style>
  <w:style w:type="character" w:customStyle="1" w:styleId="CallunaItalic">
    <w:name w:val="Calluna Italic"/>
    <w:uiPriority w:val="99"/>
    <w:rsid w:val="00183675"/>
    <w:rPr>
      <w:rFonts w:ascii="Calluna-It" w:hAnsi="Calluna-It" w:cs="Calluna-It"/>
      <w:i/>
      <w:iCs/>
      <w:color w:val="000000"/>
    </w:rPr>
  </w:style>
  <w:style w:type="character" w:customStyle="1" w:styleId="StrongMuseo">
    <w:name w:val="Strong Museo"/>
    <w:uiPriority w:val="99"/>
    <w:rsid w:val="00183675"/>
    <w:rPr>
      <w:u w:val="none" w:color="000000"/>
    </w:rPr>
  </w:style>
  <w:style w:type="paragraph" w:customStyle="1" w:styleId="TFIHolderBodystyles0">
    <w:name w:val="TFIHolder (Body styles)"/>
    <w:basedOn w:val="Normal"/>
    <w:uiPriority w:val="99"/>
    <w:rsid w:val="002E7082"/>
    <w:pPr>
      <w:widowControl w:val="0"/>
      <w:autoSpaceDE w:val="0"/>
      <w:autoSpaceDN w:val="0"/>
      <w:adjustRightInd w:val="0"/>
      <w:spacing w:before="113" w:after="0" w:line="288" w:lineRule="auto"/>
      <w:textAlignment w:val="center"/>
    </w:pPr>
    <w:rPr>
      <w:rFonts w:ascii="ArialMT" w:hAnsi="ArialMT" w:cs="ArialMT"/>
      <w:color w:val="000000"/>
      <w:lang w:val="en-US" w:eastAsia="en-US"/>
    </w:rPr>
  </w:style>
  <w:style w:type="paragraph" w:customStyle="1" w:styleId="CitationImprintpage">
    <w:name w:val="Citation (Imprint page)"/>
    <w:basedOn w:val="Normal"/>
    <w:uiPriority w:val="99"/>
    <w:rsid w:val="002E7082"/>
    <w:pPr>
      <w:widowControl w:val="0"/>
      <w:autoSpaceDE w:val="0"/>
      <w:autoSpaceDN w:val="0"/>
      <w:adjustRightInd w:val="0"/>
      <w:spacing w:line="288" w:lineRule="auto"/>
      <w:ind w:left="567"/>
      <w:textAlignment w:val="center"/>
    </w:pPr>
    <w:rPr>
      <w:rFonts w:ascii="ArialMT" w:hAnsi="ArialMT" w:cs="ArialMT"/>
      <w:color w:val="000000"/>
      <w:lang w:val="en-US" w:eastAsia="en-US"/>
    </w:rPr>
  </w:style>
  <w:style w:type="paragraph" w:styleId="DocumentMap">
    <w:name w:val="Document Map"/>
    <w:basedOn w:val="Normal"/>
    <w:link w:val="DocumentMapChar"/>
    <w:uiPriority w:val="98"/>
    <w:semiHidden/>
    <w:unhideWhenUsed/>
    <w:locked/>
    <w:rsid w:val="006F7964"/>
    <w:pPr>
      <w:spacing w:before="0" w:after="0"/>
    </w:pPr>
    <w:rPr>
      <w:rFonts w:ascii="Lucida Grande" w:hAnsi="Lucida Grande" w:cs="Lucida Grande"/>
      <w:sz w:val="24"/>
      <w:szCs w:val="24"/>
    </w:rPr>
  </w:style>
  <w:style w:type="character" w:customStyle="1" w:styleId="DocumentMapChar">
    <w:name w:val="Document Map Char"/>
    <w:basedOn w:val="DefaultParagraphFont"/>
    <w:link w:val="DocumentMap"/>
    <w:uiPriority w:val="98"/>
    <w:semiHidden/>
    <w:rsid w:val="006F7964"/>
    <w:rPr>
      <w:rFonts w:ascii="Lucida Grande" w:hAnsi="Lucida Grande" w:cs="Lucida Grande"/>
      <w:sz w:val="24"/>
      <w:szCs w:val="24"/>
    </w:rPr>
  </w:style>
  <w:style w:type="character" w:customStyle="1" w:styleId="HyperlinkBlue">
    <w:name w:val="Hyperlink Blue"/>
    <w:uiPriority w:val="99"/>
    <w:rsid w:val="00195458"/>
    <w:rPr>
      <w:color w:val="000000"/>
      <w:u w:val="thick" w:color="00B6F0"/>
    </w:rPr>
  </w:style>
  <w:style w:type="paragraph" w:customStyle="1" w:styleId="CopyrightMasterpages">
    <w:name w:val="Copyright (Master pages)"/>
    <w:basedOn w:val="Normal"/>
    <w:uiPriority w:val="99"/>
    <w:rsid w:val="00195458"/>
    <w:pPr>
      <w:widowControl w:val="0"/>
      <w:suppressAutoHyphens/>
      <w:autoSpaceDE w:val="0"/>
      <w:autoSpaceDN w:val="0"/>
      <w:adjustRightInd w:val="0"/>
      <w:spacing w:before="0" w:after="0" w:line="180" w:lineRule="atLeast"/>
      <w:textAlignment w:val="center"/>
    </w:pPr>
    <w:rPr>
      <w:rFonts w:ascii="ProximaNova-Bold" w:hAnsi="ProximaNova-Bold" w:cs="ProximaNova-Bold"/>
      <w:b/>
      <w:bCs/>
      <w:color w:val="000000"/>
      <w:sz w:val="16"/>
      <w:szCs w:val="16"/>
      <w:lang w:val="en-GB"/>
    </w:rPr>
  </w:style>
  <w:style w:type="character" w:customStyle="1" w:styleId="Roman">
    <w:name w:val="Roman"/>
    <w:uiPriority w:val="99"/>
    <w:rsid w:val="00195458"/>
  </w:style>
  <w:style w:type="paragraph" w:customStyle="1" w:styleId="WebsiteMasterpages">
    <w:name w:val="Website (Master pages)"/>
    <w:basedOn w:val="Normal"/>
    <w:uiPriority w:val="99"/>
    <w:rsid w:val="00195458"/>
    <w:pPr>
      <w:widowControl w:val="0"/>
      <w:suppressAutoHyphens/>
      <w:autoSpaceDE w:val="0"/>
      <w:autoSpaceDN w:val="0"/>
      <w:adjustRightInd w:val="0"/>
      <w:spacing w:before="0" w:after="0" w:line="250" w:lineRule="atLeast"/>
      <w:textAlignment w:val="center"/>
    </w:pPr>
    <w:rPr>
      <w:rFonts w:ascii="ProximaNova-Bold" w:hAnsi="ProximaNova-Bold" w:cs="ProximaNova-Bold"/>
      <w:b/>
      <w:bCs/>
      <w:color w:val="1178A2"/>
      <w:sz w:val="27"/>
      <w:szCs w:val="27"/>
      <w:u w:color="1178A2"/>
      <w:lang w:val="en-US"/>
    </w:rPr>
  </w:style>
  <w:style w:type="character" w:customStyle="1" w:styleId="Italic">
    <w:name w:val="Italic"/>
    <w:uiPriority w:val="99"/>
    <w:rsid w:val="0099343F"/>
    <w:rPr>
      <w:i/>
      <w:iCs/>
    </w:rPr>
  </w:style>
  <w:style w:type="character" w:customStyle="1" w:styleId="H1Asterisk">
    <w:name w:val="H1 Asterisk"/>
    <w:uiPriority w:val="99"/>
    <w:rsid w:val="007B5D05"/>
    <w:rPr>
      <w:position w:val="20"/>
      <w:sz w:val="27"/>
      <w:szCs w:val="27"/>
    </w:rPr>
  </w:style>
  <w:style w:type="paragraph" w:customStyle="1" w:styleId="BulletNumberBulletandNumberlists">
    <w:name w:val="Bullet Number (Bullet and Number lists)"/>
    <w:basedOn w:val="Normal"/>
    <w:uiPriority w:val="99"/>
    <w:rsid w:val="007B5D05"/>
    <w:pPr>
      <w:keepLines/>
      <w:widowControl w:val="0"/>
      <w:autoSpaceDE w:val="0"/>
      <w:autoSpaceDN w:val="0"/>
      <w:adjustRightInd w:val="0"/>
      <w:spacing w:after="57" w:line="288" w:lineRule="auto"/>
      <w:textAlignment w:val="center"/>
    </w:pPr>
    <w:rPr>
      <w:rFonts w:ascii="ArialMT" w:hAnsi="ArialMT" w:cs="ArialMT"/>
      <w:color w:val="000000"/>
      <w:lang w:val="en-US" w:eastAsia="en-US"/>
    </w:rPr>
  </w:style>
  <w:style w:type="paragraph" w:customStyle="1" w:styleId="BulletNumberContBulletandNumberlists">
    <w:name w:val="Bullet Number Cont (Bullet and Number lists)"/>
    <w:basedOn w:val="BulletNumberBulletandNumberlists"/>
    <w:uiPriority w:val="99"/>
    <w:rsid w:val="007B5D05"/>
  </w:style>
  <w:style w:type="paragraph" w:customStyle="1" w:styleId="BulletNumberLastBulletandNumberlists">
    <w:name w:val="Bullet Number Last (Bullet and Number lists)"/>
    <w:basedOn w:val="Normal"/>
    <w:uiPriority w:val="99"/>
    <w:rsid w:val="007B5D05"/>
    <w:pPr>
      <w:keepLines/>
      <w:widowControl w:val="0"/>
      <w:autoSpaceDE w:val="0"/>
      <w:autoSpaceDN w:val="0"/>
      <w:adjustRightInd w:val="0"/>
      <w:spacing w:after="142" w:line="288" w:lineRule="auto"/>
      <w:textAlignment w:val="center"/>
    </w:pPr>
    <w:rPr>
      <w:rFonts w:ascii="ArialMT" w:hAnsi="ArialMT" w:cs="ArialMT"/>
      <w:color w:val="000000"/>
      <w:lang w:val="en-US" w:eastAsia="en-US"/>
    </w:rPr>
  </w:style>
  <w:style w:type="paragraph" w:customStyle="1" w:styleId="NormalBeforeBulletBodystyles">
    <w:name w:val="NormalBeforeBullet (Body styles)"/>
    <w:basedOn w:val="Normal"/>
    <w:next w:val="Normal"/>
    <w:uiPriority w:val="99"/>
    <w:rsid w:val="0036588B"/>
    <w:pPr>
      <w:keepNext/>
      <w:widowControl w:val="0"/>
      <w:suppressAutoHyphens/>
      <w:autoSpaceDE w:val="0"/>
      <w:autoSpaceDN w:val="0"/>
      <w:adjustRightInd w:val="0"/>
      <w:spacing w:after="57" w:line="288" w:lineRule="auto"/>
      <w:textAlignment w:val="center"/>
    </w:pPr>
    <w:rPr>
      <w:rFonts w:ascii="ArialMT" w:hAnsi="ArialMT" w:cs="ArialMT"/>
      <w:color w:val="000000"/>
      <w:sz w:val="18"/>
      <w:szCs w:val="18"/>
      <w:lang w:val="en-US" w:eastAsia="en-US"/>
    </w:rPr>
  </w:style>
  <w:style w:type="paragraph" w:customStyle="1" w:styleId="Heading3andFigsHeadings">
    <w:name w:val="Heading 3 (and Figs) (Headings)"/>
    <w:basedOn w:val="Normal"/>
    <w:uiPriority w:val="99"/>
    <w:rsid w:val="00820059"/>
    <w:pPr>
      <w:widowControl w:val="0"/>
      <w:suppressAutoHyphens/>
      <w:autoSpaceDE w:val="0"/>
      <w:autoSpaceDN w:val="0"/>
      <w:adjustRightInd w:val="0"/>
      <w:spacing w:before="140" w:after="80" w:line="288" w:lineRule="auto"/>
      <w:textAlignment w:val="center"/>
    </w:pPr>
    <w:rPr>
      <w:rFonts w:ascii="ProximaNova-Bold" w:hAnsi="ProximaNova-Bold" w:cs="ProximaNova-Bold"/>
      <w:b/>
      <w:bCs/>
      <w:color w:val="000000"/>
      <w:sz w:val="24"/>
      <w:szCs w:val="24"/>
      <w:lang w:val="en-GB" w:eastAsia="en-US"/>
    </w:rPr>
  </w:style>
  <w:style w:type="character" w:customStyle="1" w:styleId="Hyperlinkwrd1">
    <w:name w:val="Hyperlink_wrd_1"/>
    <w:uiPriority w:val="99"/>
    <w:rsid w:val="0036588B"/>
    <w:rPr>
      <w:color w:val="0000FF"/>
      <w:w w:val="100"/>
      <w:u w:val="thick" w:color="0000FF"/>
    </w:rPr>
  </w:style>
  <w:style w:type="character" w:styleId="UnresolvedMention">
    <w:name w:val="Unresolved Mention"/>
    <w:basedOn w:val="DefaultParagraphFont"/>
    <w:uiPriority w:val="99"/>
    <w:semiHidden/>
    <w:unhideWhenUsed/>
    <w:rsid w:val="00AB0A6E"/>
    <w:rPr>
      <w:color w:val="605E5C"/>
      <w:shd w:val="clear" w:color="auto" w:fill="E1DFDD"/>
    </w:rPr>
  </w:style>
  <w:style w:type="paragraph" w:customStyle="1" w:styleId="Category">
    <w:name w:val="Category"/>
    <w:basedOn w:val="Subheading"/>
    <w:uiPriority w:val="99"/>
    <w:qFormat/>
    <w:rsid w:val="00304E73"/>
    <w:pPr>
      <w:spacing w:before="0" w:after="0"/>
      <w:jc w:val="right"/>
    </w:pPr>
    <w:rPr>
      <w:color w:val="000000" w:themeColor="text1"/>
      <w:spacing w:val="-2"/>
      <w:sz w:val="28"/>
      <w:szCs w:val="40"/>
      <w:lang w:val="en-US"/>
    </w:rPr>
  </w:style>
  <w:style w:type="table" w:styleId="PlainTable1">
    <w:name w:val="Plain Table 1"/>
    <w:basedOn w:val="TableNormal"/>
    <w:uiPriority w:val="98"/>
    <w:locked/>
    <w:rsid w:val="00C82FD9"/>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eferencesHeadMisc">
    <w:name w:val="References Head (Misc)"/>
    <w:basedOn w:val="Normal"/>
    <w:uiPriority w:val="99"/>
    <w:rsid w:val="006A0017"/>
    <w:pPr>
      <w:widowControl w:val="0"/>
      <w:tabs>
        <w:tab w:val="left" w:pos="340"/>
      </w:tabs>
      <w:suppressAutoHyphens/>
      <w:autoSpaceDE w:val="0"/>
      <w:autoSpaceDN w:val="0"/>
      <w:adjustRightInd w:val="0"/>
      <w:spacing w:before="170" w:after="28" w:line="288" w:lineRule="auto"/>
      <w:textAlignment w:val="center"/>
    </w:pPr>
    <w:rPr>
      <w:rFonts w:ascii="Proxima Nova" w:eastAsiaTheme="minorEastAsia" w:hAnsi="Proxima Nova" w:cs="Proxima Nova"/>
      <w:b/>
      <w:bCs/>
      <w:color w:val="000000"/>
      <w:sz w:val="18"/>
      <w:szCs w:val="18"/>
      <w:lang w:val="en-GB" w:eastAsia="en-GB"/>
    </w:rPr>
  </w:style>
  <w:style w:type="paragraph" w:customStyle="1" w:styleId="ReferencesListNumberedMisc">
    <w:name w:val="References List Numbered (Misc)"/>
    <w:basedOn w:val="Normal"/>
    <w:uiPriority w:val="99"/>
    <w:rsid w:val="006A0017"/>
    <w:pPr>
      <w:widowControl w:val="0"/>
      <w:suppressAutoHyphens/>
      <w:autoSpaceDE w:val="0"/>
      <w:autoSpaceDN w:val="0"/>
      <w:adjustRightInd w:val="0"/>
      <w:spacing w:before="0" w:after="28" w:line="230" w:lineRule="atLeast"/>
      <w:ind w:left="283" w:hanging="283"/>
      <w:textAlignment w:val="center"/>
    </w:pPr>
    <w:rPr>
      <w:rFonts w:ascii="Open Sans" w:eastAsiaTheme="minorEastAsia" w:hAnsi="Open Sans" w:cs="Open Sans"/>
      <w:color w:val="000000"/>
      <w:sz w:val="17"/>
      <w:szCs w:val="17"/>
      <w:lang w:val="en-GB" w:eastAsia="en-GB"/>
    </w:rPr>
  </w:style>
  <w:style w:type="paragraph" w:customStyle="1" w:styleId="NormalBodystyles">
    <w:name w:val="Normal (Body styles)"/>
    <w:basedOn w:val="Normal"/>
    <w:uiPriority w:val="99"/>
    <w:rsid w:val="005A701E"/>
    <w:pPr>
      <w:widowControl w:val="0"/>
      <w:suppressAutoHyphens/>
      <w:autoSpaceDE w:val="0"/>
      <w:autoSpaceDN w:val="0"/>
      <w:adjustRightInd w:val="0"/>
      <w:spacing w:before="0" w:after="142" w:line="250" w:lineRule="atLeast"/>
      <w:textAlignment w:val="center"/>
    </w:pPr>
    <w:rPr>
      <w:rFonts w:ascii="Open Sans" w:eastAsiaTheme="minorEastAsia" w:hAnsi="Open Sans" w:cs="Open Sans"/>
      <w:color w:val="000000"/>
      <w:sz w:val="19"/>
      <w:szCs w:val="19"/>
      <w:lang w:val="en-GB" w:eastAsia="en-GB"/>
    </w:rPr>
  </w:style>
  <w:style w:type="paragraph" w:customStyle="1" w:styleId="Heading2Headings">
    <w:name w:val="Heading 2 (Headings)"/>
    <w:basedOn w:val="Normal"/>
    <w:next w:val="NormalBodystyles"/>
    <w:uiPriority w:val="99"/>
    <w:rsid w:val="005A701E"/>
    <w:pPr>
      <w:widowControl w:val="0"/>
      <w:suppressAutoHyphens/>
      <w:autoSpaceDE w:val="0"/>
      <w:autoSpaceDN w:val="0"/>
      <w:adjustRightInd w:val="0"/>
      <w:spacing w:before="170" w:after="170" w:line="320" w:lineRule="atLeast"/>
      <w:textAlignment w:val="center"/>
    </w:pPr>
    <w:rPr>
      <w:rFonts w:ascii="Proxima Nova" w:eastAsiaTheme="minorEastAsia" w:hAnsi="Proxima Nova" w:cs="Proxima Nova"/>
      <w:b/>
      <w:bCs/>
      <w:color w:val="003565"/>
      <w:sz w:val="30"/>
      <w:szCs w:val="30"/>
      <w:lang w:val="en-GB" w:eastAsia="en-GB"/>
    </w:rPr>
  </w:style>
  <w:style w:type="paragraph" w:customStyle="1" w:styleId="NormalBeforeListBodystyles">
    <w:name w:val="Normal Before List (Body styles)"/>
    <w:basedOn w:val="NormalBodystyles"/>
    <w:next w:val="BulletLists"/>
    <w:uiPriority w:val="99"/>
    <w:rsid w:val="005A701E"/>
    <w:pPr>
      <w:keepNext/>
      <w:spacing w:after="57"/>
    </w:pPr>
  </w:style>
  <w:style w:type="paragraph" w:customStyle="1" w:styleId="StepsLists">
    <w:name w:val="Steps (Lists)"/>
    <w:basedOn w:val="NormalBodystyles"/>
    <w:uiPriority w:val="99"/>
    <w:rsid w:val="005A701E"/>
    <w:pPr>
      <w:tabs>
        <w:tab w:val="left" w:pos="397"/>
      </w:tabs>
      <w:spacing w:before="57" w:after="0"/>
      <w:ind w:left="397"/>
    </w:pPr>
  </w:style>
  <w:style w:type="paragraph" w:customStyle="1" w:styleId="StepsLetterFirstLists">
    <w:name w:val="Steps Letter First (Lists)"/>
    <w:basedOn w:val="Normal"/>
    <w:uiPriority w:val="99"/>
    <w:rsid w:val="005A701E"/>
    <w:pPr>
      <w:widowControl w:val="0"/>
      <w:tabs>
        <w:tab w:val="left" w:pos="227"/>
        <w:tab w:val="left" w:pos="255"/>
      </w:tabs>
      <w:suppressAutoHyphens/>
      <w:autoSpaceDE w:val="0"/>
      <w:autoSpaceDN w:val="0"/>
      <w:adjustRightInd w:val="0"/>
      <w:spacing w:before="0" w:after="28" w:line="250" w:lineRule="atLeast"/>
      <w:ind w:left="624" w:hanging="227"/>
      <w:textAlignment w:val="center"/>
    </w:pPr>
    <w:rPr>
      <w:rFonts w:ascii="Open Sans" w:eastAsiaTheme="minorEastAsia" w:hAnsi="Open Sans" w:cs="Open Sans"/>
      <w:color w:val="000000"/>
      <w:sz w:val="19"/>
      <w:szCs w:val="19"/>
      <w:lang w:val="en-GB" w:eastAsia="en-GB"/>
    </w:rPr>
  </w:style>
  <w:style w:type="paragraph" w:customStyle="1" w:styleId="StepsLetterContLists">
    <w:name w:val="Steps Letter Cont (Lists)"/>
    <w:basedOn w:val="Normal"/>
    <w:uiPriority w:val="99"/>
    <w:rsid w:val="005A701E"/>
    <w:pPr>
      <w:widowControl w:val="0"/>
      <w:tabs>
        <w:tab w:val="left" w:pos="227"/>
        <w:tab w:val="left" w:pos="255"/>
      </w:tabs>
      <w:suppressAutoHyphens/>
      <w:autoSpaceDE w:val="0"/>
      <w:autoSpaceDN w:val="0"/>
      <w:adjustRightInd w:val="0"/>
      <w:spacing w:before="0" w:after="28" w:line="250" w:lineRule="atLeast"/>
      <w:ind w:left="624" w:hanging="227"/>
      <w:textAlignment w:val="center"/>
    </w:pPr>
    <w:rPr>
      <w:rFonts w:ascii="Open Sans" w:eastAsiaTheme="minorEastAsia" w:hAnsi="Open Sans" w:cs="Open Sans"/>
      <w:color w:val="000000"/>
      <w:sz w:val="19"/>
      <w:szCs w:val="19"/>
      <w:lang w:val="en-GB" w:eastAsia="en-GB"/>
    </w:rPr>
  </w:style>
  <w:style w:type="paragraph" w:customStyle="1" w:styleId="Heading3Headings">
    <w:name w:val="Heading 3 (Headings)"/>
    <w:basedOn w:val="Normal"/>
    <w:uiPriority w:val="99"/>
    <w:rsid w:val="005A701E"/>
    <w:pPr>
      <w:widowControl w:val="0"/>
      <w:suppressAutoHyphens/>
      <w:autoSpaceDE w:val="0"/>
      <w:autoSpaceDN w:val="0"/>
      <w:adjustRightInd w:val="0"/>
      <w:spacing w:before="113" w:after="142" w:line="288" w:lineRule="auto"/>
      <w:textAlignment w:val="center"/>
    </w:pPr>
    <w:rPr>
      <w:rFonts w:ascii="Proxima Nova" w:eastAsiaTheme="minorEastAsia" w:hAnsi="Proxima Nova" w:cs="Proxima Nova"/>
      <w:b/>
      <w:bCs/>
      <w:color w:val="000000"/>
      <w:sz w:val="24"/>
      <w:szCs w:val="24"/>
      <w:lang w:val="en-GB" w:eastAsia="en-GB"/>
    </w:rPr>
  </w:style>
  <w:style w:type="paragraph" w:customStyle="1" w:styleId="BulletLists">
    <w:name w:val="Bullet (Lists)"/>
    <w:basedOn w:val="NormalBodystyles"/>
    <w:uiPriority w:val="99"/>
    <w:rsid w:val="005A701E"/>
    <w:pPr>
      <w:tabs>
        <w:tab w:val="left" w:pos="255"/>
      </w:tabs>
      <w:spacing w:after="57"/>
      <w:ind w:left="255" w:hanging="255"/>
    </w:pPr>
  </w:style>
  <w:style w:type="paragraph" w:customStyle="1" w:styleId="BulletLastLists">
    <w:name w:val="Bullet Last (Lists)"/>
    <w:basedOn w:val="BulletLists"/>
    <w:uiPriority w:val="99"/>
    <w:rsid w:val="005A701E"/>
    <w:pPr>
      <w:spacing w:after="170"/>
    </w:pPr>
  </w:style>
  <w:style w:type="character" w:customStyle="1" w:styleId="Hyperlinkitalics">
    <w:name w:val="Hyperlink (italics)"/>
    <w:basedOn w:val="Hyperlink"/>
    <w:uiPriority w:val="99"/>
    <w:qFormat/>
    <w:rsid w:val="007F7B82"/>
    <w:rPr>
      <w:i/>
      <w:color w:val="1178A2" w:themeColor="accent1"/>
      <w:u w:val="single"/>
    </w:rPr>
  </w:style>
  <w:style w:type="character" w:customStyle="1" w:styleId="BoldSteps">
    <w:name w:val="Bold (Steps)"/>
    <w:basedOn w:val="DefaultParagraphFont"/>
    <w:uiPriority w:val="99"/>
    <w:rsid w:val="00A569EB"/>
    <w:rPr>
      <w:rFonts w:ascii="Proxima Nova Extrabold" w:hAnsi="Proxima Nova Extrabold" w:cs="Proxima Nova Extrabold"/>
      <w:b/>
      <w:bCs/>
      <w:color w:val="003565"/>
      <w:sz w:val="22"/>
      <w:szCs w:val="22"/>
    </w:rPr>
  </w:style>
  <w:style w:type="paragraph" w:customStyle="1" w:styleId="Heading2spanHeadings">
    <w:name w:val="Heading 2 (span) (Headings)"/>
    <w:basedOn w:val="Heading2"/>
    <w:uiPriority w:val="99"/>
    <w:rsid w:val="003E4A94"/>
    <w:pPr>
      <w:widowControl w:val="0"/>
      <w:autoSpaceDE w:val="0"/>
      <w:autoSpaceDN w:val="0"/>
      <w:adjustRightInd w:val="0"/>
      <w:spacing w:line="288" w:lineRule="auto"/>
      <w:textAlignment w:val="center"/>
      <w:outlineLvl w:val="9"/>
    </w:pPr>
    <w:rPr>
      <w:rFonts w:ascii="Arial" w:eastAsiaTheme="minorEastAsia" w:hAnsi="Arial"/>
      <w:bCs/>
      <w:iCs w:val="0"/>
      <w:kern w:val="0"/>
      <w:szCs w:val="32"/>
      <w:lang w:val="en-US" w:eastAsia="en-GB"/>
    </w:rPr>
  </w:style>
  <w:style w:type="table" w:customStyle="1" w:styleId="Alertbox">
    <w:name w:val="Alert box"/>
    <w:basedOn w:val="TableNormal"/>
    <w:uiPriority w:val="99"/>
    <w:rsid w:val="00A32F5A"/>
    <w:pPr>
      <w:spacing w:after="0"/>
    </w:pPr>
    <w:tblPr>
      <w:tblBorders>
        <w:top w:val="single" w:sz="48" w:space="0" w:color="E12827"/>
        <w:left w:val="single" w:sz="48" w:space="0" w:color="E12827"/>
        <w:bottom w:val="single" w:sz="48" w:space="0" w:color="E12827"/>
        <w:right w:val="single" w:sz="48" w:space="0" w:color="E12827"/>
      </w:tblBorders>
      <w:tblCellMar>
        <w:left w:w="340" w:type="dxa"/>
        <w:bottom w:w="227" w:type="dxa"/>
        <w:right w:w="340" w:type="dxa"/>
      </w:tblCellMar>
    </w:tblPr>
    <w:tcPr>
      <w:shd w:val="clear" w:color="auto" w:fill="FEF6F2"/>
    </w:tcPr>
  </w:style>
  <w:style w:type="table" w:customStyle="1" w:styleId="Highlighbox">
    <w:name w:val="Highligh box"/>
    <w:basedOn w:val="TableNormal"/>
    <w:uiPriority w:val="99"/>
    <w:rsid w:val="00017900"/>
    <w:pPr>
      <w:spacing w:after="0"/>
    </w:pPr>
    <w:tblPr>
      <w:tblBorders>
        <w:top w:val="single" w:sz="48" w:space="0" w:color="00A9DD" w:themeColor="accent2"/>
        <w:left w:val="single" w:sz="48" w:space="0" w:color="00A9DD" w:themeColor="accent2"/>
        <w:bottom w:val="single" w:sz="48" w:space="0" w:color="00A9DD" w:themeColor="accent2"/>
        <w:right w:val="single" w:sz="48" w:space="0" w:color="00A9DD" w:themeColor="accent2"/>
      </w:tblBorders>
      <w:tblCellMar>
        <w:left w:w="340" w:type="dxa"/>
        <w:bottom w:w="227" w:type="dxa"/>
        <w:right w:w="284" w:type="dxa"/>
      </w:tblCellMar>
    </w:tblPr>
    <w:tcPr>
      <w:shd w:val="clear" w:color="auto" w:fill="EEF6FB"/>
    </w:tcPr>
  </w:style>
  <w:style w:type="paragraph" w:customStyle="1" w:styleId="Redhighlight">
    <w:name w:val="Red highlight"/>
    <w:basedOn w:val="Normal"/>
    <w:qFormat/>
    <w:rsid w:val="00F91DBC"/>
    <w:pPr>
      <w:spacing w:before="240" w:after="0"/>
    </w:pPr>
    <w:rPr>
      <w:b/>
      <w:color w:val="FFFFFF" w:themeColor="background1"/>
    </w:rPr>
  </w:style>
  <w:style w:type="paragraph" w:customStyle="1" w:styleId="S-T-CNormalBodystyles">
    <w:name w:val="S-T-C Normal (Body styles)"/>
    <w:basedOn w:val="Normal"/>
    <w:uiPriority w:val="99"/>
    <w:rsid w:val="00591EE8"/>
    <w:pPr>
      <w:widowControl w:val="0"/>
      <w:autoSpaceDE w:val="0"/>
      <w:autoSpaceDN w:val="0"/>
      <w:adjustRightInd w:val="0"/>
      <w:spacing w:before="57" w:after="57" w:line="288" w:lineRule="auto"/>
      <w:ind w:left="1191"/>
      <w:textAlignment w:val="center"/>
    </w:pPr>
    <w:rPr>
      <w:rFonts w:ascii="Arial" w:eastAsiaTheme="minorEastAsia" w:hAnsi="Arial" w:cs="Arial"/>
      <w:color w:val="000000"/>
      <w:lang w:val="en-US" w:eastAsia="en-GB"/>
      <w14:ligatures w14:val="standardContextual"/>
    </w:rPr>
  </w:style>
  <w:style w:type="character" w:customStyle="1" w:styleId="DesignerNotes">
    <w:name w:val="Designer Notes"/>
    <w:uiPriority w:val="99"/>
    <w:rsid w:val="00591EE8"/>
    <w:rPr>
      <w:color w:val="C90C88"/>
      <w:u w:val="thick" w:color="FFFF00"/>
    </w:rPr>
  </w:style>
  <w:style w:type="character" w:customStyle="1" w:styleId="Strongbold">
    <w:name w:val="Strong (bold)"/>
    <w:uiPriority w:val="99"/>
    <w:rsid w:val="00B6073C"/>
    <w:rPr>
      <w:b/>
      <w:bCs/>
    </w:rPr>
  </w:style>
  <w:style w:type="character" w:customStyle="1" w:styleId="Strongsemibold">
    <w:name w:val="Strong (semibold)"/>
    <w:basedOn w:val="Strongbold"/>
    <w:uiPriority w:val="99"/>
    <w:rsid w:val="00B6073C"/>
    <w:rPr>
      <w:b/>
      <w:bCs/>
    </w:rPr>
  </w:style>
  <w:style w:type="paragraph" w:customStyle="1" w:styleId="ReferencesListNumberedLastMisc">
    <w:name w:val="References List Numbered Last (Misc)"/>
    <w:basedOn w:val="Normal"/>
    <w:uiPriority w:val="99"/>
    <w:rsid w:val="006F5249"/>
    <w:pPr>
      <w:widowControl w:val="0"/>
      <w:suppressAutoHyphens/>
      <w:autoSpaceDE w:val="0"/>
      <w:autoSpaceDN w:val="0"/>
      <w:adjustRightInd w:val="0"/>
      <w:spacing w:before="0" w:after="142" w:line="230" w:lineRule="atLeast"/>
      <w:ind w:left="283" w:hanging="283"/>
      <w:textAlignment w:val="center"/>
    </w:pPr>
    <w:rPr>
      <w:rFonts w:ascii="Open Sans" w:eastAsiaTheme="minorEastAsia" w:hAnsi="Open Sans" w:cs="Open Sans"/>
      <w:color w:val="000000"/>
      <w:sz w:val="17"/>
      <w:szCs w:val="17"/>
      <w:lang w:val="en-GB"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971472">
      <w:bodyDiv w:val="1"/>
      <w:marLeft w:val="0"/>
      <w:marRight w:val="0"/>
      <w:marTop w:val="0"/>
      <w:marBottom w:val="0"/>
      <w:divBdr>
        <w:top w:val="none" w:sz="0" w:space="0" w:color="auto"/>
        <w:left w:val="none" w:sz="0" w:space="0" w:color="auto"/>
        <w:bottom w:val="none" w:sz="0" w:space="0" w:color="auto"/>
        <w:right w:val="none" w:sz="0" w:space="0" w:color="auto"/>
      </w:divBdr>
      <w:divsChild>
        <w:div w:id="382369097">
          <w:marLeft w:val="0"/>
          <w:marRight w:val="0"/>
          <w:marTop w:val="240"/>
          <w:marBottom w:val="480"/>
          <w:divBdr>
            <w:top w:val="none" w:sz="0" w:space="0" w:color="auto"/>
            <w:left w:val="none" w:sz="0" w:space="0" w:color="auto"/>
            <w:bottom w:val="none" w:sz="0" w:space="0" w:color="auto"/>
            <w:right w:val="none" w:sz="0" w:space="0" w:color="auto"/>
          </w:divBdr>
          <w:divsChild>
            <w:div w:id="87702876">
              <w:marLeft w:val="0"/>
              <w:marRight w:val="0"/>
              <w:marTop w:val="0"/>
              <w:marBottom w:val="0"/>
              <w:divBdr>
                <w:top w:val="none" w:sz="0" w:space="0" w:color="auto"/>
                <w:left w:val="none" w:sz="0" w:space="0" w:color="auto"/>
                <w:bottom w:val="none" w:sz="0" w:space="0" w:color="auto"/>
                <w:right w:val="none" w:sz="0" w:space="0" w:color="auto"/>
              </w:divBdr>
              <w:divsChild>
                <w:div w:id="112749679">
                  <w:marLeft w:val="0"/>
                  <w:marRight w:val="0"/>
                  <w:marTop w:val="0"/>
                  <w:marBottom w:val="0"/>
                  <w:divBdr>
                    <w:top w:val="none" w:sz="0" w:space="0" w:color="auto"/>
                    <w:left w:val="none" w:sz="0" w:space="0" w:color="auto"/>
                    <w:bottom w:val="none" w:sz="0" w:space="0" w:color="auto"/>
                    <w:right w:val="none" w:sz="0" w:space="0" w:color="auto"/>
                  </w:divBdr>
                  <w:divsChild>
                    <w:div w:id="1983850956">
                      <w:marLeft w:val="0"/>
                      <w:marRight w:val="0"/>
                      <w:marTop w:val="0"/>
                      <w:marBottom w:val="0"/>
                      <w:divBdr>
                        <w:top w:val="none" w:sz="0" w:space="0" w:color="auto"/>
                        <w:left w:val="none" w:sz="0" w:space="0" w:color="auto"/>
                        <w:bottom w:val="none" w:sz="0" w:space="0" w:color="auto"/>
                        <w:right w:val="none" w:sz="0" w:space="0" w:color="auto"/>
                      </w:divBdr>
                      <w:divsChild>
                        <w:div w:id="15825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48325">
      <w:bodyDiv w:val="1"/>
      <w:marLeft w:val="0"/>
      <w:marRight w:val="0"/>
      <w:marTop w:val="0"/>
      <w:marBottom w:val="0"/>
      <w:divBdr>
        <w:top w:val="none" w:sz="0" w:space="0" w:color="auto"/>
        <w:left w:val="none" w:sz="0" w:space="0" w:color="auto"/>
        <w:bottom w:val="none" w:sz="0" w:space="0" w:color="auto"/>
        <w:right w:val="none" w:sz="0" w:space="0" w:color="auto"/>
      </w:divBdr>
      <w:divsChild>
        <w:div w:id="794181293">
          <w:marLeft w:val="0"/>
          <w:marRight w:val="0"/>
          <w:marTop w:val="0"/>
          <w:marBottom w:val="0"/>
          <w:divBdr>
            <w:top w:val="none" w:sz="0" w:space="0" w:color="auto"/>
            <w:left w:val="none" w:sz="0" w:space="0" w:color="auto"/>
            <w:bottom w:val="none" w:sz="0" w:space="0" w:color="auto"/>
            <w:right w:val="none" w:sz="0" w:space="0" w:color="auto"/>
          </w:divBdr>
        </w:div>
      </w:divsChild>
    </w:div>
    <w:div w:id="1152867776">
      <w:bodyDiv w:val="1"/>
      <w:marLeft w:val="0"/>
      <w:marRight w:val="0"/>
      <w:marTop w:val="0"/>
      <w:marBottom w:val="0"/>
      <w:divBdr>
        <w:top w:val="none" w:sz="0" w:space="0" w:color="auto"/>
        <w:left w:val="none" w:sz="0" w:space="0" w:color="auto"/>
        <w:bottom w:val="none" w:sz="0" w:space="0" w:color="auto"/>
        <w:right w:val="none" w:sz="0" w:space="0" w:color="auto"/>
      </w:divBdr>
    </w:div>
    <w:div w:id="1350136222">
      <w:bodyDiv w:val="1"/>
      <w:marLeft w:val="0"/>
      <w:marRight w:val="0"/>
      <w:marTop w:val="0"/>
      <w:marBottom w:val="0"/>
      <w:divBdr>
        <w:top w:val="none" w:sz="0" w:space="0" w:color="auto"/>
        <w:left w:val="none" w:sz="0" w:space="0" w:color="auto"/>
        <w:bottom w:val="none" w:sz="0" w:space="0" w:color="auto"/>
        <w:right w:val="none" w:sz="0" w:space="0" w:color="auto"/>
      </w:divBdr>
    </w:div>
    <w:div w:id="1673139811">
      <w:bodyDiv w:val="1"/>
      <w:marLeft w:val="0"/>
      <w:marRight w:val="0"/>
      <w:marTop w:val="0"/>
      <w:marBottom w:val="0"/>
      <w:divBdr>
        <w:top w:val="none" w:sz="0" w:space="0" w:color="auto"/>
        <w:left w:val="none" w:sz="0" w:space="0" w:color="auto"/>
        <w:bottom w:val="none" w:sz="0" w:space="0" w:color="auto"/>
        <w:right w:val="none" w:sz="0" w:space="0" w:color="auto"/>
      </w:divBdr>
      <w:divsChild>
        <w:div w:id="857963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www.tg.org.au/"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safetyandquality.gov.au/our-work/medication-safety/safer-naming-and-labelling-medicines/recommendations-terminology-abbreviations-and-symbols-used-medicines-documentation" TargetMode="External"/><Relationship Id="rId34" Type="http://schemas.openxmlformats.org/officeDocument/2006/relationships/hyperlink" Target="https://www.mq.edu.au/research/research-centres-groups-and-facilities/healthy-people/centres/australian-institute-of-health-innovation/our-projects/Health-Innovation-Series/health-innovation-series-e-medication-safety"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shpa.org.au/publications-resources/drtc" TargetMode="External"/><Relationship Id="rId25" Type="http://schemas.openxmlformats.org/officeDocument/2006/relationships/hyperlink" Target="mailto:medsafety%40safetyandquality.gov.au?subject=" TargetMode="External"/><Relationship Id="rId33" Type="http://schemas.openxmlformats.org/officeDocument/2006/relationships/hyperlink" Target="https://www.ismp.org/resources/assessing-medication-safety-settings-not-designated-solely-pediatric-patients"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psa.org.au/media-publications/australian-pharmaceutical-formulary/" TargetMode="External"/><Relationship Id="rId20" Type="http://schemas.openxmlformats.org/officeDocument/2006/relationships/hyperlink" Target="https://www.pharmaceuticalpress.com/products/bnf-for-children/"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afetyandquality.gov.au/our-work/medication-safety" TargetMode="External"/><Relationship Id="rId32" Type="http://schemas.openxmlformats.org/officeDocument/2006/relationships/hyperlink" Target="https://www.pharmaceuticalpress.com/product/bnf-for-children-bnfc-2023-2024/"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hop.amh.net.au/cdcbook" TargetMode="External"/><Relationship Id="rId23" Type="http://schemas.openxmlformats.org/officeDocument/2006/relationships/image" Target="media/image7.png"/><Relationship Id="rId28" Type="http://schemas.openxmlformats.org/officeDocument/2006/relationships/footer" Target="footer1.xml"/><Relationship Id="rId36" Type="http://schemas.openxmlformats.org/officeDocument/2006/relationships/image" Target="media/image9.png"/><Relationship Id="rId10" Type="http://schemas.openxmlformats.org/officeDocument/2006/relationships/image" Target="media/image3.png"/><Relationship Id="rId19" Type="http://schemas.openxmlformats.org/officeDocument/2006/relationships/hyperlink" Target="https://pig.rch.org.au/" TargetMode="External"/><Relationship Id="rId31" Type="http://schemas.openxmlformats.org/officeDocument/2006/relationships/hyperlink" Target="https://www.nature.com/articles/s41746-022-00739-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hildrens.amh.net.au/guides/guide-average-weight-height" TargetMode="External"/><Relationship Id="rId22" Type="http://schemas.openxmlformats.org/officeDocument/2006/relationships/hyperlink" Target="https://www.ahrq.gov/health-literacy/improve/precautions/tool5.html" TargetMode="External"/><Relationship Id="rId27" Type="http://schemas.openxmlformats.org/officeDocument/2006/relationships/header" Target="header2.xml"/><Relationship Id="rId30" Type="http://schemas.openxmlformats.org/officeDocument/2006/relationships/hyperlink" Target="https://shop.amh.net.au/cdc" TargetMode="External"/><Relationship Id="rId35" Type="http://schemas.openxmlformats.org/officeDocument/2006/relationships/hyperlink" Target="http://www.safetyandquality.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Commission">
      <a:dk1>
        <a:sysClr val="windowText" lastClr="000000"/>
      </a:dk1>
      <a:lt1>
        <a:sysClr val="window" lastClr="FFFFFF"/>
      </a:lt1>
      <a:dk2>
        <a:srgbClr val="1178A2"/>
      </a:dk2>
      <a:lt2>
        <a:srgbClr val="EEECE1"/>
      </a:lt2>
      <a:accent1>
        <a:srgbClr val="1178A2"/>
      </a:accent1>
      <a:accent2>
        <a:srgbClr val="00A9DD"/>
      </a:accent2>
      <a:accent3>
        <a:srgbClr val="125370"/>
      </a:accent3>
      <a:accent4>
        <a:srgbClr val="119066"/>
      </a:accent4>
      <a:accent5>
        <a:srgbClr val="DC5827"/>
      </a:accent5>
      <a:accent6>
        <a:srgbClr val="8F278B"/>
      </a:accent6>
      <a:hlink>
        <a:srgbClr val="0000FF"/>
      </a:hlink>
      <a:folHlink>
        <a:srgbClr val="800080"/>
      </a:folHlink>
    </a:clrScheme>
    <a:fontScheme name="Commissio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16665-7C5A-3347-B9F9-71760F4CF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1919</Words>
  <Characters>10941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Fact sheet for clinicians: Paediatric prescribing position statement</vt:lpstr>
    </vt:vector>
  </TitlesOfParts>
  <Manager/>
  <Company>Australian Commission on Safety and Quality in Health Care</Company>
  <LinksUpToDate>false</LinksUpToDate>
  <CharactersWithSpaces>12835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for clinicians: Paediatric prescribing position statement</dc:title>
  <dc:subject/>
  <dc:creator>Australian Commission on Safety and Quality in Health Care</dc:creator>
  <cp:keywords/>
  <dc:description/>
  <cp:lastModifiedBy>JESSOP, Tommy</cp:lastModifiedBy>
  <cp:revision>2</cp:revision>
  <cp:lastPrinted>2020-03-04T03:32:00Z</cp:lastPrinted>
  <dcterms:created xsi:type="dcterms:W3CDTF">2024-11-07T05:03:00Z</dcterms:created>
  <dcterms:modified xsi:type="dcterms:W3CDTF">2024-11-07T05:03:00Z</dcterms:modified>
  <cp:category/>
</cp:coreProperties>
</file>