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AA5C" w14:textId="61AFB0EC" w:rsidR="003461B7" w:rsidRPr="00204C47" w:rsidRDefault="00201062" w:rsidP="00570904">
      <w:pPr>
        <w:pStyle w:val="FactSheetType"/>
      </w:pPr>
      <w:r>
        <w:rPr>
          <w:b/>
          <w:bCs w:val="0"/>
        </w:rPr>
        <w:t>FACT SHEET</w:t>
      </w:r>
      <w:r w:rsidR="002E003F" w:rsidRPr="0056304B">
        <w:br/>
      </w:r>
      <w:r w:rsidR="002E003F" w:rsidRPr="00204C47">
        <w:t xml:space="preserve">for </w:t>
      </w:r>
      <w:r w:rsidR="003461B7">
        <w:t>health service</w:t>
      </w:r>
      <w:r w:rsidR="003461B7">
        <w:br/>
        <w:t>organisations</w:t>
      </w:r>
      <w:r w:rsidR="00570904">
        <w:t xml:space="preserve"> </w:t>
      </w:r>
      <w:r w:rsidR="00570904">
        <w:br/>
        <w:t>and clinicians</w:t>
      </w:r>
    </w:p>
    <w:p w14:paraId="4D2C85C5" w14:textId="041F54A1" w:rsidR="00E209BF" w:rsidRPr="008A4E8B" w:rsidRDefault="00CE5364" w:rsidP="008A4E8B">
      <w:pPr>
        <w:pStyle w:val="Title"/>
      </w:pPr>
      <w:r>
        <w:t xml:space="preserve">Conservation </w:t>
      </w:r>
      <w:r w:rsidR="003C13B8">
        <w:t xml:space="preserve">strategies </w:t>
      </w:r>
      <w:r>
        <w:t xml:space="preserve">and safety considerations during intravenous </w:t>
      </w:r>
      <w:r w:rsidR="00AB148E" w:rsidRPr="00944CAB">
        <w:t xml:space="preserve">(IV) </w:t>
      </w:r>
      <w:r w:rsidRPr="00944CAB">
        <w:t>fluid</w:t>
      </w:r>
      <w:r w:rsidR="00141153" w:rsidRPr="00944CAB">
        <w:t>s</w:t>
      </w:r>
      <w:r w:rsidR="00141153">
        <w:t xml:space="preserve"> supply disruption</w:t>
      </w:r>
    </w:p>
    <w:p w14:paraId="2A1F8804" w14:textId="77777777" w:rsidR="00525F98" w:rsidRDefault="00525F98" w:rsidP="00525F98"/>
    <w:tbl>
      <w:tblPr>
        <w:tblStyle w:val="PulloutBox"/>
        <w:tblW w:w="5000" w:type="pct"/>
        <w:tblLook w:val="0020" w:firstRow="1" w:lastRow="0" w:firstColumn="0" w:lastColumn="0" w:noHBand="0" w:noVBand="0"/>
        <w:tblDescription w:val="Box 1"/>
      </w:tblPr>
      <w:tblGrid>
        <w:gridCol w:w="9638"/>
      </w:tblGrid>
      <w:tr w:rsidR="00525F98" w14:paraId="3B1AB8C3" w14:textId="77777777" w:rsidTr="00AD381F">
        <w:trPr>
          <w:trHeight w:val="60"/>
        </w:trPr>
        <w:tc>
          <w:tcPr>
            <w:tcW w:w="5000" w:type="pct"/>
            <w:tcMar>
              <w:bottom w:w="0" w:type="dxa"/>
            </w:tcMar>
          </w:tcPr>
          <w:p w14:paraId="16B1B934" w14:textId="77777777" w:rsidR="00525F98" w:rsidRDefault="00525F98" w:rsidP="00AD381F">
            <w:pPr>
              <w:pStyle w:val="PulloutBoxHeading"/>
            </w:pPr>
            <w:r>
              <w:t>Key messages</w:t>
            </w:r>
          </w:p>
        </w:tc>
      </w:tr>
      <w:tr w:rsidR="00525F98" w14:paraId="58D6F78C" w14:textId="77777777" w:rsidTr="00AD381F">
        <w:trPr>
          <w:trHeight w:val="60"/>
        </w:trPr>
        <w:tc>
          <w:tcPr>
            <w:tcW w:w="5000" w:type="pct"/>
            <w:tcMar>
              <w:top w:w="0" w:type="dxa"/>
            </w:tcMar>
          </w:tcPr>
          <w:p w14:paraId="0B2EE583" w14:textId="280DA5AD" w:rsidR="00525F98" w:rsidRDefault="00525F98" w:rsidP="00AD381F">
            <w:pPr>
              <w:pStyle w:val="ListParagraph"/>
              <w:numPr>
                <w:ilvl w:val="0"/>
                <w:numId w:val="9"/>
              </w:numPr>
            </w:pPr>
            <w:r>
              <w:t xml:space="preserve">The </w:t>
            </w:r>
            <w:r w:rsidR="00695F93">
              <w:t>Therapeutic Goods Administration (</w:t>
            </w:r>
            <w:r>
              <w:t>TGA</w:t>
            </w:r>
            <w:r w:rsidR="00695F93">
              <w:t>)</w:t>
            </w:r>
            <w:r>
              <w:t xml:space="preserve"> has notified of a global shortage of </w:t>
            </w:r>
            <w:hyperlink r:id="rId11" w:history="1">
              <w:r w:rsidRPr="006B299E">
                <w:rPr>
                  <w:rStyle w:val="Hyperlink"/>
                </w:rPr>
                <w:t>intravenous fluids</w:t>
              </w:r>
            </w:hyperlink>
            <w:r w:rsidR="00E73B85">
              <w:rPr>
                <w:rStyle w:val="Hyperlink"/>
              </w:rPr>
              <w:t xml:space="preserve"> (IV)</w:t>
            </w:r>
            <w:r>
              <w:t xml:space="preserve">, which </w:t>
            </w:r>
            <w:r w:rsidRPr="006522C4">
              <w:t xml:space="preserve">will continue </w:t>
            </w:r>
            <w:r w:rsidR="0011302D">
              <w:t>into</w:t>
            </w:r>
            <w:r w:rsidR="0011302D" w:rsidRPr="006522C4">
              <w:t xml:space="preserve"> </w:t>
            </w:r>
            <w:r w:rsidR="009806C0">
              <w:t>202</w:t>
            </w:r>
            <w:r w:rsidR="00BB43B6">
              <w:t>5</w:t>
            </w:r>
            <w:r w:rsidR="009806C0">
              <w:t xml:space="preserve">. </w:t>
            </w:r>
          </w:p>
          <w:p w14:paraId="21278FCF" w14:textId="15965AF9" w:rsidR="00525F98" w:rsidRPr="006209FD" w:rsidRDefault="00525F98" w:rsidP="00AD381F">
            <w:pPr>
              <w:pStyle w:val="ListParagraph"/>
              <w:numPr>
                <w:ilvl w:val="0"/>
                <w:numId w:val="9"/>
              </w:numPr>
              <w:spacing w:after="0"/>
            </w:pPr>
            <w:r>
              <w:t xml:space="preserve">To assist with supply disruption, the TGA has approved </w:t>
            </w:r>
            <w:r>
              <w:rPr>
                <w:lang w:val="en-GB"/>
              </w:rPr>
              <w:t>overseas-registered alternative IV fluids under Section 19A</w:t>
            </w:r>
            <w:r w:rsidR="001B3E4F">
              <w:rPr>
                <w:lang w:val="en-GB"/>
              </w:rPr>
              <w:t xml:space="preserve"> (S19A)</w:t>
            </w:r>
            <w:r>
              <w:rPr>
                <w:lang w:val="en-GB"/>
              </w:rPr>
              <w:t xml:space="preserve">, </w:t>
            </w:r>
            <w:r w:rsidRPr="006209FD">
              <w:rPr>
                <w:lang w:val="en-GB"/>
              </w:rPr>
              <w:t xml:space="preserve">of the </w:t>
            </w:r>
            <w:r w:rsidRPr="006209FD">
              <w:rPr>
                <w:i/>
                <w:iCs/>
                <w:lang w:val="en-GB"/>
              </w:rPr>
              <w:t>Therapeutic Goods Act 1989</w:t>
            </w:r>
            <w:r w:rsidR="007E729D">
              <w:rPr>
                <w:i/>
                <w:iCs/>
                <w:lang w:val="en-GB"/>
              </w:rPr>
              <w:t>.</w:t>
            </w:r>
          </w:p>
          <w:p w14:paraId="05C4BB0A" w14:textId="159F334F" w:rsidR="00525F98" w:rsidRPr="008B0970" w:rsidRDefault="00525F98" w:rsidP="00AD381F">
            <w:pPr>
              <w:pStyle w:val="ListParagraph"/>
              <w:numPr>
                <w:ilvl w:val="0"/>
                <w:numId w:val="9"/>
              </w:numPr>
              <w:spacing w:before="0" w:after="160" w:line="259" w:lineRule="auto"/>
              <w:rPr>
                <w:rFonts w:cs="Arial"/>
              </w:rPr>
            </w:pPr>
            <w:r w:rsidRPr="00D53A53">
              <w:rPr>
                <w:rFonts w:cs="Arial"/>
              </w:rPr>
              <w:t>Some S19A alternative IV fluids will contain a larger volume of air than is typical for Australian registered product</w:t>
            </w:r>
            <w:r w:rsidR="00B5629C">
              <w:rPr>
                <w:rFonts w:cs="Arial"/>
              </w:rPr>
              <w:t>s</w:t>
            </w:r>
            <w:r w:rsidRPr="00D53A53">
              <w:rPr>
                <w:rFonts w:cs="Arial"/>
              </w:rPr>
              <w:t xml:space="preserve">. </w:t>
            </w:r>
            <w:r>
              <w:rPr>
                <w:rFonts w:cs="Arial"/>
              </w:rPr>
              <w:t>T</w:t>
            </w:r>
            <w:r w:rsidRPr="006D4DDD">
              <w:rPr>
                <w:rFonts w:cs="Arial"/>
              </w:rPr>
              <w:t>he</w:t>
            </w:r>
            <w:r>
              <w:rPr>
                <w:rFonts w:cs="Arial"/>
              </w:rPr>
              <w:t>re is a</w:t>
            </w:r>
            <w:r w:rsidRPr="006D4DDD">
              <w:rPr>
                <w:rFonts w:cs="Arial"/>
              </w:rPr>
              <w:t xml:space="preserve"> risk of air embolism when administering IV fluids </w:t>
            </w:r>
            <w:r w:rsidRPr="008B0970">
              <w:rPr>
                <w:rFonts w:cs="Arial"/>
              </w:rPr>
              <w:t>without the use of in-line air detection</w:t>
            </w:r>
            <w:r w:rsidR="007E729D">
              <w:rPr>
                <w:rFonts w:cs="Arial"/>
              </w:rPr>
              <w:t>.</w:t>
            </w:r>
          </w:p>
          <w:p w14:paraId="67482301" w14:textId="2103E75F" w:rsidR="00525F98" w:rsidRPr="00815ECC" w:rsidRDefault="00ED2A6A" w:rsidP="00AD381F">
            <w:pPr>
              <w:pStyle w:val="ListParagraph"/>
              <w:numPr>
                <w:ilvl w:val="0"/>
                <w:numId w:val="9"/>
              </w:numPr>
              <w:spacing w:before="0" w:after="160" w:line="259" w:lineRule="auto"/>
              <w:rPr>
                <w:rFonts w:cs="Arial"/>
              </w:rPr>
            </w:pPr>
            <w:r>
              <w:rPr>
                <w:rFonts w:cs="Arial"/>
              </w:rPr>
              <w:t>Apply</w:t>
            </w:r>
            <w:r w:rsidRPr="00815ECC">
              <w:rPr>
                <w:rFonts w:cs="Arial"/>
              </w:rPr>
              <w:t xml:space="preserve"> </w:t>
            </w:r>
            <w:r w:rsidR="00525F98" w:rsidRPr="00815ECC">
              <w:rPr>
                <w:rFonts w:cs="Arial"/>
              </w:rPr>
              <w:t>principles for conserving medicines while maintaining safety</w:t>
            </w:r>
            <w:r>
              <w:rPr>
                <w:rFonts w:cs="Arial"/>
              </w:rPr>
              <w:t>,</w:t>
            </w:r>
            <w:r w:rsidR="00525F98" w:rsidRPr="00815ECC">
              <w:rPr>
                <w:rFonts w:cs="Arial"/>
              </w:rPr>
              <w:t xml:space="preserve"> </w:t>
            </w:r>
            <w:proofErr w:type="gramStart"/>
            <w:r>
              <w:rPr>
                <w:rFonts w:cs="Arial"/>
              </w:rPr>
              <w:t>including:</w:t>
            </w:r>
            <w:proofErr w:type="gramEnd"/>
            <w:r>
              <w:rPr>
                <w:rFonts w:cs="Arial"/>
              </w:rPr>
              <w:t xml:space="preserve"> </w:t>
            </w:r>
            <w:r w:rsidR="00525F98" w:rsidRPr="00815ECC">
              <w:rPr>
                <w:rFonts w:cs="Arial"/>
              </w:rPr>
              <w:t>using the smallest possible volume of IV fluids for the required indication</w:t>
            </w:r>
            <w:r>
              <w:rPr>
                <w:rFonts w:cs="Arial"/>
              </w:rPr>
              <w:t xml:space="preserve">; </w:t>
            </w:r>
            <w:r w:rsidR="00525F98" w:rsidRPr="00815ECC">
              <w:rPr>
                <w:rFonts w:cs="Arial"/>
              </w:rPr>
              <w:t>regularly reviewing patients receiving IV infusions</w:t>
            </w:r>
            <w:r w:rsidR="00525F98">
              <w:rPr>
                <w:rFonts w:cs="Arial"/>
              </w:rPr>
              <w:t>;</w:t>
            </w:r>
            <w:r w:rsidR="00525F98" w:rsidRPr="00815ECC">
              <w:rPr>
                <w:rFonts w:cs="Arial"/>
              </w:rPr>
              <w:t xml:space="preserve"> and switching to alternative routes of administration </w:t>
            </w:r>
            <w:r w:rsidR="00525F98">
              <w:rPr>
                <w:rFonts w:cs="Arial"/>
              </w:rPr>
              <w:t>where and when possible</w:t>
            </w:r>
            <w:r w:rsidR="009806C0">
              <w:rPr>
                <w:rFonts w:cs="Arial"/>
              </w:rPr>
              <w:t>.</w:t>
            </w:r>
          </w:p>
          <w:p w14:paraId="5573DC4A" w14:textId="100EC4F5" w:rsidR="0023375F" w:rsidRPr="003A02A5" w:rsidRDefault="00F311A1" w:rsidP="0023375F">
            <w:pPr>
              <w:pStyle w:val="ListParagraph"/>
              <w:numPr>
                <w:ilvl w:val="0"/>
                <w:numId w:val="31"/>
              </w:numPr>
              <w:spacing w:before="0" w:after="160" w:line="259" w:lineRule="auto"/>
              <w:rPr>
                <w:rFonts w:cs="Arial"/>
              </w:rPr>
            </w:pPr>
            <w:r w:rsidRPr="00F311A1">
              <w:rPr>
                <w:rFonts w:eastAsia="Arial" w:cs="Arial"/>
                <w:lang w:val="en-US" w:eastAsia="en-US"/>
              </w:rPr>
              <w:t xml:space="preserve">Refer to the Australian and New Zealand College of </w:t>
            </w:r>
            <w:proofErr w:type="spellStart"/>
            <w:r w:rsidRPr="00F311A1">
              <w:rPr>
                <w:rFonts w:eastAsia="Arial" w:cs="Arial"/>
                <w:lang w:val="en-US" w:eastAsia="en-US"/>
              </w:rPr>
              <w:t>Anaesthetists</w:t>
            </w:r>
            <w:proofErr w:type="spellEnd"/>
            <w:r w:rsidRPr="00F311A1">
              <w:rPr>
                <w:rFonts w:eastAsia="Arial" w:cs="Arial"/>
                <w:lang w:val="en-US" w:eastAsia="en-US"/>
              </w:rPr>
              <w:t xml:space="preserve"> (ANZCA) </w:t>
            </w:r>
            <w:hyperlink r:id="rId12" w:anchor="page=8" w:history="1">
              <w:r w:rsidR="00211859" w:rsidRPr="00211859">
                <w:rPr>
                  <w:rStyle w:val="Hyperlink"/>
                  <w:rFonts w:eastAsia="Arial" w:cs="Arial"/>
                  <w:lang w:val="en-US" w:eastAsia="en-US"/>
                </w:rPr>
                <w:t>Fasting Guideline</w:t>
              </w:r>
            </w:hyperlink>
            <w:r w:rsidR="00211859">
              <w:rPr>
                <w:rFonts w:eastAsia="Arial" w:cs="Arial"/>
                <w:lang w:val="en-US" w:eastAsia="en-US"/>
              </w:rPr>
              <w:t xml:space="preserve"> </w:t>
            </w:r>
            <w:r w:rsidRPr="00211859">
              <w:rPr>
                <w:rFonts w:eastAsia="Arial" w:cs="Arial"/>
                <w:spacing w:val="-6"/>
                <w:lang w:val="en-US" w:eastAsia="en-US"/>
              </w:rPr>
              <w:t>and</w:t>
            </w:r>
            <w:r w:rsidRPr="00211859">
              <w:rPr>
                <w:rFonts w:eastAsia="Arial" w:cs="Arial"/>
                <w:spacing w:val="-4"/>
                <w:lang w:val="en-US" w:eastAsia="en-US"/>
              </w:rPr>
              <w:t xml:space="preserve"> </w:t>
            </w:r>
            <w:hyperlink r:id="rId13" w:history="1">
              <w:r w:rsidR="003A02A5" w:rsidRPr="003A02A5">
                <w:rPr>
                  <w:rStyle w:val="Hyperlink"/>
                  <w:rFonts w:eastAsia="Arial"/>
                  <w:lang w:val="en-US" w:eastAsia="en-US"/>
                </w:rPr>
                <w:t>Guidance on sparing of intravenous fluid</w:t>
              </w:r>
            </w:hyperlink>
            <w:r w:rsidR="003A02A5">
              <w:rPr>
                <w:rFonts w:eastAsia="Arial"/>
                <w:lang w:val="en-US" w:eastAsia="en-US"/>
              </w:rPr>
              <w:t xml:space="preserve"> </w:t>
            </w:r>
            <w:r w:rsidRPr="00211859">
              <w:rPr>
                <w:rFonts w:eastAsia="Arial" w:cs="Arial"/>
                <w:lang w:val="en-US" w:eastAsia="en-US"/>
              </w:rPr>
              <w:t>use</w:t>
            </w:r>
            <w:r w:rsidRPr="00211859">
              <w:rPr>
                <w:rFonts w:eastAsia="Arial" w:cs="Arial"/>
                <w:spacing w:val="-13"/>
                <w:lang w:val="en-US" w:eastAsia="en-US"/>
              </w:rPr>
              <w:t xml:space="preserve"> </w:t>
            </w:r>
            <w:r w:rsidRPr="00211859">
              <w:rPr>
                <w:rFonts w:eastAsia="Arial" w:cs="Arial"/>
                <w:lang w:val="en-US" w:eastAsia="en-US"/>
              </w:rPr>
              <w:t>for</w:t>
            </w:r>
            <w:r w:rsidRPr="00211859">
              <w:rPr>
                <w:rFonts w:eastAsia="Arial" w:cs="Arial"/>
                <w:spacing w:val="-14"/>
                <w:lang w:val="en-US" w:eastAsia="en-US"/>
              </w:rPr>
              <w:t xml:space="preserve"> </w:t>
            </w:r>
            <w:r w:rsidRPr="00211859">
              <w:rPr>
                <w:rFonts w:eastAsia="Arial" w:cs="Arial"/>
                <w:lang w:val="en-US" w:eastAsia="en-US"/>
              </w:rPr>
              <w:t>further</w:t>
            </w:r>
            <w:r w:rsidRPr="00211859">
              <w:rPr>
                <w:rFonts w:eastAsia="Arial" w:cs="Arial"/>
                <w:spacing w:val="-13"/>
                <w:lang w:val="en-US" w:eastAsia="en-US"/>
              </w:rPr>
              <w:t xml:space="preserve"> </w:t>
            </w:r>
            <w:r w:rsidRPr="00211859">
              <w:rPr>
                <w:rFonts w:eastAsia="Arial" w:cs="Arial"/>
                <w:lang w:val="en-US" w:eastAsia="en-US"/>
              </w:rPr>
              <w:t>guidance.</w:t>
            </w:r>
          </w:p>
        </w:tc>
      </w:tr>
    </w:tbl>
    <w:p w14:paraId="57F18ADE" w14:textId="43F4B238" w:rsidR="00E209BF" w:rsidRPr="001B072E" w:rsidRDefault="002568ED" w:rsidP="00002668">
      <w:pPr>
        <w:pStyle w:val="Heading2"/>
        <w:rPr>
          <w:bCs/>
          <w:sz w:val="28"/>
          <w:szCs w:val="24"/>
          <w:lang w:val="en-GB"/>
        </w:rPr>
      </w:pPr>
      <w:r>
        <w:rPr>
          <w:bCs/>
          <w:sz w:val="28"/>
          <w:szCs w:val="24"/>
          <w:lang w:val="en-GB"/>
        </w:rPr>
        <w:t>Purpose</w:t>
      </w:r>
    </w:p>
    <w:p w14:paraId="6869444F" w14:textId="4F771B0F" w:rsidR="00E209BF" w:rsidRDefault="00D12859" w:rsidP="001A1EBD">
      <w:r>
        <w:t>T</w:t>
      </w:r>
      <w:r w:rsidR="00BC0CDF">
        <w:t>his fact sheet has been developed by the Australian Commission on Safety and Quality in Health Care (the Commission)</w:t>
      </w:r>
      <w:r w:rsidR="00790CEA">
        <w:t xml:space="preserve"> </w:t>
      </w:r>
      <w:r w:rsidR="00064316">
        <w:t xml:space="preserve">to assist health service organisations and clinicians </w:t>
      </w:r>
      <w:r w:rsidR="00BB6E3F">
        <w:t>with conservation strategies and safety considerations related to the disrupted supply of IV fluids</w:t>
      </w:r>
      <w:r w:rsidR="00B53EC9">
        <w:t xml:space="preserve"> in Australia. </w:t>
      </w:r>
    </w:p>
    <w:p w14:paraId="79EFEB34" w14:textId="416C608B" w:rsidR="00303CB2" w:rsidRPr="00153F4B" w:rsidRDefault="00303CB2" w:rsidP="00153F4B">
      <w:r>
        <w:t xml:space="preserve">IV fluids are </w:t>
      </w:r>
      <w:r w:rsidR="00C37094">
        <w:t xml:space="preserve">essential when </w:t>
      </w:r>
      <w:r w:rsidR="00C50137">
        <w:t xml:space="preserve">managing or correcting </w:t>
      </w:r>
      <w:r w:rsidR="00D57BA2">
        <w:t>deficiencies in hydration and electrolyte imbalances</w:t>
      </w:r>
      <w:r w:rsidR="00B5739E">
        <w:t xml:space="preserve">. They are also used </w:t>
      </w:r>
      <w:r w:rsidR="001F3507">
        <w:t xml:space="preserve">as diluents </w:t>
      </w:r>
      <w:r w:rsidR="004A4CBC">
        <w:t xml:space="preserve">for </w:t>
      </w:r>
      <w:r w:rsidR="004915C9">
        <w:t xml:space="preserve">delivery of </w:t>
      </w:r>
      <w:r w:rsidR="004A4CBC">
        <w:t xml:space="preserve">compatible IV </w:t>
      </w:r>
      <w:r w:rsidR="00F271C1">
        <w:t>medicines</w:t>
      </w:r>
      <w:r w:rsidR="00695F93">
        <w:t>.</w:t>
      </w:r>
      <w:r w:rsidR="009F65E0">
        <w:t xml:space="preserve"> </w:t>
      </w:r>
    </w:p>
    <w:p w14:paraId="296E667D" w14:textId="3649F634" w:rsidR="008A4E8B" w:rsidRDefault="002568ED" w:rsidP="009E5D18">
      <w:pPr>
        <w:pStyle w:val="Heading3"/>
        <w:rPr>
          <w:lang w:val="en-GB"/>
        </w:rPr>
      </w:pPr>
      <w:r>
        <w:rPr>
          <w:lang w:val="en-GB"/>
        </w:rPr>
        <w:t xml:space="preserve">The </w:t>
      </w:r>
      <w:r w:rsidR="00BB43F6">
        <w:rPr>
          <w:lang w:val="en-GB"/>
        </w:rPr>
        <w:t>I</w:t>
      </w:r>
      <w:r>
        <w:rPr>
          <w:lang w:val="en-GB"/>
        </w:rPr>
        <w:t>ssue</w:t>
      </w:r>
    </w:p>
    <w:p w14:paraId="5C355B6E" w14:textId="087BDE39" w:rsidR="000C2E52" w:rsidRDefault="00F91249" w:rsidP="000C2E52">
      <w:pPr>
        <w:rPr>
          <w:lang w:val="en-GB"/>
        </w:rPr>
      </w:pPr>
      <w:r>
        <w:rPr>
          <w:lang w:val="en-GB"/>
        </w:rPr>
        <w:t xml:space="preserve">The TGA has advised of a global disruption to the supply of </w:t>
      </w:r>
      <w:r w:rsidR="009B23A3">
        <w:rPr>
          <w:lang w:val="en-GB"/>
        </w:rPr>
        <w:t>multiple IV fluid products</w:t>
      </w:r>
      <w:r w:rsidR="00AB1AED">
        <w:rPr>
          <w:lang w:val="en-GB"/>
        </w:rPr>
        <w:t>. This is</w:t>
      </w:r>
      <w:r w:rsidR="009B23A3">
        <w:rPr>
          <w:lang w:val="en-GB"/>
        </w:rPr>
        <w:t xml:space="preserve"> due to multiple factors including </w:t>
      </w:r>
      <w:r w:rsidR="004B0084">
        <w:rPr>
          <w:lang w:val="en-GB"/>
        </w:rPr>
        <w:t xml:space="preserve">global supply limitations, unexpected increases in demand, and manufacturing issues. </w:t>
      </w:r>
      <w:r w:rsidR="00CD66FC" w:rsidRPr="00CD66FC">
        <w:rPr>
          <w:lang w:val="en-GB"/>
        </w:rPr>
        <w:t xml:space="preserve">The shortage is particularly affecting multiple bag sizes of </w:t>
      </w:r>
      <w:r w:rsidR="00CD66FC">
        <w:rPr>
          <w:lang w:val="en-GB"/>
        </w:rPr>
        <w:t>s</w:t>
      </w:r>
      <w:r w:rsidR="00CD66FC" w:rsidRPr="00CD66FC">
        <w:rPr>
          <w:lang w:val="en-GB"/>
        </w:rPr>
        <w:t xml:space="preserve">odium </w:t>
      </w:r>
      <w:r w:rsidR="00CD66FC">
        <w:rPr>
          <w:lang w:val="en-GB"/>
        </w:rPr>
        <w:t>c</w:t>
      </w:r>
      <w:r w:rsidR="00CD66FC" w:rsidRPr="00CD66FC">
        <w:rPr>
          <w:lang w:val="en-GB"/>
        </w:rPr>
        <w:t xml:space="preserve">hloride </w:t>
      </w:r>
      <w:r w:rsidR="00CD66FC" w:rsidRPr="00CD66FC">
        <w:rPr>
          <w:lang w:val="en-GB"/>
        </w:rPr>
        <w:lastRenderedPageBreak/>
        <w:t xml:space="preserve">0.9% and </w:t>
      </w:r>
      <w:r w:rsidR="00CD66FC">
        <w:rPr>
          <w:lang w:val="en-GB"/>
        </w:rPr>
        <w:t>c</w:t>
      </w:r>
      <w:r w:rsidR="00CD66FC" w:rsidRPr="00CD66FC">
        <w:rPr>
          <w:lang w:val="en-GB"/>
        </w:rPr>
        <w:t xml:space="preserve">ompound </w:t>
      </w:r>
      <w:r w:rsidR="00CD66FC">
        <w:rPr>
          <w:lang w:val="en-GB"/>
        </w:rPr>
        <w:t>s</w:t>
      </w:r>
      <w:r w:rsidR="00CD66FC" w:rsidRPr="00CD66FC">
        <w:rPr>
          <w:lang w:val="en-GB"/>
        </w:rPr>
        <w:t xml:space="preserve">odium </w:t>
      </w:r>
      <w:r w:rsidR="00CD66FC">
        <w:rPr>
          <w:lang w:val="en-GB"/>
        </w:rPr>
        <w:t>l</w:t>
      </w:r>
      <w:r w:rsidR="00CD66FC" w:rsidRPr="00CD66FC">
        <w:rPr>
          <w:lang w:val="en-GB"/>
        </w:rPr>
        <w:t>actate (Hartmann’s solution) products.</w:t>
      </w:r>
      <w:r w:rsidR="002568ED" w:rsidRPr="002568ED">
        <w:rPr>
          <w:lang w:val="en-GB"/>
        </w:rPr>
        <w:t xml:space="preserve"> </w:t>
      </w:r>
      <w:r w:rsidR="002568ED">
        <w:rPr>
          <w:lang w:val="en-GB"/>
        </w:rPr>
        <w:t xml:space="preserve">The TGA has been advised that supply will continue to be </w:t>
      </w:r>
      <w:r w:rsidR="00197B21">
        <w:rPr>
          <w:lang w:val="en-GB"/>
        </w:rPr>
        <w:t>constrained into</w:t>
      </w:r>
      <w:r w:rsidR="0011302D">
        <w:rPr>
          <w:lang w:val="en-GB"/>
        </w:rPr>
        <w:t xml:space="preserve"> 2025.</w:t>
      </w:r>
    </w:p>
    <w:p w14:paraId="222B2A83" w14:textId="7C5D2613" w:rsidR="004B0084" w:rsidRPr="000C2E52" w:rsidRDefault="000E23CF" w:rsidP="000C2E52">
      <w:pPr>
        <w:rPr>
          <w:lang w:val="en-GB"/>
        </w:rPr>
      </w:pPr>
      <w:r>
        <w:rPr>
          <w:lang w:val="en-GB"/>
        </w:rPr>
        <w:t>To improve supply, t</w:t>
      </w:r>
      <w:r w:rsidR="004B0084">
        <w:rPr>
          <w:lang w:val="en-GB"/>
        </w:rPr>
        <w:t xml:space="preserve">he TGA have approved </w:t>
      </w:r>
      <w:r w:rsidR="004915C9">
        <w:rPr>
          <w:lang w:val="en-GB"/>
        </w:rPr>
        <w:t xml:space="preserve">several </w:t>
      </w:r>
      <w:r w:rsidR="004B0084">
        <w:rPr>
          <w:lang w:val="en-GB"/>
        </w:rPr>
        <w:t xml:space="preserve">overseas-registered alternative </w:t>
      </w:r>
      <w:r w:rsidR="00AB1AED">
        <w:rPr>
          <w:lang w:val="en-GB"/>
        </w:rPr>
        <w:t xml:space="preserve">intravenous </w:t>
      </w:r>
      <w:r w:rsidR="00863000">
        <w:rPr>
          <w:lang w:val="en-GB"/>
        </w:rPr>
        <w:t>fluids under</w:t>
      </w:r>
      <w:r w:rsidR="00EF3785">
        <w:rPr>
          <w:lang w:val="en-GB"/>
        </w:rPr>
        <w:t xml:space="preserve"> </w:t>
      </w:r>
      <w:r w:rsidR="000A6AF4">
        <w:rPr>
          <w:lang w:val="en-GB"/>
        </w:rPr>
        <w:t>S19A</w:t>
      </w:r>
      <w:r w:rsidR="00AB1AED">
        <w:rPr>
          <w:lang w:val="en-GB"/>
        </w:rPr>
        <w:t>.</w:t>
      </w:r>
      <w:r w:rsidR="005A7CB8">
        <w:rPr>
          <w:lang w:val="en-GB"/>
        </w:rPr>
        <w:t xml:space="preserve"> </w:t>
      </w:r>
      <w:r w:rsidR="002568ED">
        <w:rPr>
          <w:lang w:val="en-GB"/>
        </w:rPr>
        <w:t>U</w:t>
      </w:r>
      <w:r w:rsidR="000C05A2">
        <w:rPr>
          <w:lang w:val="en-GB"/>
        </w:rPr>
        <w:t xml:space="preserve">pdates and information on the approved products, are available on the TGA </w:t>
      </w:r>
      <w:hyperlink r:id="rId14" w:history="1">
        <w:r w:rsidR="00EF52DC" w:rsidRPr="00EF52DC">
          <w:rPr>
            <w:rStyle w:val="Hyperlink"/>
            <w:lang w:val="en-GB"/>
          </w:rPr>
          <w:t>Section 19A approvals database</w:t>
        </w:r>
      </w:hyperlink>
      <w:r w:rsidR="00215C70">
        <w:rPr>
          <w:rStyle w:val="Hyperlink"/>
          <w:color w:val="auto"/>
          <w:u w:val="none"/>
          <w:lang w:val="en-GB"/>
        </w:rPr>
        <w:t xml:space="preserve"> a</w:t>
      </w:r>
      <w:r w:rsidR="00ED2A6A">
        <w:rPr>
          <w:rStyle w:val="Hyperlink"/>
          <w:color w:val="auto"/>
          <w:u w:val="none"/>
          <w:lang w:val="en-GB"/>
        </w:rPr>
        <w:t>long w</w:t>
      </w:r>
      <w:r w:rsidR="002568ED" w:rsidRPr="00AE6D86">
        <w:rPr>
          <w:rStyle w:val="Hyperlink"/>
          <w:color w:val="auto"/>
          <w:u w:val="none"/>
          <w:lang w:val="en-GB"/>
        </w:rPr>
        <w:t>ith the latest information on</w:t>
      </w:r>
      <w:r w:rsidR="00215C70">
        <w:rPr>
          <w:rStyle w:val="Hyperlink"/>
          <w:color w:val="auto"/>
          <w:u w:val="none"/>
          <w:lang w:val="en-GB"/>
        </w:rPr>
        <w:t xml:space="preserve"> </w:t>
      </w:r>
      <w:r w:rsidR="002568ED" w:rsidRPr="00215C70">
        <w:rPr>
          <w:lang w:val="en-GB"/>
        </w:rPr>
        <w:t xml:space="preserve">the </w:t>
      </w:r>
      <w:hyperlink r:id="rId15" w:history="1">
        <w:r w:rsidR="002568ED" w:rsidRPr="00215C70">
          <w:rPr>
            <w:rStyle w:val="Hyperlink"/>
            <w:lang w:val="en-GB"/>
          </w:rPr>
          <w:t>IV fluid shortage</w:t>
        </w:r>
      </w:hyperlink>
      <w:r w:rsidR="00EF52DC">
        <w:rPr>
          <w:lang w:val="en-GB"/>
        </w:rPr>
        <w:t xml:space="preserve">. </w:t>
      </w:r>
    </w:p>
    <w:p w14:paraId="45D82062" w14:textId="2FA275B3" w:rsidR="00664B6D" w:rsidRPr="00D70912" w:rsidRDefault="00710E50" w:rsidP="00D70912">
      <w:pPr>
        <w:pStyle w:val="Heading3"/>
      </w:pPr>
      <w:r>
        <w:rPr>
          <w:lang w:val="en-GB"/>
        </w:rPr>
        <w:t>Conservation Strategies</w:t>
      </w:r>
    </w:p>
    <w:p w14:paraId="2032BCF1" w14:textId="2819A57B" w:rsidR="002568ED" w:rsidRPr="002568ED" w:rsidRDefault="002568ED" w:rsidP="00BB43F6">
      <w:pPr>
        <w:spacing w:before="0" w:after="160" w:line="259" w:lineRule="auto"/>
        <w:rPr>
          <w:rFonts w:cs="Arial"/>
        </w:rPr>
      </w:pPr>
      <w:r>
        <w:rPr>
          <w:rFonts w:cs="Arial"/>
        </w:rPr>
        <w:t xml:space="preserve">This factsheet draws from the general principles described in </w:t>
      </w:r>
      <w:hyperlink r:id="rId16" w:history="1">
        <w:r w:rsidRPr="001977FD">
          <w:rPr>
            <w:rStyle w:val="Hyperlink"/>
            <w:rFonts w:cs="Arial"/>
          </w:rPr>
          <w:t>Conserving medicines with a focus on medicines shortages</w:t>
        </w:r>
      </w:hyperlink>
      <w:r>
        <w:rPr>
          <w:rFonts w:cs="Arial"/>
        </w:rPr>
        <w:t>. For IV fluids the following should be considered where possible:</w:t>
      </w:r>
    </w:p>
    <w:p w14:paraId="0B9413F5" w14:textId="27F10F38" w:rsidR="00562B34" w:rsidRPr="00813AB8" w:rsidRDefault="00562B34" w:rsidP="00813AB8">
      <w:pPr>
        <w:pStyle w:val="ListParagraph"/>
        <w:numPr>
          <w:ilvl w:val="0"/>
          <w:numId w:val="31"/>
        </w:numPr>
      </w:pPr>
      <w:r w:rsidRPr="00813AB8">
        <w:t>Depending on local availability, use the smallest possible volume of IV fluids for the required indication. For example, if a 100 mL flush is required as part of a chemotherapy protocol, use a 100 mL bag instead of a 500 mL bag</w:t>
      </w:r>
    </w:p>
    <w:p w14:paraId="53E4B915" w14:textId="65E1ADCF" w:rsidR="00665809" w:rsidRPr="00665809" w:rsidRDefault="00665809" w:rsidP="00665809">
      <w:pPr>
        <w:pStyle w:val="ListParagraph"/>
        <w:widowControl w:val="0"/>
        <w:numPr>
          <w:ilvl w:val="0"/>
          <w:numId w:val="31"/>
        </w:numPr>
        <w:tabs>
          <w:tab w:val="left" w:pos="363"/>
          <w:tab w:val="left" w:pos="365"/>
        </w:tabs>
        <w:autoSpaceDE w:val="0"/>
        <w:autoSpaceDN w:val="0"/>
        <w:spacing w:before="61" w:after="0" w:line="273" w:lineRule="auto"/>
        <w:ind w:right="213"/>
        <w:contextualSpacing w:val="0"/>
      </w:pPr>
      <w:r w:rsidRPr="00665809">
        <w:rPr>
          <w:w w:val="105"/>
        </w:rPr>
        <w:t>Use</w:t>
      </w:r>
      <w:r w:rsidRPr="00665809">
        <w:rPr>
          <w:spacing w:val="-10"/>
          <w:w w:val="105"/>
        </w:rPr>
        <w:t xml:space="preserve"> </w:t>
      </w:r>
      <w:r w:rsidRPr="00665809">
        <w:rPr>
          <w:w w:val="105"/>
        </w:rPr>
        <w:t>smaller</w:t>
      </w:r>
      <w:r w:rsidRPr="00665809">
        <w:rPr>
          <w:spacing w:val="-10"/>
          <w:w w:val="105"/>
        </w:rPr>
        <w:t xml:space="preserve"> </w:t>
      </w:r>
      <w:r w:rsidRPr="00665809">
        <w:rPr>
          <w:w w:val="105"/>
        </w:rPr>
        <w:t>bag</w:t>
      </w:r>
      <w:r w:rsidRPr="00665809">
        <w:rPr>
          <w:spacing w:val="-10"/>
          <w:w w:val="105"/>
        </w:rPr>
        <w:t xml:space="preserve"> </w:t>
      </w:r>
      <w:r w:rsidRPr="00665809">
        <w:rPr>
          <w:w w:val="105"/>
        </w:rPr>
        <w:t>sizes</w:t>
      </w:r>
      <w:r w:rsidRPr="00665809">
        <w:rPr>
          <w:spacing w:val="-10"/>
          <w:w w:val="105"/>
        </w:rPr>
        <w:t xml:space="preserve"> </w:t>
      </w:r>
      <w:r w:rsidRPr="00665809">
        <w:rPr>
          <w:w w:val="105"/>
        </w:rPr>
        <w:t>for</w:t>
      </w:r>
      <w:r w:rsidRPr="00665809">
        <w:rPr>
          <w:spacing w:val="-10"/>
          <w:w w:val="105"/>
        </w:rPr>
        <w:t xml:space="preserve"> </w:t>
      </w:r>
      <w:r w:rsidRPr="00665809">
        <w:rPr>
          <w:w w:val="105"/>
        </w:rPr>
        <w:t>slower</w:t>
      </w:r>
      <w:r w:rsidRPr="00665809">
        <w:rPr>
          <w:spacing w:val="-10"/>
          <w:w w:val="105"/>
        </w:rPr>
        <w:t xml:space="preserve"> </w:t>
      </w:r>
      <w:r w:rsidRPr="00665809">
        <w:rPr>
          <w:w w:val="105"/>
        </w:rPr>
        <w:t>rate</w:t>
      </w:r>
      <w:r w:rsidRPr="00665809">
        <w:rPr>
          <w:spacing w:val="-10"/>
          <w:w w:val="105"/>
        </w:rPr>
        <w:t xml:space="preserve"> </w:t>
      </w:r>
      <w:r w:rsidRPr="00665809">
        <w:rPr>
          <w:w w:val="105"/>
        </w:rPr>
        <w:t>infusions.</w:t>
      </w:r>
      <w:r w:rsidRPr="00665809">
        <w:rPr>
          <w:spacing w:val="-10"/>
          <w:w w:val="105"/>
        </w:rPr>
        <w:t xml:space="preserve"> </w:t>
      </w:r>
      <w:r w:rsidRPr="00665809">
        <w:rPr>
          <w:w w:val="105"/>
        </w:rPr>
        <w:t>For example, use a 250 mL bag for an infusion rate of 20 mL/hour or less, and reserve 500 mL bags for infusion rates of 21 mL/hour to 40 mL/hour</w:t>
      </w:r>
    </w:p>
    <w:p w14:paraId="0E5136F3" w14:textId="30B0A7DE" w:rsidR="00B72945" w:rsidRPr="00D53A53" w:rsidRDefault="00B72945" w:rsidP="00B72945">
      <w:pPr>
        <w:pStyle w:val="ListParagraph"/>
        <w:numPr>
          <w:ilvl w:val="0"/>
          <w:numId w:val="32"/>
        </w:numPr>
        <w:spacing w:before="0" w:after="160" w:line="259" w:lineRule="auto"/>
        <w:rPr>
          <w:rFonts w:cs="Arial"/>
        </w:rPr>
      </w:pPr>
      <w:r w:rsidRPr="00D53A53">
        <w:rPr>
          <w:rFonts w:cs="Arial"/>
        </w:rPr>
        <w:t>Prioritise 500 mL sodium chloride 0.9% bags for use in priority settings (</w:t>
      </w:r>
      <w:r w:rsidR="00971E3F">
        <w:rPr>
          <w:rFonts w:cs="Arial"/>
        </w:rPr>
        <w:t>for example,</w:t>
      </w:r>
      <w:r w:rsidRPr="00D53A53">
        <w:rPr>
          <w:rFonts w:cs="Arial"/>
        </w:rPr>
        <w:t xml:space="preserve"> with arterial lines, specialty infusion types)</w:t>
      </w:r>
    </w:p>
    <w:p w14:paraId="210D7133" w14:textId="10362A66" w:rsidR="007D2A06" w:rsidRDefault="00B72945" w:rsidP="000A7A8A">
      <w:pPr>
        <w:pStyle w:val="ListParagraph"/>
        <w:numPr>
          <w:ilvl w:val="0"/>
          <w:numId w:val="32"/>
        </w:numPr>
        <w:spacing w:before="0" w:after="160" w:line="259" w:lineRule="auto"/>
        <w:rPr>
          <w:rFonts w:cs="Arial"/>
        </w:rPr>
      </w:pPr>
      <w:r w:rsidRPr="000A7A8A">
        <w:rPr>
          <w:rFonts w:cs="Arial"/>
        </w:rPr>
        <w:t>Ensure regular review of patients receiving IV infusions and switch to alternative routes of administration as soon as possible</w:t>
      </w:r>
      <w:r w:rsidR="000A7A8A" w:rsidRPr="000A7A8A">
        <w:rPr>
          <w:rFonts w:cs="Arial"/>
        </w:rPr>
        <w:t>. P</w:t>
      </w:r>
      <w:r w:rsidRPr="000A7A8A">
        <w:rPr>
          <w:rFonts w:cs="Arial"/>
        </w:rPr>
        <w:t>rioritis</w:t>
      </w:r>
      <w:r w:rsidR="000A7A8A" w:rsidRPr="000A7A8A">
        <w:rPr>
          <w:rFonts w:cs="Arial"/>
        </w:rPr>
        <w:t>e</w:t>
      </w:r>
      <w:r w:rsidRPr="000A7A8A">
        <w:rPr>
          <w:rFonts w:cs="Arial"/>
        </w:rPr>
        <w:t xml:space="preserve"> </w:t>
      </w:r>
      <w:r w:rsidR="004103FD" w:rsidRPr="000A7A8A">
        <w:rPr>
          <w:rFonts w:cs="Arial"/>
        </w:rPr>
        <w:t xml:space="preserve">oral or </w:t>
      </w:r>
      <w:r w:rsidRPr="000A7A8A">
        <w:rPr>
          <w:rFonts w:cs="Arial"/>
        </w:rPr>
        <w:t>enteral route</w:t>
      </w:r>
      <w:r w:rsidR="000A7A8A" w:rsidRPr="000A7A8A">
        <w:rPr>
          <w:rFonts w:cs="Arial"/>
        </w:rPr>
        <w:t>s</w:t>
      </w:r>
      <w:r w:rsidRPr="000A7A8A">
        <w:rPr>
          <w:rFonts w:cs="Arial"/>
        </w:rPr>
        <w:t xml:space="preserve"> where clinically appropriate. For example, </w:t>
      </w:r>
      <w:r w:rsidR="000A7A8A" w:rsidRPr="000A7A8A">
        <w:rPr>
          <w:rFonts w:cs="Arial"/>
        </w:rPr>
        <w:t xml:space="preserve">for administration of </w:t>
      </w:r>
      <w:r w:rsidRPr="000A7A8A">
        <w:rPr>
          <w:rFonts w:cs="Arial"/>
        </w:rPr>
        <w:t>electrolytes, analgesia and antibiotics (particularly those with high bioavailability)</w:t>
      </w:r>
    </w:p>
    <w:p w14:paraId="5CB5B648" w14:textId="7012ECA5" w:rsidR="00B72945" w:rsidRPr="000A7A8A" w:rsidRDefault="000A7A8A" w:rsidP="000A7A8A">
      <w:pPr>
        <w:pStyle w:val="ListParagraph"/>
        <w:numPr>
          <w:ilvl w:val="0"/>
          <w:numId w:val="32"/>
        </w:numPr>
        <w:spacing w:before="0" w:after="160" w:line="259" w:lineRule="auto"/>
        <w:rPr>
          <w:rFonts w:cs="Arial"/>
        </w:rPr>
      </w:pPr>
      <w:r w:rsidRPr="000A7A8A">
        <w:rPr>
          <w:rFonts w:cs="Arial"/>
        </w:rPr>
        <w:t>L</w:t>
      </w:r>
      <w:r w:rsidR="00B72945" w:rsidRPr="000A7A8A">
        <w:rPr>
          <w:rFonts w:cs="Arial"/>
        </w:rPr>
        <w:t>everage existing strategies to assist with this change, such as:</w:t>
      </w:r>
    </w:p>
    <w:p w14:paraId="0195F578" w14:textId="1224627E" w:rsidR="002862F0" w:rsidRDefault="00B72945" w:rsidP="00773F74">
      <w:pPr>
        <w:pStyle w:val="ListParagraph"/>
        <w:numPr>
          <w:ilvl w:val="1"/>
          <w:numId w:val="32"/>
        </w:numPr>
        <w:spacing w:before="0" w:after="160" w:line="259" w:lineRule="auto"/>
        <w:rPr>
          <w:rFonts w:cs="Arial"/>
        </w:rPr>
      </w:pPr>
      <w:r w:rsidRPr="004E4902">
        <w:rPr>
          <w:rFonts w:cs="Arial"/>
        </w:rPr>
        <w:t xml:space="preserve">Antimicrobial </w:t>
      </w:r>
      <w:r w:rsidR="00695F93">
        <w:rPr>
          <w:rFonts w:cs="Arial"/>
        </w:rPr>
        <w:t>s</w:t>
      </w:r>
      <w:r w:rsidRPr="004E4902">
        <w:rPr>
          <w:rFonts w:cs="Arial"/>
        </w:rPr>
        <w:t>tewardship processes, IV to Oral Antibiotic Switch resources</w:t>
      </w:r>
      <w:r w:rsidR="009F6452">
        <w:rPr>
          <w:rFonts w:cs="Arial"/>
        </w:rPr>
        <w:t>.</w:t>
      </w:r>
      <w:r w:rsidR="0068247D">
        <w:rPr>
          <w:rFonts w:cs="Arial"/>
          <w:vertAlign w:val="superscript"/>
        </w:rPr>
        <w:t xml:space="preserve"> </w:t>
      </w:r>
      <w:r w:rsidR="009F6452" w:rsidRPr="009F6452">
        <w:rPr>
          <w:rFonts w:cs="Arial"/>
        </w:rPr>
        <w:t>See</w:t>
      </w:r>
      <w:r w:rsidR="009F6452">
        <w:rPr>
          <w:rFonts w:cs="Arial"/>
        </w:rPr>
        <w:t xml:space="preserve"> </w:t>
      </w:r>
      <w:r w:rsidR="00F05855">
        <w:rPr>
          <w:rFonts w:cs="Arial"/>
        </w:rPr>
        <w:t xml:space="preserve">page </w:t>
      </w:r>
      <w:r w:rsidR="002E76A5">
        <w:rPr>
          <w:rFonts w:cs="Arial"/>
        </w:rPr>
        <w:t>6</w:t>
      </w:r>
    </w:p>
    <w:p w14:paraId="340D4264" w14:textId="5BC231B6" w:rsidR="00B72945" w:rsidRDefault="00B72945" w:rsidP="00773F74">
      <w:pPr>
        <w:pStyle w:val="ListParagraph"/>
        <w:numPr>
          <w:ilvl w:val="1"/>
          <w:numId w:val="32"/>
        </w:numPr>
        <w:spacing w:before="0" w:after="160" w:line="259" w:lineRule="auto"/>
        <w:rPr>
          <w:rFonts w:cs="Arial"/>
        </w:rPr>
      </w:pPr>
      <w:r w:rsidRPr="002862F0">
        <w:rPr>
          <w:rFonts w:cs="Arial"/>
        </w:rPr>
        <w:t>Regularly assess patients who may be suitable for oral hydration prior to the initiation or continuation of IV fluid therapy. Refer to local guidelines/protocols on oral rehydration.</w:t>
      </w:r>
    </w:p>
    <w:p w14:paraId="4B85B78C" w14:textId="2A4AECEC" w:rsidR="0073130A" w:rsidRDefault="00A1015C" w:rsidP="0073130A">
      <w:pPr>
        <w:pStyle w:val="ListParagraph"/>
        <w:numPr>
          <w:ilvl w:val="0"/>
          <w:numId w:val="32"/>
        </w:numPr>
        <w:spacing w:before="0" w:after="160" w:line="259" w:lineRule="auto"/>
        <w:rPr>
          <w:rFonts w:cs="Arial"/>
        </w:rPr>
      </w:pPr>
      <w:r w:rsidRPr="00A1015C">
        <w:rPr>
          <w:rFonts w:cs="Arial"/>
        </w:rPr>
        <w:t>Review patients to ensure vascular patency, and vascular access devices (VADs) are flushed, locked and capped where possible. Remove VADs when not in use</w:t>
      </w:r>
    </w:p>
    <w:p w14:paraId="2CA880DF" w14:textId="176FEF61" w:rsidR="00A1015C" w:rsidRDefault="00A1015C" w:rsidP="0073130A">
      <w:pPr>
        <w:pStyle w:val="ListParagraph"/>
        <w:numPr>
          <w:ilvl w:val="0"/>
          <w:numId w:val="32"/>
        </w:numPr>
        <w:spacing w:before="0" w:after="160" w:line="259" w:lineRule="auto"/>
        <w:rPr>
          <w:rFonts w:cs="Arial"/>
        </w:rPr>
      </w:pPr>
      <w:r w:rsidRPr="00A1015C">
        <w:rPr>
          <w:rFonts w:cs="Arial"/>
        </w:rPr>
        <w:t>Avoid using IV fluids for non-IV administration including off-label use. For example, wound flushing, eye irrigation or as a weight on traction devices</w:t>
      </w:r>
    </w:p>
    <w:p w14:paraId="6E64CDBA" w14:textId="3C3F2751" w:rsidR="00A1015C" w:rsidRDefault="00A1015C" w:rsidP="0073130A">
      <w:pPr>
        <w:pStyle w:val="ListParagraph"/>
        <w:numPr>
          <w:ilvl w:val="0"/>
          <w:numId w:val="32"/>
        </w:numPr>
        <w:spacing w:before="0" w:after="160" w:line="259" w:lineRule="auto"/>
        <w:rPr>
          <w:rFonts w:cs="Arial"/>
        </w:rPr>
      </w:pPr>
      <w:r w:rsidRPr="00A1015C">
        <w:rPr>
          <w:rFonts w:cs="Arial"/>
        </w:rPr>
        <w:t>Reserve products such as glucose 5% solution for patients susceptible to hypoglycaemia. For example, women and children may be more susceptible to hypoglycaemia when fasting exceeds 24 hours</w:t>
      </w:r>
    </w:p>
    <w:p w14:paraId="2C7C453B" w14:textId="5DD4286A" w:rsidR="00A1015C" w:rsidRDefault="00A1015C" w:rsidP="0073130A">
      <w:pPr>
        <w:pStyle w:val="ListParagraph"/>
        <w:numPr>
          <w:ilvl w:val="0"/>
          <w:numId w:val="32"/>
        </w:numPr>
        <w:spacing w:before="0" w:after="160" w:line="259" w:lineRule="auto"/>
        <w:rPr>
          <w:rFonts w:cs="Arial"/>
        </w:rPr>
      </w:pPr>
      <w:r w:rsidRPr="00A1015C">
        <w:rPr>
          <w:rFonts w:cs="Arial"/>
        </w:rPr>
        <w:t>Use 10 mL or 20 mL ampoules of sodium chloride 0.9% in place of small volume IV fluid bags, where possible. For example, to prepare medicines for use in a syringe driver</w:t>
      </w:r>
    </w:p>
    <w:p w14:paraId="3AD1F558" w14:textId="2F1F4A1E" w:rsidR="00A1015C" w:rsidRDefault="00A1015C" w:rsidP="0073130A">
      <w:pPr>
        <w:pStyle w:val="ListParagraph"/>
        <w:numPr>
          <w:ilvl w:val="0"/>
          <w:numId w:val="32"/>
        </w:numPr>
        <w:spacing w:before="0" w:after="160" w:line="259" w:lineRule="auto"/>
        <w:rPr>
          <w:rFonts w:cs="Arial"/>
        </w:rPr>
      </w:pPr>
      <w:r w:rsidRPr="00A1015C">
        <w:rPr>
          <w:rFonts w:cs="Arial"/>
        </w:rPr>
        <w:t>Administer medicines via IV push injection rather than using infusions, wherever appropriate</w:t>
      </w:r>
    </w:p>
    <w:p w14:paraId="59C48E86" w14:textId="5E6B320B" w:rsidR="008919EC" w:rsidRDefault="008D231D" w:rsidP="0073130A">
      <w:pPr>
        <w:pStyle w:val="ListParagraph"/>
        <w:numPr>
          <w:ilvl w:val="0"/>
          <w:numId w:val="32"/>
        </w:numPr>
        <w:spacing w:before="0" w:after="160" w:line="259" w:lineRule="auto"/>
        <w:rPr>
          <w:rFonts w:cs="Arial"/>
        </w:rPr>
      </w:pPr>
      <w:r w:rsidRPr="008D231D">
        <w:rPr>
          <w:rFonts w:cs="Arial"/>
        </w:rPr>
        <w:t xml:space="preserve">There may be circumstances where alternative fluid ampoules or IV fluid bags may be suitable for reconstituting or delivering IV medicines. For example, sterile water for injection ampoules instead of sodium chloride 0.9% ampoules for reconstitution purposes; or compound sodium lactate (Hartmann’s) solution instead of sodium chloride 0.9% bags for administration via infusion and vice-versa. Refer to the </w:t>
      </w:r>
      <w:hyperlink r:id="rId17" w:history="1">
        <w:r w:rsidRPr="008D231D">
          <w:rPr>
            <w:rStyle w:val="Hyperlink"/>
            <w:rFonts w:cs="Arial"/>
          </w:rPr>
          <w:t>Australian Injectable Drugs Handbook</w:t>
        </w:r>
      </w:hyperlink>
      <w:r w:rsidRPr="008D231D">
        <w:rPr>
          <w:rFonts w:cs="Arial"/>
        </w:rPr>
        <w:t xml:space="preserve"> for information on compatibility of IV fluids</w:t>
      </w:r>
    </w:p>
    <w:p w14:paraId="414768C5" w14:textId="516BC555" w:rsidR="008D231D" w:rsidRDefault="00AD6275" w:rsidP="0073130A">
      <w:pPr>
        <w:pStyle w:val="ListParagraph"/>
        <w:numPr>
          <w:ilvl w:val="0"/>
          <w:numId w:val="32"/>
        </w:numPr>
        <w:spacing w:before="0" w:after="160" w:line="259" w:lineRule="auto"/>
        <w:rPr>
          <w:rFonts w:cs="Arial"/>
        </w:rPr>
      </w:pPr>
      <w:r w:rsidRPr="00AD6275">
        <w:rPr>
          <w:rFonts w:cs="Arial"/>
        </w:rPr>
        <w:t xml:space="preserve">Administer medicines by an alternative route where possible. Refer to instructions for each medicine for the most appropriate route, noting that central venous access devices may </w:t>
      </w:r>
      <w:r w:rsidRPr="00AD6275">
        <w:rPr>
          <w:rFonts w:cs="Arial"/>
        </w:rPr>
        <w:lastRenderedPageBreak/>
        <w:t>have different recommendations to peripheral lines. Refer to Table 1 for additional information on specific population groups</w:t>
      </w:r>
    </w:p>
    <w:p w14:paraId="0DD18965" w14:textId="64C768EA" w:rsidR="00AD6275" w:rsidRDefault="00AD6275" w:rsidP="0073130A">
      <w:pPr>
        <w:pStyle w:val="ListParagraph"/>
        <w:numPr>
          <w:ilvl w:val="0"/>
          <w:numId w:val="32"/>
        </w:numPr>
        <w:spacing w:before="0" w:after="160" w:line="259" w:lineRule="auto"/>
        <w:rPr>
          <w:rFonts w:cs="Arial"/>
        </w:rPr>
      </w:pPr>
      <w:r w:rsidRPr="00AD6275">
        <w:rPr>
          <w:rFonts w:cs="Arial"/>
        </w:rPr>
        <w:t>Apply robust governance and stewardship principles to the conservation and stock management of IV fluids, for example:</w:t>
      </w:r>
    </w:p>
    <w:p w14:paraId="65BA5631" w14:textId="13BC4297" w:rsidR="00AD6275" w:rsidRDefault="00AD6275" w:rsidP="00AD6275">
      <w:pPr>
        <w:pStyle w:val="ListParagraph"/>
        <w:numPr>
          <w:ilvl w:val="1"/>
          <w:numId w:val="32"/>
        </w:numPr>
        <w:spacing w:before="0" w:after="160" w:line="259" w:lineRule="auto"/>
        <w:rPr>
          <w:rFonts w:cs="Arial"/>
        </w:rPr>
      </w:pPr>
      <w:r w:rsidRPr="00AD6275">
        <w:rPr>
          <w:rFonts w:cs="Arial"/>
        </w:rPr>
        <w:t>Ensure relevant practice changes are incorporated into policies, procedures and guidelines, and communicated to clinicians</w:t>
      </w:r>
    </w:p>
    <w:p w14:paraId="254DB610" w14:textId="385362B6" w:rsidR="00AD6275" w:rsidRDefault="00AD6275" w:rsidP="00AD6275">
      <w:pPr>
        <w:pStyle w:val="ListParagraph"/>
        <w:numPr>
          <w:ilvl w:val="1"/>
          <w:numId w:val="32"/>
        </w:numPr>
        <w:spacing w:before="0" w:after="160" w:line="259" w:lineRule="auto"/>
        <w:rPr>
          <w:rFonts w:cs="Arial"/>
        </w:rPr>
      </w:pPr>
      <w:r w:rsidRPr="00AD6275">
        <w:rPr>
          <w:rFonts w:cs="Arial"/>
        </w:rPr>
        <w:t>Monitor adherence to existing conservation strategies</w:t>
      </w:r>
    </w:p>
    <w:p w14:paraId="4D7B20B5" w14:textId="71FEC15F" w:rsidR="00AD6275" w:rsidRDefault="00E32C90" w:rsidP="00AD6275">
      <w:pPr>
        <w:pStyle w:val="ListParagraph"/>
        <w:numPr>
          <w:ilvl w:val="1"/>
          <w:numId w:val="32"/>
        </w:numPr>
        <w:spacing w:before="0" w:after="160" w:line="259" w:lineRule="auto"/>
        <w:rPr>
          <w:rFonts w:cs="Arial"/>
        </w:rPr>
      </w:pPr>
      <w:r w:rsidRPr="00E32C90">
        <w:rPr>
          <w:rFonts w:cs="Arial"/>
        </w:rPr>
        <w:t>Limit stock levels held in clinical areas and conduct regular stock counts to inform escalations</w:t>
      </w:r>
    </w:p>
    <w:p w14:paraId="621BBFB9" w14:textId="5420D1B7" w:rsidR="00E32C90" w:rsidRDefault="00E32C90" w:rsidP="00AD6275">
      <w:pPr>
        <w:pStyle w:val="ListParagraph"/>
        <w:numPr>
          <w:ilvl w:val="1"/>
          <w:numId w:val="32"/>
        </w:numPr>
        <w:spacing w:before="0" w:after="160" w:line="259" w:lineRule="auto"/>
        <w:rPr>
          <w:rFonts w:cs="Arial"/>
        </w:rPr>
      </w:pPr>
      <w:r w:rsidRPr="00E32C90">
        <w:rPr>
          <w:rFonts w:cs="Arial"/>
        </w:rPr>
        <w:t xml:space="preserve">Reduce minimum/maximum quantities for stock held in ward storage or </w:t>
      </w:r>
      <w:proofErr w:type="spellStart"/>
      <w:r w:rsidRPr="00E32C90">
        <w:rPr>
          <w:rFonts w:cs="Arial"/>
        </w:rPr>
        <w:t>imprest</w:t>
      </w:r>
      <w:proofErr w:type="spellEnd"/>
      <w:r w:rsidRPr="00E32C90">
        <w:rPr>
          <w:rFonts w:cs="Arial"/>
        </w:rPr>
        <w:t xml:space="preserve"> areas for the duration of the supply constraint.</w:t>
      </w:r>
    </w:p>
    <w:p w14:paraId="233EC860" w14:textId="77777777" w:rsidR="00A810F4" w:rsidRDefault="00A810F4" w:rsidP="0001498E">
      <w:pPr>
        <w:spacing w:before="0" w:after="0" w:line="259" w:lineRule="auto"/>
        <w:rPr>
          <w:rFonts w:cs="Arial"/>
          <w:b/>
          <w:bCs/>
        </w:rPr>
      </w:pPr>
    </w:p>
    <w:p w14:paraId="1CA44544" w14:textId="300DFA0E" w:rsidR="00800F3E" w:rsidRPr="00800F3E" w:rsidRDefault="00800F3E" w:rsidP="00800F3E">
      <w:pPr>
        <w:spacing w:before="0" w:after="160" w:line="259" w:lineRule="auto"/>
        <w:rPr>
          <w:rFonts w:cs="Arial"/>
          <w:b/>
          <w:bCs/>
        </w:rPr>
      </w:pPr>
      <w:r w:rsidRPr="00800F3E">
        <w:rPr>
          <w:rFonts w:cs="Arial"/>
          <w:b/>
          <w:bCs/>
        </w:rPr>
        <w:t xml:space="preserve">Table 1. Information sources on the most appropriate route for the administration of medicines by population group. </w:t>
      </w:r>
    </w:p>
    <w:tbl>
      <w:tblPr>
        <w:tblStyle w:val="TableGrid"/>
        <w:tblW w:w="0" w:type="auto"/>
        <w:tblLook w:val="04A0" w:firstRow="1" w:lastRow="0" w:firstColumn="1" w:lastColumn="0" w:noHBand="0" w:noVBand="1"/>
      </w:tblPr>
      <w:tblGrid>
        <w:gridCol w:w="3114"/>
        <w:gridCol w:w="6514"/>
      </w:tblGrid>
      <w:tr w:rsidR="00800F3E" w14:paraId="45852922" w14:textId="77777777" w:rsidTr="002B5C6E">
        <w:trPr>
          <w:cnfStyle w:val="100000000000" w:firstRow="1" w:lastRow="0" w:firstColumn="0" w:lastColumn="0" w:oddVBand="0" w:evenVBand="0" w:oddHBand="0" w:evenHBand="0" w:firstRowFirstColumn="0" w:firstRowLastColumn="0" w:lastRowFirstColumn="0" w:lastRowLastColumn="0"/>
        </w:trPr>
        <w:tc>
          <w:tcPr>
            <w:tcW w:w="3114" w:type="dxa"/>
          </w:tcPr>
          <w:p w14:paraId="6502128C" w14:textId="77777777" w:rsidR="00800F3E" w:rsidRDefault="00800F3E" w:rsidP="00800F3E">
            <w:pPr>
              <w:spacing w:before="0" w:after="160" w:line="259" w:lineRule="auto"/>
              <w:rPr>
                <w:rFonts w:cs="Arial"/>
              </w:rPr>
            </w:pPr>
            <w:r>
              <w:rPr>
                <w:rFonts w:cs="Arial"/>
              </w:rPr>
              <w:t>Population</w:t>
            </w:r>
          </w:p>
        </w:tc>
        <w:tc>
          <w:tcPr>
            <w:tcW w:w="6514" w:type="dxa"/>
          </w:tcPr>
          <w:p w14:paraId="1B8E84B1" w14:textId="77777777" w:rsidR="00800F3E" w:rsidRDefault="00800F3E" w:rsidP="00800F3E">
            <w:pPr>
              <w:spacing w:before="0" w:after="160" w:line="259" w:lineRule="auto"/>
              <w:rPr>
                <w:rFonts w:cs="Arial"/>
              </w:rPr>
            </w:pPr>
            <w:r>
              <w:rPr>
                <w:rFonts w:cs="Arial"/>
              </w:rPr>
              <w:t>Reference for most appropriate route</w:t>
            </w:r>
          </w:p>
        </w:tc>
      </w:tr>
      <w:tr w:rsidR="00800F3E" w14:paraId="00142BEB" w14:textId="77777777" w:rsidTr="002B5C6E">
        <w:tc>
          <w:tcPr>
            <w:tcW w:w="3114" w:type="dxa"/>
          </w:tcPr>
          <w:p w14:paraId="2087C4FC" w14:textId="77777777" w:rsidR="00800F3E" w:rsidRDefault="00800F3E" w:rsidP="00B44EEE">
            <w:pPr>
              <w:spacing w:before="0" w:after="160" w:line="259" w:lineRule="auto"/>
              <w:rPr>
                <w:rFonts w:cs="Arial"/>
              </w:rPr>
            </w:pPr>
            <w:r>
              <w:rPr>
                <w:rFonts w:cs="Arial"/>
              </w:rPr>
              <w:t>Adults</w:t>
            </w:r>
          </w:p>
        </w:tc>
        <w:tc>
          <w:tcPr>
            <w:tcW w:w="6514" w:type="dxa"/>
          </w:tcPr>
          <w:p w14:paraId="139CC3E7" w14:textId="77777777" w:rsidR="00800F3E" w:rsidRDefault="00800F3E" w:rsidP="00B44EEE">
            <w:pPr>
              <w:spacing w:before="0" w:after="160" w:line="259" w:lineRule="auto"/>
              <w:rPr>
                <w:rFonts w:cs="Arial"/>
              </w:rPr>
            </w:pPr>
            <w:r>
              <w:rPr>
                <w:rFonts w:cs="Arial"/>
              </w:rPr>
              <w:t>R</w:t>
            </w:r>
            <w:r w:rsidRPr="00D53A53">
              <w:rPr>
                <w:rFonts w:cs="Arial"/>
              </w:rPr>
              <w:t xml:space="preserve">efer to the </w:t>
            </w:r>
            <w:hyperlink r:id="rId18" w:history="1">
              <w:r w:rsidRPr="00875428">
                <w:rPr>
                  <w:rStyle w:val="Hyperlink"/>
                  <w:rFonts w:cs="Arial"/>
                </w:rPr>
                <w:t>Australian Injectable Drugs Handbook</w:t>
              </w:r>
            </w:hyperlink>
            <w:r>
              <w:rPr>
                <w:rFonts w:cs="Arial"/>
              </w:rPr>
              <w:t>.</w:t>
            </w:r>
          </w:p>
        </w:tc>
      </w:tr>
      <w:tr w:rsidR="00800F3E" w14:paraId="3862B4BE" w14:textId="77777777" w:rsidTr="002B5C6E">
        <w:tc>
          <w:tcPr>
            <w:tcW w:w="3114" w:type="dxa"/>
          </w:tcPr>
          <w:p w14:paraId="20E5964A" w14:textId="3FB1FF50" w:rsidR="00800F3E" w:rsidRDefault="00800F3E" w:rsidP="00B44EEE">
            <w:pPr>
              <w:spacing w:before="0" w:after="160" w:line="259" w:lineRule="auto"/>
              <w:rPr>
                <w:rFonts w:cs="Arial"/>
              </w:rPr>
            </w:pPr>
            <w:r>
              <w:rPr>
                <w:rFonts w:cs="Arial"/>
              </w:rPr>
              <w:t>Children (1</w:t>
            </w:r>
            <w:r w:rsidR="002B5C6E">
              <w:rPr>
                <w:rFonts w:cs="Arial"/>
              </w:rPr>
              <w:t> </w:t>
            </w:r>
            <w:r>
              <w:rPr>
                <w:rFonts w:cs="Arial"/>
              </w:rPr>
              <w:t>month – 16</w:t>
            </w:r>
            <w:r w:rsidR="002B5C6E">
              <w:rPr>
                <w:rFonts w:cs="Arial"/>
              </w:rPr>
              <w:t> </w:t>
            </w:r>
            <w:r>
              <w:rPr>
                <w:rFonts w:cs="Arial"/>
              </w:rPr>
              <w:t>years)</w:t>
            </w:r>
          </w:p>
        </w:tc>
        <w:tc>
          <w:tcPr>
            <w:tcW w:w="6514" w:type="dxa"/>
          </w:tcPr>
          <w:p w14:paraId="22C3460A" w14:textId="251BF9E3" w:rsidR="00800F3E" w:rsidRDefault="00052735" w:rsidP="00B44EEE">
            <w:pPr>
              <w:spacing w:before="0" w:after="160" w:line="259" w:lineRule="auto"/>
              <w:rPr>
                <w:rFonts w:cs="Arial"/>
              </w:rPr>
            </w:pPr>
            <w:r w:rsidRPr="00052735">
              <w:rPr>
                <w:rFonts w:cs="Arial"/>
              </w:rPr>
              <w:t xml:space="preserve">Subcutaneous and intramuscular administration in children is traumatic and should not be used unless clinically required or standard procedure. Refer to the </w:t>
            </w:r>
            <w:hyperlink r:id="rId19" w:history="1">
              <w:r w:rsidRPr="00052735">
                <w:rPr>
                  <w:rStyle w:val="Hyperlink"/>
                  <w:rFonts w:cs="Arial"/>
                </w:rPr>
                <w:t>Paediatric Injectable Medicines Handbook</w:t>
              </w:r>
            </w:hyperlink>
            <w:r w:rsidRPr="00052735">
              <w:rPr>
                <w:rFonts w:cs="Arial"/>
              </w:rPr>
              <w:t xml:space="preserve"> (PIMH) for more information.</w:t>
            </w:r>
          </w:p>
        </w:tc>
      </w:tr>
      <w:tr w:rsidR="00800F3E" w14:paraId="78265645" w14:textId="77777777" w:rsidTr="002B5C6E">
        <w:tc>
          <w:tcPr>
            <w:tcW w:w="3114" w:type="dxa"/>
          </w:tcPr>
          <w:p w14:paraId="3DBC9EF6" w14:textId="735668C1" w:rsidR="00800F3E" w:rsidRDefault="00800F3E" w:rsidP="00B44EEE">
            <w:pPr>
              <w:spacing w:before="0" w:after="160" w:line="259" w:lineRule="auto"/>
              <w:rPr>
                <w:rFonts w:cs="Arial"/>
              </w:rPr>
            </w:pPr>
            <w:r>
              <w:rPr>
                <w:rFonts w:cs="Arial"/>
              </w:rPr>
              <w:t>Neonates (up to 28 days corrected age)</w:t>
            </w:r>
          </w:p>
        </w:tc>
        <w:tc>
          <w:tcPr>
            <w:tcW w:w="6514" w:type="dxa"/>
          </w:tcPr>
          <w:p w14:paraId="082B1737" w14:textId="77777777" w:rsidR="00800F3E" w:rsidRDefault="00800F3E" w:rsidP="00B44EEE">
            <w:pPr>
              <w:spacing w:before="0" w:after="160" w:line="259" w:lineRule="auto"/>
              <w:rPr>
                <w:rFonts w:cs="Arial"/>
              </w:rPr>
            </w:pPr>
            <w:r>
              <w:rPr>
                <w:rFonts w:cs="Arial"/>
              </w:rPr>
              <w:t>R</w:t>
            </w:r>
            <w:r w:rsidRPr="00F12167">
              <w:rPr>
                <w:rFonts w:cs="Arial"/>
              </w:rPr>
              <w:t xml:space="preserve">etain standard practice when administering IV fluids and medicines. Refer to the </w:t>
            </w:r>
            <w:hyperlink r:id="rId20" w:history="1">
              <w:r w:rsidRPr="002166FA">
                <w:rPr>
                  <w:rStyle w:val="Hyperlink"/>
                  <w:rFonts w:cs="Arial"/>
                </w:rPr>
                <w:t>Australasian Neonatal Medicines Formulary</w:t>
              </w:r>
            </w:hyperlink>
            <w:r w:rsidRPr="00F12167">
              <w:rPr>
                <w:rFonts w:cs="Arial"/>
              </w:rPr>
              <w:t xml:space="preserve"> for guidance. </w:t>
            </w:r>
            <w:r>
              <w:rPr>
                <w:rFonts w:cs="Arial"/>
              </w:rPr>
              <w:t xml:space="preserve">The </w:t>
            </w:r>
            <w:r w:rsidRPr="00F12167">
              <w:rPr>
                <w:rFonts w:cs="Arial"/>
              </w:rPr>
              <w:t xml:space="preserve">administration of antibiotics via IV push injection is </w:t>
            </w:r>
            <w:r w:rsidRPr="00F12167">
              <w:rPr>
                <w:rFonts w:cs="Arial"/>
                <w:b/>
                <w:bCs/>
              </w:rPr>
              <w:t>not</w:t>
            </w:r>
            <w:r w:rsidRPr="00F12167">
              <w:rPr>
                <w:rFonts w:cs="Arial"/>
              </w:rPr>
              <w:t xml:space="preserve"> recommended in neonates.</w:t>
            </w:r>
          </w:p>
        </w:tc>
      </w:tr>
    </w:tbl>
    <w:p w14:paraId="3802962B" w14:textId="77777777" w:rsidR="0001498E" w:rsidRPr="0001498E" w:rsidRDefault="0001498E" w:rsidP="0001498E"/>
    <w:p w14:paraId="62BC1F5D" w14:textId="2BDC284B" w:rsidR="00AD50AC" w:rsidRPr="00D53A53" w:rsidRDefault="00AD50AC" w:rsidP="0001498E">
      <w:pPr>
        <w:pStyle w:val="Heading4"/>
        <w:spacing w:before="0"/>
        <w:rPr>
          <w:lang w:val="en-GB"/>
        </w:rPr>
      </w:pPr>
      <w:r w:rsidRPr="00D53A53">
        <w:rPr>
          <w:lang w:val="en-GB"/>
        </w:rPr>
        <w:t xml:space="preserve">Conservation </w:t>
      </w:r>
      <w:r>
        <w:rPr>
          <w:lang w:val="en-GB"/>
        </w:rPr>
        <w:t>s</w:t>
      </w:r>
      <w:r w:rsidRPr="00D53A53">
        <w:rPr>
          <w:lang w:val="en-GB"/>
        </w:rPr>
        <w:t xml:space="preserve">trategies – </w:t>
      </w:r>
      <w:r>
        <w:rPr>
          <w:lang w:val="en-GB"/>
        </w:rPr>
        <w:t>s</w:t>
      </w:r>
      <w:r w:rsidRPr="00D53A53">
        <w:rPr>
          <w:lang w:val="en-GB"/>
        </w:rPr>
        <w:t xml:space="preserve">urgical </w:t>
      </w:r>
      <w:r>
        <w:rPr>
          <w:lang w:val="en-GB"/>
        </w:rPr>
        <w:t>p</w:t>
      </w:r>
      <w:r w:rsidRPr="00D53A53">
        <w:rPr>
          <w:lang w:val="en-GB"/>
        </w:rPr>
        <w:t>atients</w:t>
      </w:r>
    </w:p>
    <w:p w14:paraId="10AECA7D" w14:textId="5ECF42C9" w:rsidR="005E5520" w:rsidRDefault="005E5520" w:rsidP="00AD50AC">
      <w:pPr>
        <w:pStyle w:val="ListParagraph"/>
        <w:numPr>
          <w:ilvl w:val="0"/>
          <w:numId w:val="31"/>
        </w:numPr>
        <w:spacing w:before="0" w:after="160" w:line="259" w:lineRule="auto"/>
        <w:rPr>
          <w:rFonts w:cs="Arial"/>
        </w:rPr>
      </w:pPr>
      <w:r w:rsidRPr="005E5520">
        <w:rPr>
          <w:rFonts w:cs="Arial"/>
        </w:rPr>
        <w:t>Limit IV fluids administered to surgical patients, wherever possible and clinically appropriate</w:t>
      </w:r>
    </w:p>
    <w:p w14:paraId="0BA4B9A3" w14:textId="5041F6D4" w:rsidR="00D2633F" w:rsidRDefault="00D2633F" w:rsidP="00AD50AC">
      <w:pPr>
        <w:pStyle w:val="ListParagraph"/>
        <w:numPr>
          <w:ilvl w:val="0"/>
          <w:numId w:val="31"/>
        </w:numPr>
        <w:spacing w:before="0" w:after="160" w:line="259" w:lineRule="auto"/>
        <w:rPr>
          <w:rFonts w:cs="Arial"/>
        </w:rPr>
      </w:pPr>
      <w:r w:rsidRPr="00D2633F">
        <w:rPr>
          <w:rFonts w:cs="Arial"/>
        </w:rPr>
        <w:t>Minimise fasting in surgical patients to reduce need for fluid replacement</w:t>
      </w:r>
    </w:p>
    <w:p w14:paraId="0C951ED4" w14:textId="0DA70CBE" w:rsidR="00D2633F" w:rsidRDefault="00D2633F" w:rsidP="00AD50AC">
      <w:pPr>
        <w:pStyle w:val="ListParagraph"/>
        <w:numPr>
          <w:ilvl w:val="0"/>
          <w:numId w:val="31"/>
        </w:numPr>
        <w:spacing w:before="0" w:after="160" w:line="259" w:lineRule="auto"/>
        <w:rPr>
          <w:rFonts w:cs="Arial"/>
        </w:rPr>
      </w:pPr>
      <w:r w:rsidRPr="00D2633F">
        <w:rPr>
          <w:rFonts w:cs="Arial"/>
        </w:rPr>
        <w:t>Provide access to clear oral fluids up to two hours prior to surgery</w:t>
      </w:r>
    </w:p>
    <w:p w14:paraId="080D39C0" w14:textId="71254CC0" w:rsidR="00D2633F" w:rsidRPr="00F6551D" w:rsidRDefault="00D2633F" w:rsidP="00F6551D">
      <w:pPr>
        <w:pStyle w:val="ListParagraph"/>
        <w:numPr>
          <w:ilvl w:val="0"/>
          <w:numId w:val="31"/>
        </w:numPr>
        <w:spacing w:before="0" w:after="160" w:line="259" w:lineRule="auto"/>
        <w:rPr>
          <w:rFonts w:cs="Arial"/>
        </w:rPr>
      </w:pPr>
      <w:r w:rsidRPr="00D2633F">
        <w:rPr>
          <w:rFonts w:cs="Arial"/>
        </w:rPr>
        <w:t xml:space="preserve">Implement evidence-based protocols in elective and selected emergency procedures, that minimise the need for intraoperative IV fluid administration. Refer to the Australian and New Zealand College of Anaesthetists (ANZCA) </w:t>
      </w:r>
      <w:hyperlink r:id="rId21" w:anchor="page=8" w:history="1">
        <w:r w:rsidRPr="005E5520">
          <w:rPr>
            <w:rStyle w:val="Hyperlink"/>
            <w:rFonts w:cs="Arial"/>
          </w:rPr>
          <w:t>Fasting Guideline</w:t>
        </w:r>
      </w:hyperlink>
      <w:r w:rsidRPr="00D2633F">
        <w:rPr>
          <w:rFonts w:cs="Arial"/>
        </w:rPr>
        <w:t xml:space="preserve"> and </w:t>
      </w:r>
      <w:hyperlink r:id="rId22" w:history="1">
        <w:r w:rsidRPr="005E5520">
          <w:rPr>
            <w:rStyle w:val="Hyperlink"/>
            <w:rFonts w:cs="Arial"/>
          </w:rPr>
          <w:t>Guidance on sparing of intravenous fluid use</w:t>
        </w:r>
      </w:hyperlink>
      <w:r w:rsidRPr="00D2633F">
        <w:rPr>
          <w:rFonts w:cs="Arial"/>
        </w:rPr>
        <w:t xml:space="preserve"> for further guidance</w:t>
      </w:r>
    </w:p>
    <w:p w14:paraId="669372E8" w14:textId="77AEAEDC" w:rsidR="00F6551D" w:rsidRDefault="00F6551D" w:rsidP="00800F3E">
      <w:pPr>
        <w:pStyle w:val="ListParagraph"/>
        <w:numPr>
          <w:ilvl w:val="0"/>
          <w:numId w:val="31"/>
        </w:numPr>
        <w:spacing w:before="0" w:after="160" w:line="259" w:lineRule="auto"/>
        <w:rPr>
          <w:rFonts w:cs="Arial"/>
        </w:rPr>
      </w:pPr>
      <w:r w:rsidRPr="00F6551D">
        <w:rPr>
          <w:rFonts w:cs="Arial"/>
        </w:rPr>
        <w:t>Review the need for ‘routine’ IV infusions and avoid pre-emptive priming of IV giving sets prior to patient perioperative admission unless the requirement for IV fluid administration is confirmed</w:t>
      </w:r>
    </w:p>
    <w:p w14:paraId="52699A86" w14:textId="037734B9" w:rsidR="00800F3E" w:rsidRPr="00F6551D" w:rsidRDefault="00F6551D" w:rsidP="00800F3E">
      <w:pPr>
        <w:pStyle w:val="ListParagraph"/>
        <w:numPr>
          <w:ilvl w:val="0"/>
          <w:numId w:val="31"/>
        </w:numPr>
        <w:spacing w:before="0" w:after="160" w:line="259" w:lineRule="auto"/>
        <w:rPr>
          <w:rFonts w:cs="Arial"/>
        </w:rPr>
      </w:pPr>
      <w:r w:rsidRPr="00F6551D">
        <w:rPr>
          <w:rFonts w:cs="Arial"/>
        </w:rPr>
        <w:t>Avoid excessive fluid restriction in patients undergoing major surgery. This can be harmful and lead to an increased risk of acute kidney injury and infection</w:t>
      </w:r>
    </w:p>
    <w:p w14:paraId="5B3EBF7C" w14:textId="77777777" w:rsidR="00016D2B" w:rsidRPr="00D53A53" w:rsidRDefault="00016D2B" w:rsidP="00016D2B">
      <w:pPr>
        <w:pStyle w:val="Heading3"/>
      </w:pPr>
      <w:r w:rsidRPr="00D53A53">
        <w:lastRenderedPageBreak/>
        <w:t>Safety considerations</w:t>
      </w:r>
    </w:p>
    <w:p w14:paraId="1144D064" w14:textId="77777777" w:rsidR="00016D2B" w:rsidRPr="00A34262" w:rsidRDefault="00016D2B" w:rsidP="00016D2B">
      <w:pPr>
        <w:pStyle w:val="Heading4"/>
        <w:rPr>
          <w:b w:val="0"/>
          <w:bCs w:val="0"/>
          <w:sz w:val="22"/>
          <w:szCs w:val="24"/>
        </w:rPr>
      </w:pPr>
      <w:r w:rsidRPr="00A34262">
        <w:rPr>
          <w:b w:val="0"/>
          <w:bCs w:val="0"/>
          <w:sz w:val="22"/>
          <w:szCs w:val="24"/>
        </w:rPr>
        <w:t xml:space="preserve">The </w:t>
      </w:r>
      <w:hyperlink r:id="rId23" w:history="1">
        <w:r w:rsidRPr="00A34262">
          <w:rPr>
            <w:rStyle w:val="Hyperlink"/>
            <w:b w:val="0"/>
            <w:bCs w:val="0"/>
            <w:sz w:val="22"/>
            <w:szCs w:val="24"/>
          </w:rPr>
          <w:t>Principles for safe selection and storage of medicines</w:t>
        </w:r>
      </w:hyperlink>
      <w:r w:rsidRPr="00A34262">
        <w:rPr>
          <w:b w:val="0"/>
          <w:bCs w:val="0"/>
          <w:sz w:val="22"/>
          <w:szCs w:val="24"/>
        </w:rPr>
        <w:t xml:space="preserve"> should be applied</w:t>
      </w:r>
      <w:r>
        <w:rPr>
          <w:b w:val="0"/>
          <w:bCs w:val="0"/>
          <w:sz w:val="22"/>
          <w:szCs w:val="24"/>
        </w:rPr>
        <w:t xml:space="preserve"> when using S19A alternatives. Some specific issues are outlined below, and Table 2 includes a list of other safety considerations. </w:t>
      </w:r>
    </w:p>
    <w:p w14:paraId="17FB45BA" w14:textId="77777777" w:rsidR="00016D2B" w:rsidRDefault="00016D2B" w:rsidP="00016D2B">
      <w:pPr>
        <w:pStyle w:val="Heading4"/>
      </w:pPr>
      <w:r>
        <w:t xml:space="preserve">Risk of air embolism </w:t>
      </w:r>
    </w:p>
    <w:p w14:paraId="424344B9" w14:textId="6C7D0180" w:rsidR="00536DE6" w:rsidRDefault="00536DE6" w:rsidP="00016D2B">
      <w:pPr>
        <w:spacing w:before="0" w:after="160" w:line="259" w:lineRule="auto"/>
        <w:rPr>
          <w:rFonts w:cs="Arial"/>
        </w:rPr>
      </w:pPr>
      <w:r w:rsidRPr="00536DE6">
        <w:rPr>
          <w:rFonts w:cs="Arial"/>
        </w:rPr>
        <w:t>All bags of IV fluids contain varying amounts of air. There is a risk of air embolism when any IV fluid is administered without the use of an in-line air detection device. Some IV fluid products, particularly certain S19A alternatives, may have a higher risk of air embolism</w:t>
      </w:r>
      <w:r>
        <w:rPr>
          <w:rFonts w:cs="Arial"/>
        </w:rPr>
        <w:t xml:space="preserve"> </w:t>
      </w:r>
      <w:r w:rsidRPr="00536DE6">
        <w:rPr>
          <w:rFonts w:cs="Arial"/>
        </w:rPr>
        <w:t>due to a larger volume of residual air within the bag than is typical for Australian-registered products.</w:t>
      </w:r>
    </w:p>
    <w:p w14:paraId="6A3DCD8E" w14:textId="3E662C3B" w:rsidR="00536DE6" w:rsidRDefault="00536DE6" w:rsidP="00016D2B">
      <w:pPr>
        <w:spacing w:before="0" w:after="160" w:line="259" w:lineRule="auto"/>
        <w:rPr>
          <w:rFonts w:cs="Arial"/>
        </w:rPr>
      </w:pPr>
      <w:r w:rsidRPr="00536DE6">
        <w:rPr>
          <w:rFonts w:cs="Arial"/>
        </w:rPr>
        <w:t>It is important to raise clinician awareness regarding this issue. Prior to use, bags should be inspected for any differences in presentation. Any associated safety issues should be considered, with specific provisions for bags with larger than normal amounts of air. Take appropriate steps to mitigate the risk where administration without an in-line air detection is necessary.</w:t>
      </w:r>
    </w:p>
    <w:p w14:paraId="50A168FA" w14:textId="77777777" w:rsidR="00016D2B" w:rsidRDefault="00016D2B" w:rsidP="00016D2B">
      <w:pPr>
        <w:spacing w:before="0" w:after="160" w:line="259" w:lineRule="auto"/>
        <w:rPr>
          <w:rFonts w:cs="Arial"/>
        </w:rPr>
      </w:pPr>
      <w:r>
        <w:rPr>
          <w:rFonts w:cs="Arial"/>
        </w:rPr>
        <w:t>A</w:t>
      </w:r>
      <w:r w:rsidRPr="003B57F2">
        <w:rPr>
          <w:rFonts w:cs="Arial"/>
        </w:rPr>
        <w:t xml:space="preserve">ll IV fluid products </w:t>
      </w:r>
      <w:r>
        <w:rPr>
          <w:rFonts w:cs="Arial"/>
        </w:rPr>
        <w:t xml:space="preserve">should be </w:t>
      </w:r>
      <w:r w:rsidRPr="003B57F2">
        <w:rPr>
          <w:rFonts w:cs="Arial"/>
        </w:rPr>
        <w:t>used in accordance with the manufacturer’s instructions for use</w:t>
      </w:r>
      <w:r w:rsidRPr="00EF7E81">
        <w:rPr>
          <w:rFonts w:cs="Arial"/>
        </w:rPr>
        <w:t>.</w:t>
      </w:r>
      <w:r>
        <w:rPr>
          <w:rFonts w:cs="Arial"/>
        </w:rPr>
        <w:t xml:space="preserve"> NSW Health has published information on the </w:t>
      </w:r>
      <w:hyperlink r:id="rId24" w:history="1">
        <w:r w:rsidRPr="003F1231">
          <w:rPr>
            <w:rStyle w:val="Hyperlink"/>
            <w:rFonts w:cs="Arial"/>
          </w:rPr>
          <w:t>risk of air embolism when administering intravenous fluids without in-line air detection</w:t>
        </w:r>
      </w:hyperlink>
      <w:r>
        <w:rPr>
          <w:rFonts w:cs="Arial"/>
        </w:rPr>
        <w:t>.</w:t>
      </w:r>
    </w:p>
    <w:p w14:paraId="5B452AA4" w14:textId="77777777" w:rsidR="00016D2B" w:rsidRDefault="00016D2B" w:rsidP="00016D2B">
      <w:pPr>
        <w:pStyle w:val="Heading4"/>
      </w:pPr>
      <w:r>
        <w:t>Maintain best practice for injectable medicines</w:t>
      </w:r>
    </w:p>
    <w:p w14:paraId="0781BE08" w14:textId="430921B2" w:rsidR="00016D2B" w:rsidRPr="00261224" w:rsidRDefault="00016D2B" w:rsidP="00016D2B">
      <w:pPr>
        <w:spacing w:before="0" w:after="160" w:line="259" w:lineRule="auto"/>
        <w:rPr>
          <w:rStyle w:val="Hyperlink"/>
          <w:rFonts w:cs="Arial"/>
        </w:rPr>
      </w:pPr>
      <w:r w:rsidRPr="00536DE6">
        <w:rPr>
          <w:rFonts w:cs="Arial"/>
        </w:rPr>
        <w:t>Refer to the</w:t>
      </w:r>
      <w:r w:rsidRPr="00376B94">
        <w:rPr>
          <w:rFonts w:cs="Arial"/>
          <w:i/>
          <w:iCs/>
        </w:rPr>
        <w:t xml:space="preserve"> </w:t>
      </w:r>
      <w:hyperlink r:id="rId25" w:history="1">
        <w:r w:rsidRPr="001977FD">
          <w:rPr>
            <w:rStyle w:val="Hyperlink"/>
            <w:rFonts w:cs="Arial"/>
          </w:rPr>
          <w:t>Australian Injectable Drugs Handbook</w:t>
        </w:r>
      </w:hyperlink>
      <w:r w:rsidR="00261224" w:rsidRPr="00D42D32">
        <w:rPr>
          <w:rStyle w:val="Hyperlink"/>
          <w:rFonts w:cs="Arial"/>
        </w:rPr>
        <w:t>.</w:t>
      </w:r>
    </w:p>
    <w:p w14:paraId="65036AE2" w14:textId="1C798E5F" w:rsidR="00536DE6" w:rsidRDefault="00536DE6" w:rsidP="00016D2B">
      <w:pPr>
        <w:spacing w:before="0" w:after="160" w:line="259" w:lineRule="auto"/>
        <w:rPr>
          <w:rFonts w:cs="Arial"/>
        </w:rPr>
      </w:pPr>
      <w:r w:rsidRPr="00536DE6">
        <w:rPr>
          <w:rFonts w:cs="Arial"/>
        </w:rPr>
        <w:t xml:space="preserve">Irrigation fluids are </w:t>
      </w:r>
      <w:r w:rsidRPr="00536DE6">
        <w:rPr>
          <w:rFonts w:cs="Arial"/>
          <w:b/>
          <w:bCs/>
        </w:rPr>
        <w:t>not</w:t>
      </w:r>
      <w:r w:rsidRPr="00536DE6">
        <w:rPr>
          <w:rFonts w:cs="Arial"/>
        </w:rPr>
        <w:t xml:space="preserve"> suitable for injection or infusion.</w:t>
      </w:r>
    </w:p>
    <w:p w14:paraId="32217CB9" w14:textId="066EA761" w:rsidR="00536DE6" w:rsidRDefault="00536DE6" w:rsidP="00016D2B">
      <w:pPr>
        <w:spacing w:before="0" w:after="160" w:line="259" w:lineRule="auto"/>
        <w:rPr>
          <w:rFonts w:cs="Arial"/>
        </w:rPr>
      </w:pPr>
      <w:r w:rsidRPr="00536DE6">
        <w:rPr>
          <w:rFonts w:cs="Arial"/>
        </w:rPr>
        <w:t>IV fluids should be in place for a maximum duration consistent with local procedures and guidelines, but not usually more than 24 hours.</w:t>
      </w:r>
    </w:p>
    <w:p w14:paraId="7F6D349A" w14:textId="76D991B7" w:rsidR="00536DE6" w:rsidRPr="00536DE6" w:rsidRDefault="00536DE6" w:rsidP="00016D2B">
      <w:pPr>
        <w:spacing w:before="0" w:after="160" w:line="259" w:lineRule="auto"/>
        <w:rPr>
          <w:rFonts w:cs="Arial"/>
        </w:rPr>
      </w:pPr>
      <w:r w:rsidRPr="00536DE6">
        <w:rPr>
          <w:rFonts w:cs="Arial"/>
        </w:rPr>
        <w:t xml:space="preserve">Partially used or previously spiked IV fluid bags must </w:t>
      </w:r>
      <w:r w:rsidRPr="00536DE6">
        <w:rPr>
          <w:rFonts w:cs="Arial"/>
          <w:b/>
          <w:bCs/>
        </w:rPr>
        <w:t>never</w:t>
      </w:r>
      <w:r w:rsidRPr="00536DE6">
        <w:rPr>
          <w:rFonts w:cs="Arial"/>
        </w:rPr>
        <w:t xml:space="preserve"> be re-spiked or reconnected to the same or another patient.</w:t>
      </w:r>
    </w:p>
    <w:p w14:paraId="0DE0D4D8" w14:textId="59E9441C" w:rsidR="00536DE6" w:rsidRDefault="00536DE6" w:rsidP="00016D2B">
      <w:pPr>
        <w:spacing w:before="0" w:after="160" w:line="259" w:lineRule="auto"/>
        <w:rPr>
          <w:rFonts w:cs="Arial"/>
        </w:rPr>
      </w:pPr>
      <w:r w:rsidRPr="00536DE6">
        <w:rPr>
          <w:rFonts w:cs="Arial"/>
        </w:rPr>
        <w:t>Ensure compatibility of the medicine with the selected diluent when administering medicines via the IV route and that the final concentration is within the acceptable range for administration/stability.</w:t>
      </w:r>
    </w:p>
    <w:p w14:paraId="03653575" w14:textId="103AF29D" w:rsidR="00536DE6" w:rsidRDefault="00536DE6" w:rsidP="00016D2B">
      <w:pPr>
        <w:spacing w:before="0" w:after="160" w:line="259" w:lineRule="auto"/>
        <w:rPr>
          <w:rFonts w:cs="Arial"/>
        </w:rPr>
      </w:pPr>
      <w:r w:rsidRPr="00536DE6">
        <w:rPr>
          <w:rFonts w:cs="Arial"/>
        </w:rPr>
        <w:t>Some medicines interact with the composition of different types of plastics used for IV fluid bags. Consider the plastic type and its compatibility with medicines prior to changing between IV fluid bag</w:t>
      </w:r>
      <w:r>
        <w:rPr>
          <w:rFonts w:cs="Arial"/>
        </w:rPr>
        <w:t xml:space="preserve"> </w:t>
      </w:r>
      <w:r w:rsidRPr="00536DE6">
        <w:rPr>
          <w:rFonts w:cs="Arial"/>
        </w:rPr>
        <w:t xml:space="preserve">products. For example, </w:t>
      </w:r>
      <w:proofErr w:type="spellStart"/>
      <w:r w:rsidRPr="00536DE6">
        <w:rPr>
          <w:rFonts w:cs="Arial"/>
        </w:rPr>
        <w:t>ciclosPORIN</w:t>
      </w:r>
      <w:proofErr w:type="spellEnd"/>
      <w:r w:rsidRPr="00536DE6">
        <w:rPr>
          <w:rFonts w:cs="Arial"/>
        </w:rPr>
        <w:t xml:space="preserve">, </w:t>
      </w:r>
      <w:proofErr w:type="spellStart"/>
      <w:r w:rsidRPr="00536DE6">
        <w:rPr>
          <w:rFonts w:cs="Arial"/>
        </w:rPr>
        <w:t>TACrolimus</w:t>
      </w:r>
      <w:proofErr w:type="spellEnd"/>
      <w:r w:rsidRPr="00536DE6">
        <w:rPr>
          <w:rFonts w:cs="Arial"/>
        </w:rPr>
        <w:t xml:space="preserve"> and </w:t>
      </w:r>
      <w:proofErr w:type="spellStart"/>
      <w:r w:rsidRPr="00536DE6">
        <w:rPr>
          <w:rFonts w:cs="Arial"/>
        </w:rPr>
        <w:t>DIAzepam</w:t>
      </w:r>
      <w:proofErr w:type="spellEnd"/>
      <w:r w:rsidRPr="00536DE6">
        <w:rPr>
          <w:rFonts w:cs="Arial"/>
        </w:rPr>
        <w:t xml:space="preserve"> are incompatible with polyvinyl chloride (PVC).</w:t>
      </w:r>
    </w:p>
    <w:p w14:paraId="5BAFE1B4" w14:textId="77777777" w:rsidR="00016D2B" w:rsidRPr="00222599" w:rsidRDefault="00016D2B" w:rsidP="00016D2B">
      <w:pPr>
        <w:pStyle w:val="Heading4"/>
      </w:pPr>
      <w:r>
        <w:t>Digital systems</w:t>
      </w:r>
    </w:p>
    <w:p w14:paraId="7E875D1D" w14:textId="77777777" w:rsidR="00725AD5" w:rsidRDefault="00725AD5" w:rsidP="00016D2B">
      <w:pPr>
        <w:spacing w:before="0" w:after="160" w:line="259" w:lineRule="auto"/>
      </w:pPr>
      <w:r w:rsidRPr="00725AD5">
        <w:t>Consider the need for an alert within electronic medication management (</w:t>
      </w:r>
      <w:proofErr w:type="spellStart"/>
      <w:r w:rsidRPr="00725AD5">
        <w:t>eMM</w:t>
      </w:r>
      <w:proofErr w:type="spellEnd"/>
      <w:r w:rsidRPr="00725AD5">
        <w:t>) systems when prescribing IV fluids to alert clinicians to the disruption to supply.</w:t>
      </w:r>
    </w:p>
    <w:p w14:paraId="2866A1D0" w14:textId="223F60CB" w:rsidR="00800F3E" w:rsidRDefault="00725AD5" w:rsidP="00800F3E">
      <w:pPr>
        <w:spacing w:before="0" w:after="160" w:line="259" w:lineRule="auto"/>
        <w:rPr>
          <w:rFonts w:cs="Arial"/>
        </w:rPr>
      </w:pPr>
      <w:r w:rsidRPr="00725AD5">
        <w:rPr>
          <w:rFonts w:cs="Arial"/>
        </w:rPr>
        <w:t xml:space="preserve">Where appropriate, consider local configurations in </w:t>
      </w:r>
      <w:proofErr w:type="spellStart"/>
      <w:r w:rsidRPr="00725AD5">
        <w:rPr>
          <w:rFonts w:cs="Arial"/>
        </w:rPr>
        <w:t>eMM</w:t>
      </w:r>
      <w:proofErr w:type="spellEnd"/>
      <w:r w:rsidRPr="00725AD5">
        <w:rPr>
          <w:rFonts w:cs="Arial"/>
        </w:rPr>
        <w:t xml:space="preserve"> systems to enable preferential selection of order sentences/care sets that use lower volumes of fluids for IV administration.</w:t>
      </w:r>
    </w:p>
    <w:p w14:paraId="1E552616" w14:textId="09E74E97" w:rsidR="00800F3E" w:rsidRDefault="00725AD5" w:rsidP="00800F3E">
      <w:pPr>
        <w:spacing w:before="0" w:after="160" w:line="259" w:lineRule="auto"/>
        <w:rPr>
          <w:rFonts w:cs="Arial"/>
        </w:rPr>
      </w:pPr>
      <w:r w:rsidRPr="00725AD5">
        <w:rPr>
          <w:rFonts w:cs="Arial"/>
        </w:rPr>
        <w:t>Consider whether infusion pumps and other programmable devices may be impacted by any changes in IV bag volume/composition.</w:t>
      </w:r>
    </w:p>
    <w:p w14:paraId="0EDCDB65" w14:textId="71873AFD" w:rsidR="00725AD5" w:rsidRPr="00DC2C97" w:rsidRDefault="00725AD5" w:rsidP="00725AD5">
      <w:pPr>
        <w:spacing w:before="0" w:after="160" w:line="259" w:lineRule="auto"/>
        <w:rPr>
          <w:b/>
          <w:bCs/>
        </w:rPr>
      </w:pPr>
      <w:r w:rsidRPr="00DC2C97">
        <w:rPr>
          <w:b/>
          <w:bCs/>
        </w:rPr>
        <w:lastRenderedPageBreak/>
        <w:t>Table 2</w:t>
      </w:r>
      <w:r>
        <w:rPr>
          <w:b/>
          <w:bCs/>
        </w:rPr>
        <w:t>.</w:t>
      </w:r>
      <w:r w:rsidRPr="00DC2C97">
        <w:rPr>
          <w:b/>
          <w:bCs/>
        </w:rPr>
        <w:t xml:space="preserve"> </w:t>
      </w:r>
      <w:r>
        <w:rPr>
          <w:b/>
          <w:bCs/>
        </w:rPr>
        <w:t>Safety</w:t>
      </w:r>
      <w:r w:rsidRPr="00DC2C97">
        <w:rPr>
          <w:b/>
          <w:bCs/>
        </w:rPr>
        <w:t xml:space="preserve"> considerations when conducting a local risk assessment.</w:t>
      </w:r>
    </w:p>
    <w:tbl>
      <w:tblPr>
        <w:tblStyle w:val="TableGrid"/>
        <w:tblW w:w="0" w:type="auto"/>
        <w:tblLook w:val="04A0" w:firstRow="1" w:lastRow="0" w:firstColumn="1" w:lastColumn="0" w:noHBand="0" w:noVBand="1"/>
      </w:tblPr>
      <w:tblGrid>
        <w:gridCol w:w="2405"/>
        <w:gridCol w:w="7223"/>
      </w:tblGrid>
      <w:tr w:rsidR="00725AD5" w14:paraId="335BA6E5" w14:textId="77777777" w:rsidTr="005659E6">
        <w:trPr>
          <w:cnfStyle w:val="100000000000" w:firstRow="1" w:lastRow="0" w:firstColumn="0" w:lastColumn="0" w:oddVBand="0" w:evenVBand="0" w:oddHBand="0" w:evenHBand="0" w:firstRowFirstColumn="0" w:firstRowLastColumn="0" w:lastRowFirstColumn="0" w:lastRowLastColumn="0"/>
        </w:trPr>
        <w:tc>
          <w:tcPr>
            <w:tcW w:w="2405" w:type="dxa"/>
          </w:tcPr>
          <w:p w14:paraId="49D958A7" w14:textId="77777777" w:rsidR="00725AD5" w:rsidRDefault="00725AD5" w:rsidP="005659E6">
            <w:pPr>
              <w:rPr>
                <w:b w:val="0"/>
              </w:rPr>
            </w:pPr>
            <w:r>
              <w:t xml:space="preserve">Safety issue </w:t>
            </w:r>
          </w:p>
        </w:tc>
        <w:tc>
          <w:tcPr>
            <w:tcW w:w="7223" w:type="dxa"/>
          </w:tcPr>
          <w:p w14:paraId="322AE9E4" w14:textId="77777777" w:rsidR="00725AD5" w:rsidRDefault="00725AD5" w:rsidP="005659E6">
            <w:r>
              <w:t>Consideration</w:t>
            </w:r>
          </w:p>
        </w:tc>
      </w:tr>
      <w:tr w:rsidR="00725AD5" w14:paraId="0D0E7FA7" w14:textId="77777777" w:rsidTr="005659E6">
        <w:trPr>
          <w:trHeight w:val="795"/>
        </w:trPr>
        <w:tc>
          <w:tcPr>
            <w:tcW w:w="2405" w:type="dxa"/>
          </w:tcPr>
          <w:p w14:paraId="5E1E7B94" w14:textId="77777777" w:rsidR="00725AD5" w:rsidRPr="006C2170" w:rsidRDefault="00725AD5" w:rsidP="005659E6">
            <w:pPr>
              <w:rPr>
                <w:b/>
                <w:bCs/>
              </w:rPr>
            </w:pPr>
            <w:r w:rsidRPr="006C2170">
              <w:rPr>
                <w:b/>
                <w:bCs/>
              </w:rPr>
              <w:t xml:space="preserve">Presentation </w:t>
            </w:r>
          </w:p>
        </w:tc>
        <w:tc>
          <w:tcPr>
            <w:tcW w:w="7223" w:type="dxa"/>
          </w:tcPr>
          <w:p w14:paraId="5277B52E" w14:textId="77777777" w:rsidR="00725AD5" w:rsidRDefault="00725AD5" w:rsidP="005659E6">
            <w:r>
              <w:t>Consider the labelling language and whether translation is required.</w:t>
            </w:r>
          </w:p>
          <w:p w14:paraId="556E8C70" w14:textId="77777777" w:rsidR="00725AD5" w:rsidRPr="000A08B8" w:rsidRDefault="00725AD5" w:rsidP="005659E6">
            <w:r>
              <w:t xml:space="preserve">Consider the material(s) utilised to make the bag. For example: Polyvinyl chloride (PVC), plastic polypropylene and non-PVC. </w:t>
            </w:r>
          </w:p>
        </w:tc>
      </w:tr>
      <w:tr w:rsidR="00725AD5" w14:paraId="390CDF48" w14:textId="77777777" w:rsidTr="005659E6">
        <w:trPr>
          <w:trHeight w:val="795"/>
        </w:trPr>
        <w:tc>
          <w:tcPr>
            <w:tcW w:w="2405" w:type="dxa"/>
          </w:tcPr>
          <w:p w14:paraId="0043F0C7" w14:textId="77777777" w:rsidR="00725AD5" w:rsidRPr="006C2170" w:rsidRDefault="00725AD5" w:rsidP="005659E6">
            <w:pPr>
              <w:rPr>
                <w:b/>
                <w:bCs/>
              </w:rPr>
            </w:pPr>
            <w:r w:rsidRPr="006C2170">
              <w:rPr>
                <w:b/>
                <w:bCs/>
              </w:rPr>
              <w:t>Available volume(s)</w:t>
            </w:r>
          </w:p>
        </w:tc>
        <w:tc>
          <w:tcPr>
            <w:tcW w:w="7223" w:type="dxa"/>
          </w:tcPr>
          <w:p w14:paraId="4978C43B" w14:textId="77777777" w:rsidR="00725AD5" w:rsidRPr="000A08B8" w:rsidRDefault="00725AD5" w:rsidP="005659E6">
            <w:r>
              <w:t xml:space="preserve">Consider the available bag volume(s) and impact on patient administration. </w:t>
            </w:r>
          </w:p>
        </w:tc>
      </w:tr>
      <w:tr w:rsidR="00725AD5" w14:paraId="7434C0C0" w14:textId="77777777" w:rsidTr="005659E6">
        <w:trPr>
          <w:trHeight w:val="795"/>
        </w:trPr>
        <w:tc>
          <w:tcPr>
            <w:tcW w:w="2405" w:type="dxa"/>
          </w:tcPr>
          <w:p w14:paraId="3DDE98D6" w14:textId="77777777" w:rsidR="00725AD5" w:rsidRPr="006C2170" w:rsidRDefault="00725AD5" w:rsidP="005659E6">
            <w:pPr>
              <w:rPr>
                <w:b/>
                <w:bCs/>
              </w:rPr>
            </w:pPr>
            <w:r w:rsidRPr="006C2170">
              <w:rPr>
                <w:b/>
                <w:bCs/>
              </w:rPr>
              <w:t xml:space="preserve">Storage </w:t>
            </w:r>
          </w:p>
        </w:tc>
        <w:tc>
          <w:tcPr>
            <w:tcW w:w="7223" w:type="dxa"/>
          </w:tcPr>
          <w:p w14:paraId="1F9A0EC1" w14:textId="77777777" w:rsidR="00725AD5" w:rsidRPr="000A08B8" w:rsidRDefault="00725AD5" w:rsidP="005659E6">
            <w:r w:rsidRPr="006C2170">
              <w:t xml:space="preserve">Consider the use of additional signage on shelving or stock containers to assist with alerting clinicians </w:t>
            </w:r>
            <w:r>
              <w:t>to</w:t>
            </w:r>
            <w:r w:rsidRPr="006C2170">
              <w:t xml:space="preserve"> the disruption to supply at the point of use (for example, ‘ALERT: CRITICAL DISRUPTION TO SUPPLY – consider alternate options available’).</w:t>
            </w:r>
          </w:p>
        </w:tc>
      </w:tr>
      <w:tr w:rsidR="00725AD5" w14:paraId="73F54DA1" w14:textId="77777777" w:rsidTr="005659E6">
        <w:trPr>
          <w:trHeight w:val="795"/>
        </w:trPr>
        <w:tc>
          <w:tcPr>
            <w:tcW w:w="2405" w:type="dxa"/>
          </w:tcPr>
          <w:p w14:paraId="26D38042" w14:textId="77777777" w:rsidR="00725AD5" w:rsidRPr="006C2170" w:rsidRDefault="00725AD5" w:rsidP="005659E6">
            <w:pPr>
              <w:rPr>
                <w:b/>
                <w:bCs/>
              </w:rPr>
            </w:pPr>
            <w:r w:rsidRPr="006C2170">
              <w:rPr>
                <w:b/>
                <w:bCs/>
              </w:rPr>
              <w:t>Other</w:t>
            </w:r>
          </w:p>
        </w:tc>
        <w:tc>
          <w:tcPr>
            <w:tcW w:w="7223" w:type="dxa"/>
          </w:tcPr>
          <w:p w14:paraId="1AEC3D38" w14:textId="109B0A4A" w:rsidR="00725AD5" w:rsidRPr="000A08B8" w:rsidRDefault="003268D7" w:rsidP="005659E6">
            <w:r w:rsidRPr="003268D7">
              <w:t>Ensure pH range is suitable. Check for any excipients and any manipulation requirements for the port protector.</w:t>
            </w:r>
          </w:p>
        </w:tc>
      </w:tr>
    </w:tbl>
    <w:p w14:paraId="195CC847" w14:textId="660A5FDD" w:rsidR="00576B87" w:rsidRPr="00516C6B" w:rsidRDefault="00576B87" w:rsidP="00576B87">
      <w:pPr>
        <w:pStyle w:val="Heading2"/>
        <w:rPr>
          <w:b w:val="0"/>
          <w:bCs/>
          <w:sz w:val="22"/>
          <w:szCs w:val="22"/>
        </w:rPr>
      </w:pPr>
      <w:r>
        <w:t>Useful resources</w:t>
      </w:r>
    </w:p>
    <w:p w14:paraId="45149BF9" w14:textId="24CCB220" w:rsidR="00A810F4" w:rsidRPr="00A810F4" w:rsidRDefault="00576B87" w:rsidP="00A810F4">
      <w:pPr>
        <w:pStyle w:val="Bulletlist"/>
        <w:numPr>
          <w:ilvl w:val="0"/>
          <w:numId w:val="38"/>
        </w:numPr>
        <w:rPr>
          <w:b/>
        </w:rPr>
      </w:pPr>
      <w:hyperlink r:id="rId26" w:history="1">
        <w:r w:rsidRPr="00A810F4">
          <w:rPr>
            <w:rStyle w:val="Hyperlink"/>
          </w:rPr>
          <w:t>About the shortage of intravenous (IV) fluids</w:t>
        </w:r>
      </w:hyperlink>
      <w:r w:rsidRPr="00A34262">
        <w:t>. Therapeutic Goods Administration (TGA)</w:t>
      </w:r>
      <w:r w:rsidR="00A810F4">
        <w:t>.</w:t>
      </w:r>
      <w:r w:rsidRPr="00A34262">
        <w:t xml:space="preserve"> </w:t>
      </w:r>
      <w:r w:rsidR="00A810F4" w:rsidRPr="00A810F4">
        <w:t>8</w:t>
      </w:r>
      <w:r w:rsidR="00A810F4">
        <w:t> </w:t>
      </w:r>
      <w:r w:rsidR="00A810F4" w:rsidRPr="00A810F4">
        <w:t>Aug 2024 [cited 14 Aug 2024]</w:t>
      </w:r>
    </w:p>
    <w:p w14:paraId="60B0012A" w14:textId="505E92DD" w:rsidR="00576B87" w:rsidRPr="00A34262" w:rsidRDefault="00576B87" w:rsidP="00576B87">
      <w:pPr>
        <w:pStyle w:val="Bulletlist"/>
        <w:numPr>
          <w:ilvl w:val="0"/>
          <w:numId w:val="38"/>
        </w:numPr>
        <w:rPr>
          <w:b/>
        </w:rPr>
      </w:pPr>
      <w:hyperlink r:id="rId27" w:history="1">
        <w:r w:rsidRPr="00A810F4">
          <w:rPr>
            <w:rStyle w:val="Hyperlink"/>
          </w:rPr>
          <w:t>Guidance on sparing of intravenous fluid use</w:t>
        </w:r>
      </w:hyperlink>
      <w:r w:rsidRPr="00A34262">
        <w:t xml:space="preserve">. Australian and New Zealand College of Anaesthetists and Faculty of Pain Medicine (ANZCA). </w:t>
      </w:r>
      <w:r w:rsidR="00A810F4" w:rsidRPr="00A810F4">
        <w:t>01 Aug 2024 [cited 14 Aug 2024]</w:t>
      </w:r>
    </w:p>
    <w:p w14:paraId="5B29853E" w14:textId="6EB14C8E" w:rsidR="00576B87" w:rsidRPr="000A08B8" w:rsidRDefault="00576B87" w:rsidP="00576B87">
      <w:pPr>
        <w:pStyle w:val="Bulletlist"/>
        <w:numPr>
          <w:ilvl w:val="0"/>
          <w:numId w:val="38"/>
        </w:numPr>
        <w:rPr>
          <w:b/>
        </w:rPr>
      </w:pPr>
      <w:hyperlink r:id="rId28" w:anchor="page=8" w:history="1">
        <w:r w:rsidRPr="00A810F4">
          <w:rPr>
            <w:rStyle w:val="Hyperlink"/>
          </w:rPr>
          <w:t>Fasting guideline</w:t>
        </w:r>
      </w:hyperlink>
      <w:r w:rsidRPr="00A34262">
        <w:t>. Australian and New Zealand College of Anaesthetists and Faculty of Pain Medicine (ANZCA). [Accessed 14 Aug 2024</w:t>
      </w:r>
      <w:r w:rsidR="00E92843">
        <w:t xml:space="preserve"> – Appendix 1 incorporated into single document updated 17 Dec 2024</w:t>
      </w:r>
      <w:r w:rsidRPr="00A34262">
        <w:t>]</w:t>
      </w:r>
    </w:p>
    <w:p w14:paraId="62E98552" w14:textId="01E2814A" w:rsidR="00576B87" w:rsidRPr="000A08B8" w:rsidRDefault="00576B87" w:rsidP="00576B87">
      <w:pPr>
        <w:pStyle w:val="Bulletlist"/>
        <w:numPr>
          <w:ilvl w:val="0"/>
          <w:numId w:val="38"/>
        </w:numPr>
        <w:rPr>
          <w:rStyle w:val="Hyperlink"/>
          <w:b/>
          <w:color w:val="000000" w:themeColor="text1"/>
          <w:u w:val="none"/>
        </w:rPr>
      </w:pPr>
      <w:r w:rsidRPr="00A34262">
        <w:t xml:space="preserve">Therapeutic Goods Administration (TGA) publishes medicine </w:t>
      </w:r>
      <w:r w:rsidRPr="000A08B8">
        <w:rPr>
          <w:lang w:val="en-GB"/>
        </w:rPr>
        <w:t xml:space="preserve">updates and information on approved products under Section 19A, on the TGA </w:t>
      </w:r>
      <w:hyperlink r:id="rId29" w:history="1">
        <w:r w:rsidRPr="000A08B8">
          <w:rPr>
            <w:rStyle w:val="Hyperlink"/>
            <w:szCs w:val="22"/>
            <w:lang w:val="en-GB"/>
          </w:rPr>
          <w:t>Section 19A approvals database</w:t>
        </w:r>
      </w:hyperlink>
    </w:p>
    <w:p w14:paraId="33AC86E9" w14:textId="5C3C528C"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0" w:history="1">
        <w:r w:rsidRPr="00A34262">
          <w:rPr>
            <w:rStyle w:val="Hyperlink"/>
            <w:rFonts w:eastAsia="Calibri" w:cs="Arial"/>
            <w:szCs w:val="22"/>
          </w:rPr>
          <w:t>guidance on conserving medicines within a focus on medicines shortages</w:t>
        </w:r>
      </w:hyperlink>
    </w:p>
    <w:p w14:paraId="7CC0769A" w14:textId="1137A033" w:rsidR="00576B87" w:rsidRDefault="00576B87" w:rsidP="00576B87">
      <w:pPr>
        <w:pStyle w:val="Bulletlist"/>
        <w:numPr>
          <w:ilvl w:val="0"/>
          <w:numId w:val="35"/>
        </w:numPr>
        <w:rPr>
          <w:rFonts w:eastAsia="Calibri" w:cs="Arial"/>
          <w:szCs w:val="22"/>
        </w:rPr>
      </w:pPr>
      <w:hyperlink r:id="rId31" w:history="1">
        <w:proofErr w:type="spellStart"/>
        <w:r w:rsidRPr="00A34262">
          <w:rPr>
            <w:rStyle w:val="Hyperlink"/>
            <w:rFonts w:eastAsia="Calibri" w:cs="Arial"/>
            <w:szCs w:val="22"/>
          </w:rPr>
          <w:t>eTG</w:t>
        </w:r>
        <w:proofErr w:type="spellEnd"/>
        <w:r w:rsidRPr="00A34262">
          <w:rPr>
            <w:rStyle w:val="Hyperlink"/>
            <w:rFonts w:eastAsia="Calibri" w:cs="Arial"/>
            <w:szCs w:val="22"/>
          </w:rPr>
          <w:t xml:space="preserve"> complete</w:t>
        </w:r>
      </w:hyperlink>
      <w:r w:rsidRPr="00A34262">
        <w:rPr>
          <w:rFonts w:eastAsia="Calibri" w:cs="Arial"/>
          <w:szCs w:val="22"/>
        </w:rPr>
        <w:t xml:space="preserve"> [online]. Melbourne: Therapeutic Guidelines Limited</w:t>
      </w:r>
    </w:p>
    <w:p w14:paraId="7E92E99A" w14:textId="1E09881D" w:rsidR="00576B87" w:rsidRPr="000A08B8" w:rsidRDefault="00576B87" w:rsidP="00576B87">
      <w:pPr>
        <w:pStyle w:val="Bulletlist"/>
        <w:numPr>
          <w:ilvl w:val="0"/>
          <w:numId w:val="35"/>
        </w:numPr>
        <w:rPr>
          <w:rFonts w:eastAsia="Calibri" w:cs="Arial"/>
          <w:szCs w:val="22"/>
        </w:rPr>
      </w:pPr>
      <w:hyperlink r:id="rId32" w:history="1">
        <w:r w:rsidRPr="00A34262">
          <w:rPr>
            <w:rStyle w:val="Hyperlink"/>
            <w:szCs w:val="22"/>
          </w:rPr>
          <w:t>Australian Injectable Drugs Handbook</w:t>
        </w:r>
      </w:hyperlink>
      <w:r w:rsidRPr="00A34262">
        <w:t xml:space="preserve"> [online]. Melbourne: The Society of Hospital Pharmacists of Australia (SHPA)</w:t>
      </w:r>
    </w:p>
    <w:p w14:paraId="6518BC4B" w14:textId="13BE7128" w:rsidR="00576B87" w:rsidRPr="000A08B8" w:rsidRDefault="00576B87" w:rsidP="00576B87">
      <w:pPr>
        <w:pStyle w:val="Bulletlist"/>
        <w:numPr>
          <w:ilvl w:val="0"/>
          <w:numId w:val="35"/>
        </w:numPr>
        <w:rPr>
          <w:rFonts w:eastAsia="Calibri" w:cs="Arial"/>
          <w:szCs w:val="22"/>
        </w:rPr>
      </w:pPr>
      <w:hyperlink r:id="rId33" w:history="1">
        <w:r w:rsidRPr="00A34262">
          <w:rPr>
            <w:rStyle w:val="Hyperlink"/>
            <w:szCs w:val="22"/>
          </w:rPr>
          <w:t>Australian Medicines Handbook</w:t>
        </w:r>
      </w:hyperlink>
      <w:r w:rsidRPr="00A34262">
        <w:t xml:space="preserve"> [online]. Adelaide: Australian Medicines Handbook Pty Ltd</w:t>
      </w:r>
    </w:p>
    <w:p w14:paraId="00FC7320" w14:textId="6EB7943A" w:rsidR="00576B87" w:rsidRPr="00A34262"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4" w:history="1">
        <w:r w:rsidRPr="00A34262">
          <w:rPr>
            <w:rStyle w:val="Hyperlink"/>
            <w:rFonts w:eastAsia="Calibri" w:cs="Arial"/>
            <w:szCs w:val="22"/>
          </w:rPr>
          <w:t>general information for prescribers and pharmacists</w:t>
        </w:r>
      </w:hyperlink>
      <w:r w:rsidRPr="00A34262">
        <w:rPr>
          <w:rFonts w:eastAsia="Calibri" w:cs="Arial"/>
          <w:szCs w:val="22"/>
        </w:rPr>
        <w:t xml:space="preserve"> on how to manage </w:t>
      </w:r>
      <w:r>
        <w:rPr>
          <w:rFonts w:eastAsia="Calibri" w:cs="Arial"/>
          <w:szCs w:val="22"/>
        </w:rPr>
        <w:t xml:space="preserve">antimicrobial </w:t>
      </w:r>
      <w:r w:rsidRPr="00A34262">
        <w:rPr>
          <w:rFonts w:eastAsia="Calibri" w:cs="Arial"/>
          <w:szCs w:val="22"/>
        </w:rPr>
        <w:t>shortages in acute and primary healthcare settings</w:t>
      </w:r>
    </w:p>
    <w:p w14:paraId="6FD938FC" w14:textId="77777777" w:rsidR="00576B87" w:rsidRDefault="00576B87" w:rsidP="00576B87">
      <w:pPr>
        <w:pStyle w:val="Bulletlist"/>
        <w:numPr>
          <w:ilvl w:val="0"/>
          <w:numId w:val="35"/>
        </w:numPr>
        <w:rPr>
          <w:rFonts w:eastAsia="Calibri" w:cs="Arial"/>
          <w:szCs w:val="22"/>
        </w:rPr>
      </w:pPr>
      <w:r w:rsidRPr="00A34262">
        <w:rPr>
          <w:rFonts w:eastAsia="Calibri" w:cs="Arial"/>
          <w:szCs w:val="22"/>
        </w:rPr>
        <w:t xml:space="preserve">Australian Commission on Safety and Quality in Health Care </w:t>
      </w:r>
      <w:hyperlink r:id="rId35" w:history="1">
        <w:r w:rsidRPr="00A34262">
          <w:rPr>
            <w:rStyle w:val="Hyperlink"/>
            <w:rFonts w:eastAsia="Calibri" w:cs="Arial"/>
            <w:szCs w:val="22"/>
          </w:rPr>
          <w:t>Principles for safe selection and storage of medicines</w:t>
        </w:r>
      </w:hyperlink>
      <w:r w:rsidRPr="00A34262">
        <w:rPr>
          <w:rFonts w:eastAsia="Calibri" w:cs="Arial"/>
          <w:szCs w:val="22"/>
        </w:rPr>
        <w:t xml:space="preserve"> provides guidance on risk reduction strategies to address safe selection and storage of all medicines.</w:t>
      </w:r>
    </w:p>
    <w:p w14:paraId="6C20197E" w14:textId="77777777" w:rsidR="00845B80" w:rsidRDefault="00845B80" w:rsidP="00845B80">
      <w:pPr>
        <w:pStyle w:val="Bulletlist"/>
        <w:rPr>
          <w:rFonts w:eastAsia="Calibri" w:cs="Arial"/>
          <w:szCs w:val="22"/>
        </w:rPr>
      </w:pPr>
    </w:p>
    <w:p w14:paraId="6E1DDA6D" w14:textId="77777777" w:rsidR="00845B80" w:rsidRDefault="00845B80" w:rsidP="00845B80">
      <w:pPr>
        <w:pStyle w:val="Bulletlist"/>
        <w:rPr>
          <w:rFonts w:eastAsia="Calibri" w:cs="Arial"/>
          <w:szCs w:val="22"/>
        </w:rPr>
      </w:pPr>
    </w:p>
    <w:p w14:paraId="739A4363" w14:textId="77777777" w:rsidR="00845B80" w:rsidRDefault="00845B80" w:rsidP="00845B80">
      <w:pPr>
        <w:pStyle w:val="Bulletlist"/>
        <w:rPr>
          <w:rFonts w:eastAsia="Calibri" w:cs="Arial"/>
          <w:szCs w:val="22"/>
        </w:rPr>
      </w:pPr>
    </w:p>
    <w:p w14:paraId="3AE2B86F" w14:textId="77777777" w:rsidR="00845B80" w:rsidRDefault="00845B80" w:rsidP="00845B80">
      <w:pPr>
        <w:pStyle w:val="Bulletlist"/>
        <w:rPr>
          <w:rFonts w:eastAsia="Calibri" w:cs="Arial"/>
          <w:szCs w:val="22"/>
        </w:rPr>
      </w:pPr>
    </w:p>
    <w:p w14:paraId="3B2B4D25" w14:textId="77777777" w:rsidR="00845B80" w:rsidRDefault="00845B80" w:rsidP="00845B80">
      <w:pPr>
        <w:pStyle w:val="Bulletlist"/>
        <w:rPr>
          <w:rFonts w:eastAsia="Calibri" w:cs="Arial"/>
          <w:szCs w:val="22"/>
        </w:rPr>
      </w:pPr>
    </w:p>
    <w:p w14:paraId="7B6C1BBF" w14:textId="77777777" w:rsidR="00576B87" w:rsidRDefault="00576B87" w:rsidP="00576B87">
      <w:pPr>
        <w:pStyle w:val="FigureTableTitle"/>
        <w:rPr>
          <w:rFonts w:eastAsia="Calibri"/>
        </w:rPr>
      </w:pPr>
      <w:r>
        <w:rPr>
          <w:rFonts w:eastAsia="Calibri"/>
        </w:rPr>
        <w:lastRenderedPageBreak/>
        <w:t xml:space="preserve">State and Territory safety alerts and guidance </w:t>
      </w:r>
    </w:p>
    <w:p w14:paraId="7D717208" w14:textId="76F5749E" w:rsidR="00576B87" w:rsidRPr="00630A9D" w:rsidRDefault="00576B87" w:rsidP="00576B87">
      <w:pPr>
        <w:pStyle w:val="Bulletlist"/>
        <w:numPr>
          <w:ilvl w:val="0"/>
          <w:numId w:val="35"/>
        </w:numPr>
        <w:rPr>
          <w:rFonts w:eastAsia="Calibri" w:cs="Arial"/>
          <w:szCs w:val="22"/>
        </w:rPr>
      </w:pPr>
      <w:r>
        <w:t xml:space="preserve">NSW Health: </w:t>
      </w:r>
      <w:hyperlink r:id="rId36" w:history="1">
        <w:r w:rsidRPr="00D42D32">
          <w:rPr>
            <w:rStyle w:val="Hyperlink"/>
          </w:rPr>
          <w:t xml:space="preserve">Safety Alert </w:t>
        </w:r>
        <w:r w:rsidR="00D42D32" w:rsidRPr="00D42D32">
          <w:rPr>
            <w:rStyle w:val="Hyperlink"/>
          </w:rPr>
          <w:t>015</w:t>
        </w:r>
        <w:r w:rsidRPr="00D42D32">
          <w:rPr>
            <w:rStyle w:val="Hyperlink"/>
          </w:rPr>
          <w:t>/24 – UPDATED Critical disruption to the supply of multiple intravenous fluid bags</w:t>
        </w:r>
      </w:hyperlink>
      <w:r>
        <w:t xml:space="preserve"> (</w:t>
      </w:r>
      <w:r w:rsidR="00D42D32">
        <w:t xml:space="preserve">17 </w:t>
      </w:r>
      <w:r w:rsidR="00EC329C">
        <w:t>Oct</w:t>
      </w:r>
      <w:r>
        <w:t xml:space="preserve"> 2024)</w:t>
      </w:r>
    </w:p>
    <w:p w14:paraId="0430A2A8" w14:textId="3FD0FAD1" w:rsidR="00576B87" w:rsidRPr="00630A9D" w:rsidRDefault="00576B87" w:rsidP="00576B87">
      <w:pPr>
        <w:pStyle w:val="Bulletlist"/>
        <w:numPr>
          <w:ilvl w:val="0"/>
          <w:numId w:val="35"/>
        </w:numPr>
        <w:rPr>
          <w:rFonts w:eastAsia="Calibri" w:cs="Arial"/>
          <w:szCs w:val="22"/>
        </w:rPr>
      </w:pPr>
      <w:r>
        <w:t xml:space="preserve">Clinical Excellence Commission (CEC) New South Wales: </w:t>
      </w:r>
      <w:hyperlink r:id="rId37" w:history="1">
        <w:r w:rsidRPr="008568CB">
          <w:rPr>
            <w:rStyle w:val="Hyperlink"/>
          </w:rPr>
          <w:t>Clinical recommendations for managing intravenous (IV) fluids shortage</w:t>
        </w:r>
      </w:hyperlink>
      <w:r>
        <w:t xml:space="preserve"> (06 Aug 2024)</w:t>
      </w:r>
    </w:p>
    <w:p w14:paraId="58DCC359" w14:textId="70698EF4" w:rsidR="00576B87" w:rsidRPr="008568CB" w:rsidRDefault="00576B87" w:rsidP="00576B87">
      <w:pPr>
        <w:pStyle w:val="Bulletlist"/>
        <w:numPr>
          <w:ilvl w:val="0"/>
          <w:numId w:val="35"/>
        </w:numPr>
        <w:rPr>
          <w:rFonts w:eastAsia="Calibri" w:cs="Arial"/>
          <w:szCs w:val="22"/>
        </w:rPr>
      </w:pPr>
      <w:r w:rsidRPr="00A34262">
        <w:t>Clinical Excellence Commission (CEC) New South Wales</w:t>
      </w:r>
      <w:r>
        <w:t>:</w:t>
      </w:r>
      <w:r w:rsidRPr="00A34262">
        <w:t xml:space="preserve"> </w:t>
      </w:r>
      <w:hyperlink r:id="rId38" w:history="1">
        <w:r w:rsidRPr="00A34262">
          <w:rPr>
            <w:rStyle w:val="Hyperlink"/>
            <w:szCs w:val="22"/>
          </w:rPr>
          <w:t>Risk of air embolism when administering intravenous fluids without in-line air detection</w:t>
        </w:r>
      </w:hyperlink>
      <w:r w:rsidRPr="00A34262">
        <w:t xml:space="preserve"> provides </w:t>
      </w:r>
      <w:r w:rsidRPr="000A08B8">
        <w:rPr>
          <w:rFonts w:cs="Arial"/>
        </w:rPr>
        <w:t>further information about the risk of air embolism when administering IV fluids without the use of in-line air detection</w:t>
      </w:r>
    </w:p>
    <w:p w14:paraId="283F0FA4" w14:textId="4800E5F9" w:rsidR="00576B87" w:rsidRPr="008568CB"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39" w:history="1">
        <w:r w:rsidRPr="008568CB">
          <w:rPr>
            <w:rStyle w:val="Hyperlink"/>
            <w:rFonts w:cs="Arial"/>
          </w:rPr>
          <w:t>Intravenous (IV) fluid bags – International alternatives and associated safety considerations</w:t>
        </w:r>
      </w:hyperlink>
      <w:r>
        <w:rPr>
          <w:rFonts w:cs="Arial"/>
        </w:rPr>
        <w:t xml:space="preserve"> (06 Aug 2024)</w:t>
      </w:r>
      <w:r w:rsidR="002E3C2C">
        <w:rPr>
          <w:rFonts w:cs="Arial"/>
        </w:rPr>
        <w:t>.</w:t>
      </w:r>
    </w:p>
    <w:p w14:paraId="1647C60C" w14:textId="1C9E1397" w:rsidR="00576B87" w:rsidRPr="000C5A0A" w:rsidRDefault="00576B87" w:rsidP="00576B87">
      <w:pPr>
        <w:pStyle w:val="Bulletlist"/>
        <w:numPr>
          <w:ilvl w:val="0"/>
          <w:numId w:val="35"/>
        </w:numPr>
        <w:rPr>
          <w:rFonts w:eastAsia="Calibri" w:cs="Arial"/>
          <w:szCs w:val="22"/>
        </w:rPr>
      </w:pPr>
      <w:r>
        <w:rPr>
          <w:rFonts w:cs="Arial"/>
        </w:rPr>
        <w:t xml:space="preserve">Clinical Excellence Commission (CEC) New South Wales: </w:t>
      </w:r>
      <w:hyperlink r:id="rId40" w:history="1">
        <w:r w:rsidRPr="008568CB">
          <w:rPr>
            <w:rStyle w:val="Hyperlink"/>
            <w:rFonts w:cs="Arial"/>
          </w:rPr>
          <w:t>Intravenous Fluids Stewardship (IVFS)</w:t>
        </w:r>
      </w:hyperlink>
      <w:r>
        <w:rPr>
          <w:rFonts w:cs="Arial"/>
        </w:rPr>
        <w:t xml:space="preserve"> (06 Aug 2024)</w:t>
      </w:r>
    </w:p>
    <w:p w14:paraId="5A856810" w14:textId="77623F86" w:rsidR="00576B87" w:rsidRPr="000C5A0A" w:rsidRDefault="00576B87" w:rsidP="00576B87">
      <w:pPr>
        <w:pStyle w:val="Bulletlist"/>
        <w:numPr>
          <w:ilvl w:val="0"/>
          <w:numId w:val="35"/>
        </w:numPr>
        <w:rPr>
          <w:rFonts w:eastAsia="Calibri" w:cs="Arial"/>
          <w:szCs w:val="22"/>
        </w:rPr>
      </w:pPr>
      <w:r>
        <w:rPr>
          <w:rFonts w:cs="Arial"/>
        </w:rPr>
        <w:t>Queensland Health: Patient Safety Alert 14/2024 – Supply disruption affecting intravenous fluid products (09 Aug 2024)</w:t>
      </w:r>
    </w:p>
    <w:p w14:paraId="4AF6265F" w14:textId="524E6898" w:rsidR="00576B87" w:rsidRPr="000A08B8" w:rsidRDefault="00576B87" w:rsidP="00576B87">
      <w:pPr>
        <w:pStyle w:val="Bulletlist"/>
        <w:numPr>
          <w:ilvl w:val="0"/>
          <w:numId w:val="35"/>
        </w:numPr>
        <w:rPr>
          <w:rFonts w:eastAsia="Calibri" w:cs="Arial"/>
          <w:szCs w:val="22"/>
        </w:rPr>
      </w:pPr>
      <w:r>
        <w:rPr>
          <w:rFonts w:cs="Arial"/>
        </w:rPr>
        <w:t xml:space="preserve">South Australia Health: </w:t>
      </w:r>
      <w:hyperlink r:id="rId41" w:history="1">
        <w:r w:rsidRPr="000C5A0A">
          <w:rPr>
            <w:rStyle w:val="Hyperlink"/>
            <w:rFonts w:cs="Arial"/>
          </w:rPr>
          <w:t>Medication Safety Alert 01/24 – Critical disruption to supply of multiple intravenous fluid bags</w:t>
        </w:r>
      </w:hyperlink>
      <w:r>
        <w:rPr>
          <w:rFonts w:cs="Arial"/>
        </w:rPr>
        <w:t xml:space="preserve"> (23 Jul 2024)</w:t>
      </w:r>
      <w:r w:rsidR="00454D33">
        <w:rPr>
          <w:rFonts w:cs="Arial"/>
        </w:rPr>
        <w:t>.</w:t>
      </w:r>
    </w:p>
    <w:p w14:paraId="602AEE51" w14:textId="37C09FDF" w:rsidR="00576B87" w:rsidRDefault="00454D33" w:rsidP="00576B87">
      <w:pPr>
        <w:pStyle w:val="FigureTableTitle"/>
        <w:rPr>
          <w:rFonts w:eastAsia="Calibri"/>
        </w:rPr>
      </w:pPr>
      <w:r w:rsidRPr="00454D33">
        <w:rPr>
          <w:rFonts w:eastAsia="Calibri"/>
        </w:rPr>
        <w:t>Antimicrobial stewardship processes – IV to oral antibiotic switch resources</w:t>
      </w:r>
    </w:p>
    <w:p w14:paraId="6280ACF7" w14:textId="5B8A8ABC" w:rsidR="00454D33" w:rsidRDefault="00454D33" w:rsidP="00454D33">
      <w:pPr>
        <w:rPr>
          <w:rFonts w:eastAsia="Calibri"/>
        </w:rPr>
      </w:pPr>
      <w:proofErr w:type="gramStart"/>
      <w:r w:rsidRPr="00454D33">
        <w:rPr>
          <w:rFonts w:eastAsia="Calibri"/>
        </w:rPr>
        <w:t>A number of</w:t>
      </w:r>
      <w:proofErr w:type="gramEnd"/>
      <w:r w:rsidRPr="00454D33">
        <w:rPr>
          <w:rFonts w:eastAsia="Calibri"/>
        </w:rPr>
        <w:t xml:space="preserve"> resources are available to guide IV to oral antibiotic switch:</w:t>
      </w:r>
    </w:p>
    <w:p w14:paraId="28890D1C" w14:textId="4F95C233" w:rsidR="00454D33" w:rsidRDefault="00454D33" w:rsidP="00454D33">
      <w:pPr>
        <w:pStyle w:val="ListParagraph"/>
        <w:numPr>
          <w:ilvl w:val="0"/>
          <w:numId w:val="9"/>
        </w:numPr>
        <w:spacing w:after="0"/>
      </w:pPr>
      <w:r w:rsidRPr="004360EF">
        <w:t>Therapeutic Guidelines Antibiotic.</w:t>
      </w:r>
      <w:r>
        <w:t xml:space="preserve"> </w:t>
      </w:r>
      <w:hyperlink r:id="rId42" w:anchor="toc_d1e231" w:history="1">
        <w:r w:rsidRPr="004360EF">
          <w:rPr>
            <w:rStyle w:val="Hyperlink"/>
          </w:rPr>
          <w:t>Guidance for antimicrobial intravenous to oral switch</w:t>
        </w:r>
      </w:hyperlink>
    </w:p>
    <w:p w14:paraId="2FF27550" w14:textId="77777777" w:rsidR="00454D33" w:rsidRPr="00454529" w:rsidRDefault="00454D33" w:rsidP="00454D33">
      <w:pPr>
        <w:pStyle w:val="ListParagraph"/>
        <w:numPr>
          <w:ilvl w:val="0"/>
          <w:numId w:val="9"/>
        </w:numPr>
      </w:pPr>
      <w:r w:rsidRPr="00AE6D86">
        <w:rPr>
          <w:rFonts w:eastAsia="Calibri" w:cs="Arial"/>
        </w:rPr>
        <w:t>Australian Commission on Safety and Quality in Health Care</w:t>
      </w:r>
      <w:r>
        <w:rPr>
          <w:rFonts w:eastAsia="Calibri" w:cs="Arial"/>
        </w:rPr>
        <w:t xml:space="preserve">: </w:t>
      </w:r>
      <w:hyperlink r:id="rId43" w:history="1">
        <w:r w:rsidRPr="00B672F8">
          <w:rPr>
            <w:rStyle w:val="Hyperlink"/>
            <w:rFonts w:eastAsia="Calibri" w:cs="Arial"/>
          </w:rPr>
          <w:t>Antimicrobial Stewardship in Australian Health Care</w:t>
        </w:r>
      </w:hyperlink>
      <w:r>
        <w:rPr>
          <w:rFonts w:eastAsia="Calibri" w:cs="Arial"/>
        </w:rPr>
        <w:t xml:space="preserve"> (2023) (See Chapters 3 and 20)</w:t>
      </w:r>
    </w:p>
    <w:p w14:paraId="73BB6718" w14:textId="77777777" w:rsidR="00454D33" w:rsidRDefault="00454D33" w:rsidP="00454D33">
      <w:pPr>
        <w:pStyle w:val="ListParagraph"/>
        <w:numPr>
          <w:ilvl w:val="0"/>
          <w:numId w:val="9"/>
        </w:numPr>
      </w:pPr>
      <w:r>
        <w:rPr>
          <w:rFonts w:eastAsia="Calibri" w:cs="Arial"/>
        </w:rPr>
        <w:t xml:space="preserve">Australian Commission on Safety and Quality in Health Care: </w:t>
      </w:r>
      <w:hyperlink r:id="rId44" w:history="1">
        <w:r w:rsidRPr="00454529">
          <w:rPr>
            <w:rStyle w:val="Hyperlink"/>
            <w:rFonts w:eastAsia="Calibri" w:cs="Arial"/>
          </w:rPr>
          <w:t>Antimicrobial Stewardship Clinical Care Standard</w:t>
        </w:r>
      </w:hyperlink>
      <w:r>
        <w:rPr>
          <w:rFonts w:eastAsia="Calibri" w:cs="Arial"/>
        </w:rPr>
        <w:t xml:space="preserve"> (2020)</w:t>
      </w:r>
    </w:p>
    <w:p w14:paraId="76735E8E" w14:textId="77777777" w:rsidR="00454D33" w:rsidRDefault="00454D33" w:rsidP="00454D33">
      <w:pPr>
        <w:pStyle w:val="ListParagraph"/>
        <w:numPr>
          <w:ilvl w:val="0"/>
          <w:numId w:val="9"/>
        </w:numPr>
        <w:spacing w:after="0"/>
      </w:pPr>
      <w:r>
        <w:t xml:space="preserve">Clinical Excellence Commission (CEC) NSW: </w:t>
      </w:r>
      <w:hyperlink r:id="rId45" w:history="1">
        <w:r w:rsidRPr="00B672F8">
          <w:rPr>
            <w:rStyle w:val="Hyperlink"/>
          </w:rPr>
          <w:t>IV to Oral Antibiotic Switch</w:t>
        </w:r>
      </w:hyperlink>
    </w:p>
    <w:p w14:paraId="7EEBD706" w14:textId="77777777" w:rsidR="00454D33" w:rsidRDefault="00454D33" w:rsidP="00454D33">
      <w:pPr>
        <w:pStyle w:val="ListParagraph"/>
        <w:numPr>
          <w:ilvl w:val="0"/>
          <w:numId w:val="9"/>
        </w:numPr>
        <w:spacing w:after="0"/>
      </w:pPr>
      <w:r>
        <w:t xml:space="preserve">Children’s Health Queensland Hospital and Health Service: </w:t>
      </w:r>
      <w:hyperlink r:id="rId46" w:history="1">
        <w:r w:rsidRPr="00B672F8">
          <w:rPr>
            <w:rStyle w:val="Hyperlink"/>
          </w:rPr>
          <w:t>Antimicrobial treatment: Early intravenous to oral switch – Paediatric Guideline</w:t>
        </w:r>
      </w:hyperlink>
      <w:r>
        <w:t xml:space="preserve"> </w:t>
      </w:r>
    </w:p>
    <w:p w14:paraId="71A14301" w14:textId="77777777" w:rsidR="00454D33" w:rsidRDefault="00454D33" w:rsidP="00454D33">
      <w:pPr>
        <w:pStyle w:val="ListParagraph"/>
        <w:numPr>
          <w:ilvl w:val="0"/>
          <w:numId w:val="9"/>
        </w:numPr>
        <w:spacing w:after="0"/>
      </w:pPr>
      <w:r>
        <w:t xml:space="preserve">South Australia Health: </w:t>
      </w:r>
      <w:hyperlink r:id="rId47" w:history="1">
        <w:r w:rsidRPr="005E50AA">
          <w:rPr>
            <w:rStyle w:val="Hyperlink"/>
          </w:rPr>
          <w:t>IV to Oral Switch Clinical Guideline for Adult Patients: Can Antimicrobials S.T.O.P.?</w:t>
        </w:r>
      </w:hyperlink>
      <w:r>
        <w:t xml:space="preserve"> (2023)</w:t>
      </w:r>
    </w:p>
    <w:p w14:paraId="22000CF4" w14:textId="24950DA4" w:rsidR="00454D33" w:rsidRDefault="00454D33" w:rsidP="00454D33">
      <w:pPr>
        <w:pStyle w:val="ListParagraph"/>
        <w:numPr>
          <w:ilvl w:val="0"/>
          <w:numId w:val="9"/>
        </w:numPr>
        <w:spacing w:after="0"/>
      </w:pPr>
      <w:r>
        <w:t>Perth Children’s Hospital: Children’s Antimicrobial Management Program (</w:t>
      </w:r>
      <w:proofErr w:type="spellStart"/>
      <w:r>
        <w:t>ChAMP</w:t>
      </w:r>
      <w:proofErr w:type="spellEnd"/>
      <w:r>
        <w:t xml:space="preserve">) – </w:t>
      </w:r>
      <w:hyperlink r:id="rId48" w:history="1">
        <w:r w:rsidRPr="005E50AA">
          <w:rPr>
            <w:rStyle w:val="Hyperlink"/>
          </w:rPr>
          <w:t>Intravenous to Oral Switch Guideline</w:t>
        </w:r>
      </w:hyperlink>
      <w:r w:rsidR="00120493">
        <w:t>.</w:t>
      </w:r>
    </w:p>
    <w:p w14:paraId="6A05712A" w14:textId="77777777" w:rsidR="00576B87" w:rsidRDefault="00576B87" w:rsidP="00576B87">
      <w:pPr>
        <w:pStyle w:val="Heading2"/>
      </w:pPr>
      <w:r>
        <w:t>Find out more</w:t>
      </w:r>
    </w:p>
    <w:p w14:paraId="4BC44F97" w14:textId="22A2CA72" w:rsidR="00454D33" w:rsidRDefault="00576B87" w:rsidP="00576B87">
      <w:r>
        <w:t xml:space="preserve">For more information, visit TGA </w:t>
      </w:r>
      <w:r w:rsidRPr="00454D33">
        <w:t>Medicine Shortage Reports Database</w:t>
      </w:r>
      <w:r>
        <w:t xml:space="preserve"> or conta</w:t>
      </w:r>
      <w:r>
        <w:softHyphen/>
        <w:t xml:space="preserve">ct the </w:t>
      </w:r>
      <w:r w:rsidR="00211C05">
        <w:t xml:space="preserve">Commission </w:t>
      </w:r>
      <w:r>
        <w:t>at </w:t>
      </w:r>
      <w:hyperlink r:id="rId49" w:history="1">
        <w:r w:rsidR="00D42D32">
          <w:rPr>
            <w:rStyle w:val="Hyperlink"/>
          </w:rPr>
          <w:t>medsafety</w:t>
        </w:r>
        <w:r w:rsidR="00D42D32" w:rsidRPr="00717EB0">
          <w:rPr>
            <w:rStyle w:val="Hyperlink"/>
          </w:rPr>
          <w:t>@safetyandquality.gov.au</w:t>
        </w:r>
      </w:hyperlink>
      <w:r>
        <w:t xml:space="preserve"> or call 1800 304 056.</w:t>
      </w:r>
    </w:p>
    <w:p w14:paraId="5E3DAC53" w14:textId="77777777" w:rsidR="00576B87" w:rsidRPr="00EA0B96" w:rsidRDefault="00576B87" w:rsidP="00576B87">
      <w:pPr>
        <w:pStyle w:val="SandQwebaddress"/>
        <w:rPr>
          <w:b/>
          <w:bCs/>
          <w:color w:val="005370"/>
          <w:sz w:val="26"/>
          <w:szCs w:val="26"/>
        </w:rPr>
      </w:pPr>
      <w:hyperlink r:id="rId50" w:history="1">
        <w:r w:rsidRPr="000811F9">
          <w:rPr>
            <w:rStyle w:val="Hyperlink"/>
            <w:b/>
            <w:bCs/>
            <w:sz w:val="26"/>
            <w:szCs w:val="26"/>
            <w:u w:val="none"/>
          </w:rPr>
          <w:t>safetyandquality.gov.au</w:t>
        </w:r>
      </w:hyperlink>
    </w:p>
    <w:p w14:paraId="1BF81B51" w14:textId="5A3D46C3" w:rsidR="00800F3E" w:rsidRPr="00454D33" w:rsidRDefault="00576B87" w:rsidP="00454D33">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111316C1" wp14:editId="245CB378">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and Quality in Health Care</w:t>
      </w:r>
      <w:r w:rsidRPr="00265DCB">
        <w:rPr>
          <w:rStyle w:val="Roman"/>
          <w:rFonts w:eastAsia="MS Gothic"/>
        </w:rPr>
        <w:t xml:space="preserve"> </w:t>
      </w:r>
      <w:r w:rsidR="003F0F52" w:rsidRPr="00265DCB">
        <w:rPr>
          <w:rStyle w:val="Roman"/>
          <w:rFonts w:eastAsia="MS Gothic"/>
        </w:rPr>
        <w:t>202</w:t>
      </w:r>
      <w:r w:rsidR="003F0F52">
        <w:rPr>
          <w:rStyle w:val="Roman"/>
          <w:rFonts w:eastAsia="MS Gothic"/>
        </w:rPr>
        <w:t>5</w:t>
      </w:r>
      <w:r w:rsidR="003F0F52" w:rsidRPr="00265DCB" w:rsidDel="00174535">
        <w:rPr>
          <w:rStyle w:val="Roman"/>
          <w:rFonts w:eastAsia="MS Gothic"/>
        </w:rPr>
        <w:t xml:space="preserve"> </w:t>
      </w:r>
    </w:p>
    <w:sectPr w:rsidR="00800F3E" w:rsidRPr="00454D33" w:rsidSect="00B93CD5">
      <w:headerReference w:type="even" r:id="rId52"/>
      <w:headerReference w:type="default" r:id="rId53"/>
      <w:footerReference w:type="even" r:id="rId54"/>
      <w:footerReference w:type="default" r:id="rId55"/>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8D7C" w14:textId="77777777" w:rsidR="00B90E4B" w:rsidRDefault="00B90E4B" w:rsidP="000B0274">
      <w:r>
        <w:separator/>
      </w:r>
    </w:p>
    <w:p w14:paraId="6386BB4A" w14:textId="77777777" w:rsidR="00B90E4B" w:rsidRDefault="00B90E4B"/>
    <w:p w14:paraId="42CBFFCB" w14:textId="77777777" w:rsidR="00B90E4B" w:rsidRDefault="00B90E4B"/>
    <w:p w14:paraId="2720D687" w14:textId="77777777" w:rsidR="00B90E4B" w:rsidRDefault="00B90E4B"/>
    <w:p w14:paraId="31D2D355" w14:textId="77777777" w:rsidR="00B90E4B" w:rsidRDefault="00B90E4B"/>
  </w:endnote>
  <w:endnote w:type="continuationSeparator" w:id="0">
    <w:p w14:paraId="705175A9" w14:textId="77777777" w:rsidR="00B90E4B" w:rsidRDefault="00B90E4B" w:rsidP="000B0274">
      <w:r>
        <w:continuationSeparator/>
      </w:r>
    </w:p>
    <w:p w14:paraId="001BCB3D" w14:textId="77777777" w:rsidR="00B90E4B" w:rsidRDefault="00B90E4B"/>
    <w:p w14:paraId="4550815B" w14:textId="77777777" w:rsidR="00B90E4B" w:rsidRDefault="00B90E4B"/>
    <w:p w14:paraId="3C7F619E" w14:textId="77777777" w:rsidR="00B90E4B" w:rsidRDefault="00B90E4B"/>
    <w:p w14:paraId="7DD0BF4A" w14:textId="77777777" w:rsidR="00B90E4B" w:rsidRDefault="00B90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9D37" w14:textId="77777777" w:rsidR="00A5694A" w:rsidRDefault="00A5694A" w:rsidP="00D84622">
    <w:pPr>
      <w:pStyle w:val="Footer"/>
    </w:pPr>
  </w:p>
  <w:p w14:paraId="1CD6FB95" w14:textId="77777777" w:rsidR="00070812" w:rsidRDefault="00070812"/>
  <w:p w14:paraId="7E7E4A3B" w14:textId="77777777" w:rsidR="008B014E" w:rsidRDefault="008B014E"/>
  <w:p w14:paraId="4DF2C81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79C1" w14:textId="52021C57" w:rsidR="008B014E" w:rsidRDefault="004C168E" w:rsidP="004C168E">
    <w:pPr>
      <w:pStyle w:val="Footer"/>
    </w:pPr>
    <w:r>
      <w:t>Fact Sheet</w:t>
    </w:r>
    <w:r w:rsidR="00FD0868">
      <w:t xml:space="preserve">: Conservation </w:t>
    </w:r>
    <w:r w:rsidR="00930BFB">
      <w:t xml:space="preserve">strategies </w:t>
    </w:r>
    <w:r w:rsidR="00FD0868">
      <w:t>and safety considerations during intravenous (IV) fluids supply disruption</w:t>
    </w:r>
    <w:r w:rsidR="003F0F52">
      <w:t xml:space="preserve"> – Version 2.0 (8 January 2025)</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E195" w14:textId="77777777" w:rsidR="00B90E4B" w:rsidRDefault="00B90E4B" w:rsidP="000B0274">
      <w:r>
        <w:separator/>
      </w:r>
    </w:p>
    <w:p w14:paraId="46A6FDA0" w14:textId="77777777" w:rsidR="00B90E4B" w:rsidRDefault="00B90E4B"/>
    <w:p w14:paraId="0F5CBD91" w14:textId="77777777" w:rsidR="00B90E4B" w:rsidRDefault="00B90E4B"/>
    <w:p w14:paraId="73E1205D" w14:textId="77777777" w:rsidR="00B90E4B" w:rsidRDefault="00B90E4B"/>
    <w:p w14:paraId="1EA394EF" w14:textId="77777777" w:rsidR="00B90E4B" w:rsidRDefault="00B90E4B"/>
  </w:footnote>
  <w:footnote w:type="continuationSeparator" w:id="0">
    <w:p w14:paraId="727B902C" w14:textId="77777777" w:rsidR="00B90E4B" w:rsidRDefault="00B90E4B" w:rsidP="000B0274">
      <w:r>
        <w:continuationSeparator/>
      </w:r>
    </w:p>
    <w:p w14:paraId="0956CAD2" w14:textId="77777777" w:rsidR="00B90E4B" w:rsidRDefault="00B90E4B"/>
    <w:p w14:paraId="61AF7DE1" w14:textId="77777777" w:rsidR="00B90E4B" w:rsidRDefault="00B90E4B"/>
    <w:p w14:paraId="247D054B" w14:textId="77777777" w:rsidR="00B90E4B" w:rsidRDefault="00B90E4B"/>
    <w:p w14:paraId="6B40DEF1" w14:textId="77777777" w:rsidR="00B90E4B" w:rsidRDefault="00B90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6AC6" w14:textId="77777777" w:rsidR="00A5694A" w:rsidRDefault="00A5694A"/>
  <w:p w14:paraId="25842B70" w14:textId="77777777" w:rsidR="00070812" w:rsidRDefault="00070812"/>
  <w:p w14:paraId="5A8324C1" w14:textId="77777777" w:rsidR="008B014E" w:rsidRDefault="008B014E"/>
  <w:p w14:paraId="7425DB60"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F129" w14:textId="4BE5141F" w:rsidR="008B014E" w:rsidRDefault="00A4706D" w:rsidP="0090335E">
    <w:pPr>
      <w:pStyle w:val="Copyright"/>
      <w:tabs>
        <w:tab w:val="left" w:pos="6900"/>
      </w:tabs>
    </w:pPr>
    <w:r>
      <w:rPr>
        <w:noProof/>
      </w:rPr>
      <w:drawing>
        <wp:inline distT="0" distB="0" distL="0" distR="0" wp14:anchorId="59FB6954" wp14:editId="55EC1DE8">
          <wp:extent cx="4147718" cy="532104"/>
          <wp:effectExtent l="0" t="0" r="0" b="1905"/>
          <wp:docPr id="1660382887" name="Picture 1660382887"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1"/>
                  <a:srcRect t="2676" r="32461"/>
                  <a:stretch/>
                </pic:blipFill>
                <pic:spPr bwMode="auto">
                  <a:xfrm>
                    <a:off x="0" y="0"/>
                    <a:ext cx="4173140" cy="535365"/>
                  </a:xfrm>
                  <a:prstGeom prst="rect">
                    <a:avLst/>
                  </a:prstGeom>
                  <a:ln>
                    <a:noFill/>
                  </a:ln>
                  <a:extLst>
                    <a:ext uri="{53640926-AAD7-44D8-BBD7-CCE9431645EC}">
                      <a14:shadowObscured xmlns:a14="http://schemas.microsoft.com/office/drawing/2010/main"/>
                    </a:ext>
                  </a:extLst>
                </pic:spPr>
              </pic:pic>
            </a:graphicData>
          </a:graphic>
        </wp:inline>
      </w:drawing>
    </w:r>
    <w:r w:rsidR="00FD08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736B8"/>
    <w:multiLevelType w:val="hybridMultilevel"/>
    <w:tmpl w:val="9D80B2B0"/>
    <w:lvl w:ilvl="0" w:tplc="469C5E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5354303"/>
    <w:multiLevelType w:val="hybridMultilevel"/>
    <w:tmpl w:val="B404780E"/>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A6B050D"/>
    <w:multiLevelType w:val="hybridMultilevel"/>
    <w:tmpl w:val="E0FC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73EFD"/>
    <w:multiLevelType w:val="hybridMultilevel"/>
    <w:tmpl w:val="CCE4CA7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2C305DB"/>
    <w:multiLevelType w:val="hybridMultilevel"/>
    <w:tmpl w:val="CAD4CF30"/>
    <w:lvl w:ilvl="0" w:tplc="230C08D0">
      <w:numFmt w:val="bullet"/>
      <w:lvlText w:val="■"/>
      <w:lvlJc w:val="left"/>
      <w:pPr>
        <w:ind w:left="365" w:hanging="256"/>
      </w:pPr>
      <w:rPr>
        <w:rFonts w:ascii="Arial" w:eastAsia="Arial" w:hAnsi="Arial" w:cs="Arial" w:hint="default"/>
        <w:b w:val="0"/>
        <w:bCs w:val="0"/>
        <w:i w:val="0"/>
        <w:iCs w:val="0"/>
        <w:spacing w:val="0"/>
        <w:w w:val="122"/>
        <w:sz w:val="12"/>
        <w:szCs w:val="12"/>
        <w:lang w:val="en-US" w:eastAsia="en-US" w:bidi="ar-SA"/>
      </w:rPr>
    </w:lvl>
    <w:lvl w:ilvl="1" w:tplc="8DAEB40C">
      <w:numFmt w:val="bullet"/>
      <w:lvlText w:val="•"/>
      <w:lvlJc w:val="left"/>
      <w:pPr>
        <w:ind w:left="830" w:hanging="256"/>
      </w:pPr>
      <w:rPr>
        <w:rFonts w:hint="default"/>
        <w:lang w:val="en-US" w:eastAsia="en-US" w:bidi="ar-SA"/>
      </w:rPr>
    </w:lvl>
    <w:lvl w:ilvl="2" w:tplc="BB229F06">
      <w:numFmt w:val="bullet"/>
      <w:lvlText w:val="•"/>
      <w:lvlJc w:val="left"/>
      <w:pPr>
        <w:ind w:left="1300" w:hanging="256"/>
      </w:pPr>
      <w:rPr>
        <w:rFonts w:hint="default"/>
        <w:lang w:val="en-US" w:eastAsia="en-US" w:bidi="ar-SA"/>
      </w:rPr>
    </w:lvl>
    <w:lvl w:ilvl="3" w:tplc="2898D2A6">
      <w:numFmt w:val="bullet"/>
      <w:lvlText w:val="•"/>
      <w:lvlJc w:val="left"/>
      <w:pPr>
        <w:ind w:left="1770" w:hanging="256"/>
      </w:pPr>
      <w:rPr>
        <w:rFonts w:hint="default"/>
        <w:lang w:val="en-US" w:eastAsia="en-US" w:bidi="ar-SA"/>
      </w:rPr>
    </w:lvl>
    <w:lvl w:ilvl="4" w:tplc="E74858BC">
      <w:numFmt w:val="bullet"/>
      <w:lvlText w:val="•"/>
      <w:lvlJc w:val="left"/>
      <w:pPr>
        <w:ind w:left="2240" w:hanging="256"/>
      </w:pPr>
      <w:rPr>
        <w:rFonts w:hint="default"/>
        <w:lang w:val="en-US" w:eastAsia="en-US" w:bidi="ar-SA"/>
      </w:rPr>
    </w:lvl>
    <w:lvl w:ilvl="5" w:tplc="A2A892B0">
      <w:numFmt w:val="bullet"/>
      <w:lvlText w:val="•"/>
      <w:lvlJc w:val="left"/>
      <w:pPr>
        <w:ind w:left="2710" w:hanging="256"/>
      </w:pPr>
      <w:rPr>
        <w:rFonts w:hint="default"/>
        <w:lang w:val="en-US" w:eastAsia="en-US" w:bidi="ar-SA"/>
      </w:rPr>
    </w:lvl>
    <w:lvl w:ilvl="6" w:tplc="E97E19C2">
      <w:numFmt w:val="bullet"/>
      <w:lvlText w:val="•"/>
      <w:lvlJc w:val="left"/>
      <w:pPr>
        <w:ind w:left="3180" w:hanging="256"/>
      </w:pPr>
      <w:rPr>
        <w:rFonts w:hint="default"/>
        <w:lang w:val="en-US" w:eastAsia="en-US" w:bidi="ar-SA"/>
      </w:rPr>
    </w:lvl>
    <w:lvl w:ilvl="7" w:tplc="81481CA6">
      <w:numFmt w:val="bullet"/>
      <w:lvlText w:val="•"/>
      <w:lvlJc w:val="left"/>
      <w:pPr>
        <w:ind w:left="3650" w:hanging="256"/>
      </w:pPr>
      <w:rPr>
        <w:rFonts w:hint="default"/>
        <w:lang w:val="en-US" w:eastAsia="en-US" w:bidi="ar-SA"/>
      </w:rPr>
    </w:lvl>
    <w:lvl w:ilvl="8" w:tplc="868A03B4">
      <w:numFmt w:val="bullet"/>
      <w:lvlText w:val="•"/>
      <w:lvlJc w:val="left"/>
      <w:pPr>
        <w:ind w:left="4121" w:hanging="256"/>
      </w:pPr>
      <w:rPr>
        <w:rFonts w:hint="default"/>
        <w:lang w:val="en-US" w:eastAsia="en-US" w:bidi="ar-SA"/>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4B3023"/>
    <w:multiLevelType w:val="hybridMultilevel"/>
    <w:tmpl w:val="D4F0A736"/>
    <w:lvl w:ilvl="0" w:tplc="6FCE8F1C">
      <w:numFmt w:val="bullet"/>
      <w:lvlText w:val="■"/>
      <w:lvlJc w:val="left"/>
      <w:pPr>
        <w:ind w:left="538" w:hanging="256"/>
      </w:pPr>
      <w:rPr>
        <w:rFonts w:ascii="Arial" w:eastAsia="Arial" w:hAnsi="Arial" w:cs="Arial" w:hint="default"/>
        <w:b w:val="0"/>
        <w:bCs w:val="0"/>
        <w:i w:val="0"/>
        <w:iCs w:val="0"/>
        <w:spacing w:val="0"/>
        <w:w w:val="122"/>
        <w:sz w:val="12"/>
        <w:szCs w:val="12"/>
        <w:lang w:val="en-US" w:eastAsia="en-US" w:bidi="ar-SA"/>
      </w:rPr>
    </w:lvl>
    <w:lvl w:ilvl="1" w:tplc="9594B78C">
      <w:numFmt w:val="bullet"/>
      <w:lvlText w:val="•"/>
      <w:lvlJc w:val="left"/>
      <w:pPr>
        <w:ind w:left="1040" w:hanging="256"/>
      </w:pPr>
      <w:rPr>
        <w:rFonts w:hint="default"/>
        <w:lang w:val="en-US" w:eastAsia="en-US" w:bidi="ar-SA"/>
      </w:rPr>
    </w:lvl>
    <w:lvl w:ilvl="2" w:tplc="1EA04FE6">
      <w:numFmt w:val="bullet"/>
      <w:lvlText w:val="•"/>
      <w:lvlJc w:val="left"/>
      <w:pPr>
        <w:ind w:left="1540" w:hanging="256"/>
      </w:pPr>
      <w:rPr>
        <w:rFonts w:hint="default"/>
        <w:lang w:val="en-US" w:eastAsia="en-US" w:bidi="ar-SA"/>
      </w:rPr>
    </w:lvl>
    <w:lvl w:ilvl="3" w:tplc="9ABEEE80">
      <w:numFmt w:val="bullet"/>
      <w:lvlText w:val="•"/>
      <w:lvlJc w:val="left"/>
      <w:pPr>
        <w:ind w:left="2040" w:hanging="256"/>
      </w:pPr>
      <w:rPr>
        <w:rFonts w:hint="default"/>
        <w:lang w:val="en-US" w:eastAsia="en-US" w:bidi="ar-SA"/>
      </w:rPr>
    </w:lvl>
    <w:lvl w:ilvl="4" w:tplc="5EB4AC72">
      <w:numFmt w:val="bullet"/>
      <w:lvlText w:val="•"/>
      <w:lvlJc w:val="left"/>
      <w:pPr>
        <w:ind w:left="2541" w:hanging="256"/>
      </w:pPr>
      <w:rPr>
        <w:rFonts w:hint="default"/>
        <w:lang w:val="en-US" w:eastAsia="en-US" w:bidi="ar-SA"/>
      </w:rPr>
    </w:lvl>
    <w:lvl w:ilvl="5" w:tplc="21CE4BC4">
      <w:numFmt w:val="bullet"/>
      <w:lvlText w:val="•"/>
      <w:lvlJc w:val="left"/>
      <w:pPr>
        <w:ind w:left="3041" w:hanging="256"/>
      </w:pPr>
      <w:rPr>
        <w:rFonts w:hint="default"/>
        <w:lang w:val="en-US" w:eastAsia="en-US" w:bidi="ar-SA"/>
      </w:rPr>
    </w:lvl>
    <w:lvl w:ilvl="6" w:tplc="29622184">
      <w:numFmt w:val="bullet"/>
      <w:lvlText w:val="•"/>
      <w:lvlJc w:val="left"/>
      <w:pPr>
        <w:ind w:left="3541" w:hanging="256"/>
      </w:pPr>
      <w:rPr>
        <w:rFonts w:hint="default"/>
        <w:lang w:val="en-US" w:eastAsia="en-US" w:bidi="ar-SA"/>
      </w:rPr>
    </w:lvl>
    <w:lvl w:ilvl="7" w:tplc="1D441C8C">
      <w:numFmt w:val="bullet"/>
      <w:lvlText w:val="•"/>
      <w:lvlJc w:val="left"/>
      <w:pPr>
        <w:ind w:left="4042" w:hanging="256"/>
      </w:pPr>
      <w:rPr>
        <w:rFonts w:hint="default"/>
        <w:lang w:val="en-US" w:eastAsia="en-US" w:bidi="ar-SA"/>
      </w:rPr>
    </w:lvl>
    <w:lvl w:ilvl="8" w:tplc="B12E9CFA">
      <w:numFmt w:val="bullet"/>
      <w:lvlText w:val="•"/>
      <w:lvlJc w:val="left"/>
      <w:pPr>
        <w:ind w:left="4542" w:hanging="256"/>
      </w:pPr>
      <w:rPr>
        <w:rFonts w:hint="default"/>
        <w:lang w:val="en-US" w:eastAsia="en-US" w:bidi="ar-SA"/>
      </w:rPr>
    </w:lvl>
  </w:abstractNum>
  <w:abstractNum w:abstractNumId="29" w15:restartNumberingAfterBreak="0">
    <w:nsid w:val="4BA83BAD"/>
    <w:multiLevelType w:val="hybridMultilevel"/>
    <w:tmpl w:val="5418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6934BA"/>
    <w:multiLevelType w:val="hybridMultilevel"/>
    <w:tmpl w:val="1E5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F6026"/>
    <w:multiLevelType w:val="hybridMultilevel"/>
    <w:tmpl w:val="C88E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652657"/>
    <w:multiLevelType w:val="hybridMultilevel"/>
    <w:tmpl w:val="F89A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BED29BF"/>
    <w:multiLevelType w:val="hybridMultilevel"/>
    <w:tmpl w:val="614E7FD0"/>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16B5E"/>
    <w:multiLevelType w:val="hybridMultilevel"/>
    <w:tmpl w:val="D56E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82BE3"/>
    <w:multiLevelType w:val="hybridMultilevel"/>
    <w:tmpl w:val="9092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1"/>
  </w:num>
  <w:num w:numId="2" w16cid:durableId="1112822231">
    <w:abstractNumId w:val="13"/>
  </w:num>
  <w:num w:numId="3" w16cid:durableId="2010399634">
    <w:abstractNumId w:val="21"/>
  </w:num>
  <w:num w:numId="4" w16cid:durableId="1896118276">
    <w:abstractNumId w:val="30"/>
  </w:num>
  <w:num w:numId="5" w16cid:durableId="300960936">
    <w:abstractNumId w:val="27"/>
  </w:num>
  <w:num w:numId="6" w16cid:durableId="460001979">
    <w:abstractNumId w:val="14"/>
  </w:num>
  <w:num w:numId="7" w16cid:durableId="1272736034">
    <w:abstractNumId w:val="16"/>
  </w:num>
  <w:num w:numId="8" w16cid:durableId="281155201">
    <w:abstractNumId w:val="12"/>
  </w:num>
  <w:num w:numId="9" w16cid:durableId="1959675322">
    <w:abstractNumId w:val="39"/>
  </w:num>
  <w:num w:numId="10" w16cid:durableId="1185750376">
    <w:abstractNumId w:val="20"/>
  </w:num>
  <w:num w:numId="11" w16cid:durableId="1123500894">
    <w:abstractNumId w:val="18"/>
  </w:num>
  <w:num w:numId="12" w16cid:durableId="825979626">
    <w:abstractNumId w:val="36"/>
  </w:num>
  <w:num w:numId="13" w16cid:durableId="977683346">
    <w:abstractNumId w:val="19"/>
  </w:num>
  <w:num w:numId="14" w16cid:durableId="2057927306">
    <w:abstractNumId w:val="25"/>
  </w:num>
  <w:num w:numId="15" w16cid:durableId="1126317256">
    <w:abstractNumId w:val="40"/>
  </w:num>
  <w:num w:numId="16" w16cid:durableId="1986926756">
    <w:abstractNumId w:val="23"/>
  </w:num>
  <w:num w:numId="17" w16cid:durableId="230846978">
    <w:abstractNumId w:val="17"/>
  </w:num>
  <w:num w:numId="18" w16cid:durableId="222760772">
    <w:abstractNumId w:val="33"/>
  </w:num>
  <w:num w:numId="19" w16cid:durableId="1502430373">
    <w:abstractNumId w:val="34"/>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1024596984">
    <w:abstractNumId w:val="22"/>
  </w:num>
  <w:num w:numId="31" w16cid:durableId="1964380793">
    <w:abstractNumId w:val="35"/>
  </w:num>
  <w:num w:numId="32" w16cid:durableId="962272173">
    <w:abstractNumId w:val="37"/>
  </w:num>
  <w:num w:numId="33" w16cid:durableId="779572440">
    <w:abstractNumId w:val="10"/>
  </w:num>
  <w:num w:numId="34" w16cid:durableId="1475294529">
    <w:abstractNumId w:val="29"/>
  </w:num>
  <w:num w:numId="35" w16cid:durableId="758523625">
    <w:abstractNumId w:val="38"/>
  </w:num>
  <w:num w:numId="36" w16cid:durableId="98770579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8464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8599002">
    <w:abstractNumId w:val="32"/>
  </w:num>
  <w:num w:numId="39" w16cid:durableId="540292141">
    <w:abstractNumId w:val="24"/>
  </w:num>
  <w:num w:numId="40" w16cid:durableId="2041783436">
    <w:abstractNumId w:val="15"/>
  </w:num>
  <w:num w:numId="41" w16cid:durableId="254900864">
    <w:abstractNumId w:val="28"/>
  </w:num>
  <w:num w:numId="42" w16cid:durableId="1504516867">
    <w:abstractNumId w:val="26"/>
  </w:num>
  <w:num w:numId="43" w16cid:durableId="197691121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03"/>
    <w:rsid w:val="00002668"/>
    <w:rsid w:val="00003743"/>
    <w:rsid w:val="00003EA6"/>
    <w:rsid w:val="000077FA"/>
    <w:rsid w:val="0001053B"/>
    <w:rsid w:val="00011096"/>
    <w:rsid w:val="00012782"/>
    <w:rsid w:val="00013AF4"/>
    <w:rsid w:val="0001498E"/>
    <w:rsid w:val="00016D2B"/>
    <w:rsid w:val="00020DBD"/>
    <w:rsid w:val="00021BBB"/>
    <w:rsid w:val="00025818"/>
    <w:rsid w:val="00025A92"/>
    <w:rsid w:val="000300C3"/>
    <w:rsid w:val="0003162D"/>
    <w:rsid w:val="00031D5A"/>
    <w:rsid w:val="00033624"/>
    <w:rsid w:val="00034582"/>
    <w:rsid w:val="00036AB7"/>
    <w:rsid w:val="00036F5E"/>
    <w:rsid w:val="00037B0A"/>
    <w:rsid w:val="000406F8"/>
    <w:rsid w:val="00043671"/>
    <w:rsid w:val="00050775"/>
    <w:rsid w:val="00052735"/>
    <w:rsid w:val="00053D15"/>
    <w:rsid w:val="00054B74"/>
    <w:rsid w:val="00056735"/>
    <w:rsid w:val="0005737B"/>
    <w:rsid w:val="00060576"/>
    <w:rsid w:val="00063389"/>
    <w:rsid w:val="00064316"/>
    <w:rsid w:val="00064618"/>
    <w:rsid w:val="00067456"/>
    <w:rsid w:val="00067CE9"/>
    <w:rsid w:val="00070812"/>
    <w:rsid w:val="0008065C"/>
    <w:rsid w:val="000811F9"/>
    <w:rsid w:val="00086C3C"/>
    <w:rsid w:val="00090EFF"/>
    <w:rsid w:val="00091FC5"/>
    <w:rsid w:val="00092229"/>
    <w:rsid w:val="00095DA6"/>
    <w:rsid w:val="00095DC5"/>
    <w:rsid w:val="000A08B8"/>
    <w:rsid w:val="000A3F0D"/>
    <w:rsid w:val="000A4C01"/>
    <w:rsid w:val="000A6AF4"/>
    <w:rsid w:val="000A7A8A"/>
    <w:rsid w:val="000B0274"/>
    <w:rsid w:val="000B0BFE"/>
    <w:rsid w:val="000B4610"/>
    <w:rsid w:val="000B5ECB"/>
    <w:rsid w:val="000B79D3"/>
    <w:rsid w:val="000C05A2"/>
    <w:rsid w:val="000C1722"/>
    <w:rsid w:val="000C1DD4"/>
    <w:rsid w:val="000C1EC4"/>
    <w:rsid w:val="000C2E52"/>
    <w:rsid w:val="000C4899"/>
    <w:rsid w:val="000C5492"/>
    <w:rsid w:val="000C5A0A"/>
    <w:rsid w:val="000C5B0F"/>
    <w:rsid w:val="000C7A69"/>
    <w:rsid w:val="000C7A8B"/>
    <w:rsid w:val="000D017D"/>
    <w:rsid w:val="000D6405"/>
    <w:rsid w:val="000E23CF"/>
    <w:rsid w:val="000E2ADA"/>
    <w:rsid w:val="000E2F2E"/>
    <w:rsid w:val="000F0D77"/>
    <w:rsid w:val="000F29C7"/>
    <w:rsid w:val="000F6A1F"/>
    <w:rsid w:val="00100483"/>
    <w:rsid w:val="00103D17"/>
    <w:rsid w:val="00105388"/>
    <w:rsid w:val="0010673D"/>
    <w:rsid w:val="00106CF5"/>
    <w:rsid w:val="001116EF"/>
    <w:rsid w:val="0011302D"/>
    <w:rsid w:val="00115403"/>
    <w:rsid w:val="00115E61"/>
    <w:rsid w:val="00120493"/>
    <w:rsid w:val="00120FCB"/>
    <w:rsid w:val="00131E52"/>
    <w:rsid w:val="0013212C"/>
    <w:rsid w:val="00132133"/>
    <w:rsid w:val="00140002"/>
    <w:rsid w:val="00141153"/>
    <w:rsid w:val="00142D1F"/>
    <w:rsid w:val="00143A76"/>
    <w:rsid w:val="00145BE3"/>
    <w:rsid w:val="00146A66"/>
    <w:rsid w:val="001507C6"/>
    <w:rsid w:val="00153149"/>
    <w:rsid w:val="00153F4B"/>
    <w:rsid w:val="00157B31"/>
    <w:rsid w:val="00160453"/>
    <w:rsid w:val="00161CF7"/>
    <w:rsid w:val="001652A9"/>
    <w:rsid w:val="00174141"/>
    <w:rsid w:val="0017445F"/>
    <w:rsid w:val="00174535"/>
    <w:rsid w:val="0017675C"/>
    <w:rsid w:val="00183675"/>
    <w:rsid w:val="00184C86"/>
    <w:rsid w:val="001852DE"/>
    <w:rsid w:val="001859B5"/>
    <w:rsid w:val="001860B2"/>
    <w:rsid w:val="00190C81"/>
    <w:rsid w:val="001918F7"/>
    <w:rsid w:val="001921ED"/>
    <w:rsid w:val="001942C8"/>
    <w:rsid w:val="00195458"/>
    <w:rsid w:val="001962DE"/>
    <w:rsid w:val="00196AC8"/>
    <w:rsid w:val="001977FD"/>
    <w:rsid w:val="00197B21"/>
    <w:rsid w:val="001A11A5"/>
    <w:rsid w:val="001A1EBD"/>
    <w:rsid w:val="001A4A68"/>
    <w:rsid w:val="001B072E"/>
    <w:rsid w:val="001B15D1"/>
    <w:rsid w:val="001B3443"/>
    <w:rsid w:val="001B3E4F"/>
    <w:rsid w:val="001B7C8B"/>
    <w:rsid w:val="001C2AE9"/>
    <w:rsid w:val="001C7DA9"/>
    <w:rsid w:val="001D0D87"/>
    <w:rsid w:val="001D24F3"/>
    <w:rsid w:val="001E1042"/>
    <w:rsid w:val="001E2897"/>
    <w:rsid w:val="001E2D6E"/>
    <w:rsid w:val="001E38B8"/>
    <w:rsid w:val="001E77C4"/>
    <w:rsid w:val="001F3507"/>
    <w:rsid w:val="001F6D10"/>
    <w:rsid w:val="001F7642"/>
    <w:rsid w:val="00200630"/>
    <w:rsid w:val="002006BD"/>
    <w:rsid w:val="00201062"/>
    <w:rsid w:val="00204C47"/>
    <w:rsid w:val="0020592F"/>
    <w:rsid w:val="00211447"/>
    <w:rsid w:val="00211859"/>
    <w:rsid w:val="00211C05"/>
    <w:rsid w:val="00211CA7"/>
    <w:rsid w:val="00215AE1"/>
    <w:rsid w:val="00215C70"/>
    <w:rsid w:val="002166A5"/>
    <w:rsid w:val="002166FA"/>
    <w:rsid w:val="00222599"/>
    <w:rsid w:val="002255F7"/>
    <w:rsid w:val="00225927"/>
    <w:rsid w:val="0023112B"/>
    <w:rsid w:val="0023231A"/>
    <w:rsid w:val="0023375F"/>
    <w:rsid w:val="0023497E"/>
    <w:rsid w:val="00237ADF"/>
    <w:rsid w:val="00242EFC"/>
    <w:rsid w:val="002452C7"/>
    <w:rsid w:val="00245D81"/>
    <w:rsid w:val="0024767D"/>
    <w:rsid w:val="002503C3"/>
    <w:rsid w:val="00251167"/>
    <w:rsid w:val="00251CA7"/>
    <w:rsid w:val="002550A7"/>
    <w:rsid w:val="00255596"/>
    <w:rsid w:val="00255DCB"/>
    <w:rsid w:val="00255EB0"/>
    <w:rsid w:val="002568ED"/>
    <w:rsid w:val="00257657"/>
    <w:rsid w:val="00261224"/>
    <w:rsid w:val="00261F43"/>
    <w:rsid w:val="002625FB"/>
    <w:rsid w:val="00263A63"/>
    <w:rsid w:val="00264387"/>
    <w:rsid w:val="00264A5A"/>
    <w:rsid w:val="0026571A"/>
    <w:rsid w:val="00265DCB"/>
    <w:rsid w:val="002662B4"/>
    <w:rsid w:val="0026675D"/>
    <w:rsid w:val="00267635"/>
    <w:rsid w:val="00277A59"/>
    <w:rsid w:val="0028150E"/>
    <w:rsid w:val="00281FD4"/>
    <w:rsid w:val="002851F2"/>
    <w:rsid w:val="002862F0"/>
    <w:rsid w:val="00291EBD"/>
    <w:rsid w:val="00293CDE"/>
    <w:rsid w:val="002A2BEE"/>
    <w:rsid w:val="002A545C"/>
    <w:rsid w:val="002B37B6"/>
    <w:rsid w:val="002B5C6E"/>
    <w:rsid w:val="002C1CA0"/>
    <w:rsid w:val="002C1E8C"/>
    <w:rsid w:val="002C6AF0"/>
    <w:rsid w:val="002C6E07"/>
    <w:rsid w:val="002D0EB0"/>
    <w:rsid w:val="002D134A"/>
    <w:rsid w:val="002D247E"/>
    <w:rsid w:val="002D35CA"/>
    <w:rsid w:val="002E003F"/>
    <w:rsid w:val="002E195D"/>
    <w:rsid w:val="002E2DBA"/>
    <w:rsid w:val="002E3986"/>
    <w:rsid w:val="002E3C2C"/>
    <w:rsid w:val="002E6A48"/>
    <w:rsid w:val="002E7082"/>
    <w:rsid w:val="002E76A5"/>
    <w:rsid w:val="002E7C2B"/>
    <w:rsid w:val="002F3AE3"/>
    <w:rsid w:val="002F7E6F"/>
    <w:rsid w:val="00303CB2"/>
    <w:rsid w:val="00304D91"/>
    <w:rsid w:val="0030786C"/>
    <w:rsid w:val="00312A62"/>
    <w:rsid w:val="00316683"/>
    <w:rsid w:val="003268D7"/>
    <w:rsid w:val="00336AF4"/>
    <w:rsid w:val="00341202"/>
    <w:rsid w:val="00341A36"/>
    <w:rsid w:val="00341BEE"/>
    <w:rsid w:val="00343286"/>
    <w:rsid w:val="003461B7"/>
    <w:rsid w:val="0034680F"/>
    <w:rsid w:val="00346AAF"/>
    <w:rsid w:val="0035066E"/>
    <w:rsid w:val="00350BE1"/>
    <w:rsid w:val="00350DBE"/>
    <w:rsid w:val="00353FD2"/>
    <w:rsid w:val="003657DB"/>
    <w:rsid w:val="0036588B"/>
    <w:rsid w:val="00370326"/>
    <w:rsid w:val="00372C99"/>
    <w:rsid w:val="00376B94"/>
    <w:rsid w:val="00380792"/>
    <w:rsid w:val="003808E4"/>
    <w:rsid w:val="0038248B"/>
    <w:rsid w:val="00384231"/>
    <w:rsid w:val="00386683"/>
    <w:rsid w:val="003873C6"/>
    <w:rsid w:val="00392002"/>
    <w:rsid w:val="00392A85"/>
    <w:rsid w:val="00393EAB"/>
    <w:rsid w:val="003960F7"/>
    <w:rsid w:val="00396AFB"/>
    <w:rsid w:val="003A02A5"/>
    <w:rsid w:val="003A0AF0"/>
    <w:rsid w:val="003A2C98"/>
    <w:rsid w:val="003A70CE"/>
    <w:rsid w:val="003B57F2"/>
    <w:rsid w:val="003C13B8"/>
    <w:rsid w:val="003C297A"/>
    <w:rsid w:val="003C540E"/>
    <w:rsid w:val="003C5F0C"/>
    <w:rsid w:val="003C6284"/>
    <w:rsid w:val="003D17F9"/>
    <w:rsid w:val="003D3806"/>
    <w:rsid w:val="003D437B"/>
    <w:rsid w:val="003D43D1"/>
    <w:rsid w:val="003D4829"/>
    <w:rsid w:val="003D4E12"/>
    <w:rsid w:val="003E197F"/>
    <w:rsid w:val="003E6E73"/>
    <w:rsid w:val="003E76C8"/>
    <w:rsid w:val="003F0F52"/>
    <w:rsid w:val="003F1231"/>
    <w:rsid w:val="003F3F0B"/>
    <w:rsid w:val="00400F23"/>
    <w:rsid w:val="0040152C"/>
    <w:rsid w:val="004026B0"/>
    <w:rsid w:val="00402CBA"/>
    <w:rsid w:val="0040604F"/>
    <w:rsid w:val="004065B9"/>
    <w:rsid w:val="004103FD"/>
    <w:rsid w:val="00412E9D"/>
    <w:rsid w:val="00414171"/>
    <w:rsid w:val="00414952"/>
    <w:rsid w:val="004151E2"/>
    <w:rsid w:val="00423210"/>
    <w:rsid w:val="00425504"/>
    <w:rsid w:val="0042727E"/>
    <w:rsid w:val="004305D6"/>
    <w:rsid w:val="00430ED9"/>
    <w:rsid w:val="004316A8"/>
    <w:rsid w:val="00434217"/>
    <w:rsid w:val="004360EF"/>
    <w:rsid w:val="00436F51"/>
    <w:rsid w:val="004377EE"/>
    <w:rsid w:val="00440CC0"/>
    <w:rsid w:val="00440D73"/>
    <w:rsid w:val="004437F3"/>
    <w:rsid w:val="004460F4"/>
    <w:rsid w:val="00447D31"/>
    <w:rsid w:val="00452849"/>
    <w:rsid w:val="004534C1"/>
    <w:rsid w:val="00454529"/>
    <w:rsid w:val="00454D33"/>
    <w:rsid w:val="00455560"/>
    <w:rsid w:val="00456385"/>
    <w:rsid w:val="00457050"/>
    <w:rsid w:val="00461DB0"/>
    <w:rsid w:val="00465AB0"/>
    <w:rsid w:val="00470AB8"/>
    <w:rsid w:val="00477E9B"/>
    <w:rsid w:val="00482ECA"/>
    <w:rsid w:val="00484EA7"/>
    <w:rsid w:val="00485776"/>
    <w:rsid w:val="00485794"/>
    <w:rsid w:val="004867E2"/>
    <w:rsid w:val="00486826"/>
    <w:rsid w:val="0048784D"/>
    <w:rsid w:val="004915C9"/>
    <w:rsid w:val="00493AA0"/>
    <w:rsid w:val="00496605"/>
    <w:rsid w:val="004A0670"/>
    <w:rsid w:val="004A4851"/>
    <w:rsid w:val="004A4CBC"/>
    <w:rsid w:val="004A5C15"/>
    <w:rsid w:val="004A5C81"/>
    <w:rsid w:val="004B0084"/>
    <w:rsid w:val="004B0417"/>
    <w:rsid w:val="004B147D"/>
    <w:rsid w:val="004B2999"/>
    <w:rsid w:val="004C04EB"/>
    <w:rsid w:val="004C168E"/>
    <w:rsid w:val="004C3664"/>
    <w:rsid w:val="004C4927"/>
    <w:rsid w:val="004C4A74"/>
    <w:rsid w:val="004C6833"/>
    <w:rsid w:val="004D5E77"/>
    <w:rsid w:val="004E067A"/>
    <w:rsid w:val="004E179B"/>
    <w:rsid w:val="004E2389"/>
    <w:rsid w:val="004E4902"/>
    <w:rsid w:val="004E50C2"/>
    <w:rsid w:val="004E58C1"/>
    <w:rsid w:val="004F0DB8"/>
    <w:rsid w:val="004F412D"/>
    <w:rsid w:val="005038E3"/>
    <w:rsid w:val="00503CF4"/>
    <w:rsid w:val="00505824"/>
    <w:rsid w:val="005111EC"/>
    <w:rsid w:val="00514996"/>
    <w:rsid w:val="0051563D"/>
    <w:rsid w:val="00516C6B"/>
    <w:rsid w:val="005179C7"/>
    <w:rsid w:val="00517B4A"/>
    <w:rsid w:val="0052107C"/>
    <w:rsid w:val="005221B7"/>
    <w:rsid w:val="005223E6"/>
    <w:rsid w:val="0052316B"/>
    <w:rsid w:val="00525F98"/>
    <w:rsid w:val="005272F8"/>
    <w:rsid w:val="00530100"/>
    <w:rsid w:val="00536DE6"/>
    <w:rsid w:val="00536E0C"/>
    <w:rsid w:val="00537153"/>
    <w:rsid w:val="005408C7"/>
    <w:rsid w:val="005422E7"/>
    <w:rsid w:val="005437FD"/>
    <w:rsid w:val="00544A4E"/>
    <w:rsid w:val="00550FDF"/>
    <w:rsid w:val="00552A92"/>
    <w:rsid w:val="00553C8C"/>
    <w:rsid w:val="00553E33"/>
    <w:rsid w:val="00555C4C"/>
    <w:rsid w:val="00555D6E"/>
    <w:rsid w:val="00561508"/>
    <w:rsid w:val="00562B34"/>
    <w:rsid w:val="00562F72"/>
    <w:rsid w:val="0056304B"/>
    <w:rsid w:val="00565356"/>
    <w:rsid w:val="00566B97"/>
    <w:rsid w:val="00570904"/>
    <w:rsid w:val="00570C6C"/>
    <w:rsid w:val="00576B87"/>
    <w:rsid w:val="00577EE4"/>
    <w:rsid w:val="00584334"/>
    <w:rsid w:val="0058441B"/>
    <w:rsid w:val="00587DB1"/>
    <w:rsid w:val="00591A14"/>
    <w:rsid w:val="0059380A"/>
    <w:rsid w:val="00593DC4"/>
    <w:rsid w:val="00594891"/>
    <w:rsid w:val="0059724C"/>
    <w:rsid w:val="005A1AA7"/>
    <w:rsid w:val="005A4D0B"/>
    <w:rsid w:val="005A61B4"/>
    <w:rsid w:val="005A65E0"/>
    <w:rsid w:val="005A6CD3"/>
    <w:rsid w:val="005A735B"/>
    <w:rsid w:val="005A7CB8"/>
    <w:rsid w:val="005B04D8"/>
    <w:rsid w:val="005B4106"/>
    <w:rsid w:val="005C1496"/>
    <w:rsid w:val="005C5EF4"/>
    <w:rsid w:val="005C6AAE"/>
    <w:rsid w:val="005C7A89"/>
    <w:rsid w:val="005D1073"/>
    <w:rsid w:val="005D1804"/>
    <w:rsid w:val="005D1AC2"/>
    <w:rsid w:val="005D2770"/>
    <w:rsid w:val="005D5D06"/>
    <w:rsid w:val="005D62B5"/>
    <w:rsid w:val="005E2614"/>
    <w:rsid w:val="005E50AA"/>
    <w:rsid w:val="005E5520"/>
    <w:rsid w:val="005E5E9F"/>
    <w:rsid w:val="005E7144"/>
    <w:rsid w:val="005F1E4A"/>
    <w:rsid w:val="005F61CC"/>
    <w:rsid w:val="006025E5"/>
    <w:rsid w:val="00604AAF"/>
    <w:rsid w:val="00607B0B"/>
    <w:rsid w:val="00611870"/>
    <w:rsid w:val="00614E29"/>
    <w:rsid w:val="006209FD"/>
    <w:rsid w:val="0062216A"/>
    <w:rsid w:val="00625634"/>
    <w:rsid w:val="00625EC1"/>
    <w:rsid w:val="00626F7D"/>
    <w:rsid w:val="00630199"/>
    <w:rsid w:val="00630A9D"/>
    <w:rsid w:val="006317C9"/>
    <w:rsid w:val="00632475"/>
    <w:rsid w:val="00632C35"/>
    <w:rsid w:val="006334D7"/>
    <w:rsid w:val="006340B0"/>
    <w:rsid w:val="00634136"/>
    <w:rsid w:val="00641773"/>
    <w:rsid w:val="00641CB0"/>
    <w:rsid w:val="00641F74"/>
    <w:rsid w:val="0064239F"/>
    <w:rsid w:val="006456F1"/>
    <w:rsid w:val="006518EE"/>
    <w:rsid w:val="006522C4"/>
    <w:rsid w:val="00654380"/>
    <w:rsid w:val="00656A90"/>
    <w:rsid w:val="00657DD2"/>
    <w:rsid w:val="00661AFA"/>
    <w:rsid w:val="00664B6D"/>
    <w:rsid w:val="00664F67"/>
    <w:rsid w:val="006655E2"/>
    <w:rsid w:val="00665809"/>
    <w:rsid w:val="00667658"/>
    <w:rsid w:val="00670F54"/>
    <w:rsid w:val="00672842"/>
    <w:rsid w:val="006728F9"/>
    <w:rsid w:val="006746DA"/>
    <w:rsid w:val="006765C3"/>
    <w:rsid w:val="006767BC"/>
    <w:rsid w:val="00680241"/>
    <w:rsid w:val="006803BA"/>
    <w:rsid w:val="00680614"/>
    <w:rsid w:val="006806A6"/>
    <w:rsid w:val="0068247D"/>
    <w:rsid w:val="0068383D"/>
    <w:rsid w:val="00684CBF"/>
    <w:rsid w:val="0068653E"/>
    <w:rsid w:val="00691995"/>
    <w:rsid w:val="006922F5"/>
    <w:rsid w:val="00692F86"/>
    <w:rsid w:val="00694176"/>
    <w:rsid w:val="006947D9"/>
    <w:rsid w:val="00695F93"/>
    <w:rsid w:val="006965D5"/>
    <w:rsid w:val="0069692D"/>
    <w:rsid w:val="006A16DD"/>
    <w:rsid w:val="006A2587"/>
    <w:rsid w:val="006B299E"/>
    <w:rsid w:val="006B3CFC"/>
    <w:rsid w:val="006C0CD8"/>
    <w:rsid w:val="006C2170"/>
    <w:rsid w:val="006C5AEE"/>
    <w:rsid w:val="006C679A"/>
    <w:rsid w:val="006D09FE"/>
    <w:rsid w:val="006D0C40"/>
    <w:rsid w:val="006D15C1"/>
    <w:rsid w:val="006D4882"/>
    <w:rsid w:val="006D4DDD"/>
    <w:rsid w:val="006D732F"/>
    <w:rsid w:val="006E0CB5"/>
    <w:rsid w:val="006E4597"/>
    <w:rsid w:val="006E688D"/>
    <w:rsid w:val="006F1432"/>
    <w:rsid w:val="006F2DB6"/>
    <w:rsid w:val="006F7964"/>
    <w:rsid w:val="007028EC"/>
    <w:rsid w:val="007035D8"/>
    <w:rsid w:val="007049F7"/>
    <w:rsid w:val="00704FA7"/>
    <w:rsid w:val="00705AA7"/>
    <w:rsid w:val="0070703E"/>
    <w:rsid w:val="00707D22"/>
    <w:rsid w:val="007103BE"/>
    <w:rsid w:val="00710E50"/>
    <w:rsid w:val="00711E21"/>
    <w:rsid w:val="00712832"/>
    <w:rsid w:val="00712B91"/>
    <w:rsid w:val="00713F05"/>
    <w:rsid w:val="00715168"/>
    <w:rsid w:val="00715621"/>
    <w:rsid w:val="0071583E"/>
    <w:rsid w:val="0071637F"/>
    <w:rsid w:val="00716597"/>
    <w:rsid w:val="00716FED"/>
    <w:rsid w:val="00717AC3"/>
    <w:rsid w:val="00722691"/>
    <w:rsid w:val="007238E8"/>
    <w:rsid w:val="0072413F"/>
    <w:rsid w:val="007248BF"/>
    <w:rsid w:val="00725AD5"/>
    <w:rsid w:val="00725FB9"/>
    <w:rsid w:val="00730020"/>
    <w:rsid w:val="0073130A"/>
    <w:rsid w:val="007315BA"/>
    <w:rsid w:val="007317E5"/>
    <w:rsid w:val="007333AD"/>
    <w:rsid w:val="007360BF"/>
    <w:rsid w:val="00737D4D"/>
    <w:rsid w:val="007406E6"/>
    <w:rsid w:val="00746CCD"/>
    <w:rsid w:val="00747CE1"/>
    <w:rsid w:val="007501C5"/>
    <w:rsid w:val="007517A6"/>
    <w:rsid w:val="007545C7"/>
    <w:rsid w:val="0076005C"/>
    <w:rsid w:val="0076111D"/>
    <w:rsid w:val="00763291"/>
    <w:rsid w:val="007635C1"/>
    <w:rsid w:val="00766B42"/>
    <w:rsid w:val="0076703E"/>
    <w:rsid w:val="0076731D"/>
    <w:rsid w:val="00767650"/>
    <w:rsid w:val="00767A90"/>
    <w:rsid w:val="00770588"/>
    <w:rsid w:val="00770EDE"/>
    <w:rsid w:val="0077189E"/>
    <w:rsid w:val="007730F6"/>
    <w:rsid w:val="00773F74"/>
    <w:rsid w:val="0077624B"/>
    <w:rsid w:val="0078070C"/>
    <w:rsid w:val="00784541"/>
    <w:rsid w:val="00787790"/>
    <w:rsid w:val="007907DF"/>
    <w:rsid w:val="00790CEA"/>
    <w:rsid w:val="00790FD5"/>
    <w:rsid w:val="00794DF2"/>
    <w:rsid w:val="007968CC"/>
    <w:rsid w:val="00796A44"/>
    <w:rsid w:val="00796FB7"/>
    <w:rsid w:val="0079708B"/>
    <w:rsid w:val="007977C2"/>
    <w:rsid w:val="007A1502"/>
    <w:rsid w:val="007B04A9"/>
    <w:rsid w:val="007B16AC"/>
    <w:rsid w:val="007B1D5C"/>
    <w:rsid w:val="007B5D05"/>
    <w:rsid w:val="007B5D1E"/>
    <w:rsid w:val="007C2217"/>
    <w:rsid w:val="007C26F7"/>
    <w:rsid w:val="007C2E29"/>
    <w:rsid w:val="007C471C"/>
    <w:rsid w:val="007C50C8"/>
    <w:rsid w:val="007C52D3"/>
    <w:rsid w:val="007C7562"/>
    <w:rsid w:val="007D1FAE"/>
    <w:rsid w:val="007D2A06"/>
    <w:rsid w:val="007D4258"/>
    <w:rsid w:val="007E000D"/>
    <w:rsid w:val="007E175B"/>
    <w:rsid w:val="007E3F8A"/>
    <w:rsid w:val="007E729D"/>
    <w:rsid w:val="007F32BB"/>
    <w:rsid w:val="007F3645"/>
    <w:rsid w:val="007F58DD"/>
    <w:rsid w:val="007F6791"/>
    <w:rsid w:val="00800F3E"/>
    <w:rsid w:val="00802131"/>
    <w:rsid w:val="00805E44"/>
    <w:rsid w:val="00811C26"/>
    <w:rsid w:val="00812A44"/>
    <w:rsid w:val="00813AB8"/>
    <w:rsid w:val="00815ECC"/>
    <w:rsid w:val="00820059"/>
    <w:rsid w:val="008264EB"/>
    <w:rsid w:val="00827924"/>
    <w:rsid w:val="00830756"/>
    <w:rsid w:val="00833E73"/>
    <w:rsid w:val="00834366"/>
    <w:rsid w:val="00837A90"/>
    <w:rsid w:val="00837CF2"/>
    <w:rsid w:val="00844946"/>
    <w:rsid w:val="00845B80"/>
    <w:rsid w:val="00855A49"/>
    <w:rsid w:val="008568CB"/>
    <w:rsid w:val="00856DF5"/>
    <w:rsid w:val="00857E76"/>
    <w:rsid w:val="0086059A"/>
    <w:rsid w:val="00863000"/>
    <w:rsid w:val="0086325A"/>
    <w:rsid w:val="00865932"/>
    <w:rsid w:val="00872059"/>
    <w:rsid w:val="008724DB"/>
    <w:rsid w:val="00873673"/>
    <w:rsid w:val="00875428"/>
    <w:rsid w:val="00876003"/>
    <w:rsid w:val="00876330"/>
    <w:rsid w:val="008803A1"/>
    <w:rsid w:val="0088122A"/>
    <w:rsid w:val="008839CD"/>
    <w:rsid w:val="0088680A"/>
    <w:rsid w:val="008919EC"/>
    <w:rsid w:val="00892AC8"/>
    <w:rsid w:val="00897E5A"/>
    <w:rsid w:val="008A07AF"/>
    <w:rsid w:val="008A4580"/>
    <w:rsid w:val="008A4AC8"/>
    <w:rsid w:val="008A4E8B"/>
    <w:rsid w:val="008A58F9"/>
    <w:rsid w:val="008B014E"/>
    <w:rsid w:val="008B0970"/>
    <w:rsid w:val="008B3EED"/>
    <w:rsid w:val="008D09DE"/>
    <w:rsid w:val="008D231D"/>
    <w:rsid w:val="008D42E7"/>
    <w:rsid w:val="008D5AFD"/>
    <w:rsid w:val="008E3658"/>
    <w:rsid w:val="008E3930"/>
    <w:rsid w:val="008E59EB"/>
    <w:rsid w:val="008E5D6A"/>
    <w:rsid w:val="008F07BF"/>
    <w:rsid w:val="008F26C0"/>
    <w:rsid w:val="008F2EED"/>
    <w:rsid w:val="008F6BE7"/>
    <w:rsid w:val="00901462"/>
    <w:rsid w:val="00901D6C"/>
    <w:rsid w:val="00902A76"/>
    <w:rsid w:val="0090335E"/>
    <w:rsid w:val="00904474"/>
    <w:rsid w:val="0091137C"/>
    <w:rsid w:val="0091384C"/>
    <w:rsid w:val="00916DCC"/>
    <w:rsid w:val="009213F3"/>
    <w:rsid w:val="0092204C"/>
    <w:rsid w:val="00922DEE"/>
    <w:rsid w:val="00923628"/>
    <w:rsid w:val="009238AA"/>
    <w:rsid w:val="009244B8"/>
    <w:rsid w:val="009256E3"/>
    <w:rsid w:val="00925748"/>
    <w:rsid w:val="00930BFB"/>
    <w:rsid w:val="00932407"/>
    <w:rsid w:val="00933B21"/>
    <w:rsid w:val="00933EC2"/>
    <w:rsid w:val="00941048"/>
    <w:rsid w:val="009424A5"/>
    <w:rsid w:val="00944498"/>
    <w:rsid w:val="00944CAB"/>
    <w:rsid w:val="00950089"/>
    <w:rsid w:val="0095539D"/>
    <w:rsid w:val="00957E40"/>
    <w:rsid w:val="00957E88"/>
    <w:rsid w:val="00961B39"/>
    <w:rsid w:val="00961FBE"/>
    <w:rsid w:val="00964277"/>
    <w:rsid w:val="0096474D"/>
    <w:rsid w:val="00965357"/>
    <w:rsid w:val="00971439"/>
    <w:rsid w:val="0097180C"/>
    <w:rsid w:val="00971E3F"/>
    <w:rsid w:val="00972CD0"/>
    <w:rsid w:val="0097582E"/>
    <w:rsid w:val="009758E3"/>
    <w:rsid w:val="00976BF1"/>
    <w:rsid w:val="00977D26"/>
    <w:rsid w:val="00977E26"/>
    <w:rsid w:val="009805EC"/>
    <w:rsid w:val="009806C0"/>
    <w:rsid w:val="00984227"/>
    <w:rsid w:val="009904EA"/>
    <w:rsid w:val="009907D7"/>
    <w:rsid w:val="00991AF5"/>
    <w:rsid w:val="0099343F"/>
    <w:rsid w:val="00995094"/>
    <w:rsid w:val="009A007B"/>
    <w:rsid w:val="009A0400"/>
    <w:rsid w:val="009A0425"/>
    <w:rsid w:val="009A263C"/>
    <w:rsid w:val="009B053D"/>
    <w:rsid w:val="009B23A3"/>
    <w:rsid w:val="009B3E5D"/>
    <w:rsid w:val="009B64E3"/>
    <w:rsid w:val="009C5964"/>
    <w:rsid w:val="009C672E"/>
    <w:rsid w:val="009C77A3"/>
    <w:rsid w:val="009D0B90"/>
    <w:rsid w:val="009D3827"/>
    <w:rsid w:val="009D6852"/>
    <w:rsid w:val="009D72AC"/>
    <w:rsid w:val="009E00FA"/>
    <w:rsid w:val="009E0725"/>
    <w:rsid w:val="009E0D48"/>
    <w:rsid w:val="009E1F38"/>
    <w:rsid w:val="009E3B5C"/>
    <w:rsid w:val="009E3B6B"/>
    <w:rsid w:val="009E5820"/>
    <w:rsid w:val="009E5D18"/>
    <w:rsid w:val="009E6B78"/>
    <w:rsid w:val="009E6D37"/>
    <w:rsid w:val="009F0B44"/>
    <w:rsid w:val="009F1EC9"/>
    <w:rsid w:val="009F2993"/>
    <w:rsid w:val="009F33F8"/>
    <w:rsid w:val="009F4ACF"/>
    <w:rsid w:val="009F4C25"/>
    <w:rsid w:val="009F5557"/>
    <w:rsid w:val="009F6452"/>
    <w:rsid w:val="009F65E0"/>
    <w:rsid w:val="00A02BFF"/>
    <w:rsid w:val="00A02E7D"/>
    <w:rsid w:val="00A0554C"/>
    <w:rsid w:val="00A1015B"/>
    <w:rsid w:val="00A1015C"/>
    <w:rsid w:val="00A1312F"/>
    <w:rsid w:val="00A139AB"/>
    <w:rsid w:val="00A15082"/>
    <w:rsid w:val="00A16AEE"/>
    <w:rsid w:val="00A17698"/>
    <w:rsid w:val="00A24221"/>
    <w:rsid w:val="00A27D2F"/>
    <w:rsid w:val="00A34262"/>
    <w:rsid w:val="00A369E8"/>
    <w:rsid w:val="00A4199A"/>
    <w:rsid w:val="00A4512D"/>
    <w:rsid w:val="00A4706D"/>
    <w:rsid w:val="00A541E1"/>
    <w:rsid w:val="00A54775"/>
    <w:rsid w:val="00A5502C"/>
    <w:rsid w:val="00A5694A"/>
    <w:rsid w:val="00A649E1"/>
    <w:rsid w:val="00A65795"/>
    <w:rsid w:val="00A6672E"/>
    <w:rsid w:val="00A705AF"/>
    <w:rsid w:val="00A70E47"/>
    <w:rsid w:val="00A7126D"/>
    <w:rsid w:val="00A73C2F"/>
    <w:rsid w:val="00A75B58"/>
    <w:rsid w:val="00A764D5"/>
    <w:rsid w:val="00A76B48"/>
    <w:rsid w:val="00A76BE9"/>
    <w:rsid w:val="00A77349"/>
    <w:rsid w:val="00A810F4"/>
    <w:rsid w:val="00A81D72"/>
    <w:rsid w:val="00A86819"/>
    <w:rsid w:val="00A931E2"/>
    <w:rsid w:val="00A93A18"/>
    <w:rsid w:val="00A964DB"/>
    <w:rsid w:val="00A96DED"/>
    <w:rsid w:val="00AA0055"/>
    <w:rsid w:val="00AA0A90"/>
    <w:rsid w:val="00AA3452"/>
    <w:rsid w:val="00AA3A3E"/>
    <w:rsid w:val="00AA5367"/>
    <w:rsid w:val="00AA603A"/>
    <w:rsid w:val="00AA6DC2"/>
    <w:rsid w:val="00AA7B58"/>
    <w:rsid w:val="00AB0A6E"/>
    <w:rsid w:val="00AB148E"/>
    <w:rsid w:val="00AB1AED"/>
    <w:rsid w:val="00AB221C"/>
    <w:rsid w:val="00AB40AB"/>
    <w:rsid w:val="00AB64E5"/>
    <w:rsid w:val="00AB6E76"/>
    <w:rsid w:val="00AB6ED9"/>
    <w:rsid w:val="00AB6F9B"/>
    <w:rsid w:val="00AB7E83"/>
    <w:rsid w:val="00AC20EE"/>
    <w:rsid w:val="00AC637F"/>
    <w:rsid w:val="00AC7383"/>
    <w:rsid w:val="00AD01B4"/>
    <w:rsid w:val="00AD055C"/>
    <w:rsid w:val="00AD50AC"/>
    <w:rsid w:val="00AD52A0"/>
    <w:rsid w:val="00AD5717"/>
    <w:rsid w:val="00AD6275"/>
    <w:rsid w:val="00AE05BB"/>
    <w:rsid w:val="00AE0BA6"/>
    <w:rsid w:val="00AE3267"/>
    <w:rsid w:val="00AE3F5D"/>
    <w:rsid w:val="00AE6D86"/>
    <w:rsid w:val="00AF36FB"/>
    <w:rsid w:val="00AF6154"/>
    <w:rsid w:val="00B013E6"/>
    <w:rsid w:val="00B020A3"/>
    <w:rsid w:val="00B06D68"/>
    <w:rsid w:val="00B07615"/>
    <w:rsid w:val="00B11AC6"/>
    <w:rsid w:val="00B1218D"/>
    <w:rsid w:val="00B150B7"/>
    <w:rsid w:val="00B163F6"/>
    <w:rsid w:val="00B202AC"/>
    <w:rsid w:val="00B20701"/>
    <w:rsid w:val="00B20C3F"/>
    <w:rsid w:val="00B213FD"/>
    <w:rsid w:val="00B24DF4"/>
    <w:rsid w:val="00B24F1C"/>
    <w:rsid w:val="00B2665E"/>
    <w:rsid w:val="00B30753"/>
    <w:rsid w:val="00B31C87"/>
    <w:rsid w:val="00B328AF"/>
    <w:rsid w:val="00B32C79"/>
    <w:rsid w:val="00B32DD1"/>
    <w:rsid w:val="00B37148"/>
    <w:rsid w:val="00B3720C"/>
    <w:rsid w:val="00B37974"/>
    <w:rsid w:val="00B37ABB"/>
    <w:rsid w:val="00B41409"/>
    <w:rsid w:val="00B41539"/>
    <w:rsid w:val="00B41627"/>
    <w:rsid w:val="00B42851"/>
    <w:rsid w:val="00B45542"/>
    <w:rsid w:val="00B456E0"/>
    <w:rsid w:val="00B459E9"/>
    <w:rsid w:val="00B47076"/>
    <w:rsid w:val="00B471E9"/>
    <w:rsid w:val="00B47D65"/>
    <w:rsid w:val="00B5113E"/>
    <w:rsid w:val="00B5327B"/>
    <w:rsid w:val="00B53EC9"/>
    <w:rsid w:val="00B5629C"/>
    <w:rsid w:val="00B56B37"/>
    <w:rsid w:val="00B5739E"/>
    <w:rsid w:val="00B57759"/>
    <w:rsid w:val="00B57E0A"/>
    <w:rsid w:val="00B60D44"/>
    <w:rsid w:val="00B60D86"/>
    <w:rsid w:val="00B672F8"/>
    <w:rsid w:val="00B67F09"/>
    <w:rsid w:val="00B70743"/>
    <w:rsid w:val="00B7266F"/>
    <w:rsid w:val="00B72945"/>
    <w:rsid w:val="00B732F1"/>
    <w:rsid w:val="00B904EC"/>
    <w:rsid w:val="00B90E4B"/>
    <w:rsid w:val="00B91269"/>
    <w:rsid w:val="00B91454"/>
    <w:rsid w:val="00B91DCD"/>
    <w:rsid w:val="00B93CD5"/>
    <w:rsid w:val="00B9432A"/>
    <w:rsid w:val="00B95A67"/>
    <w:rsid w:val="00B96A84"/>
    <w:rsid w:val="00BA0015"/>
    <w:rsid w:val="00BA2A5D"/>
    <w:rsid w:val="00BA2DE8"/>
    <w:rsid w:val="00BA3A29"/>
    <w:rsid w:val="00BA4A6D"/>
    <w:rsid w:val="00BA4AEE"/>
    <w:rsid w:val="00BA576F"/>
    <w:rsid w:val="00BA57D4"/>
    <w:rsid w:val="00BB1312"/>
    <w:rsid w:val="00BB21DA"/>
    <w:rsid w:val="00BB2D0A"/>
    <w:rsid w:val="00BB43B6"/>
    <w:rsid w:val="00BB43F6"/>
    <w:rsid w:val="00BB6E3F"/>
    <w:rsid w:val="00BC07E4"/>
    <w:rsid w:val="00BC0CDF"/>
    <w:rsid w:val="00BC4293"/>
    <w:rsid w:val="00BC4D09"/>
    <w:rsid w:val="00BC7429"/>
    <w:rsid w:val="00BD0B57"/>
    <w:rsid w:val="00BD5F76"/>
    <w:rsid w:val="00BD649D"/>
    <w:rsid w:val="00BE0DE7"/>
    <w:rsid w:val="00BE6832"/>
    <w:rsid w:val="00BF2561"/>
    <w:rsid w:val="00BF3247"/>
    <w:rsid w:val="00BF5905"/>
    <w:rsid w:val="00BF6152"/>
    <w:rsid w:val="00BF7E56"/>
    <w:rsid w:val="00C025A9"/>
    <w:rsid w:val="00C04486"/>
    <w:rsid w:val="00C06314"/>
    <w:rsid w:val="00C10135"/>
    <w:rsid w:val="00C123DF"/>
    <w:rsid w:val="00C12706"/>
    <w:rsid w:val="00C206EE"/>
    <w:rsid w:val="00C23604"/>
    <w:rsid w:val="00C268AC"/>
    <w:rsid w:val="00C308FA"/>
    <w:rsid w:val="00C31839"/>
    <w:rsid w:val="00C31A7F"/>
    <w:rsid w:val="00C32280"/>
    <w:rsid w:val="00C33D29"/>
    <w:rsid w:val="00C35287"/>
    <w:rsid w:val="00C35DEC"/>
    <w:rsid w:val="00C35F32"/>
    <w:rsid w:val="00C37094"/>
    <w:rsid w:val="00C40159"/>
    <w:rsid w:val="00C436EE"/>
    <w:rsid w:val="00C44F0B"/>
    <w:rsid w:val="00C477AC"/>
    <w:rsid w:val="00C50137"/>
    <w:rsid w:val="00C51BE7"/>
    <w:rsid w:val="00C53C65"/>
    <w:rsid w:val="00C5463B"/>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2A51"/>
    <w:rsid w:val="00C84B06"/>
    <w:rsid w:val="00C85E91"/>
    <w:rsid w:val="00C911AD"/>
    <w:rsid w:val="00C938D6"/>
    <w:rsid w:val="00CA04C6"/>
    <w:rsid w:val="00CB0684"/>
    <w:rsid w:val="00CB2190"/>
    <w:rsid w:val="00CB2787"/>
    <w:rsid w:val="00CB3519"/>
    <w:rsid w:val="00CB5999"/>
    <w:rsid w:val="00CB5B1A"/>
    <w:rsid w:val="00CB733F"/>
    <w:rsid w:val="00CC199B"/>
    <w:rsid w:val="00CC36EF"/>
    <w:rsid w:val="00CC4B4F"/>
    <w:rsid w:val="00CC4B8E"/>
    <w:rsid w:val="00CC697B"/>
    <w:rsid w:val="00CC7207"/>
    <w:rsid w:val="00CD66FC"/>
    <w:rsid w:val="00CE16CC"/>
    <w:rsid w:val="00CE1712"/>
    <w:rsid w:val="00CE3387"/>
    <w:rsid w:val="00CE3A39"/>
    <w:rsid w:val="00CE4D9D"/>
    <w:rsid w:val="00CE5364"/>
    <w:rsid w:val="00CE7355"/>
    <w:rsid w:val="00CF3753"/>
    <w:rsid w:val="00CF4118"/>
    <w:rsid w:val="00CF67FE"/>
    <w:rsid w:val="00CF702F"/>
    <w:rsid w:val="00D0403F"/>
    <w:rsid w:val="00D04BA9"/>
    <w:rsid w:val="00D05CB2"/>
    <w:rsid w:val="00D07C0D"/>
    <w:rsid w:val="00D1032E"/>
    <w:rsid w:val="00D10D90"/>
    <w:rsid w:val="00D116AD"/>
    <w:rsid w:val="00D12859"/>
    <w:rsid w:val="00D128CD"/>
    <w:rsid w:val="00D13C42"/>
    <w:rsid w:val="00D16B25"/>
    <w:rsid w:val="00D17D40"/>
    <w:rsid w:val="00D20AD1"/>
    <w:rsid w:val="00D24922"/>
    <w:rsid w:val="00D2633F"/>
    <w:rsid w:val="00D301EA"/>
    <w:rsid w:val="00D31DC2"/>
    <w:rsid w:val="00D37D15"/>
    <w:rsid w:val="00D41AE5"/>
    <w:rsid w:val="00D429E0"/>
    <w:rsid w:val="00D42B9A"/>
    <w:rsid w:val="00D42D32"/>
    <w:rsid w:val="00D446AF"/>
    <w:rsid w:val="00D44EB7"/>
    <w:rsid w:val="00D469E4"/>
    <w:rsid w:val="00D4728F"/>
    <w:rsid w:val="00D50F47"/>
    <w:rsid w:val="00D5318D"/>
    <w:rsid w:val="00D5354B"/>
    <w:rsid w:val="00D539EF"/>
    <w:rsid w:val="00D53A53"/>
    <w:rsid w:val="00D563D0"/>
    <w:rsid w:val="00D57BA2"/>
    <w:rsid w:val="00D70912"/>
    <w:rsid w:val="00D737E9"/>
    <w:rsid w:val="00D738DB"/>
    <w:rsid w:val="00D73FE2"/>
    <w:rsid w:val="00D7465B"/>
    <w:rsid w:val="00D74810"/>
    <w:rsid w:val="00D76F76"/>
    <w:rsid w:val="00D77741"/>
    <w:rsid w:val="00D81026"/>
    <w:rsid w:val="00D812BD"/>
    <w:rsid w:val="00D84622"/>
    <w:rsid w:val="00D865D7"/>
    <w:rsid w:val="00D87CBD"/>
    <w:rsid w:val="00D9306A"/>
    <w:rsid w:val="00D9326E"/>
    <w:rsid w:val="00D941F9"/>
    <w:rsid w:val="00D944BF"/>
    <w:rsid w:val="00D94918"/>
    <w:rsid w:val="00D96327"/>
    <w:rsid w:val="00D96578"/>
    <w:rsid w:val="00DA3B72"/>
    <w:rsid w:val="00DA3C7F"/>
    <w:rsid w:val="00DB07A4"/>
    <w:rsid w:val="00DB5454"/>
    <w:rsid w:val="00DB5911"/>
    <w:rsid w:val="00DB59C2"/>
    <w:rsid w:val="00DC0477"/>
    <w:rsid w:val="00DC0D24"/>
    <w:rsid w:val="00DC2C97"/>
    <w:rsid w:val="00DD047B"/>
    <w:rsid w:val="00DD57DE"/>
    <w:rsid w:val="00DD5D99"/>
    <w:rsid w:val="00DD6F15"/>
    <w:rsid w:val="00DE32AF"/>
    <w:rsid w:val="00DE3C4E"/>
    <w:rsid w:val="00DE5D9E"/>
    <w:rsid w:val="00DE75D8"/>
    <w:rsid w:val="00DF0B12"/>
    <w:rsid w:val="00DF366A"/>
    <w:rsid w:val="00DF3751"/>
    <w:rsid w:val="00DF515C"/>
    <w:rsid w:val="00DF5695"/>
    <w:rsid w:val="00E015E6"/>
    <w:rsid w:val="00E05B44"/>
    <w:rsid w:val="00E066B4"/>
    <w:rsid w:val="00E107DC"/>
    <w:rsid w:val="00E13C5C"/>
    <w:rsid w:val="00E17889"/>
    <w:rsid w:val="00E209BF"/>
    <w:rsid w:val="00E236C6"/>
    <w:rsid w:val="00E243E7"/>
    <w:rsid w:val="00E3115C"/>
    <w:rsid w:val="00E32C0E"/>
    <w:rsid w:val="00E32C90"/>
    <w:rsid w:val="00E34876"/>
    <w:rsid w:val="00E34F33"/>
    <w:rsid w:val="00E35CBB"/>
    <w:rsid w:val="00E35DC5"/>
    <w:rsid w:val="00E36737"/>
    <w:rsid w:val="00E40F95"/>
    <w:rsid w:val="00E41CF8"/>
    <w:rsid w:val="00E4269D"/>
    <w:rsid w:val="00E4312B"/>
    <w:rsid w:val="00E57576"/>
    <w:rsid w:val="00E604B3"/>
    <w:rsid w:val="00E60650"/>
    <w:rsid w:val="00E60EE1"/>
    <w:rsid w:val="00E6109E"/>
    <w:rsid w:val="00E708F6"/>
    <w:rsid w:val="00E716B4"/>
    <w:rsid w:val="00E7210E"/>
    <w:rsid w:val="00E73710"/>
    <w:rsid w:val="00E73B85"/>
    <w:rsid w:val="00E86B67"/>
    <w:rsid w:val="00E92843"/>
    <w:rsid w:val="00E9314D"/>
    <w:rsid w:val="00E95DFC"/>
    <w:rsid w:val="00EA0B96"/>
    <w:rsid w:val="00EA0F4E"/>
    <w:rsid w:val="00EA1C91"/>
    <w:rsid w:val="00EA33D5"/>
    <w:rsid w:val="00EA5E02"/>
    <w:rsid w:val="00EA5FD0"/>
    <w:rsid w:val="00EA63B1"/>
    <w:rsid w:val="00EB0020"/>
    <w:rsid w:val="00EB068A"/>
    <w:rsid w:val="00EC1241"/>
    <w:rsid w:val="00EC329C"/>
    <w:rsid w:val="00EC7D3F"/>
    <w:rsid w:val="00ED0468"/>
    <w:rsid w:val="00ED0DD3"/>
    <w:rsid w:val="00ED2A6A"/>
    <w:rsid w:val="00ED648B"/>
    <w:rsid w:val="00EE16DD"/>
    <w:rsid w:val="00EE2AE5"/>
    <w:rsid w:val="00EE31B0"/>
    <w:rsid w:val="00EE356F"/>
    <w:rsid w:val="00EE397E"/>
    <w:rsid w:val="00EE65B1"/>
    <w:rsid w:val="00EF1C55"/>
    <w:rsid w:val="00EF1C95"/>
    <w:rsid w:val="00EF23C0"/>
    <w:rsid w:val="00EF2774"/>
    <w:rsid w:val="00EF3163"/>
    <w:rsid w:val="00EF3785"/>
    <w:rsid w:val="00EF4059"/>
    <w:rsid w:val="00EF52DC"/>
    <w:rsid w:val="00EF5586"/>
    <w:rsid w:val="00EF7E81"/>
    <w:rsid w:val="00F00403"/>
    <w:rsid w:val="00F0393C"/>
    <w:rsid w:val="00F05832"/>
    <w:rsid w:val="00F05855"/>
    <w:rsid w:val="00F067A6"/>
    <w:rsid w:val="00F078B7"/>
    <w:rsid w:val="00F07B59"/>
    <w:rsid w:val="00F07B77"/>
    <w:rsid w:val="00F100D6"/>
    <w:rsid w:val="00F11E68"/>
    <w:rsid w:val="00F12167"/>
    <w:rsid w:val="00F12734"/>
    <w:rsid w:val="00F1278D"/>
    <w:rsid w:val="00F13110"/>
    <w:rsid w:val="00F14BFD"/>
    <w:rsid w:val="00F17566"/>
    <w:rsid w:val="00F20F84"/>
    <w:rsid w:val="00F2222F"/>
    <w:rsid w:val="00F22513"/>
    <w:rsid w:val="00F231FE"/>
    <w:rsid w:val="00F2335F"/>
    <w:rsid w:val="00F238F2"/>
    <w:rsid w:val="00F271C1"/>
    <w:rsid w:val="00F311A1"/>
    <w:rsid w:val="00F332B3"/>
    <w:rsid w:val="00F34D63"/>
    <w:rsid w:val="00F35F7A"/>
    <w:rsid w:val="00F41C35"/>
    <w:rsid w:val="00F43DE5"/>
    <w:rsid w:val="00F4438C"/>
    <w:rsid w:val="00F46ED7"/>
    <w:rsid w:val="00F51873"/>
    <w:rsid w:val="00F545E7"/>
    <w:rsid w:val="00F549D7"/>
    <w:rsid w:val="00F556DB"/>
    <w:rsid w:val="00F560D5"/>
    <w:rsid w:val="00F56325"/>
    <w:rsid w:val="00F61089"/>
    <w:rsid w:val="00F6551D"/>
    <w:rsid w:val="00F73D95"/>
    <w:rsid w:val="00F77044"/>
    <w:rsid w:val="00F771A6"/>
    <w:rsid w:val="00F8015E"/>
    <w:rsid w:val="00F83598"/>
    <w:rsid w:val="00F85766"/>
    <w:rsid w:val="00F866FA"/>
    <w:rsid w:val="00F91249"/>
    <w:rsid w:val="00F91869"/>
    <w:rsid w:val="00F91CCA"/>
    <w:rsid w:val="00F931D3"/>
    <w:rsid w:val="00F9362F"/>
    <w:rsid w:val="00F95769"/>
    <w:rsid w:val="00F96BA0"/>
    <w:rsid w:val="00FA289A"/>
    <w:rsid w:val="00FA3C5E"/>
    <w:rsid w:val="00FA4197"/>
    <w:rsid w:val="00FA50C5"/>
    <w:rsid w:val="00FB288F"/>
    <w:rsid w:val="00FB375B"/>
    <w:rsid w:val="00FB6425"/>
    <w:rsid w:val="00FB722E"/>
    <w:rsid w:val="00FC56B4"/>
    <w:rsid w:val="00FC7F5D"/>
    <w:rsid w:val="00FD0868"/>
    <w:rsid w:val="00FD1BC7"/>
    <w:rsid w:val="00FD1D84"/>
    <w:rsid w:val="00FD1F7D"/>
    <w:rsid w:val="00FD4E9C"/>
    <w:rsid w:val="00FD50A4"/>
    <w:rsid w:val="00FD744A"/>
    <w:rsid w:val="00FE4538"/>
    <w:rsid w:val="00FE58D5"/>
    <w:rsid w:val="00FE5CA3"/>
    <w:rsid w:val="00FF08C3"/>
    <w:rsid w:val="00FF7AD9"/>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D8849"/>
  <w15:docId w15:val="{1694771F-89D5-4403-BBB2-727689C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54D33"/>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link w:val="Heading2Char"/>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link w:val="Heading4Char"/>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1"/>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1"/>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styleId="CommentReference">
    <w:name w:val="annotation reference"/>
    <w:basedOn w:val="DefaultParagraphFont"/>
    <w:uiPriority w:val="99"/>
    <w:semiHidden/>
    <w:unhideWhenUsed/>
    <w:locked/>
    <w:rsid w:val="00BC7429"/>
    <w:rPr>
      <w:sz w:val="16"/>
      <w:szCs w:val="16"/>
    </w:rPr>
  </w:style>
  <w:style w:type="paragraph" w:styleId="CommentText">
    <w:name w:val="annotation text"/>
    <w:basedOn w:val="Normal"/>
    <w:link w:val="CommentTextChar"/>
    <w:uiPriority w:val="99"/>
    <w:unhideWhenUsed/>
    <w:locked/>
    <w:rsid w:val="00BC7429"/>
    <w:pPr>
      <w:spacing w:before="0" w:after="160"/>
    </w:pPr>
    <w:rPr>
      <w:rFonts w:ascii="Times New Roman" w:eastAsiaTheme="minorHAnsi" w:hAnsi="Times New Roman"/>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BC7429"/>
    <w:rPr>
      <w:rFonts w:ascii="Times New Roman" w:eastAsiaTheme="minorHAnsi" w:hAnsi="Times New Roman"/>
      <w:kern w:val="2"/>
      <w:lang w:eastAsia="en-US"/>
      <w14:ligatures w14:val="standardContextual"/>
    </w:rPr>
  </w:style>
  <w:style w:type="paragraph" w:styleId="CommentSubject">
    <w:name w:val="annotation subject"/>
    <w:basedOn w:val="CommentText"/>
    <w:next w:val="CommentText"/>
    <w:link w:val="CommentSubjectChar"/>
    <w:uiPriority w:val="98"/>
    <w:semiHidden/>
    <w:unhideWhenUsed/>
    <w:locked/>
    <w:rsid w:val="00DA3B72"/>
    <w:pPr>
      <w:spacing w:before="120" w:after="120"/>
    </w:pPr>
    <w:rPr>
      <w:rFonts w:ascii="Arial" w:eastAsia="Times New Roman" w:hAnsi="Arial"/>
      <w:b/>
      <w:bCs/>
      <w:kern w:val="0"/>
      <w:lang w:eastAsia="en-AU"/>
      <w14:ligatures w14:val="none"/>
    </w:rPr>
  </w:style>
  <w:style w:type="character" w:customStyle="1" w:styleId="CommentSubjectChar">
    <w:name w:val="Comment Subject Char"/>
    <w:basedOn w:val="CommentTextChar"/>
    <w:link w:val="CommentSubject"/>
    <w:uiPriority w:val="98"/>
    <w:semiHidden/>
    <w:rsid w:val="00DA3B72"/>
    <w:rPr>
      <w:rFonts w:ascii="Times New Roman" w:eastAsiaTheme="minorHAnsi" w:hAnsi="Times New Roman"/>
      <w:b/>
      <w:bCs/>
      <w:kern w:val="2"/>
      <w:lang w:eastAsia="en-AU"/>
      <w14:ligatures w14:val="standardContextual"/>
    </w:rPr>
  </w:style>
  <w:style w:type="paragraph" w:customStyle="1" w:styleId="Bulletlist">
    <w:name w:val="Bullet list"/>
    <w:qFormat/>
    <w:rsid w:val="00AE6D86"/>
    <w:pPr>
      <w:spacing w:after="200"/>
      <w:ind w:left="568" w:hanging="284"/>
      <w:contextualSpacing/>
    </w:pPr>
    <w:rPr>
      <w:color w:val="000000" w:themeColor="text1"/>
      <w:sz w:val="22"/>
      <w:szCs w:val="24"/>
      <w:lang w:eastAsia="en-US"/>
    </w:rPr>
  </w:style>
  <w:style w:type="paragraph" w:customStyle="1" w:styleId="TableParagraph">
    <w:name w:val="Table Paragraph"/>
    <w:basedOn w:val="Normal"/>
    <w:uiPriority w:val="1"/>
    <w:qFormat/>
    <w:rsid w:val="00E73B85"/>
    <w:pPr>
      <w:widowControl w:val="0"/>
      <w:autoSpaceDE w:val="0"/>
      <w:autoSpaceDN w:val="0"/>
      <w:spacing w:before="101" w:after="0"/>
      <w:ind w:left="113"/>
    </w:pPr>
    <w:rPr>
      <w:rFonts w:eastAsia="Arial" w:cs="Arial"/>
      <w:lang w:val="en-US" w:eastAsia="en-US"/>
    </w:rPr>
  </w:style>
  <w:style w:type="character" w:customStyle="1" w:styleId="Heading4Char">
    <w:name w:val="Heading 4 Char"/>
    <w:basedOn w:val="DefaultParagraphFont"/>
    <w:link w:val="Heading4"/>
    <w:rsid w:val="00AD50AC"/>
    <w:rPr>
      <w:b/>
      <w:bCs/>
      <w:color w:val="000000"/>
      <w:sz w:val="24"/>
      <w:szCs w:val="26"/>
      <w:lang w:eastAsia="en-AU"/>
    </w:rPr>
  </w:style>
  <w:style w:type="character" w:customStyle="1" w:styleId="Heading3Char">
    <w:name w:val="Heading 3 Char"/>
    <w:basedOn w:val="DefaultParagraphFont"/>
    <w:link w:val="Heading3"/>
    <w:rsid w:val="00016D2B"/>
    <w:rPr>
      <w:rFonts w:cs="Arial"/>
      <w:b/>
      <w:bCs/>
      <w:iCs/>
      <w:color w:val="005370"/>
      <w:kern w:val="28"/>
      <w:sz w:val="28"/>
      <w:szCs w:val="26"/>
      <w:lang w:eastAsia="en-AU"/>
    </w:rPr>
  </w:style>
  <w:style w:type="character" w:customStyle="1" w:styleId="Heading2Char">
    <w:name w:val="Heading 2 Char"/>
    <w:basedOn w:val="DefaultParagraphFont"/>
    <w:link w:val="Heading2"/>
    <w:rsid w:val="00576B87"/>
    <w:rPr>
      <w:rFonts w:cs="Arial"/>
      <w:b/>
      <w:iCs/>
      <w:color w:val="005370"/>
      <w:kern w:val="28"/>
      <w:sz w:val="32"/>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1172">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774247373">
      <w:bodyDiv w:val="1"/>
      <w:marLeft w:val="0"/>
      <w:marRight w:val="0"/>
      <w:marTop w:val="0"/>
      <w:marBottom w:val="0"/>
      <w:divBdr>
        <w:top w:val="none" w:sz="0" w:space="0" w:color="auto"/>
        <w:left w:val="none" w:sz="0" w:space="0" w:color="auto"/>
        <w:bottom w:val="none" w:sz="0" w:space="0" w:color="auto"/>
        <w:right w:val="none" w:sz="0" w:space="0" w:color="auto"/>
      </w:divBdr>
    </w:div>
    <w:div w:id="874389673">
      <w:bodyDiv w:val="1"/>
      <w:marLeft w:val="0"/>
      <w:marRight w:val="0"/>
      <w:marTop w:val="0"/>
      <w:marBottom w:val="0"/>
      <w:divBdr>
        <w:top w:val="none" w:sz="0" w:space="0" w:color="auto"/>
        <w:left w:val="none" w:sz="0" w:space="0" w:color="auto"/>
        <w:bottom w:val="none" w:sz="0" w:space="0" w:color="auto"/>
        <w:right w:val="none" w:sz="0" w:space="0" w:color="auto"/>
      </w:divBdr>
    </w:div>
    <w:div w:id="950554455">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6276406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920405985">
      <w:bodyDiv w:val="1"/>
      <w:marLeft w:val="0"/>
      <w:marRight w:val="0"/>
      <w:marTop w:val="0"/>
      <w:marBottom w:val="0"/>
      <w:divBdr>
        <w:top w:val="none" w:sz="0" w:space="0" w:color="auto"/>
        <w:left w:val="none" w:sz="0" w:space="0" w:color="auto"/>
        <w:bottom w:val="none" w:sz="0" w:space="0" w:color="auto"/>
        <w:right w:val="none" w:sz="0" w:space="0" w:color="auto"/>
      </w:divBdr>
    </w:div>
    <w:div w:id="1998262504">
      <w:bodyDiv w:val="1"/>
      <w:marLeft w:val="0"/>
      <w:marRight w:val="0"/>
      <w:marTop w:val="0"/>
      <w:marBottom w:val="0"/>
      <w:divBdr>
        <w:top w:val="none" w:sz="0" w:space="0" w:color="auto"/>
        <w:left w:val="none" w:sz="0" w:space="0" w:color="auto"/>
        <w:bottom w:val="none" w:sz="0" w:space="0" w:color="auto"/>
        <w:right w:val="none" w:sz="0" w:space="0" w:color="auto"/>
      </w:divBdr>
    </w:div>
    <w:div w:id="20530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nzca.edu.au/news/guidance-on-sparing-of-intravenous-fluid-use" TargetMode="External"/><Relationship Id="rId18" Type="http://schemas.openxmlformats.org/officeDocument/2006/relationships/hyperlink" Target="https://aidh.hcn.com.au/browse/about_aidh" TargetMode="External"/><Relationship Id="rId26" Type="http://schemas.openxmlformats.org/officeDocument/2006/relationships/hyperlink" Target="https://www.tga.gov.au/about-IV-fluids-shortages" TargetMode="External"/><Relationship Id="rId39" Type="http://schemas.openxmlformats.org/officeDocument/2006/relationships/hyperlink" Target="https://www.cec.health.nsw.gov.au/__data/assets/pdf_file/0007/956356/Information-for-clinicians-Intravenous-IV-fluid-bags-International-alternatives-and-associated-safety-considerations.pdf" TargetMode="External"/><Relationship Id="rId21" Type="http://schemas.openxmlformats.org/officeDocument/2006/relationships/hyperlink" Target="https://www.anzca.edu.au/getattachment/d2c8053c-7e76-410e-93ce-3f9a56ffd881/PG07-Guideline-on-pre-anaesthesia-consultation-and-patient-preparation-2024" TargetMode="External"/><Relationship Id="rId34" Type="http://schemas.openxmlformats.org/officeDocument/2006/relationships/hyperlink" Target="https://www.safetyandquality.gov.au/publications-and-resources/resource-library/antimicrobial-shortages-clinician-guidance" TargetMode="External"/><Relationship Id="rId42" Type="http://schemas.openxmlformats.org/officeDocument/2006/relationships/hyperlink" Target="https://tgldcdp.tg.org.au/viewTopic?etgAccess=true&amp;guidelinePage=Antibiotic&amp;topicfile=antimicrobial-use-principles&amp;guidelinename=Antibiotic&amp;sectionId=toc_d1e231" TargetMode="External"/><Relationship Id="rId47" Type="http://schemas.openxmlformats.org/officeDocument/2006/relationships/hyperlink" Target="https://www.sahealth.sa.gov.au/wps/wcm/connect/86d0af8047ca4a108ca28dfc651ee2b2/IV+to+Oral+Switch+Guideline+for+Adult+Patients_Mar2015.pdf?MOD=AJPERES&amp;CACHEID=86d0af8047ca4a108ca28dfc651ee2b2" TargetMode="External"/><Relationship Id="rId50" Type="http://schemas.openxmlformats.org/officeDocument/2006/relationships/hyperlink" Target="http://www.safetyandquality.gov.au"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nzca.edu.au/getattachment/d2c8053c-7e76-410e-93ce-3f9a56ffd881/PG07-Guideline-on-pre-anaesthesia-consultation-and-patient-preparation-2024" TargetMode="External"/><Relationship Id="rId17" Type="http://schemas.openxmlformats.org/officeDocument/2006/relationships/hyperlink" Target="https://aidh.hcn.com.au/login" TargetMode="External"/><Relationship Id="rId25" Type="http://schemas.openxmlformats.org/officeDocument/2006/relationships/hyperlink" Target="https://aidh.hcn.com.au/browse/about_aidh" TargetMode="External"/><Relationship Id="rId33" Type="http://schemas.openxmlformats.org/officeDocument/2006/relationships/hyperlink" Target="https://amhonline.amh.net.au/" TargetMode="External"/><Relationship Id="rId38" Type="http://schemas.openxmlformats.org/officeDocument/2006/relationships/hyperlink" Target="https://www.cec.health.nsw.gov.au/__data/assets/pdf_file/0008/956357/Information-for-clinicians-Risk-of-air-embolism-when-administering-intravenous-IV-fluids-without-in-line-air-detection.pdf" TargetMode="External"/><Relationship Id="rId46" Type="http://schemas.openxmlformats.org/officeDocument/2006/relationships/hyperlink" Target="https://www.childrens.health.qld.gov.au/__data/assets/pdf_file/0032/176882/DUG-Early-Intra.pdf" TargetMode="External"/><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conserving-medicines-focus-medicines-shortages" TargetMode="External"/><Relationship Id="rId20" Type="http://schemas.openxmlformats.org/officeDocument/2006/relationships/hyperlink" Target="https://www.anmfonline.org/clinical-resources/" TargetMode="External"/><Relationship Id="rId29" Type="http://schemas.openxmlformats.org/officeDocument/2006/relationships/hyperlink" Target="https://www.tga.gov.au/resources/section-19a-approvals" TargetMode="External"/><Relationship Id="rId41" Type="http://schemas.openxmlformats.org/officeDocument/2006/relationships/hyperlink" Target="https://www.sahealth.sa.gov.au/wps/wcm/connect/3eda68e3-6742-4d2b-bf68-c83728406d4e/Medication+Safety+Alert+0124+Critical+supply+disruption+multiple+intravenous+bags+220724.pdf?MOD=AJPERES&amp;amp;CACHEID=ROOTWORKSPACE-3eda68e3-6742-4d2b-bf68-c83728406d4e-p3xX5e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about-IV-fluids-shortages" TargetMode="External"/><Relationship Id="rId24" Type="http://schemas.openxmlformats.org/officeDocument/2006/relationships/hyperlink" Target="https://www.cec.health.nsw.gov.au/__data/assets/pdf_file/0008/956357/Information-for-clinicians-Risk-of-air-embolism-when-administering-intravenous-IV-fluids-without-in-line-air-detection.pdf" TargetMode="External"/><Relationship Id="rId32" Type="http://schemas.openxmlformats.org/officeDocument/2006/relationships/hyperlink" Target="https://aidh.hcn.com.au/browse/about_aidh" TargetMode="External"/><Relationship Id="rId37" Type="http://schemas.openxmlformats.org/officeDocument/2006/relationships/hyperlink" Target="https://www.cec.health.nsw.gov.au/__data/assets/pdf_file/0006/956355/Information-for-NSW-Health-clinicians-Clinical-recommendations-for-managing-intravenous-IV-fluids-shortage.pdf" TargetMode="External"/><Relationship Id="rId40" Type="http://schemas.openxmlformats.org/officeDocument/2006/relationships/hyperlink" Target="https://www.cec.health.nsw.gov.au/__data/assets/pdf_file/0004/955642/Information-for-NSW-Health-services-Intravenous-Fluid-Stewardship-IVFS.pdf" TargetMode="External"/><Relationship Id="rId45" Type="http://schemas.openxmlformats.org/officeDocument/2006/relationships/hyperlink" Target="https://www.cec.health.nsw.gov.au/keep-patients-safe/medication-safety/antimicrobial-stewardship/iv-to-oral-antibiotic-switch"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ga.gov.au/about-IV-fluids-shortages" TargetMode="External"/><Relationship Id="rId23" Type="http://schemas.openxmlformats.org/officeDocument/2006/relationships/hyperlink" Target="https://www.safetyandquality.gov.au/publications-and-resources/resource-library/principles-safe-selection-and-storage-medicines-guidance-principles-and-survey-tool" TargetMode="External"/><Relationship Id="rId28" Type="http://schemas.openxmlformats.org/officeDocument/2006/relationships/hyperlink" Target="https://www.anzca.edu.au/getattachment/d2c8053c-7e76-410e-93ce-3f9a56ffd881/PG07-Guideline-on-pre-anaesthesia-consultation-and-patient-preparation-2024" TargetMode="External"/><Relationship Id="rId36" Type="http://schemas.openxmlformats.org/officeDocument/2006/relationships/hyperlink" Target="https://www.health.nsw.gov.au/sabs/Documents/2024-sa-015.pdf" TargetMode="External"/><Relationship Id="rId49" Type="http://schemas.openxmlformats.org/officeDocument/2006/relationships/hyperlink" Target="mailto:Advice.Centre@safetyandquality.gov.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ig.rch.org.au/" TargetMode="External"/><Relationship Id="rId31" Type="http://schemas.openxmlformats.org/officeDocument/2006/relationships/hyperlink" Target="https://tgldcdp.tg.org.au/etgAccess" TargetMode="External"/><Relationship Id="rId44" Type="http://schemas.openxmlformats.org/officeDocument/2006/relationships/hyperlink" Target="https://www.safetyandquality.gov.au/publications-and-resources/resource-library/antimicrobial-stewardship-clinical-care-standard-202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resources/section-19a-approvals" TargetMode="External"/><Relationship Id="rId22" Type="http://schemas.openxmlformats.org/officeDocument/2006/relationships/hyperlink" Target="https://www.anzca.edu.au/news/guidance-on-sparing-of-intravenous-fluid-use" TargetMode="External"/><Relationship Id="rId27" Type="http://schemas.openxmlformats.org/officeDocument/2006/relationships/hyperlink" Target="https://www.anzca.edu.au/news/guidance-on-sparing-of-intravenous-fluid-use" TargetMode="External"/><Relationship Id="rId30" Type="http://schemas.openxmlformats.org/officeDocument/2006/relationships/hyperlink" Target="https://www.safetyandquality.gov.au/publications-and-resources/resource-library/conserving-medicines-focus-medicines-shortages" TargetMode="External"/><Relationship Id="rId35" Type="http://schemas.openxmlformats.org/officeDocument/2006/relationships/hyperlink" Target="https://www.safetyandquality.gov.au/publications-and-resources/resource-library/principles-safe-selection-and-storage-medicines-guidance-principles-and-survey-tool" TargetMode="External"/><Relationship Id="rId43" Type="http://schemas.openxmlformats.org/officeDocument/2006/relationships/hyperlink" Target="https://www.safetyandquality.gov.au/sites/default/files/2023-07/antimicrobial_stewardship_in_australian_health_care_-_july_2023_up_to_chapter_20.pdf" TargetMode="External"/><Relationship Id="rId48" Type="http://schemas.openxmlformats.org/officeDocument/2006/relationships/hyperlink" Target="https://pch.health.wa.gov.au/~/media/Files/Hospitals/PCH/General-documents/Health-professionals/ChAMP-Guidelines/Intravenous-to-oral-switch.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ROS\AppData\Roaming\Micro%20focus\content%20manager\TRIM\TEMP\HPTRIM.10608\D23-23758%20%20TEMPLATE%20-%20Accessible%20Word%20-%20Fact%20sheet%20for%20NSQHS%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9D5003DD-3FEF-4E8D-ACC6-5457CC9E5D6E}">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4.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D23-23758  TEMPLATE - Accessible Word - Fact sheet for NSQHS - 21 July 2023.DOTX</Template>
  <TotalTime>325</TotalTime>
  <Pages>6</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Conservation strategies and safety considerations during intravenous (IV) fluids supply disruption</vt:lpstr>
    </vt:vector>
  </TitlesOfParts>
  <Manager/>
  <Company>Australian Commission on Safety and Quality in Health Care</Company>
  <LinksUpToDate>false</LinksUpToDate>
  <CharactersWithSpaces>19621</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strategies and safety considerations during intravenous (IV) fluids supply disruption</dc:title>
  <dc:subject/>
  <dc:creator>JUN, Rosa</dc:creator>
  <cp:keywords/>
  <dc:description/>
  <cp:lastModifiedBy>JUN, Rosa</cp:lastModifiedBy>
  <cp:revision>91</cp:revision>
  <cp:lastPrinted>2020-03-04T03:32:00Z</cp:lastPrinted>
  <dcterms:created xsi:type="dcterms:W3CDTF">2024-12-02T22:09:00Z</dcterms:created>
  <dcterms:modified xsi:type="dcterms:W3CDTF">2025-01-13T22:53:00Z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