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B4B6" w14:textId="378011AB" w:rsidR="002E003F" w:rsidRPr="00204C47" w:rsidRDefault="001E7599" w:rsidP="00C6264D">
      <w:pPr>
        <w:pStyle w:val="FactSheetType"/>
        <w:spacing w:after="240"/>
      </w:pPr>
      <w:r>
        <w:rPr>
          <w:b/>
          <w:bCs w:val="0"/>
        </w:rPr>
        <w:t>FACT SHEET</w:t>
      </w:r>
      <w:r w:rsidR="002E003F" w:rsidRPr="0056304B">
        <w:br/>
      </w:r>
      <w:r w:rsidR="00842146">
        <w:t xml:space="preserve">for </w:t>
      </w:r>
      <w:r w:rsidR="00321AD9">
        <w:t>health service</w:t>
      </w:r>
      <w:r w:rsidR="00321AD9">
        <w:br/>
        <w:t>organisations</w:t>
      </w:r>
      <w:r w:rsidR="0070776B">
        <w:t xml:space="preserve"> and clinicians</w:t>
      </w:r>
    </w:p>
    <w:p w14:paraId="43BC3DE4" w14:textId="32701D92" w:rsidR="008D37A0" w:rsidRDefault="0070776B" w:rsidP="00B5603D">
      <w:pPr>
        <w:pStyle w:val="Title"/>
      </w:pPr>
      <w:r>
        <w:t>D</w:t>
      </w:r>
      <w:r w:rsidRPr="00FB79EE">
        <w:t>ocumenti</w:t>
      </w:r>
      <w:r>
        <w:t xml:space="preserve">ng </w:t>
      </w:r>
      <w:r w:rsidRPr="00FB79EE">
        <w:t>oxygen therapy</w:t>
      </w:r>
      <w:r w:rsidR="00B5603D">
        <w:t xml:space="preserve"> </w:t>
      </w:r>
      <w:r w:rsidR="004A7968">
        <w:t xml:space="preserve">and response </w:t>
      </w:r>
      <w:r w:rsidR="00B5603D">
        <w:t>for safety</w:t>
      </w: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B5603D" w14:paraId="5CBC6E13" w14:textId="77777777" w:rsidTr="00D67155">
        <w:trPr>
          <w:trHeight w:val="60"/>
        </w:trPr>
        <w:tc>
          <w:tcPr>
            <w:tcW w:w="5000" w:type="pct"/>
            <w:tcMar>
              <w:bottom w:w="0" w:type="dxa"/>
            </w:tcMar>
          </w:tcPr>
          <w:p w14:paraId="419DC5DC" w14:textId="731598CC" w:rsidR="00B5603D" w:rsidRDefault="00B5603D" w:rsidP="00D67155">
            <w:pPr>
              <w:pStyle w:val="PulloutBoxHeading"/>
            </w:pPr>
            <w:r>
              <w:t>What you need to know</w:t>
            </w:r>
          </w:p>
        </w:tc>
      </w:tr>
      <w:tr w:rsidR="00B5603D" w14:paraId="68260E67" w14:textId="77777777" w:rsidTr="00D67155">
        <w:trPr>
          <w:trHeight w:val="60"/>
        </w:trPr>
        <w:tc>
          <w:tcPr>
            <w:tcW w:w="5000" w:type="pct"/>
            <w:tcMar>
              <w:top w:w="0" w:type="dxa"/>
            </w:tcMar>
          </w:tcPr>
          <w:p w14:paraId="37B69B34" w14:textId="0A4F14E3" w:rsidR="00B5603D" w:rsidRPr="006F2977" w:rsidRDefault="00983238" w:rsidP="00B5603D">
            <w:pPr>
              <w:rPr>
                <w:rFonts w:cs="Arial"/>
              </w:rPr>
            </w:pPr>
            <w:r>
              <w:t>The use of o</w:t>
            </w:r>
            <w:r w:rsidR="00B5603D">
              <w:t xml:space="preserve">xygen </w:t>
            </w:r>
            <w:r>
              <w:t>therapy in hospital settings</w:t>
            </w:r>
            <w:r w:rsidR="00B5603D">
              <w:t xml:space="preserve"> must be documented </w:t>
            </w:r>
            <w:r>
              <w:t>appropriately</w:t>
            </w:r>
            <w:r w:rsidR="00C61E50">
              <w:t xml:space="preserve"> and consistently using</w:t>
            </w:r>
            <w:r w:rsidR="00C61E50" w:rsidRPr="00C61E50">
              <w:t xml:space="preserve"> paper-based or digital formats</w:t>
            </w:r>
            <w:r>
              <w:t>. D</w:t>
            </w:r>
            <w:r w:rsidR="00B5603D">
              <w:t xml:space="preserve">ocumentation </w:t>
            </w:r>
            <w:r w:rsidR="005A499B">
              <w:rPr>
                <w:rFonts w:cs="Arial"/>
                <w:color w:val="000000"/>
              </w:rPr>
              <w:t>needs to</w:t>
            </w:r>
            <w:r w:rsidR="005A499B" w:rsidRPr="008A3377">
              <w:rPr>
                <w:rFonts w:cs="Arial"/>
                <w:color w:val="000000"/>
              </w:rPr>
              <w:t xml:space="preserve"> </w:t>
            </w:r>
            <w:r w:rsidR="00B5603D">
              <w:rPr>
                <w:rFonts w:cs="Arial"/>
                <w:color w:val="000000"/>
              </w:rPr>
              <w:t xml:space="preserve">include </w:t>
            </w:r>
            <w:r w:rsidR="00B5603D" w:rsidRPr="008A3377">
              <w:rPr>
                <w:rFonts w:cs="Arial"/>
                <w:color w:val="000000"/>
              </w:rPr>
              <w:t>the:</w:t>
            </w:r>
          </w:p>
          <w:p w14:paraId="736CEBA2" w14:textId="77777777" w:rsidR="00B5603D" w:rsidRPr="008A3377" w:rsidRDefault="00B5603D" w:rsidP="00B560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Commencement date and time</w:t>
            </w:r>
          </w:p>
          <w:p w14:paraId="3498AC93" w14:textId="16A269E7" w:rsidR="00B5603D" w:rsidRDefault="00B5603D" w:rsidP="00B560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C0A05">
              <w:rPr>
                <w:rFonts w:cs="Arial"/>
                <w:color w:val="000000"/>
              </w:rPr>
              <w:t xml:space="preserve">elivery system when commencing </w:t>
            </w:r>
            <w:r w:rsidR="005C26F0">
              <w:rPr>
                <w:rFonts w:cs="Arial"/>
                <w:color w:val="000000"/>
              </w:rPr>
              <w:t>and</w:t>
            </w:r>
            <w:r w:rsidR="005C26F0" w:rsidRPr="009C0A0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varying oxygen</w:t>
            </w:r>
            <w:r w:rsidRPr="009C0A05">
              <w:rPr>
                <w:rFonts w:cs="Arial"/>
                <w:color w:val="000000"/>
              </w:rPr>
              <w:t xml:space="preserve"> therapy</w:t>
            </w:r>
            <w:r w:rsidR="00757FA3">
              <w:rPr>
                <w:rFonts w:cs="Arial"/>
                <w:color w:val="000000"/>
              </w:rPr>
              <w:t xml:space="preserve"> –</w:t>
            </w:r>
            <w:r w:rsidR="00591A0B">
              <w:rPr>
                <w:rFonts w:cs="Arial"/>
                <w:color w:val="000000"/>
              </w:rPr>
              <w:t xml:space="preserve"> </w:t>
            </w:r>
            <w:r w:rsidR="00757FA3">
              <w:rPr>
                <w:rFonts w:cs="Arial"/>
                <w:color w:val="000000"/>
              </w:rPr>
              <w:t>f</w:t>
            </w:r>
            <w:r w:rsidRPr="008A3377">
              <w:rPr>
                <w:rFonts w:cs="Arial"/>
                <w:color w:val="000000"/>
              </w:rPr>
              <w:t xml:space="preserve">or example, </w:t>
            </w:r>
            <w:r>
              <w:rPr>
                <w:rFonts w:cs="Arial"/>
                <w:color w:val="000000"/>
              </w:rPr>
              <w:t xml:space="preserve">a </w:t>
            </w:r>
            <w:r w:rsidRPr="008A3377">
              <w:rPr>
                <w:rFonts w:cs="Arial"/>
                <w:color w:val="000000"/>
              </w:rPr>
              <w:t>mask</w:t>
            </w:r>
            <w:r>
              <w:rPr>
                <w:rFonts w:cs="Arial"/>
                <w:color w:val="000000"/>
              </w:rPr>
              <w:t xml:space="preserve"> or</w:t>
            </w:r>
            <w:r w:rsidRPr="008A3377">
              <w:rPr>
                <w:rFonts w:cs="Arial"/>
                <w:color w:val="000000"/>
              </w:rPr>
              <w:t xml:space="preserve"> nasal prongs</w:t>
            </w:r>
            <w:r>
              <w:rPr>
                <w:rFonts w:cs="Arial"/>
                <w:color w:val="000000"/>
              </w:rPr>
              <w:t>/cannulae</w:t>
            </w:r>
          </w:p>
          <w:p w14:paraId="0A8F8F21" w14:textId="1923C0C9" w:rsidR="00582911" w:rsidRDefault="00757FA3" w:rsidP="00BF100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 w:line="259" w:lineRule="auto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Oxygen </w:t>
            </w:r>
            <w:r w:rsidR="009076BA">
              <w:rPr>
                <w:rFonts w:cs="Arial"/>
                <w:color w:val="000000"/>
              </w:rPr>
              <w:t>f</w:t>
            </w:r>
            <w:r w:rsidR="00B5603D" w:rsidRPr="008063F0">
              <w:rPr>
                <w:rFonts w:cs="Arial"/>
                <w:color w:val="000000"/>
              </w:rPr>
              <w:t xml:space="preserve">low rate/concentration </w:t>
            </w:r>
            <w:r>
              <w:rPr>
                <w:rFonts w:cs="Arial"/>
                <w:color w:val="000000"/>
              </w:rPr>
              <w:t>when</w:t>
            </w:r>
            <w:r w:rsidRPr="008063F0">
              <w:rPr>
                <w:rFonts w:cs="Arial"/>
                <w:color w:val="000000"/>
              </w:rPr>
              <w:t xml:space="preserve"> </w:t>
            </w:r>
            <w:r w:rsidR="00B5603D" w:rsidRPr="008063F0">
              <w:rPr>
                <w:rFonts w:cs="Arial"/>
                <w:color w:val="000000"/>
              </w:rPr>
              <w:t xml:space="preserve">commencing </w:t>
            </w:r>
            <w:r w:rsidR="00B5603D">
              <w:rPr>
                <w:rFonts w:cs="Arial"/>
                <w:color w:val="000000"/>
              </w:rPr>
              <w:t>and when varying</w:t>
            </w:r>
            <w:r w:rsidR="00B5603D" w:rsidRPr="008063F0">
              <w:rPr>
                <w:rFonts w:cs="Arial"/>
                <w:color w:val="000000"/>
              </w:rPr>
              <w:t xml:space="preserve"> </w:t>
            </w:r>
            <w:r w:rsidR="00B5603D">
              <w:rPr>
                <w:rFonts w:cs="Arial"/>
                <w:color w:val="000000"/>
              </w:rPr>
              <w:t xml:space="preserve">oxygen </w:t>
            </w:r>
            <w:r w:rsidR="00B5603D" w:rsidRPr="008063F0">
              <w:rPr>
                <w:rFonts w:cs="Arial"/>
                <w:color w:val="000000"/>
              </w:rPr>
              <w:t>therapy</w:t>
            </w:r>
          </w:p>
          <w:p w14:paraId="44E66571" w14:textId="37EC84C8" w:rsidR="00582911" w:rsidRDefault="00582911" w:rsidP="00BF100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 w:line="259" w:lineRule="auto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Target oxygen saturation range, either individualised ranges or according to standard vital sign observation</w:t>
            </w:r>
            <w:r w:rsidR="00145CA7">
              <w:rPr>
                <w:rFonts w:cs="Arial"/>
                <w:color w:val="000000"/>
              </w:rPr>
              <w:t xml:space="preserve"> and response</w:t>
            </w:r>
            <w:r>
              <w:rPr>
                <w:rFonts w:cs="Arial"/>
                <w:color w:val="000000"/>
              </w:rPr>
              <w:t xml:space="preserve"> charts, as appropriate for the patient</w:t>
            </w:r>
          </w:p>
          <w:p w14:paraId="60214DA8" w14:textId="661D8414" w:rsidR="00B5603D" w:rsidRPr="008063F0" w:rsidRDefault="00582911" w:rsidP="00B560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Monitoring of response against targets or thresholds and cessation of therapy</w:t>
            </w:r>
            <w:r w:rsidR="00837B9C">
              <w:rPr>
                <w:rFonts w:cs="Arial"/>
                <w:color w:val="000000"/>
              </w:rPr>
              <w:t>.</w:t>
            </w:r>
          </w:p>
          <w:p w14:paraId="65227DE4" w14:textId="1BFE6EE3" w:rsidR="00B5603D" w:rsidRDefault="00B5603D" w:rsidP="00B5603D">
            <w:r w:rsidRPr="008D37A0">
              <w:t xml:space="preserve">Measurement and recording of vital signs, including oxygen saturation, contributes to best practice monitoring for signs of acute deterioration. Every patient is required to have a clear </w:t>
            </w:r>
            <w:r w:rsidR="00981F1E">
              <w:t xml:space="preserve">individualised </w:t>
            </w:r>
            <w:r w:rsidRPr="008D37A0">
              <w:t>monitoring plan</w:t>
            </w:r>
            <w:r w:rsidR="00757FA3">
              <w:t>,</w:t>
            </w:r>
            <w:r w:rsidRPr="008D37A0">
              <w:t xml:space="preserve"> with vital signs </w:t>
            </w:r>
            <w:r w:rsidR="004B6515">
              <w:t xml:space="preserve">graphically </w:t>
            </w:r>
            <w:r w:rsidRPr="008D37A0">
              <w:t xml:space="preserve">documented. </w:t>
            </w:r>
            <w:r w:rsidR="007572B4">
              <w:t>T</w:t>
            </w:r>
            <w:r w:rsidRPr="008D37A0">
              <w:t xml:space="preserve">hresholds for oxygen saturation should be documented in the </w:t>
            </w:r>
            <w:r w:rsidR="00D25AC3">
              <w:t xml:space="preserve">individualised </w:t>
            </w:r>
            <w:r w:rsidRPr="008D37A0">
              <w:t>monitoring plan.</w:t>
            </w:r>
          </w:p>
          <w:p w14:paraId="694694CF" w14:textId="3BB27263" w:rsidR="007D4683" w:rsidRDefault="007D4683" w:rsidP="00B5603D">
            <w:pPr>
              <w:rPr>
                <w:rFonts w:cs="Arial"/>
                <w:color w:val="000000"/>
              </w:rPr>
            </w:pPr>
            <w:r w:rsidRPr="008A3377">
              <w:rPr>
                <w:rFonts w:cs="Arial"/>
              </w:rPr>
              <w:t>I</w:t>
            </w:r>
            <w:r w:rsidRPr="008A3377">
              <w:rPr>
                <w:rFonts w:cs="Arial"/>
                <w:color w:val="000000"/>
              </w:rPr>
              <w:t>n a</w:t>
            </w:r>
            <w:r>
              <w:rPr>
                <w:rFonts w:cs="Arial"/>
                <w:color w:val="000000"/>
              </w:rPr>
              <w:t xml:space="preserve"> medical</w:t>
            </w:r>
            <w:r w:rsidRPr="008A3377">
              <w:rPr>
                <w:rFonts w:cs="Arial"/>
                <w:color w:val="000000"/>
              </w:rPr>
              <w:t xml:space="preserve"> emergency</w:t>
            </w:r>
            <w:r>
              <w:rPr>
                <w:rFonts w:cs="Arial"/>
                <w:color w:val="000000"/>
              </w:rPr>
              <w:t xml:space="preserve"> with acute physiological deterioration,</w:t>
            </w:r>
            <w:r w:rsidRPr="008A337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administration of </w:t>
            </w:r>
            <w:r w:rsidRPr="008A3377">
              <w:rPr>
                <w:rFonts w:cs="Arial"/>
                <w:color w:val="000000"/>
              </w:rPr>
              <w:t xml:space="preserve">oxygen should </w:t>
            </w:r>
            <w:r>
              <w:rPr>
                <w:rFonts w:cs="Arial"/>
                <w:color w:val="000000"/>
              </w:rPr>
              <w:t>not be delayed</w:t>
            </w:r>
            <w:r w:rsidR="0084106D">
              <w:rPr>
                <w:rFonts w:cs="Arial"/>
                <w:color w:val="000000"/>
              </w:rPr>
              <w:t>. D</w:t>
            </w:r>
            <w:r>
              <w:rPr>
                <w:rFonts w:cs="Arial"/>
                <w:color w:val="000000"/>
              </w:rPr>
              <w:t xml:space="preserve">ocumentation of </w:t>
            </w:r>
            <w:r w:rsidR="0084106D">
              <w:rPr>
                <w:rFonts w:cs="Arial"/>
                <w:color w:val="000000"/>
              </w:rPr>
              <w:t xml:space="preserve">the </w:t>
            </w:r>
            <w:r>
              <w:rPr>
                <w:rFonts w:cs="Arial"/>
                <w:color w:val="000000"/>
              </w:rPr>
              <w:t xml:space="preserve">outcome and ongoing </w:t>
            </w:r>
            <w:r w:rsidR="0084106D">
              <w:rPr>
                <w:rFonts w:cs="Arial"/>
                <w:color w:val="000000"/>
              </w:rPr>
              <w:t xml:space="preserve">oxygen </w:t>
            </w:r>
            <w:r>
              <w:rPr>
                <w:rFonts w:cs="Arial"/>
                <w:color w:val="000000"/>
              </w:rPr>
              <w:t xml:space="preserve">requirements </w:t>
            </w:r>
            <w:r w:rsidR="0084106D">
              <w:rPr>
                <w:rFonts w:cs="Arial"/>
                <w:color w:val="000000"/>
              </w:rPr>
              <w:t xml:space="preserve">should </w:t>
            </w:r>
            <w:r>
              <w:rPr>
                <w:rFonts w:cs="Arial"/>
                <w:color w:val="000000"/>
              </w:rPr>
              <w:t>occur as soon as possible.</w:t>
            </w:r>
          </w:p>
          <w:p w14:paraId="65C9B778" w14:textId="0D28874C" w:rsidR="00C61E50" w:rsidRDefault="00852531" w:rsidP="00B5603D">
            <w:pPr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Clinician education and training should include appropriate prescribing, administration, monitoring and documentation of oxygen therapy.</w:t>
            </w:r>
            <w:r w:rsidR="003C6625">
              <w:rPr>
                <w:rFonts w:cs="Arial"/>
                <w:color w:val="333333"/>
              </w:rPr>
              <w:t xml:space="preserve"> </w:t>
            </w:r>
          </w:p>
          <w:p w14:paraId="3FB3C189" w14:textId="73E26868" w:rsidR="00C61E50" w:rsidRPr="002917A4" w:rsidRDefault="00C61E50" w:rsidP="00B5603D">
            <w:pPr>
              <w:rPr>
                <w:rFonts w:cs="Arial"/>
                <w:color w:val="333333"/>
              </w:rPr>
            </w:pPr>
            <w:r>
              <w:t>T</w:t>
            </w:r>
            <w:r w:rsidRPr="00C61E50">
              <w:t>here is no legislation t</w:t>
            </w:r>
            <w:r>
              <w:t>o</w:t>
            </w:r>
            <w:r w:rsidRPr="00C61E50">
              <w:t xml:space="preserve"> require a prescription order for oxygen prior to administration</w:t>
            </w:r>
            <w:r>
              <w:t xml:space="preserve">. However, </w:t>
            </w:r>
            <w:r w:rsidRPr="00C61E50">
              <w:t>oxygen carries the same risk as high-risk medicines and safe management requires similar documentation to medicines.</w:t>
            </w:r>
            <w:r w:rsidR="003C6625">
              <w:t xml:space="preserve"> </w:t>
            </w:r>
            <w:r w:rsidR="00591A0B">
              <w:t xml:space="preserve">There </w:t>
            </w:r>
            <w:r w:rsidR="003C6625" w:rsidRPr="003C6625">
              <w:t>are systems and protocols in place for prescribing and documenting oxygen therapy in the ICU setting</w:t>
            </w:r>
            <w:r w:rsidR="003C6625">
              <w:t>.</w:t>
            </w:r>
          </w:p>
          <w:p w14:paraId="0C9C6D9E" w14:textId="4FCC524B" w:rsidR="005E7332" w:rsidRPr="007572B4" w:rsidRDefault="005E7332" w:rsidP="00B5603D">
            <w:pPr>
              <w:rPr>
                <w:vertAlign w:val="superscript"/>
              </w:rPr>
            </w:pPr>
            <w:r>
              <w:rPr>
                <w:rFonts w:cs="Arial"/>
              </w:rPr>
              <w:t xml:space="preserve">Guidance on oxygen therapy for specific clinical indications, oxygen saturation targets </w:t>
            </w:r>
            <w:r w:rsidR="00757FA3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 xml:space="preserve">oxygen delivery mechanisms is </w:t>
            </w:r>
            <w:r w:rsidR="0070287B">
              <w:rPr>
                <w:rFonts w:cs="Arial"/>
              </w:rPr>
              <w:t>outlined</w:t>
            </w:r>
            <w:r>
              <w:rPr>
                <w:rFonts w:cs="Arial"/>
              </w:rPr>
              <w:t xml:space="preserve"> in the </w:t>
            </w:r>
            <w:bookmarkStart w:id="0" w:name="_Hlk191476109"/>
            <w:r w:rsidRPr="005E7332">
              <w:rPr>
                <w:rStyle w:val="Blue"/>
                <w:rFonts w:eastAsiaTheme="majorEastAsia" w:cs="Arial"/>
                <w:color w:val="auto"/>
              </w:rPr>
              <w:t xml:space="preserve">Thoracic Society of Australia and New Zealand </w:t>
            </w:r>
            <w:hyperlink r:id="rId10" w:history="1">
              <w:r w:rsidRPr="00D26C2D">
                <w:rPr>
                  <w:rStyle w:val="Hyperlink"/>
                  <w:rFonts w:eastAsiaTheme="majorEastAsia" w:cs="Arial"/>
                </w:rPr>
                <w:t>Position Statement on Acut</w:t>
              </w:r>
              <w:r w:rsidRPr="00E37657">
                <w:rPr>
                  <w:rStyle w:val="Hyperlink"/>
                  <w:rFonts w:eastAsiaTheme="majorEastAsia" w:cs="Arial"/>
                </w:rPr>
                <w:t>e Oxyg</w:t>
              </w:r>
              <w:r w:rsidRPr="00D26C2D">
                <w:rPr>
                  <w:rStyle w:val="Hyperlink"/>
                  <w:rFonts w:eastAsiaTheme="majorEastAsia" w:cs="Arial"/>
                </w:rPr>
                <w:t>en Use in Adults: Swimming between the flags</w:t>
              </w:r>
            </w:hyperlink>
            <w:r w:rsidRPr="00D26C2D">
              <w:rPr>
                <w:rStyle w:val="Hyperlink"/>
                <w:rFonts w:eastAsiaTheme="majorEastAsia" w:cs="Arial"/>
              </w:rPr>
              <w:t xml:space="preserve"> (2022)</w:t>
            </w:r>
            <w:r>
              <w:rPr>
                <w:rFonts w:cs="Arial"/>
              </w:rPr>
              <w:t>.</w:t>
            </w:r>
            <w:r w:rsidR="00FB1D4A">
              <w:rPr>
                <w:rFonts w:cs="Arial"/>
                <w:vertAlign w:val="superscript"/>
              </w:rPr>
              <w:t>1</w:t>
            </w:r>
            <w:bookmarkEnd w:id="0"/>
          </w:p>
        </w:tc>
      </w:tr>
    </w:tbl>
    <w:p w14:paraId="45A9496D" w14:textId="67ACD34F" w:rsidR="00296130" w:rsidRPr="00E81403" w:rsidRDefault="00296130" w:rsidP="00FE3C06">
      <w:pPr>
        <w:pStyle w:val="Heading2"/>
      </w:pPr>
      <w:r>
        <w:t>Purpose and rationale</w:t>
      </w:r>
    </w:p>
    <w:p w14:paraId="038B5715" w14:textId="1C002148" w:rsidR="0053429F" w:rsidRDefault="0040735A" w:rsidP="0040735A">
      <w:pPr>
        <w:pStyle w:val="PulloutTextBody"/>
        <w:rPr>
          <w:rFonts w:cs="Arial"/>
        </w:rPr>
      </w:pPr>
      <w:r>
        <w:rPr>
          <w:rFonts w:cs="Arial"/>
        </w:rPr>
        <w:t>Variation in the documentation</w:t>
      </w:r>
      <w:r w:rsidR="00775272">
        <w:rPr>
          <w:rFonts w:cs="Arial"/>
        </w:rPr>
        <w:t>, administration</w:t>
      </w:r>
      <w:r>
        <w:rPr>
          <w:rFonts w:cs="Arial"/>
        </w:rPr>
        <w:t xml:space="preserve"> and monitoring of oxygen therapy in hospital settings can </w:t>
      </w:r>
      <w:r w:rsidR="00400DD1">
        <w:rPr>
          <w:rFonts w:cs="Arial"/>
        </w:rPr>
        <w:t>lead to</w:t>
      </w:r>
      <w:r>
        <w:rPr>
          <w:rFonts w:cs="Arial"/>
        </w:rPr>
        <w:t xml:space="preserve"> hypoxaemia or hyperoxaemia, with the risk of significant patient harm.</w:t>
      </w:r>
    </w:p>
    <w:p w14:paraId="369DFCA2" w14:textId="77777777" w:rsidR="005E7332" w:rsidRDefault="00296130" w:rsidP="0008507C">
      <w:pPr>
        <w:pStyle w:val="PulloutTextBody"/>
      </w:pPr>
      <w:r>
        <w:lastRenderedPageBreak/>
        <w:t>T</w:t>
      </w:r>
      <w:r w:rsidR="00161AF7">
        <w:t xml:space="preserve">his </w:t>
      </w:r>
      <w:r w:rsidR="008D37A0">
        <w:t>f</w:t>
      </w:r>
      <w:r w:rsidR="00161AF7">
        <w:t>act sheet</w:t>
      </w:r>
      <w:r w:rsidR="005E7332">
        <w:t>:</w:t>
      </w:r>
    </w:p>
    <w:p w14:paraId="0A8E3DB4" w14:textId="3B64F318" w:rsidR="005E7332" w:rsidRPr="00632C09" w:rsidRDefault="005E7332" w:rsidP="009B58B4">
      <w:pPr>
        <w:pStyle w:val="PulloutTextBullets-NoIndent"/>
      </w:pPr>
      <w:r w:rsidRPr="00632C09">
        <w:t>P</w:t>
      </w:r>
      <w:r w:rsidR="00161AF7" w:rsidRPr="00632C09">
        <w:t>rovides guidance for health service organisations and clinicians on</w:t>
      </w:r>
      <w:r w:rsidR="00E81403" w:rsidRPr="00632C09">
        <w:t xml:space="preserve"> process</w:t>
      </w:r>
      <w:r w:rsidR="00BD209C" w:rsidRPr="00632C09">
        <w:t>es</w:t>
      </w:r>
      <w:r w:rsidR="00E81403" w:rsidRPr="00632C09">
        <w:t xml:space="preserve"> to support appropriate documentation</w:t>
      </w:r>
      <w:r w:rsidR="00BD209C" w:rsidRPr="00632C09">
        <w:t xml:space="preserve"> around the</w:t>
      </w:r>
      <w:r w:rsidR="00E81403" w:rsidRPr="00632C09">
        <w:t xml:space="preserve"> administration, and monitoring of oxygen therapy for adults in acute healthcare settings</w:t>
      </w:r>
    </w:p>
    <w:p w14:paraId="59F068B0" w14:textId="01002A16" w:rsidR="00BD209C" w:rsidRPr="00632C09" w:rsidRDefault="005E7332" w:rsidP="009B58B4">
      <w:pPr>
        <w:pStyle w:val="PulloutTextBullets-NoIndent"/>
      </w:pPr>
      <w:r w:rsidRPr="00632C09">
        <w:t>I</w:t>
      </w:r>
      <w:r w:rsidR="0053429F" w:rsidRPr="00632C09">
        <w:t xml:space="preserve">s an addendum to the </w:t>
      </w:r>
      <w:hyperlink r:id="rId11" w:history="1">
        <w:r w:rsidR="0053429F" w:rsidRPr="00632C09">
          <w:rPr>
            <w:rStyle w:val="Hyperlink"/>
            <w:color w:val="auto"/>
            <w:u w:val="none"/>
          </w:rPr>
          <w:t>National Consensus Statement: Essential elements for recognising and responding to acute physiological deterioration</w:t>
        </w:r>
      </w:hyperlink>
      <w:r w:rsidR="00FB1D4A" w:rsidRPr="00FE71F2">
        <w:rPr>
          <w:vertAlign w:val="superscript"/>
        </w:rPr>
        <w:t>2</w:t>
      </w:r>
      <w:r w:rsidR="0053429F" w:rsidRPr="00632C09">
        <w:t xml:space="preserve">, which recommends the use of </w:t>
      </w:r>
      <w:r w:rsidR="00145CA7" w:rsidRPr="00632C09">
        <w:t xml:space="preserve">graphical </w:t>
      </w:r>
      <w:r w:rsidR="0053429F" w:rsidRPr="00632C09">
        <w:t xml:space="preserve">observation and response charts for </w:t>
      </w:r>
      <w:r w:rsidR="00CF09DD" w:rsidRPr="00632C09">
        <w:t>documenting</w:t>
      </w:r>
      <w:r w:rsidR="0053429F" w:rsidRPr="00632C09">
        <w:t xml:space="preserve"> </w:t>
      </w:r>
      <w:r w:rsidR="00145CA7" w:rsidRPr="00632C09">
        <w:t xml:space="preserve">and tracking </w:t>
      </w:r>
      <w:r w:rsidR="00CF09DD" w:rsidRPr="00632C09">
        <w:t xml:space="preserve">changes </w:t>
      </w:r>
      <w:r w:rsidR="0053429F" w:rsidRPr="00632C09">
        <w:t>of vital signs and other observations</w:t>
      </w:r>
    </w:p>
    <w:p w14:paraId="3E17AF78" w14:textId="55C276B6" w:rsidR="0053429F" w:rsidRPr="00FE3C06" w:rsidRDefault="00BD209C" w:rsidP="009B58B4">
      <w:pPr>
        <w:pStyle w:val="PulloutTextBullets-NoIndent"/>
      </w:pPr>
      <w:r w:rsidRPr="00632C09">
        <w:t>C</w:t>
      </w:r>
      <w:r w:rsidR="0053429F" w:rsidRPr="00632C09">
        <w:t xml:space="preserve">omplements the Commission’s </w:t>
      </w:r>
      <w:bookmarkStart w:id="1" w:name="_Hlk180742110"/>
      <w:r w:rsidR="000F71A8" w:rsidRPr="00632C09">
        <w:fldChar w:fldCharType="begin"/>
      </w:r>
      <w:r w:rsidR="000F71A8" w:rsidRPr="00632C09">
        <w:instrText>HYPERLINK "https://www.safetyandquality.gov.au/publications-and-resources/resource-library/chronic-obstructive-pulmonary-disease-clinical-care-standard-2024"</w:instrText>
      </w:r>
      <w:r w:rsidR="000F71A8" w:rsidRPr="00632C09">
        <w:fldChar w:fldCharType="separate"/>
      </w:r>
      <w:r w:rsidR="0053429F" w:rsidRPr="00632C09">
        <w:rPr>
          <w:rStyle w:val="Hyperlink"/>
          <w:color w:val="auto"/>
          <w:u w:val="none"/>
        </w:rPr>
        <w:t>Chronic Obstructive Pulmonary Disease (COPD) Clinical Care Standard</w:t>
      </w:r>
      <w:r w:rsidR="000F71A8" w:rsidRPr="00632C09">
        <w:fldChar w:fldCharType="end"/>
      </w:r>
      <w:r w:rsidR="00FB1D4A" w:rsidRPr="00FE71F2">
        <w:rPr>
          <w:vertAlign w:val="superscript"/>
        </w:rPr>
        <w:t>3</w:t>
      </w:r>
      <w:r w:rsidR="0053429F" w:rsidRPr="00632C09">
        <w:t>,</w:t>
      </w:r>
      <w:bookmarkEnd w:id="1"/>
      <w:r w:rsidR="0053429F" w:rsidRPr="00632C09">
        <w:t xml:space="preserve"> which </w:t>
      </w:r>
      <w:r w:rsidRPr="00632C09">
        <w:t xml:space="preserve">includes specific guidance on the use of oxygen and ventilatory support during </w:t>
      </w:r>
      <w:r>
        <w:t>COPD exacerbations in acute healthcare settings</w:t>
      </w:r>
      <w:r w:rsidR="0053429F" w:rsidRPr="0053429F">
        <w:t>.</w:t>
      </w:r>
    </w:p>
    <w:p w14:paraId="171AC7BC" w14:textId="77777777" w:rsidR="0053429F" w:rsidRDefault="0053429F" w:rsidP="00E30EA7">
      <w:pPr>
        <w:rPr>
          <w:rFonts w:cs="Arial"/>
          <w:b/>
          <w:bCs/>
        </w:rPr>
      </w:pPr>
    </w:p>
    <w:p w14:paraId="5F88B9A0" w14:textId="3B6470C9" w:rsidR="00606995" w:rsidRPr="00A43CA3" w:rsidRDefault="00606995" w:rsidP="00606995">
      <w:pPr>
        <w:rPr>
          <w:rFonts w:cs="Arial"/>
          <w:b/>
          <w:bCs/>
        </w:rPr>
      </w:pPr>
      <w:r w:rsidRPr="00A43CA3">
        <w:rPr>
          <w:rFonts w:cs="Arial"/>
          <w:b/>
          <w:bCs/>
        </w:rPr>
        <w:t>Out of scope</w:t>
      </w:r>
    </w:p>
    <w:p w14:paraId="1B460D16" w14:textId="6C7DF277" w:rsidR="00606995" w:rsidRPr="006C7951" w:rsidRDefault="00606995" w:rsidP="006C7951">
      <w:pPr>
        <w:rPr>
          <w:rFonts w:cs="Arial"/>
        </w:rPr>
      </w:pPr>
      <w:r>
        <w:rPr>
          <w:rFonts w:cs="Arial"/>
        </w:rPr>
        <w:t xml:space="preserve">This guidance does not provide recommendations on </w:t>
      </w:r>
      <w:r w:rsidRPr="006C7951">
        <w:rPr>
          <w:rFonts w:cs="Arial"/>
        </w:rPr>
        <w:t xml:space="preserve">oxygen therapy for specific clinical indications, oxygen saturation targets or oxygen delivery mechanisms. Guidance on these issues is provided in the </w:t>
      </w:r>
      <w:bookmarkStart w:id="2" w:name="_Hlk181361528"/>
      <w:r w:rsidRPr="006C7951">
        <w:rPr>
          <w:rStyle w:val="Blue"/>
          <w:rFonts w:eastAsiaTheme="majorEastAsia" w:cs="Arial"/>
          <w:color w:val="auto"/>
        </w:rPr>
        <w:t xml:space="preserve">Thoracic Society of Australia and New Zealand </w:t>
      </w:r>
      <w:hyperlink r:id="rId12" w:history="1">
        <w:r w:rsidRPr="006C7951">
          <w:rPr>
            <w:rStyle w:val="Hyperlink"/>
            <w:rFonts w:eastAsiaTheme="majorEastAsia" w:cs="Arial"/>
          </w:rPr>
          <w:t>Position Statement on Acute Oxygen Use in Adults: Swimming between the flags</w:t>
        </w:r>
      </w:hyperlink>
      <w:r w:rsidRPr="006C7951">
        <w:rPr>
          <w:rStyle w:val="Hyperlink"/>
          <w:rFonts w:eastAsiaTheme="majorEastAsia" w:cs="Arial"/>
        </w:rPr>
        <w:t xml:space="preserve"> (2022)</w:t>
      </w:r>
      <w:r w:rsidRPr="006C7951">
        <w:rPr>
          <w:rFonts w:cs="Arial"/>
        </w:rPr>
        <w:t>.</w:t>
      </w:r>
      <w:r w:rsidR="00FB1D4A" w:rsidRPr="006C7951">
        <w:rPr>
          <w:rFonts w:cs="Arial"/>
          <w:vertAlign w:val="superscript"/>
        </w:rPr>
        <w:t>1</w:t>
      </w:r>
      <w:bookmarkEnd w:id="2"/>
    </w:p>
    <w:p w14:paraId="494AAE80" w14:textId="61F03CF5" w:rsidR="0077542E" w:rsidRPr="006C7951" w:rsidRDefault="00591A0B" w:rsidP="006C7951">
      <w:pPr>
        <w:rPr>
          <w:rFonts w:cs="Arial"/>
          <w:vertAlign w:val="superscript"/>
        </w:rPr>
      </w:pPr>
      <w:r>
        <w:rPr>
          <w:rFonts w:cs="Arial"/>
        </w:rPr>
        <w:t>O</w:t>
      </w:r>
      <w:r w:rsidR="0077542E" w:rsidRPr="006C7951">
        <w:rPr>
          <w:rFonts w:cs="Arial"/>
        </w:rPr>
        <w:t>xygen administration during procedural sedation and anaesthesia</w:t>
      </w:r>
      <w:r>
        <w:rPr>
          <w:rFonts w:cs="Arial"/>
        </w:rPr>
        <w:t xml:space="preserve"> is a</w:t>
      </w:r>
      <w:r w:rsidRPr="00591A0B">
        <w:rPr>
          <w:rFonts w:cs="Arial"/>
        </w:rPr>
        <w:t>lso out of scope</w:t>
      </w:r>
      <w:r w:rsidR="006C7951">
        <w:rPr>
          <w:rFonts w:cs="Arial"/>
        </w:rPr>
        <w:t>.</w:t>
      </w:r>
    </w:p>
    <w:p w14:paraId="6970D64A" w14:textId="349BBE2C" w:rsidR="00606995" w:rsidRDefault="00B5603D" w:rsidP="00606995">
      <w:pPr>
        <w:pStyle w:val="Heading2"/>
      </w:pPr>
      <w:bookmarkStart w:id="3" w:name="_Toc176356766"/>
      <w:r>
        <w:t>O</w:t>
      </w:r>
      <w:r w:rsidR="00606995" w:rsidRPr="00FB79EE">
        <w:t xml:space="preserve">xygen </w:t>
      </w:r>
      <w:r w:rsidR="00606995">
        <w:t>therapy</w:t>
      </w:r>
      <w:bookmarkEnd w:id="3"/>
    </w:p>
    <w:p w14:paraId="5F099F90" w14:textId="22DD6904" w:rsidR="00B5603D" w:rsidRDefault="00606995" w:rsidP="00606995">
      <w:r w:rsidRPr="002D12BE">
        <w:t xml:space="preserve">Oxygen is a </w:t>
      </w:r>
      <w:r w:rsidR="007F5F1A">
        <w:t>medicinal (or therapeutic)</w:t>
      </w:r>
      <w:r w:rsidR="0077542E" w:rsidRPr="002D12BE">
        <w:t xml:space="preserve"> </w:t>
      </w:r>
      <w:r w:rsidRPr="002D12BE">
        <w:t>gas and an important treatment option</w:t>
      </w:r>
      <w:r w:rsidR="00BD209C">
        <w:t xml:space="preserve"> in acute healthcare settings</w:t>
      </w:r>
      <w:r w:rsidR="00B5603D">
        <w:t>.</w:t>
      </w:r>
      <w:r w:rsidRPr="002D12BE">
        <w:t xml:space="preserve"> </w:t>
      </w:r>
    </w:p>
    <w:p w14:paraId="158AB272" w14:textId="0EBA7131" w:rsidR="00BE71AD" w:rsidRDefault="00BD209C" w:rsidP="00606995">
      <w:r>
        <w:t xml:space="preserve">Unlike </w:t>
      </w:r>
      <w:r w:rsidR="00066C47">
        <w:t xml:space="preserve">most </w:t>
      </w:r>
      <w:r>
        <w:t xml:space="preserve">other medicines, </w:t>
      </w:r>
      <w:r w:rsidR="00606995" w:rsidRPr="002D12BE">
        <w:t xml:space="preserve">the amount </w:t>
      </w:r>
      <w:r w:rsidR="00C91F09">
        <w:t xml:space="preserve">of </w:t>
      </w:r>
      <w:r>
        <w:t xml:space="preserve">oxygen </w:t>
      </w:r>
      <w:r w:rsidR="00606995" w:rsidRPr="002D12BE">
        <w:t xml:space="preserve">and mode of delivery </w:t>
      </w:r>
      <w:r>
        <w:t>requires</w:t>
      </w:r>
      <w:r w:rsidRPr="002D12BE">
        <w:t xml:space="preserve"> </w:t>
      </w:r>
      <w:r>
        <w:t>adjustment</w:t>
      </w:r>
      <w:r w:rsidR="00606995" w:rsidRPr="002D12BE">
        <w:t xml:space="preserve"> in real-time to a</w:t>
      </w:r>
      <w:r>
        <w:t>chieve a</w:t>
      </w:r>
      <w:r w:rsidR="00606995" w:rsidRPr="002D12BE">
        <w:t xml:space="preserve"> targeted outcome. This contrasts with a traditional “prescribed” dose and route</w:t>
      </w:r>
      <w:r w:rsidR="00BE71AD">
        <w:t xml:space="preserve"> of administration</w:t>
      </w:r>
      <w:r w:rsidR="00606995" w:rsidRPr="002D12BE">
        <w:t xml:space="preserve"> of a medicine with a subsequent </w:t>
      </w:r>
      <w:r w:rsidR="00B5603D">
        <w:t xml:space="preserve">treatment </w:t>
      </w:r>
      <w:r w:rsidR="00606995" w:rsidRPr="002D12BE">
        <w:t xml:space="preserve">outcome. </w:t>
      </w:r>
      <w:r w:rsidR="003B1E52" w:rsidRPr="003B1E52">
        <w:t>This means that the documentation and monitoring requirements for oxygen</w:t>
      </w:r>
      <w:r w:rsidR="00803F89">
        <w:t xml:space="preserve"> therapy</w:t>
      </w:r>
      <w:r w:rsidR="003B1E52" w:rsidRPr="003B1E52">
        <w:t xml:space="preserve"> differ to those of </w:t>
      </w:r>
      <w:r w:rsidR="001D5631">
        <w:t xml:space="preserve">most </w:t>
      </w:r>
      <w:r w:rsidR="003B1E52" w:rsidRPr="003B1E52">
        <w:t xml:space="preserve">other prescribed medicines. </w:t>
      </w:r>
    </w:p>
    <w:p w14:paraId="1423A2AB" w14:textId="760EC6EE" w:rsidR="003D0C7C" w:rsidRPr="00600475" w:rsidRDefault="00CF09DD" w:rsidP="00606995">
      <w:pPr>
        <w:rPr>
          <w:vertAlign w:val="subscript"/>
        </w:rPr>
      </w:pPr>
      <w:r w:rsidRPr="00DF0A09">
        <w:t>O</w:t>
      </w:r>
      <w:r w:rsidR="00A1011B" w:rsidRPr="00DF0A09">
        <w:t xml:space="preserve">xygen titrations, or changes to the oxygen flow rate, are often managed by nurses which may influence where they are most appropriately documented within clinical systems. </w:t>
      </w:r>
      <w:r w:rsidR="00FD7241" w:rsidRPr="00DF0A09">
        <w:rPr>
          <w:rFonts w:cs="Arial"/>
        </w:rPr>
        <w:t>Inadequate documentation</w:t>
      </w:r>
      <w:r w:rsidR="002526F1" w:rsidRPr="00DF0A09">
        <w:rPr>
          <w:rFonts w:cs="Arial"/>
        </w:rPr>
        <w:t>, administration</w:t>
      </w:r>
      <w:r w:rsidR="00FD7241" w:rsidRPr="00DF0A09">
        <w:rPr>
          <w:rFonts w:cs="Arial"/>
        </w:rPr>
        <w:t xml:space="preserve"> and monitoring </w:t>
      </w:r>
      <w:r w:rsidR="00E42EFD" w:rsidRPr="00DF0A09">
        <w:rPr>
          <w:rFonts w:cs="Arial"/>
        </w:rPr>
        <w:t xml:space="preserve">of oxygen therapy </w:t>
      </w:r>
      <w:r w:rsidR="00FD7241" w:rsidRPr="00DF0A09">
        <w:rPr>
          <w:rFonts w:cs="Arial"/>
        </w:rPr>
        <w:t xml:space="preserve">can </w:t>
      </w:r>
      <w:r w:rsidR="005C26F0" w:rsidRPr="00DF0A09">
        <w:rPr>
          <w:rFonts w:cs="Arial"/>
        </w:rPr>
        <w:t xml:space="preserve">result in hypoxaemia or hyperoxaemia, </w:t>
      </w:r>
      <w:r w:rsidR="00E42EFD" w:rsidRPr="00DF0A09">
        <w:rPr>
          <w:rFonts w:cs="Arial"/>
        </w:rPr>
        <w:t>with the potential for</w:t>
      </w:r>
      <w:r w:rsidR="00FD7241" w:rsidRPr="00DF0A09">
        <w:rPr>
          <w:rFonts w:cs="Arial"/>
        </w:rPr>
        <w:t xml:space="preserve"> serious patient harm.</w:t>
      </w:r>
    </w:p>
    <w:p w14:paraId="42869B94" w14:textId="30C240E3" w:rsidR="00606995" w:rsidRDefault="00606995" w:rsidP="00606995">
      <w:pPr>
        <w:pStyle w:val="Heading4"/>
      </w:pPr>
      <w:bookmarkStart w:id="4" w:name="_Toc176356767"/>
      <w:r>
        <w:t>Documenting</w:t>
      </w:r>
      <w:bookmarkEnd w:id="4"/>
      <w:r>
        <w:t xml:space="preserve"> the requirement for oxygen</w:t>
      </w:r>
      <w:r w:rsidR="003975EA">
        <w:t xml:space="preserve"> therapy</w:t>
      </w:r>
    </w:p>
    <w:p w14:paraId="410B46A5" w14:textId="6FB177A3" w:rsidR="00606995" w:rsidRPr="006F2977" w:rsidRDefault="00606995" w:rsidP="00606995">
      <w:pPr>
        <w:rPr>
          <w:rFonts w:cs="Arial"/>
        </w:rPr>
      </w:pPr>
      <w:bookmarkStart w:id="5" w:name="_Hlk179460747"/>
      <w:r>
        <w:t xml:space="preserve">Documentation to support the </w:t>
      </w:r>
      <w:r w:rsidRPr="004003A3">
        <w:t xml:space="preserve">safe </w:t>
      </w:r>
      <w:r>
        <w:t xml:space="preserve">use of oxygen </w:t>
      </w:r>
      <w:r w:rsidR="005A499B">
        <w:rPr>
          <w:rFonts w:cs="Arial"/>
          <w:color w:val="000000"/>
        </w:rPr>
        <w:t>needs to</w:t>
      </w:r>
      <w:r w:rsidR="005A499B"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include </w:t>
      </w:r>
      <w:r w:rsidRPr="008A3377">
        <w:rPr>
          <w:rFonts w:cs="Arial"/>
          <w:color w:val="000000"/>
        </w:rPr>
        <w:t>the:</w:t>
      </w:r>
    </w:p>
    <w:p w14:paraId="68A20586" w14:textId="77777777" w:rsidR="00606995" w:rsidRPr="008A3377" w:rsidRDefault="00606995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Commencement date and time</w:t>
      </w:r>
    </w:p>
    <w:p w14:paraId="2ABAE0DD" w14:textId="3881B202" w:rsidR="00606995" w:rsidRDefault="00911EAD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606995" w:rsidRPr="009C0A05">
        <w:rPr>
          <w:rFonts w:cs="Arial"/>
          <w:color w:val="000000"/>
        </w:rPr>
        <w:t>elivery system</w:t>
      </w:r>
      <w:r w:rsidR="00A057E4">
        <w:rPr>
          <w:rFonts w:cs="Arial"/>
          <w:color w:val="000000"/>
        </w:rPr>
        <w:t xml:space="preserve"> to be used</w:t>
      </w:r>
      <w:r w:rsidR="00606995" w:rsidRPr="009C0A05">
        <w:rPr>
          <w:rFonts w:cs="Arial"/>
          <w:color w:val="000000"/>
        </w:rPr>
        <w:t xml:space="preserve"> when commencing </w:t>
      </w:r>
      <w:r w:rsidR="005C26F0">
        <w:rPr>
          <w:rFonts w:cs="Arial"/>
          <w:color w:val="000000"/>
        </w:rPr>
        <w:t xml:space="preserve">and </w:t>
      </w:r>
      <w:r w:rsidR="00606995">
        <w:rPr>
          <w:rFonts w:cs="Arial"/>
          <w:color w:val="000000"/>
        </w:rPr>
        <w:t>varying</w:t>
      </w:r>
      <w:r>
        <w:rPr>
          <w:rFonts w:cs="Arial"/>
          <w:color w:val="000000"/>
        </w:rPr>
        <w:t xml:space="preserve"> oxygen</w:t>
      </w:r>
      <w:r w:rsidR="00606995" w:rsidRPr="009C0A05">
        <w:rPr>
          <w:rFonts w:cs="Arial"/>
          <w:color w:val="000000"/>
        </w:rPr>
        <w:t xml:space="preserve"> therapy</w:t>
      </w:r>
      <w:r w:rsidR="005C26F0">
        <w:rPr>
          <w:rFonts w:cs="Arial"/>
          <w:color w:val="000000"/>
        </w:rPr>
        <w:t xml:space="preserve"> – f</w:t>
      </w:r>
      <w:r w:rsidR="00606995" w:rsidRPr="008A3377">
        <w:rPr>
          <w:rFonts w:cs="Arial"/>
          <w:color w:val="000000"/>
        </w:rPr>
        <w:t xml:space="preserve">or example, </w:t>
      </w:r>
      <w:r w:rsidR="00606995">
        <w:rPr>
          <w:rFonts w:cs="Arial"/>
          <w:color w:val="000000"/>
        </w:rPr>
        <w:t xml:space="preserve">a </w:t>
      </w:r>
      <w:r w:rsidR="00606995" w:rsidRPr="008A3377">
        <w:rPr>
          <w:rFonts w:cs="Arial"/>
          <w:color w:val="000000"/>
        </w:rPr>
        <w:t>mask</w:t>
      </w:r>
      <w:r w:rsidR="00606995">
        <w:rPr>
          <w:rFonts w:cs="Arial"/>
          <w:color w:val="000000"/>
        </w:rPr>
        <w:t xml:space="preserve"> or</w:t>
      </w:r>
      <w:r w:rsidR="00606995" w:rsidRPr="008A3377">
        <w:rPr>
          <w:rFonts w:cs="Arial"/>
          <w:color w:val="000000"/>
        </w:rPr>
        <w:t xml:space="preserve"> nasal prongs</w:t>
      </w:r>
      <w:r w:rsidR="00606995">
        <w:rPr>
          <w:rFonts w:cs="Arial"/>
          <w:color w:val="000000"/>
        </w:rPr>
        <w:t>/cannulae</w:t>
      </w:r>
    </w:p>
    <w:p w14:paraId="5E514970" w14:textId="7BF1E7CE" w:rsidR="00606995" w:rsidRPr="008063F0" w:rsidRDefault="005C26F0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ind w:left="714" w:hanging="357"/>
        <w:rPr>
          <w:rFonts w:cs="Arial"/>
          <w:color w:val="000000"/>
        </w:rPr>
      </w:pPr>
      <w:r>
        <w:rPr>
          <w:rFonts w:cs="Arial"/>
          <w:color w:val="000000"/>
        </w:rPr>
        <w:t>Oxygen f</w:t>
      </w:r>
      <w:r w:rsidR="00606995" w:rsidRPr="008063F0">
        <w:rPr>
          <w:rFonts w:cs="Arial"/>
          <w:color w:val="000000"/>
        </w:rPr>
        <w:t xml:space="preserve">low rate/concentration </w:t>
      </w:r>
      <w:r>
        <w:rPr>
          <w:rFonts w:cs="Arial"/>
          <w:color w:val="000000"/>
        </w:rPr>
        <w:t>when</w:t>
      </w:r>
      <w:r w:rsidRPr="008063F0">
        <w:rPr>
          <w:rFonts w:cs="Arial"/>
          <w:color w:val="000000"/>
        </w:rPr>
        <w:t xml:space="preserve"> </w:t>
      </w:r>
      <w:r w:rsidR="00606995" w:rsidRPr="008063F0">
        <w:rPr>
          <w:rFonts w:cs="Arial"/>
          <w:color w:val="000000"/>
        </w:rPr>
        <w:t xml:space="preserve">commencing </w:t>
      </w:r>
      <w:r w:rsidR="00606995">
        <w:rPr>
          <w:rFonts w:cs="Arial"/>
          <w:color w:val="000000"/>
        </w:rPr>
        <w:t>and when varying</w:t>
      </w:r>
      <w:r w:rsidR="00606995" w:rsidRPr="008063F0">
        <w:rPr>
          <w:rFonts w:cs="Arial"/>
          <w:color w:val="000000"/>
        </w:rPr>
        <w:t xml:space="preserve"> </w:t>
      </w:r>
      <w:r w:rsidR="003975EA">
        <w:rPr>
          <w:rFonts w:cs="Arial"/>
          <w:color w:val="000000"/>
        </w:rPr>
        <w:t xml:space="preserve">oxygen </w:t>
      </w:r>
      <w:r w:rsidR="00606995" w:rsidRPr="008063F0">
        <w:rPr>
          <w:rFonts w:cs="Arial"/>
          <w:color w:val="000000"/>
        </w:rPr>
        <w:t>therapy</w:t>
      </w:r>
      <w:r w:rsidR="00606995">
        <w:rPr>
          <w:rFonts w:cs="Arial"/>
          <w:color w:val="000000"/>
        </w:rPr>
        <w:t>.</w:t>
      </w:r>
      <w:r w:rsidR="00B446B2">
        <w:rPr>
          <w:rFonts w:cs="Arial"/>
          <w:color w:val="000000"/>
        </w:rPr>
        <w:t xml:space="preserve"> This could be in the form of a range.</w:t>
      </w:r>
    </w:p>
    <w:bookmarkEnd w:id="5"/>
    <w:p w14:paraId="6F7B2EA4" w14:textId="47ACCF9A" w:rsidR="00606995" w:rsidRPr="00FE71F2" w:rsidRDefault="00606995" w:rsidP="00B63BA7">
      <w:pPr>
        <w:autoSpaceDE w:val="0"/>
        <w:autoSpaceDN w:val="0"/>
        <w:adjustRightInd w:val="0"/>
        <w:rPr>
          <w:rFonts w:cs="Arial"/>
          <w:vertAlign w:val="superscript"/>
        </w:rPr>
      </w:pPr>
      <w:r>
        <w:rPr>
          <w:rFonts w:cs="Arial"/>
          <w:color w:val="000000"/>
        </w:rPr>
        <w:t xml:space="preserve">The </w:t>
      </w:r>
      <w:r w:rsidR="00FE3C06">
        <w:rPr>
          <w:rFonts w:cs="Arial"/>
          <w:color w:val="000000"/>
        </w:rPr>
        <w:t>clinician</w:t>
      </w:r>
      <w:r>
        <w:rPr>
          <w:rFonts w:cs="Arial"/>
          <w:color w:val="000000"/>
        </w:rPr>
        <w:t xml:space="preserve"> who documents the </w:t>
      </w:r>
      <w:r w:rsidR="000F4D34">
        <w:rPr>
          <w:rFonts w:cs="Arial"/>
          <w:color w:val="000000"/>
        </w:rPr>
        <w:t>requirement</w:t>
      </w:r>
      <w:r w:rsidR="009144A8">
        <w:rPr>
          <w:rFonts w:cs="Arial"/>
          <w:color w:val="000000"/>
        </w:rPr>
        <w:t xml:space="preserve"> for </w:t>
      </w:r>
      <w:r>
        <w:rPr>
          <w:rFonts w:cs="Arial"/>
          <w:color w:val="000000"/>
        </w:rPr>
        <w:t xml:space="preserve">oxygen </w:t>
      </w:r>
      <w:r w:rsidR="009144A8">
        <w:rPr>
          <w:rFonts w:cs="Arial"/>
          <w:color w:val="000000"/>
        </w:rPr>
        <w:t xml:space="preserve">therapy </w:t>
      </w:r>
      <w:r w:rsidRPr="008A3377">
        <w:rPr>
          <w:rFonts w:cs="Arial"/>
          <w:color w:val="000000"/>
        </w:rPr>
        <w:t xml:space="preserve">should sign and date </w:t>
      </w:r>
      <w:r>
        <w:rPr>
          <w:rFonts w:cs="Arial"/>
          <w:color w:val="000000"/>
        </w:rPr>
        <w:t>and print</w:t>
      </w:r>
      <w:r w:rsidR="00B63BA7">
        <w:rPr>
          <w:rFonts w:cs="Arial"/>
          <w:color w:val="000000"/>
        </w:rPr>
        <w:t>/record</w:t>
      </w:r>
      <w:r>
        <w:rPr>
          <w:rFonts w:cs="Arial"/>
          <w:color w:val="000000"/>
        </w:rPr>
        <w:t xml:space="preserve"> their </w:t>
      </w:r>
      <w:r w:rsidRPr="008A3377">
        <w:rPr>
          <w:rFonts w:cs="Arial"/>
          <w:color w:val="000000"/>
        </w:rPr>
        <w:t xml:space="preserve">name </w:t>
      </w:r>
      <w:r>
        <w:rPr>
          <w:rFonts w:cs="Arial"/>
          <w:color w:val="000000"/>
        </w:rPr>
        <w:t>legibly</w:t>
      </w:r>
      <w:r w:rsidR="00EF5DD1">
        <w:rPr>
          <w:rFonts w:cs="Arial"/>
          <w:color w:val="000000"/>
        </w:rPr>
        <w:t xml:space="preserve"> on the patient’s individualised monitoring plan</w:t>
      </w:r>
      <w:r w:rsidR="00760B8B">
        <w:rPr>
          <w:rFonts w:cs="Arial"/>
          <w:color w:val="000000"/>
        </w:rPr>
        <w:t xml:space="preserve">, for instance, a </w:t>
      </w:r>
      <w:r w:rsidR="00760B8B" w:rsidRPr="00482DB7">
        <w:rPr>
          <w:rFonts w:cs="Arial"/>
        </w:rPr>
        <w:t>vital sign observation</w:t>
      </w:r>
      <w:r w:rsidR="00760B8B">
        <w:rPr>
          <w:rFonts w:cs="Arial"/>
        </w:rPr>
        <w:t xml:space="preserve"> and response</w:t>
      </w:r>
      <w:r w:rsidR="00760B8B" w:rsidRPr="00482DB7">
        <w:rPr>
          <w:rFonts w:cs="Arial"/>
        </w:rPr>
        <w:t xml:space="preserve"> chart</w:t>
      </w:r>
      <w:r w:rsidR="00EF5DD1">
        <w:rPr>
          <w:rFonts w:cs="Arial"/>
          <w:color w:val="000000"/>
        </w:rPr>
        <w:t xml:space="preserve"> </w:t>
      </w:r>
      <w:r w:rsidR="00760B8B">
        <w:rPr>
          <w:rFonts w:cs="Arial"/>
          <w:color w:val="000000"/>
        </w:rPr>
        <w:t>(</w:t>
      </w:r>
      <w:r w:rsidR="00EF5DD1">
        <w:rPr>
          <w:rFonts w:cs="Arial"/>
          <w:color w:val="000000"/>
        </w:rPr>
        <w:t>paper-based or digital format</w:t>
      </w:r>
      <w:r w:rsidR="00760B8B">
        <w:rPr>
          <w:rFonts w:cs="Arial"/>
          <w:color w:val="000000"/>
        </w:rPr>
        <w:t>)</w:t>
      </w:r>
      <w:r w:rsidRPr="008A3377">
        <w:rPr>
          <w:rFonts w:cs="Arial"/>
          <w:color w:val="000000"/>
        </w:rPr>
        <w:t>.</w:t>
      </w:r>
      <w:r w:rsidRPr="008A3377">
        <w:rPr>
          <w:rFonts w:cs="Arial"/>
        </w:rPr>
        <w:t xml:space="preserve"> </w:t>
      </w:r>
      <w:r w:rsidR="00B63BA7">
        <w:rPr>
          <w:rFonts w:cs="Arial"/>
        </w:rPr>
        <w:t>Paper-based</w:t>
      </w:r>
      <w:r w:rsidR="00B63BA7" w:rsidRPr="00B63BA7">
        <w:rPr>
          <w:rFonts w:cs="Arial"/>
        </w:rPr>
        <w:t xml:space="preserve"> or </w:t>
      </w:r>
      <w:r w:rsidR="00B63BA7">
        <w:rPr>
          <w:rFonts w:cs="Arial"/>
        </w:rPr>
        <w:t>digital</w:t>
      </w:r>
      <w:r w:rsidR="00B63BA7" w:rsidRPr="00B63BA7">
        <w:rPr>
          <w:rFonts w:cs="Arial"/>
        </w:rPr>
        <w:t xml:space="preserve"> tools need to include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variations designed to address the needs or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circumstances for specific populations such as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maternity and paediatric patients or specific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diagnoses, such as sepsis</w:t>
      </w:r>
      <w:r w:rsidR="00AA5654">
        <w:rPr>
          <w:rFonts w:cs="Arial"/>
        </w:rPr>
        <w:t>,</w:t>
      </w:r>
      <w:r w:rsidR="00B63BA7" w:rsidRPr="00B63BA7">
        <w:rPr>
          <w:rFonts w:cs="Arial"/>
        </w:rPr>
        <w:t xml:space="preserve"> stroke</w:t>
      </w:r>
      <w:r w:rsidR="00AA5654">
        <w:rPr>
          <w:rFonts w:cs="Arial"/>
        </w:rPr>
        <w:t xml:space="preserve"> or COPD</w:t>
      </w:r>
      <w:r w:rsidR="00B63BA7">
        <w:rPr>
          <w:rFonts w:cs="Arial"/>
        </w:rPr>
        <w:t>.</w:t>
      </w:r>
      <w:r w:rsidR="00FE71F2">
        <w:rPr>
          <w:rFonts w:cs="Arial"/>
          <w:vertAlign w:val="superscript"/>
        </w:rPr>
        <w:t>3</w:t>
      </w:r>
    </w:p>
    <w:p w14:paraId="77F36134" w14:textId="0F40360C" w:rsidR="00257746" w:rsidRPr="00257746" w:rsidRDefault="00A354DF" w:rsidP="00FE3C06">
      <w:pPr>
        <w:pStyle w:val="Heading4"/>
      </w:pPr>
      <w:r>
        <w:lastRenderedPageBreak/>
        <w:t>Documenting the t</w:t>
      </w:r>
      <w:r w:rsidR="00257746">
        <w:t>arget saturation</w:t>
      </w:r>
      <w:r>
        <w:t xml:space="preserve"> range for</w:t>
      </w:r>
      <w:r w:rsidR="00257746">
        <w:t xml:space="preserve"> oxygen therapy</w:t>
      </w:r>
    </w:p>
    <w:p w14:paraId="599830E2" w14:textId="199408EF" w:rsidR="00A354DF" w:rsidRPr="00DB739A" w:rsidRDefault="00FE3C06" w:rsidP="00606995">
      <w:pPr>
        <w:autoSpaceDE w:val="0"/>
        <w:autoSpaceDN w:val="0"/>
        <w:adjustRightInd w:val="0"/>
        <w:rPr>
          <w:rFonts w:cs="Arial"/>
          <w:vertAlign w:val="superscript"/>
        </w:rPr>
      </w:pPr>
      <w:r w:rsidRPr="00FE3C06">
        <w:rPr>
          <w:rFonts w:cs="Arial"/>
        </w:rPr>
        <w:t xml:space="preserve">To manage the risks of hypoxaemia and hyperoxaemia, a specific target oxygen saturation range should be documented </w:t>
      </w:r>
      <w:r w:rsidR="00C80163">
        <w:rPr>
          <w:rFonts w:cs="Arial"/>
        </w:rPr>
        <w:t>using</w:t>
      </w:r>
      <w:r w:rsidRPr="00FE3C06">
        <w:rPr>
          <w:rFonts w:cs="Arial"/>
        </w:rPr>
        <w:t xml:space="preserve"> </w:t>
      </w:r>
      <w:r w:rsidR="00606995" w:rsidRPr="00482DB7">
        <w:rPr>
          <w:rFonts w:cs="Arial"/>
        </w:rPr>
        <w:t>the local vital sign observation</w:t>
      </w:r>
      <w:r w:rsidR="00194C51">
        <w:rPr>
          <w:rFonts w:cs="Arial"/>
        </w:rPr>
        <w:t xml:space="preserve"> and response</w:t>
      </w:r>
      <w:r w:rsidR="00606995" w:rsidRPr="00482DB7">
        <w:rPr>
          <w:rFonts w:cs="Arial"/>
        </w:rPr>
        <w:t xml:space="preserve"> chart. </w:t>
      </w:r>
      <w:r w:rsidR="00B14DB7">
        <w:rPr>
          <w:rFonts w:cs="Arial"/>
        </w:rPr>
        <w:t xml:space="preserve">For many patients, the target oxygen saturation indicated on the vital sign observation </w:t>
      </w:r>
      <w:r w:rsidR="00B446B2">
        <w:rPr>
          <w:rFonts w:cs="Arial"/>
        </w:rPr>
        <w:t xml:space="preserve">and response </w:t>
      </w:r>
      <w:r w:rsidR="00B14DB7">
        <w:rPr>
          <w:rFonts w:cs="Arial"/>
        </w:rPr>
        <w:t>chart will be appropriate. However, a</w:t>
      </w:r>
      <w:r w:rsidR="00606995" w:rsidRPr="00482DB7">
        <w:rPr>
          <w:rFonts w:cs="Arial"/>
        </w:rPr>
        <w:t xml:space="preserve">ltered </w:t>
      </w:r>
      <w:r w:rsidR="00606995">
        <w:rPr>
          <w:rFonts w:cs="Arial"/>
        </w:rPr>
        <w:t xml:space="preserve">targets </w:t>
      </w:r>
      <w:r w:rsidR="00B14DB7">
        <w:rPr>
          <w:rFonts w:cs="Arial"/>
        </w:rPr>
        <w:t xml:space="preserve">and calling criteria </w:t>
      </w:r>
      <w:r w:rsidR="00606995">
        <w:rPr>
          <w:rFonts w:cs="Arial"/>
        </w:rPr>
        <w:t xml:space="preserve">may apply </w:t>
      </w:r>
      <w:r w:rsidR="00606995" w:rsidRPr="00482DB7">
        <w:rPr>
          <w:rFonts w:cs="Arial"/>
        </w:rPr>
        <w:t>for specific patient groups</w:t>
      </w:r>
      <w:r w:rsidR="00606995">
        <w:rPr>
          <w:rFonts w:cs="Arial"/>
        </w:rPr>
        <w:t>. For example, a</w:t>
      </w:r>
      <w:r w:rsidR="00606995" w:rsidRPr="00482DB7">
        <w:rPr>
          <w:rFonts w:cs="Arial"/>
        </w:rPr>
        <w:t xml:space="preserve"> target </w:t>
      </w:r>
      <w:r w:rsidR="00606995">
        <w:rPr>
          <w:rFonts w:cs="Arial"/>
        </w:rPr>
        <w:t xml:space="preserve">oxygen saturation of </w:t>
      </w:r>
      <w:r w:rsidR="00606995" w:rsidRPr="00482DB7">
        <w:rPr>
          <w:rFonts w:cs="Arial"/>
        </w:rPr>
        <w:t>between 88</w:t>
      </w:r>
      <w:r w:rsidR="00606995">
        <w:rPr>
          <w:rFonts w:cs="Arial"/>
        </w:rPr>
        <w:t xml:space="preserve">% and </w:t>
      </w:r>
      <w:r w:rsidR="00606995" w:rsidRPr="00482DB7">
        <w:rPr>
          <w:rFonts w:cs="Arial"/>
        </w:rPr>
        <w:t xml:space="preserve">92% </w:t>
      </w:r>
      <w:r w:rsidR="005C26F0">
        <w:rPr>
          <w:rFonts w:cs="Arial"/>
        </w:rPr>
        <w:t xml:space="preserve">is recommended </w:t>
      </w:r>
      <w:r w:rsidR="00606995" w:rsidRPr="00482DB7">
        <w:rPr>
          <w:rFonts w:cs="Arial"/>
        </w:rPr>
        <w:t xml:space="preserve">for </w:t>
      </w:r>
      <w:r w:rsidR="005C26F0">
        <w:rPr>
          <w:rFonts w:cs="Arial"/>
        </w:rPr>
        <w:t xml:space="preserve">most </w:t>
      </w:r>
      <w:r w:rsidR="00606995">
        <w:rPr>
          <w:rFonts w:cs="Arial"/>
        </w:rPr>
        <w:t xml:space="preserve">patients with </w:t>
      </w:r>
      <w:r w:rsidR="00606995" w:rsidRPr="000F71A8">
        <w:rPr>
          <w:rFonts w:cs="Arial"/>
        </w:rPr>
        <w:t>COPD</w:t>
      </w:r>
      <w:r w:rsidR="005C26F0">
        <w:rPr>
          <w:rFonts w:cs="Arial"/>
        </w:rPr>
        <w:t>, unless otherwise advised</w:t>
      </w:r>
      <w:r w:rsidR="00606995">
        <w:rPr>
          <w:rFonts w:cs="Arial"/>
        </w:rPr>
        <w:t>.</w:t>
      </w:r>
      <w:r w:rsidR="00FE71F2">
        <w:rPr>
          <w:rFonts w:cs="Arial"/>
          <w:vertAlign w:val="superscript"/>
        </w:rPr>
        <w:t>3</w:t>
      </w:r>
    </w:p>
    <w:p w14:paraId="63B94B6D" w14:textId="585F5CD7" w:rsidR="00606995" w:rsidRPr="006F2977" w:rsidRDefault="00606995" w:rsidP="00606995">
      <w:pPr>
        <w:autoSpaceDE w:val="0"/>
        <w:autoSpaceDN w:val="0"/>
        <w:adjustRightInd w:val="0"/>
        <w:rPr>
          <w:rFonts w:cs="Arial"/>
        </w:rPr>
      </w:pPr>
      <w:r w:rsidRPr="006F2977">
        <w:rPr>
          <w:rFonts w:cs="Arial"/>
        </w:rPr>
        <w:t xml:space="preserve">Refer </w:t>
      </w:r>
      <w:r>
        <w:rPr>
          <w:rFonts w:cs="Arial"/>
        </w:rPr>
        <w:t>to</w:t>
      </w:r>
      <w:r w:rsidR="004B6515">
        <w:rPr>
          <w:rFonts w:cs="Arial"/>
        </w:rPr>
        <w:t xml:space="preserve"> the</w:t>
      </w:r>
      <w:r>
        <w:rPr>
          <w:rFonts w:cs="Arial"/>
        </w:rPr>
        <w:t xml:space="preserve"> </w:t>
      </w:r>
      <w:r w:rsidR="004B6515" w:rsidRPr="004B6515">
        <w:rPr>
          <w:rFonts w:cs="Arial"/>
        </w:rPr>
        <w:t xml:space="preserve">Thoracic Society of Australia and New Zealand </w:t>
      </w:r>
      <w:hyperlink r:id="rId13" w:history="1">
        <w:r w:rsidR="004B6515" w:rsidRPr="004B6515">
          <w:rPr>
            <w:rStyle w:val="Hyperlink"/>
            <w:rFonts w:cs="Arial"/>
          </w:rPr>
          <w:t>Position Statement on Acute Oxygen Use in Adults: Swimming between the flags</w:t>
        </w:r>
      </w:hyperlink>
      <w:r w:rsidR="004B6515" w:rsidRPr="004B6515">
        <w:rPr>
          <w:rFonts w:cs="Arial"/>
          <w:u w:val="single"/>
        </w:rPr>
        <w:t xml:space="preserve"> (2022)</w:t>
      </w:r>
      <w:r w:rsidR="004B6515" w:rsidRPr="004B6515">
        <w:rPr>
          <w:rFonts w:cs="Arial"/>
          <w:vertAlign w:val="superscript"/>
        </w:rPr>
        <w:t>1</w:t>
      </w:r>
      <w:r w:rsidR="004B6515">
        <w:rPr>
          <w:rFonts w:cs="Arial"/>
        </w:rPr>
        <w:t xml:space="preserve"> and s</w:t>
      </w:r>
      <w:r w:rsidRPr="005C46B3">
        <w:rPr>
          <w:rFonts w:cs="Arial"/>
        </w:rPr>
        <w:t xml:space="preserve">tate and territory policies for recommended target </w:t>
      </w:r>
      <w:r w:rsidR="00B14DB7">
        <w:rPr>
          <w:rFonts w:cs="Arial"/>
        </w:rPr>
        <w:t xml:space="preserve">oxygen </w:t>
      </w:r>
      <w:r w:rsidRPr="005C46B3">
        <w:rPr>
          <w:rFonts w:cs="Arial"/>
        </w:rPr>
        <w:t>saturation ranges</w:t>
      </w:r>
      <w:r>
        <w:rPr>
          <w:rFonts w:cs="Arial"/>
        </w:rPr>
        <w:t>.</w:t>
      </w:r>
    </w:p>
    <w:p w14:paraId="262338BF" w14:textId="77777777" w:rsidR="00B14DB7" w:rsidRDefault="00B14DB7" w:rsidP="00B14DB7">
      <w:pPr>
        <w:pStyle w:val="Heading4"/>
      </w:pPr>
      <w:bookmarkStart w:id="6" w:name="_Toc176356768"/>
      <w:r>
        <w:t>Documenting the monitoring and cessation of oxygen therapy</w:t>
      </w:r>
    </w:p>
    <w:p w14:paraId="3044C085" w14:textId="16CAA8CE" w:rsidR="00B14DB7" w:rsidRDefault="00B14DB7" w:rsidP="00B14DB7">
      <w:r w:rsidRPr="009C0A05">
        <w:rPr>
          <w:rFonts w:cs="Arial"/>
          <w:color w:val="000000"/>
        </w:rPr>
        <w:t xml:space="preserve">Patients should be monitored accurately for signs of </w:t>
      </w:r>
      <w:r w:rsidR="0077542E">
        <w:rPr>
          <w:rFonts w:cs="Arial"/>
          <w:color w:val="000000"/>
        </w:rPr>
        <w:t xml:space="preserve">clinical </w:t>
      </w:r>
      <w:r w:rsidRPr="009C0A05">
        <w:rPr>
          <w:rFonts w:cs="Arial"/>
          <w:color w:val="000000"/>
        </w:rPr>
        <w:t>improvement or deterioration</w:t>
      </w:r>
      <w:r>
        <w:rPr>
          <w:rFonts w:cs="Arial"/>
          <w:color w:val="000000"/>
        </w:rPr>
        <w:t xml:space="preserve"> against </w:t>
      </w:r>
      <w:r w:rsidR="0037719B">
        <w:rPr>
          <w:rFonts w:cs="Arial"/>
          <w:color w:val="000000"/>
        </w:rPr>
        <w:t xml:space="preserve">their individualised </w:t>
      </w:r>
      <w:r>
        <w:rPr>
          <w:rFonts w:cs="Arial"/>
          <w:color w:val="000000"/>
        </w:rPr>
        <w:t>oxygen saturation targets or thresholds as clinically appropriate</w:t>
      </w:r>
      <w:r w:rsidRPr="009C0A05">
        <w:rPr>
          <w:rFonts w:cs="Arial"/>
          <w:color w:val="000000"/>
        </w:rPr>
        <w:t xml:space="preserve">. Pulse oximetry measurements </w:t>
      </w:r>
      <w:r>
        <w:rPr>
          <w:rFonts w:cs="Arial"/>
          <w:color w:val="000000"/>
        </w:rPr>
        <w:t xml:space="preserve">should </w:t>
      </w:r>
      <w:r w:rsidRPr="009C0A05">
        <w:rPr>
          <w:rFonts w:cs="Arial"/>
          <w:color w:val="000000"/>
        </w:rPr>
        <w:t xml:space="preserve">be recorded with a frequency dependent on the </w:t>
      </w:r>
      <w:r>
        <w:rPr>
          <w:rFonts w:cs="Arial"/>
          <w:color w:val="000000"/>
        </w:rPr>
        <w:t xml:space="preserve">indication </w:t>
      </w:r>
      <w:r w:rsidRPr="009C0A05">
        <w:rPr>
          <w:rFonts w:cs="Arial"/>
          <w:color w:val="000000"/>
        </w:rPr>
        <w:t xml:space="preserve">being </w:t>
      </w:r>
      <w:r>
        <w:rPr>
          <w:rFonts w:cs="Arial"/>
          <w:color w:val="000000"/>
        </w:rPr>
        <w:t xml:space="preserve">managed, </w:t>
      </w:r>
      <w:r w:rsidRPr="009C0A05">
        <w:rPr>
          <w:rFonts w:cs="Arial"/>
          <w:color w:val="000000"/>
        </w:rPr>
        <w:t>and the stability of the patient</w:t>
      </w:r>
      <w:r>
        <w:rPr>
          <w:rFonts w:cs="Arial"/>
          <w:color w:val="000000"/>
        </w:rPr>
        <w:t>’s condition in accordance with</w:t>
      </w:r>
      <w:r w:rsidRPr="008A3377">
        <w:rPr>
          <w:rFonts w:cs="Arial"/>
          <w:color w:val="000000"/>
        </w:rPr>
        <w:t xml:space="preserve"> local guidelines</w:t>
      </w:r>
      <w:r w:rsidR="0067214D">
        <w:rPr>
          <w:rFonts w:cs="Arial"/>
          <w:color w:val="000000"/>
        </w:rPr>
        <w:t xml:space="preserve"> and context-specific protocols and pathways</w:t>
      </w:r>
      <w:r w:rsidRPr="009C0A05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Cessation of oxygen therapy should also be documented.</w:t>
      </w:r>
    </w:p>
    <w:p w14:paraId="568F8C8F" w14:textId="762A068F" w:rsidR="00606995" w:rsidRDefault="00606995" w:rsidP="00606995">
      <w:pPr>
        <w:pStyle w:val="Heading4"/>
      </w:pPr>
      <w:r>
        <w:t xml:space="preserve">Where and how to document oxygen </w:t>
      </w:r>
      <w:bookmarkEnd w:id="6"/>
      <w:r w:rsidR="00582911">
        <w:t>therapy</w:t>
      </w:r>
    </w:p>
    <w:p w14:paraId="22C4FD76" w14:textId="6BBD13F5" w:rsidR="00A354DF" w:rsidRDefault="00606995" w:rsidP="00606995">
      <w:pPr>
        <w:autoSpaceDE w:val="0"/>
        <w:autoSpaceDN w:val="0"/>
        <w:adjustRightInd w:val="0"/>
        <w:rPr>
          <w:rFonts w:cs="Arial"/>
          <w:color w:val="000000"/>
        </w:rPr>
      </w:pPr>
      <w:r w:rsidRPr="009C0A05">
        <w:rPr>
          <w:rFonts w:cs="Arial"/>
          <w:color w:val="000000"/>
        </w:rPr>
        <w:t xml:space="preserve">Oxygen therapy </w:t>
      </w:r>
      <w:r w:rsidRPr="008A3377">
        <w:rPr>
          <w:rFonts w:cs="Arial"/>
          <w:color w:val="000000"/>
        </w:rPr>
        <w:t xml:space="preserve">should be </w:t>
      </w:r>
      <w:r>
        <w:rPr>
          <w:rFonts w:cs="Arial"/>
          <w:color w:val="000000"/>
        </w:rPr>
        <w:t>appropriately and</w:t>
      </w:r>
      <w:r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consistently documented</w:t>
      </w:r>
      <w:r w:rsidR="00891576">
        <w:rPr>
          <w:rFonts w:cs="Arial"/>
          <w:color w:val="000000"/>
        </w:rPr>
        <w:t xml:space="preserve"> using paper-based or </w:t>
      </w:r>
      <w:r w:rsidR="00EF5DD1">
        <w:rPr>
          <w:rFonts w:cs="Arial"/>
          <w:color w:val="000000"/>
        </w:rPr>
        <w:t xml:space="preserve">digital </w:t>
      </w:r>
      <w:r w:rsidR="00891576">
        <w:rPr>
          <w:rFonts w:cs="Arial"/>
          <w:color w:val="000000"/>
        </w:rPr>
        <w:t>formats</w:t>
      </w:r>
      <w:r w:rsidRPr="008A3377">
        <w:rPr>
          <w:rFonts w:cs="Arial"/>
          <w:color w:val="000000"/>
        </w:rPr>
        <w:t xml:space="preserve">. This </w:t>
      </w:r>
      <w:r>
        <w:rPr>
          <w:rFonts w:cs="Arial"/>
          <w:color w:val="000000"/>
        </w:rPr>
        <w:t>may include</w:t>
      </w:r>
      <w:r w:rsidRPr="008A3377">
        <w:rPr>
          <w:rFonts w:cs="Arial"/>
          <w:color w:val="000000"/>
        </w:rPr>
        <w:t xml:space="preserve"> the </w:t>
      </w:r>
      <w:r>
        <w:rPr>
          <w:rFonts w:cs="Arial"/>
          <w:color w:val="000000"/>
        </w:rPr>
        <w:t xml:space="preserve">patient’s </w:t>
      </w:r>
      <w:r w:rsidRPr="008A3377">
        <w:rPr>
          <w:rFonts w:cs="Arial"/>
          <w:color w:val="000000"/>
        </w:rPr>
        <w:t>electronic medication record (EMR)</w:t>
      </w:r>
      <w:r>
        <w:rPr>
          <w:rFonts w:cs="Arial"/>
          <w:color w:val="000000"/>
        </w:rPr>
        <w:t xml:space="preserve">, progress notes or a structured </w:t>
      </w:r>
      <w:r w:rsidR="00891576">
        <w:rPr>
          <w:rFonts w:cs="Arial"/>
          <w:color w:val="000000"/>
        </w:rPr>
        <w:t xml:space="preserve">paper-based </w:t>
      </w:r>
      <w:r>
        <w:rPr>
          <w:rFonts w:cs="Arial"/>
          <w:color w:val="000000"/>
        </w:rPr>
        <w:t>tool, such as a</w:t>
      </w:r>
      <w:r w:rsidR="00194C51">
        <w:rPr>
          <w:rFonts w:cs="Arial"/>
          <w:color w:val="000000"/>
        </w:rPr>
        <w:t xml:space="preserve"> vital sign</w:t>
      </w:r>
      <w:r>
        <w:rPr>
          <w:rFonts w:cs="Arial"/>
          <w:color w:val="000000"/>
        </w:rPr>
        <w:t xml:space="preserve"> </w:t>
      </w:r>
      <w:r w:rsidRPr="008A3377">
        <w:rPr>
          <w:rFonts w:cs="Arial"/>
          <w:color w:val="000000"/>
        </w:rPr>
        <w:t>observation</w:t>
      </w:r>
      <w:r>
        <w:rPr>
          <w:rFonts w:cs="Arial"/>
          <w:color w:val="000000"/>
        </w:rPr>
        <w:t xml:space="preserve"> and response</w:t>
      </w:r>
      <w:r w:rsidRPr="008A3377">
        <w:rPr>
          <w:rFonts w:cs="Arial"/>
          <w:color w:val="000000"/>
        </w:rPr>
        <w:t xml:space="preserve"> chart.</w:t>
      </w:r>
      <w:r>
        <w:rPr>
          <w:rFonts w:cs="Arial"/>
          <w:color w:val="000000"/>
        </w:rPr>
        <w:t xml:space="preserve"> </w:t>
      </w:r>
    </w:p>
    <w:p w14:paraId="16E7D4C3" w14:textId="728F9C97" w:rsidR="001023D5" w:rsidRDefault="00606995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="00CC27B8">
        <w:rPr>
          <w:rFonts w:cs="Arial"/>
          <w:color w:val="000000"/>
        </w:rPr>
        <w:t>paper-based medication</w:t>
      </w:r>
      <w:r>
        <w:rPr>
          <w:rFonts w:cs="Arial"/>
          <w:color w:val="000000"/>
        </w:rPr>
        <w:t xml:space="preserve"> chart such as the </w:t>
      </w:r>
      <w:r w:rsidRPr="008A3377">
        <w:rPr>
          <w:rFonts w:cs="Arial"/>
          <w:color w:val="000000"/>
        </w:rPr>
        <w:t>national standard medication chart (NSMC)</w:t>
      </w:r>
      <w:r>
        <w:rPr>
          <w:rFonts w:cs="Arial"/>
          <w:color w:val="000000"/>
        </w:rPr>
        <w:t xml:space="preserve"> does not accommodate the documentation, </w:t>
      </w:r>
      <w:r w:rsidRPr="007726B0">
        <w:t>administ</w:t>
      </w:r>
      <w:r>
        <w:t>ration</w:t>
      </w:r>
      <w:r w:rsidRPr="007726B0">
        <w:t xml:space="preserve"> and monitor</w:t>
      </w:r>
      <w:r>
        <w:t>ing of</w:t>
      </w:r>
      <w:r w:rsidRPr="007726B0">
        <w:t xml:space="preserve"> oxygen</w:t>
      </w:r>
      <w:r>
        <w:t xml:space="preserve"> therapy</w:t>
      </w:r>
      <w:r>
        <w:rPr>
          <w:rFonts w:cs="Arial"/>
          <w:color w:val="000000"/>
        </w:rPr>
        <w:t>.</w:t>
      </w:r>
      <w:r w:rsidR="001023D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However, the NSMC may be used to record that oxygen</w:t>
      </w:r>
      <w:r w:rsidR="00A354DF">
        <w:rPr>
          <w:rFonts w:cs="Arial"/>
          <w:color w:val="000000"/>
        </w:rPr>
        <w:t xml:space="preserve"> therapy</w:t>
      </w:r>
      <w:r>
        <w:rPr>
          <w:rFonts w:cs="Arial"/>
          <w:color w:val="000000"/>
        </w:rPr>
        <w:t xml:space="preserve"> has been ordered and refer clinicians to where the administration and monitoring of oxygen</w:t>
      </w:r>
      <w:r w:rsidR="00A354DF">
        <w:rPr>
          <w:rFonts w:cs="Arial"/>
          <w:color w:val="000000"/>
        </w:rPr>
        <w:t xml:space="preserve"> t</w:t>
      </w:r>
      <w:r w:rsidR="000D4ABE">
        <w:rPr>
          <w:rFonts w:cs="Arial"/>
          <w:color w:val="000000"/>
        </w:rPr>
        <w:t>herapy</w:t>
      </w:r>
      <w:r>
        <w:rPr>
          <w:rFonts w:cs="Arial"/>
          <w:color w:val="000000"/>
        </w:rPr>
        <w:t xml:space="preserve"> is </w:t>
      </w:r>
      <w:r w:rsidR="00AD6746" w:rsidRPr="004316C7">
        <w:rPr>
          <w:rFonts w:cs="Arial"/>
          <w:color w:val="000000"/>
        </w:rPr>
        <w:t>graphically</w:t>
      </w:r>
      <w:r w:rsidR="00AD674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documented.</w:t>
      </w:r>
      <w:r w:rsidR="001023D5">
        <w:rPr>
          <w:rFonts w:cs="Arial"/>
          <w:color w:val="000000"/>
        </w:rPr>
        <w:t xml:space="preserve"> </w:t>
      </w:r>
    </w:p>
    <w:p w14:paraId="711D3ADB" w14:textId="03A9C371" w:rsidR="00606995" w:rsidRDefault="001023D5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="00606995" w:rsidRPr="009C0A05">
        <w:rPr>
          <w:rFonts w:cs="Arial"/>
          <w:color w:val="000000"/>
        </w:rPr>
        <w:t xml:space="preserve">xygen </w:t>
      </w:r>
      <w:r w:rsidR="00606995">
        <w:rPr>
          <w:rFonts w:cs="Arial"/>
          <w:color w:val="000000"/>
        </w:rPr>
        <w:t xml:space="preserve">alert </w:t>
      </w:r>
      <w:r w:rsidR="00606995" w:rsidRPr="009C0A05">
        <w:rPr>
          <w:rFonts w:cs="Arial"/>
          <w:color w:val="000000"/>
        </w:rPr>
        <w:t>sticker</w:t>
      </w:r>
      <w:r>
        <w:rPr>
          <w:rFonts w:cs="Arial"/>
          <w:color w:val="000000"/>
        </w:rPr>
        <w:t>s</w:t>
      </w:r>
      <w:r w:rsidR="00606995" w:rsidRPr="009C0A05">
        <w:rPr>
          <w:rFonts w:cs="Arial"/>
          <w:color w:val="000000"/>
        </w:rPr>
        <w:t xml:space="preserve"> may </w:t>
      </w:r>
      <w:r>
        <w:rPr>
          <w:rFonts w:cs="Arial"/>
          <w:color w:val="000000"/>
        </w:rPr>
        <w:t>also be useful to apply within a</w:t>
      </w:r>
      <w:r w:rsidR="00606995" w:rsidRPr="009C0A05">
        <w:rPr>
          <w:rFonts w:cs="Arial"/>
          <w:color w:val="000000"/>
        </w:rPr>
        <w:t xml:space="preserve"> patient’s</w:t>
      </w:r>
      <w:r w:rsidR="00606995"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paper-based </w:t>
      </w:r>
      <w:r w:rsidR="00606995" w:rsidRPr="008A3377">
        <w:rPr>
          <w:rFonts w:cs="Arial"/>
          <w:color w:val="000000"/>
        </w:rPr>
        <w:t>progress notes</w:t>
      </w:r>
      <w:r w:rsidR="007A0A76">
        <w:rPr>
          <w:rFonts w:cs="Arial"/>
          <w:color w:val="000000"/>
        </w:rPr>
        <w:t xml:space="preserve"> or on their NSMC</w:t>
      </w:r>
      <w:r>
        <w:rPr>
          <w:rFonts w:cs="Arial"/>
          <w:color w:val="000000"/>
        </w:rPr>
        <w:t>.</w:t>
      </w:r>
    </w:p>
    <w:p w14:paraId="4534ED41" w14:textId="35D37A37" w:rsidR="00C61E50" w:rsidRDefault="000311A9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Documentation of oxygen therapy should be incorporated in clinician education and training alongside other principles of safe prescribing, </w:t>
      </w:r>
      <w:r w:rsidRPr="000311A9">
        <w:rPr>
          <w:rFonts w:cs="Arial"/>
          <w:color w:val="000000"/>
        </w:rPr>
        <w:t>administration, and monitoring of oxygen therapy</w:t>
      </w:r>
      <w:r w:rsidR="00C61E50">
        <w:rPr>
          <w:rFonts w:cs="Arial"/>
          <w:color w:val="000000"/>
        </w:rPr>
        <w:t>.</w:t>
      </w:r>
      <w:r w:rsidR="00C61E50" w:rsidRPr="00C61E50">
        <w:t xml:space="preserve"> </w:t>
      </w:r>
      <w:r w:rsidR="003C6625">
        <w:rPr>
          <w:rFonts w:cs="Arial"/>
          <w:color w:val="333333"/>
        </w:rPr>
        <w:t xml:space="preserve">The </w:t>
      </w:r>
      <w:r w:rsidR="003C6625" w:rsidRPr="003C6625">
        <w:rPr>
          <w:rFonts w:cs="Arial"/>
          <w:color w:val="333333"/>
        </w:rPr>
        <w:t>College of Intensive Care Medicine of Australia</w:t>
      </w:r>
      <w:r w:rsidR="003C6625">
        <w:t xml:space="preserve"> t</w:t>
      </w:r>
      <w:r w:rsidR="003C6625" w:rsidRPr="003C6625">
        <w:rPr>
          <w:rFonts w:cs="Arial"/>
          <w:color w:val="333333"/>
        </w:rPr>
        <w:t xml:space="preserve">raining </w:t>
      </w:r>
      <w:r w:rsidR="003C6625">
        <w:rPr>
          <w:rFonts w:cs="Arial"/>
          <w:color w:val="333333"/>
        </w:rPr>
        <w:t>s</w:t>
      </w:r>
      <w:r w:rsidR="003C6625" w:rsidRPr="003C6625">
        <w:rPr>
          <w:rFonts w:cs="Arial"/>
          <w:color w:val="333333"/>
        </w:rPr>
        <w:t>yllabus recognises oxygen therapy as a therapeutic agent</w:t>
      </w:r>
      <w:r w:rsidR="0077542E">
        <w:rPr>
          <w:rFonts w:cs="Arial"/>
          <w:color w:val="333333"/>
        </w:rPr>
        <w:t xml:space="preserve">; </w:t>
      </w:r>
      <w:r w:rsidR="003C6625" w:rsidRPr="003C6625">
        <w:rPr>
          <w:rFonts w:cs="Arial"/>
          <w:color w:val="333333"/>
        </w:rPr>
        <w:t>trainees are taught and assessed to consider the pharmacology of oxygen</w:t>
      </w:r>
      <w:r w:rsidR="003C6625">
        <w:rPr>
          <w:rFonts w:cs="Arial"/>
          <w:color w:val="333333"/>
        </w:rPr>
        <w:t>.</w:t>
      </w:r>
    </w:p>
    <w:p w14:paraId="6CE26334" w14:textId="77777777" w:rsidR="00606995" w:rsidRDefault="00606995" w:rsidP="00606995">
      <w:pPr>
        <w:pStyle w:val="Heading4"/>
      </w:pPr>
      <w:bookmarkStart w:id="7" w:name="_Toc176356770"/>
      <w:r>
        <w:t>Medical emergency</w:t>
      </w:r>
      <w:bookmarkEnd w:id="7"/>
      <w:r>
        <w:t xml:space="preserve"> </w:t>
      </w:r>
    </w:p>
    <w:p w14:paraId="4404B7D4" w14:textId="4A045127" w:rsidR="00606995" w:rsidRPr="00565252" w:rsidRDefault="00606995" w:rsidP="00565252">
      <w:pPr>
        <w:rPr>
          <w:vertAlign w:val="subscript"/>
        </w:rPr>
      </w:pPr>
      <w:r w:rsidRPr="008A3377">
        <w:rPr>
          <w:rFonts w:cs="Arial"/>
        </w:rPr>
        <w:t>I</w:t>
      </w:r>
      <w:r w:rsidRPr="008A3377">
        <w:rPr>
          <w:rFonts w:cs="Arial"/>
          <w:color w:val="000000"/>
        </w:rPr>
        <w:t>n a</w:t>
      </w:r>
      <w:r>
        <w:rPr>
          <w:rFonts w:cs="Arial"/>
          <w:color w:val="000000"/>
        </w:rPr>
        <w:t xml:space="preserve"> medical</w:t>
      </w:r>
      <w:r w:rsidRPr="008A3377">
        <w:rPr>
          <w:rFonts w:cs="Arial"/>
          <w:color w:val="000000"/>
        </w:rPr>
        <w:t xml:space="preserve"> emergency</w:t>
      </w:r>
      <w:r w:rsidR="00520483">
        <w:rPr>
          <w:rFonts w:cs="Arial"/>
          <w:color w:val="000000"/>
        </w:rPr>
        <w:t xml:space="preserve"> with acute physiological deterioration</w:t>
      </w:r>
      <w:r>
        <w:rPr>
          <w:rFonts w:cs="Arial"/>
          <w:color w:val="000000"/>
        </w:rPr>
        <w:t>,</w:t>
      </w:r>
      <w:r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administration of </w:t>
      </w:r>
      <w:r w:rsidRPr="008A3377">
        <w:rPr>
          <w:rFonts w:cs="Arial"/>
          <w:color w:val="000000"/>
        </w:rPr>
        <w:t xml:space="preserve">oxygen should </w:t>
      </w:r>
      <w:r w:rsidR="007D4683">
        <w:rPr>
          <w:rFonts w:cs="Arial"/>
          <w:color w:val="000000"/>
        </w:rPr>
        <w:t>not be delayed and</w:t>
      </w:r>
      <w:r w:rsidRPr="008A3377">
        <w:rPr>
          <w:rFonts w:cs="Arial"/>
          <w:color w:val="000000"/>
        </w:rPr>
        <w:t xml:space="preserve"> </w:t>
      </w:r>
      <w:r w:rsidR="0084106D">
        <w:rPr>
          <w:rFonts w:cs="Arial"/>
          <w:color w:val="000000"/>
        </w:rPr>
        <w:t xml:space="preserve">should be </w:t>
      </w:r>
      <w:r>
        <w:rPr>
          <w:rFonts w:cs="Arial"/>
          <w:color w:val="000000"/>
        </w:rPr>
        <w:t>documented as soon as possible</w:t>
      </w:r>
      <w:r w:rsidR="00D00B7D">
        <w:rPr>
          <w:rFonts w:cs="Arial"/>
          <w:color w:val="000000"/>
        </w:rPr>
        <w:t xml:space="preserve">, including the </w:t>
      </w:r>
      <w:r w:rsidR="00D64D6C">
        <w:rPr>
          <w:rFonts w:cs="Arial"/>
          <w:color w:val="000000"/>
        </w:rPr>
        <w:t>ongoing requirements for oxygen therapy</w:t>
      </w:r>
      <w:r>
        <w:rPr>
          <w:rFonts w:cs="Arial"/>
          <w:color w:val="000000"/>
        </w:rPr>
        <w:t>. Documentation should include the outcome of treatment and other relevant information, such as modification to the usual frequency of monitoring vital signs</w:t>
      </w:r>
      <w:r w:rsidR="007426D9">
        <w:rPr>
          <w:rFonts w:cs="Arial"/>
          <w:color w:val="000000"/>
        </w:rPr>
        <w:t xml:space="preserve"> and whether the patient is at risk of hypercapnia</w:t>
      </w:r>
      <w:r w:rsidR="003D0C7C">
        <w:rPr>
          <w:rFonts w:cs="Arial"/>
          <w:color w:val="000000"/>
        </w:rPr>
        <w:t xml:space="preserve"> (retain</w:t>
      </w:r>
      <w:r w:rsidR="009E0FFC">
        <w:rPr>
          <w:rFonts w:cs="Arial"/>
          <w:color w:val="000000"/>
        </w:rPr>
        <w:t>s</w:t>
      </w:r>
      <w:r w:rsidR="003D0C7C">
        <w:rPr>
          <w:rFonts w:cs="Arial"/>
          <w:color w:val="000000"/>
        </w:rPr>
        <w:t xml:space="preserve"> carbon dioxide – CO</w:t>
      </w:r>
      <w:r w:rsidR="003D0C7C">
        <w:rPr>
          <w:rFonts w:cs="Arial"/>
          <w:color w:val="000000"/>
          <w:vertAlign w:val="subscript"/>
        </w:rPr>
        <w:t>2</w:t>
      </w:r>
      <w:r w:rsidR="003D0C7C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, which should be recorded in clinical handover or as part of care transition for the patient. </w:t>
      </w:r>
      <w:r w:rsidR="00A0364C">
        <w:rPr>
          <w:rFonts w:cs="Arial"/>
          <w:color w:val="000000"/>
        </w:rPr>
        <w:t>L</w:t>
      </w:r>
      <w:r w:rsidR="00A0364C" w:rsidRPr="008A3377">
        <w:rPr>
          <w:rFonts w:cs="Arial"/>
          <w:color w:val="000000"/>
        </w:rPr>
        <w:t>ocal guidelines</w:t>
      </w:r>
      <w:r w:rsidR="00A0364C">
        <w:rPr>
          <w:rFonts w:cs="Arial"/>
          <w:color w:val="000000"/>
        </w:rPr>
        <w:t xml:space="preserve"> and context-specific protocols and pathways</w:t>
      </w:r>
      <w:r w:rsidR="00A0364C">
        <w:rPr>
          <w:rFonts w:cs="Arial"/>
        </w:rPr>
        <w:t xml:space="preserve"> also need to include advice on when an urgent clinical review is required.</w:t>
      </w:r>
    </w:p>
    <w:p w14:paraId="040D1643" w14:textId="77777777" w:rsidR="00606995" w:rsidRDefault="00606995" w:rsidP="00565252">
      <w:pPr>
        <w:pStyle w:val="Heading4"/>
      </w:pPr>
      <w:bookmarkStart w:id="8" w:name="_Toc176356771"/>
      <w:r>
        <w:t>National resources and guidelines</w:t>
      </w:r>
      <w:bookmarkEnd w:id="8"/>
    </w:p>
    <w:p w14:paraId="051BBE71" w14:textId="77777777" w:rsidR="00606995" w:rsidRPr="00FC3124" w:rsidRDefault="00606995" w:rsidP="00606995">
      <w:pPr>
        <w:autoSpaceDE w:val="0"/>
        <w:autoSpaceDN w:val="0"/>
        <w:adjustRightInd w:val="0"/>
        <w:rPr>
          <w:rFonts w:cs="Arial"/>
          <w:color w:val="000000"/>
          <w:highlight w:val="yellow"/>
        </w:rPr>
      </w:pPr>
      <w:bookmarkStart w:id="9" w:name="_Hlk171424458"/>
      <w:r>
        <w:rPr>
          <w:rFonts w:cs="Arial"/>
          <w:color w:val="000000"/>
        </w:rPr>
        <w:t>For further</w:t>
      </w:r>
      <w:r>
        <w:rPr>
          <w:color w:val="000000"/>
        </w:rPr>
        <w:t xml:space="preserve"> guidance on the </w:t>
      </w:r>
      <w:r>
        <w:t xml:space="preserve">management and </w:t>
      </w:r>
      <w:r w:rsidRPr="008D3958">
        <w:t>use of oxygen therapy</w:t>
      </w:r>
      <w:r>
        <w:t>, refer to:</w:t>
      </w:r>
      <w:bookmarkEnd w:id="9"/>
    </w:p>
    <w:p w14:paraId="1465AE13" w14:textId="5D799C24" w:rsidR="00606995" w:rsidRDefault="00606995" w:rsidP="00606995">
      <w:pPr>
        <w:numPr>
          <w:ilvl w:val="0"/>
          <w:numId w:val="30"/>
        </w:numPr>
        <w:spacing w:before="0"/>
        <w:ind w:left="714" w:hanging="357"/>
        <w:rPr>
          <w:rFonts w:cs="Arial"/>
        </w:rPr>
      </w:pPr>
      <w:r w:rsidRPr="008E367E">
        <w:rPr>
          <w:rStyle w:val="Blue"/>
          <w:rFonts w:eastAsiaTheme="majorEastAsia" w:cs="Arial"/>
          <w:color w:val="auto"/>
        </w:rPr>
        <w:t xml:space="preserve">Thoracic Society of Australia and New Zealand </w:t>
      </w:r>
      <w:hyperlink r:id="rId14" w:history="1">
        <w:r w:rsidRPr="006518BE">
          <w:rPr>
            <w:rStyle w:val="Hyperlink"/>
            <w:rFonts w:cs="Arial"/>
          </w:rPr>
          <w:t>Position Statement on Acute Oxygen Use in Adults: Swimming between the flags</w:t>
        </w:r>
      </w:hyperlink>
      <w:r>
        <w:rPr>
          <w:rStyle w:val="Hyperlink"/>
          <w:rFonts w:cs="Arial"/>
        </w:rPr>
        <w:t xml:space="preserve"> </w:t>
      </w:r>
      <w:r w:rsidRPr="0016755D">
        <w:rPr>
          <w:rStyle w:val="Hyperlink"/>
          <w:rFonts w:cs="Arial"/>
        </w:rPr>
        <w:t>(2022)</w:t>
      </w:r>
      <w:r>
        <w:rPr>
          <w:rStyle w:val="Hyperlink"/>
          <w:rFonts w:cs="Arial"/>
        </w:rPr>
        <w:t xml:space="preserve"> </w:t>
      </w:r>
      <w:r w:rsidR="00CE01B5">
        <w:rPr>
          <w:rFonts w:cs="Arial"/>
          <w:vertAlign w:val="superscript"/>
        </w:rPr>
        <w:t>1</w:t>
      </w:r>
      <w:r>
        <w:rPr>
          <w:rFonts w:cs="Arial"/>
        </w:rPr>
        <w:t>, with</w:t>
      </w:r>
      <w:r w:rsidRPr="002C3723">
        <w:rPr>
          <w:rStyle w:val="Blue"/>
          <w:rFonts w:eastAsiaTheme="majorEastAsia" w:cs="Arial"/>
        </w:rPr>
        <w:t xml:space="preserve"> </w:t>
      </w:r>
      <w:hyperlink r:id="rId15" w:history="1">
        <w:r w:rsidRPr="00CC43E9">
          <w:rPr>
            <w:rStyle w:val="Hyperlink"/>
            <w:rFonts w:cs="Arial"/>
          </w:rPr>
          <w:t>educational resources</w:t>
        </w:r>
      </w:hyperlink>
    </w:p>
    <w:p w14:paraId="1BD3CB26" w14:textId="6ECBB97E" w:rsidR="00606995" w:rsidRPr="006518BE" w:rsidRDefault="00606995" w:rsidP="00606995">
      <w:pPr>
        <w:numPr>
          <w:ilvl w:val="0"/>
          <w:numId w:val="30"/>
        </w:numPr>
        <w:spacing w:before="0"/>
        <w:ind w:left="714" w:hanging="357"/>
        <w:rPr>
          <w:rFonts w:cs="Arial"/>
        </w:rPr>
      </w:pPr>
      <w:r w:rsidRPr="006518BE">
        <w:rPr>
          <w:rFonts w:cs="Arial"/>
        </w:rPr>
        <w:lastRenderedPageBreak/>
        <w:t xml:space="preserve">National (Thoracic Society of Australia and NZ) Clinical practice guidelines for </w:t>
      </w:r>
      <w:hyperlink r:id="rId16" w:history="1">
        <w:r w:rsidRPr="00E7252D">
          <w:rPr>
            <w:rStyle w:val="Hyperlink"/>
            <w:rFonts w:cs="Arial"/>
          </w:rPr>
          <w:t>Clinical use of pulse oximetry</w:t>
        </w:r>
      </w:hyperlink>
      <w:r w:rsidRPr="006518BE">
        <w:rPr>
          <w:rFonts w:cs="Arial"/>
        </w:rPr>
        <w:t xml:space="preserve"> (2014)</w:t>
      </w:r>
      <w:bookmarkStart w:id="10" w:name="_Hlk173243645"/>
      <w:r w:rsidR="0048284B">
        <w:rPr>
          <w:rFonts w:cs="Arial"/>
          <w:vertAlign w:val="superscript"/>
        </w:rPr>
        <w:t>4</w:t>
      </w:r>
      <w:bookmarkEnd w:id="10"/>
    </w:p>
    <w:p w14:paraId="272525C8" w14:textId="03EFDE20" w:rsidR="00606995" w:rsidRPr="00E83B8C" w:rsidRDefault="00606995" w:rsidP="00606995">
      <w:pPr>
        <w:numPr>
          <w:ilvl w:val="0"/>
          <w:numId w:val="30"/>
        </w:numPr>
        <w:spacing w:before="0"/>
        <w:ind w:left="714" w:hanging="357"/>
        <w:rPr>
          <w:rFonts w:cs="Arial"/>
        </w:rPr>
      </w:pPr>
      <w:bookmarkStart w:id="11" w:name="_Hlk165384336"/>
      <w:r w:rsidRPr="00E83B8C">
        <w:rPr>
          <w:rFonts w:cs="Arial"/>
        </w:rPr>
        <w:t xml:space="preserve">Australian and New Zealand Resuscitation Councils: </w:t>
      </w:r>
      <w:hyperlink r:id="rId17" w:history="1">
        <w:r w:rsidRPr="00E83B8C">
          <w:rPr>
            <w:rStyle w:val="Hyperlink"/>
            <w:rFonts w:cs="Arial"/>
          </w:rPr>
          <w:t xml:space="preserve">ANZCOR Guideline 11.6.1 – Targeted Oxygen Therapy in Adult Advanced Life Support </w:t>
        </w:r>
      </w:hyperlink>
      <w:r w:rsidR="0048284B">
        <w:rPr>
          <w:rFonts w:cs="Arial"/>
          <w:vertAlign w:val="superscript"/>
        </w:rPr>
        <w:t>5</w:t>
      </w:r>
    </w:p>
    <w:bookmarkStart w:id="12" w:name="_Toc176356772"/>
    <w:bookmarkEnd w:id="11"/>
    <w:p w14:paraId="6D2A195B" w14:textId="4E8C718A" w:rsidR="00FB1D4A" w:rsidRPr="007E6D24" w:rsidRDefault="00FB1D4A" w:rsidP="00FB1D4A">
      <w:pPr>
        <w:numPr>
          <w:ilvl w:val="0"/>
          <w:numId w:val="30"/>
        </w:numPr>
        <w:spacing w:before="0"/>
        <w:ind w:left="714" w:hanging="357"/>
        <w:rPr>
          <w:rStyle w:val="Blue"/>
          <w:rFonts w:cs="Arial"/>
          <w:color w:val="auto"/>
        </w:rPr>
      </w:pPr>
      <w:r>
        <w:fldChar w:fldCharType="begin"/>
      </w:r>
      <w:r>
        <w:instrText>HYPERLINK "https://www.safetyandquality.gov.au/publications-and-resources/resource-library/chronic-obstructive-pulmonary-disease-clinical-care-standard-2024"</w:instrText>
      </w:r>
      <w:r>
        <w:fldChar w:fldCharType="separate"/>
      </w:r>
      <w:r w:rsidRPr="00B54762">
        <w:rPr>
          <w:rStyle w:val="Blue"/>
          <w:rFonts w:cs="Arial"/>
          <w:color w:val="auto"/>
        </w:rPr>
        <w:t>Australian Commission on Safety and Quality in Health Care.</w:t>
      </w:r>
      <w:r>
        <w:rPr>
          <w:rStyle w:val="Blue"/>
          <w:rFonts w:cs="Arial"/>
          <w:color w:val="auto"/>
        </w:rPr>
        <w:t xml:space="preserve"> </w:t>
      </w:r>
      <w:r w:rsidRPr="000F71A8">
        <w:rPr>
          <w:rStyle w:val="Hyperlink"/>
          <w:rFonts w:cs="Arial"/>
        </w:rPr>
        <w:t>Chronic Obstructive Pulmonary Disease (COPD) Clinical Care Standard</w:t>
      </w:r>
      <w:r>
        <w:rPr>
          <w:rStyle w:val="Hyperlink"/>
          <w:rFonts w:cs="Arial"/>
        </w:rPr>
        <w:fldChar w:fldCharType="end"/>
      </w:r>
      <w:r w:rsidR="003E1DAA">
        <w:rPr>
          <w:rFonts w:cs="Arial"/>
          <w:vertAlign w:val="superscript"/>
        </w:rPr>
        <w:t>3</w:t>
      </w:r>
    </w:p>
    <w:p w14:paraId="7036C34D" w14:textId="77777777" w:rsidR="00650A54" w:rsidRDefault="00650A54" w:rsidP="00650A54">
      <w:pPr>
        <w:pStyle w:val="Heading2"/>
      </w:pPr>
      <w:r>
        <w:t>Background</w:t>
      </w:r>
    </w:p>
    <w:bookmarkEnd w:id="12"/>
    <w:p w14:paraId="4BF7650A" w14:textId="5C1349E9" w:rsidR="00650A54" w:rsidRDefault="00650A54" w:rsidP="005E7332">
      <w:pPr>
        <w:pStyle w:val="Heading4"/>
        <w:spacing w:before="0"/>
      </w:pPr>
      <w:r>
        <w:t>Recognising and responding to acute deterioration</w:t>
      </w:r>
    </w:p>
    <w:p w14:paraId="14FF7739" w14:textId="50D16BE7" w:rsidR="00606995" w:rsidRDefault="00606995" w:rsidP="00606995">
      <w:pPr>
        <w:rPr>
          <w:rFonts w:cs="Arial"/>
        </w:rPr>
      </w:pPr>
      <w:r>
        <w:t>The initiation and monitoring of oxygen is closely aligned to the monitoring of a patient’s vital signs</w:t>
      </w:r>
      <w:r w:rsidR="007426D9">
        <w:t>.</w:t>
      </w:r>
      <w:r>
        <w:t xml:space="preserve"> </w:t>
      </w:r>
      <w:bookmarkStart w:id="13" w:name="_Hlk172611948"/>
      <w:r w:rsidR="007426D9">
        <w:t>The</w:t>
      </w:r>
      <w:r>
        <w:t xml:space="preserve"> National Safety and Quality Health Service (NSQHS) Standard: </w:t>
      </w:r>
      <w:hyperlink r:id="rId18" w:history="1">
        <w:r w:rsidRPr="004726D2">
          <w:rPr>
            <w:rStyle w:val="Hyperlink"/>
          </w:rPr>
          <w:t>Recognising and responding to acute deterioration</w:t>
        </w:r>
      </w:hyperlink>
      <w:r w:rsidR="0048284B">
        <w:rPr>
          <w:vertAlign w:val="superscript"/>
        </w:rPr>
        <w:t>6</w:t>
      </w:r>
      <w:r w:rsidR="0048284B">
        <w:t xml:space="preserve"> </w:t>
      </w:r>
      <w:r>
        <w:t xml:space="preserve">and </w:t>
      </w:r>
      <w:bookmarkEnd w:id="13"/>
      <w:r>
        <w:t>the National Consensus Statement:</w:t>
      </w:r>
      <w:r w:rsidRPr="004A20B3">
        <w:t xml:space="preserve"> </w:t>
      </w:r>
      <w:hyperlink r:id="rId19" w:history="1">
        <w:r w:rsidRPr="004A20B3">
          <w:rPr>
            <w:rStyle w:val="Hyperlink"/>
          </w:rPr>
          <w:t>Essential elements for recognising and responding to acute physiological deterioration (third edition)</w:t>
        </w:r>
      </w:hyperlink>
      <w:r w:rsidR="00CE01B5">
        <w:rPr>
          <w:rFonts w:cs="Arial"/>
          <w:vertAlign w:val="superscript"/>
        </w:rPr>
        <w:t>2</w:t>
      </w:r>
      <w:r w:rsidR="00C22B49">
        <w:rPr>
          <w:rFonts w:cs="Arial"/>
        </w:rPr>
        <w:t xml:space="preserve"> o</w:t>
      </w:r>
      <w:r>
        <w:rPr>
          <w:rFonts w:cs="Arial"/>
        </w:rPr>
        <w:t>utline the essential</w:t>
      </w:r>
      <w:r w:rsidRPr="00F02AE1">
        <w:rPr>
          <w:rFonts w:cs="Arial"/>
        </w:rPr>
        <w:t xml:space="preserve"> elements </w:t>
      </w:r>
      <w:r>
        <w:rPr>
          <w:rFonts w:cs="Arial"/>
        </w:rPr>
        <w:t xml:space="preserve">or </w:t>
      </w:r>
      <w:r w:rsidRPr="00F02AE1">
        <w:rPr>
          <w:rFonts w:cs="Arial"/>
        </w:rPr>
        <w:t>features of systems for recognising and responding</w:t>
      </w:r>
      <w:r>
        <w:rPr>
          <w:rFonts w:cs="Arial"/>
        </w:rPr>
        <w:t xml:space="preserve"> </w:t>
      </w:r>
      <w:r w:rsidRPr="00F02AE1">
        <w:rPr>
          <w:rFonts w:cs="Arial"/>
        </w:rPr>
        <w:t>to acute deterioration</w:t>
      </w:r>
      <w:r>
        <w:rPr>
          <w:rFonts w:cs="Arial"/>
        </w:rPr>
        <w:t xml:space="preserve"> in patients</w:t>
      </w:r>
      <w:r w:rsidRPr="00F02AE1">
        <w:rPr>
          <w:rFonts w:cs="Arial"/>
        </w:rPr>
        <w:t xml:space="preserve">. </w:t>
      </w:r>
      <w:r>
        <w:rPr>
          <w:rFonts w:cs="Arial"/>
        </w:rPr>
        <w:t>Oxygen saturation is a ‘vital sign’ measured by pulse oximetry.</w:t>
      </w:r>
    </w:p>
    <w:p w14:paraId="419F1B36" w14:textId="749AA546" w:rsidR="00650A54" w:rsidRPr="00255217" w:rsidRDefault="00650A54" w:rsidP="00606995">
      <w:pPr>
        <w:rPr>
          <w:rFonts w:cs="Arial"/>
        </w:rPr>
      </w:pPr>
      <w:r>
        <w:rPr>
          <w:rFonts w:cs="Arial"/>
          <w:lang w:val="en-GB"/>
        </w:rPr>
        <w:t xml:space="preserve">The Commission’s </w:t>
      </w:r>
      <w:hyperlink r:id="rId20" w:history="1">
        <w:r w:rsidRPr="006C6E3E">
          <w:rPr>
            <w:rStyle w:val="Hyperlink"/>
            <w:rFonts w:cs="Arial"/>
            <w:lang w:val="en-GB"/>
          </w:rPr>
          <w:t>COPD Clinical Care Standard</w:t>
        </w:r>
      </w:hyperlink>
      <w:r w:rsidR="00CE01B5"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</w:t>
      </w:r>
      <w:r w:rsidR="00946112">
        <w:rPr>
          <w:rFonts w:cs="Arial"/>
        </w:rPr>
        <w:t>includes specific guidance on the use of oxygen and ventilatory support during COPD exacerbations in acute healthcare settings</w:t>
      </w:r>
      <w:r>
        <w:rPr>
          <w:rFonts w:cs="Arial"/>
          <w:lang w:val="en-GB"/>
        </w:rPr>
        <w:t xml:space="preserve">. </w:t>
      </w:r>
    </w:p>
    <w:p w14:paraId="1F7A2047" w14:textId="0C69438C" w:rsidR="00650A54" w:rsidRDefault="00650A54" w:rsidP="00650A54">
      <w:pPr>
        <w:pStyle w:val="Heading4"/>
        <w:spacing w:before="0"/>
      </w:pPr>
      <w:bookmarkStart w:id="14" w:name="_Toc176356773"/>
      <w:r>
        <w:t>Safety issues with oxygen</w:t>
      </w:r>
    </w:p>
    <w:bookmarkEnd w:id="14"/>
    <w:p w14:paraId="78D0B8DB" w14:textId="48CD0E72" w:rsidR="00606995" w:rsidRDefault="00606995" w:rsidP="00606995">
      <w:pPr>
        <w:rPr>
          <w:rFonts w:cs="Arial"/>
        </w:rPr>
      </w:pPr>
      <w:r>
        <w:rPr>
          <w:rFonts w:cs="Arial"/>
        </w:rPr>
        <w:t xml:space="preserve">In Australia, oxygen is an unscheduled item within </w:t>
      </w:r>
      <w:hyperlink r:id="rId21" w:history="1">
        <w:r w:rsidR="002B3885">
          <w:rPr>
            <w:rStyle w:val="Hyperlink"/>
            <w:rFonts w:cs="Arial"/>
          </w:rPr>
          <w:t>T</w:t>
        </w:r>
        <w:r w:rsidRPr="002B3885">
          <w:rPr>
            <w:rStyle w:val="Hyperlink"/>
            <w:rFonts w:cs="Arial"/>
          </w:rPr>
          <w:t>he Poisons Standard</w:t>
        </w:r>
      </w:hyperlink>
      <w:r w:rsidR="00500939">
        <w:rPr>
          <w:rFonts w:cs="Arial"/>
          <w:vertAlign w:val="superscript"/>
        </w:rPr>
        <w:t>7</w:t>
      </w:r>
      <w:r w:rsidRPr="00D04CEE">
        <w:rPr>
          <w:rFonts w:cs="Arial"/>
        </w:rPr>
        <w:t xml:space="preserve"> </w:t>
      </w:r>
      <w:r w:rsidR="00547F71">
        <w:rPr>
          <w:rFonts w:cs="Arial"/>
        </w:rPr>
        <w:t xml:space="preserve">and </w:t>
      </w:r>
      <w:r w:rsidR="00547F71" w:rsidRPr="00547F71">
        <w:rPr>
          <w:rFonts w:cs="Arial"/>
        </w:rPr>
        <w:t>there is no legislation that requires a prescription order for oxygen</w:t>
      </w:r>
      <w:r w:rsidR="003C6625">
        <w:rPr>
          <w:rFonts w:cs="Arial"/>
        </w:rPr>
        <w:t xml:space="preserve">; </w:t>
      </w:r>
      <w:r w:rsidR="00591A0B">
        <w:rPr>
          <w:rFonts w:cs="Arial"/>
        </w:rPr>
        <w:t xml:space="preserve">however, </w:t>
      </w:r>
      <w:r w:rsidR="003C6625">
        <w:rPr>
          <w:rFonts w:cs="Arial"/>
        </w:rPr>
        <w:t>W</w:t>
      </w:r>
      <w:r w:rsidR="00591A0B">
        <w:rPr>
          <w:rFonts w:cs="Arial"/>
        </w:rPr>
        <w:t xml:space="preserve">estern </w:t>
      </w:r>
      <w:r w:rsidR="003C6625">
        <w:rPr>
          <w:rFonts w:cs="Arial"/>
        </w:rPr>
        <w:t>A</w:t>
      </w:r>
      <w:r w:rsidR="00591A0B">
        <w:rPr>
          <w:rFonts w:cs="Arial"/>
        </w:rPr>
        <w:t xml:space="preserve">ustralia </w:t>
      </w:r>
      <w:r w:rsidR="003C6625">
        <w:rPr>
          <w:rFonts w:cs="Arial"/>
        </w:rPr>
        <w:t xml:space="preserve"> requires a prescriber to initiate oxygen therapy</w:t>
      </w:r>
      <w:r w:rsidR="00547F71">
        <w:rPr>
          <w:rFonts w:cs="Arial"/>
        </w:rPr>
        <w:t xml:space="preserve">. </w:t>
      </w:r>
      <w:r w:rsidR="00591A0B">
        <w:rPr>
          <w:rFonts w:cs="Arial"/>
        </w:rPr>
        <w:t>A</w:t>
      </w:r>
      <w:r>
        <w:rPr>
          <w:rFonts w:cs="Arial"/>
        </w:rPr>
        <w:t xml:space="preserve">long with other </w:t>
      </w:r>
      <w:r w:rsidR="0077542E">
        <w:rPr>
          <w:rFonts w:cs="Arial"/>
        </w:rPr>
        <w:t xml:space="preserve">therapeutic </w:t>
      </w:r>
      <w:r>
        <w:rPr>
          <w:rFonts w:cs="Arial"/>
        </w:rPr>
        <w:t xml:space="preserve">gases, oxygen is classified by the Therapeutic Goods Administration (TGA) as a medicine under the </w:t>
      </w:r>
      <w:r w:rsidRPr="00D04CEE">
        <w:rPr>
          <w:rFonts w:cs="Arial"/>
          <w:i/>
          <w:iCs/>
        </w:rPr>
        <w:t>Therapeutic Goods Act 1989</w:t>
      </w:r>
      <w:r>
        <w:rPr>
          <w:rFonts w:cs="Arial"/>
          <w:i/>
          <w:iCs/>
        </w:rPr>
        <w:t>.</w:t>
      </w:r>
      <w:r w:rsidRPr="00606751">
        <w:t xml:space="preserve"> </w:t>
      </w:r>
      <w:r w:rsidR="003023BA">
        <w:rPr>
          <w:rFonts w:cs="Arial"/>
        </w:rPr>
        <w:t>O</w:t>
      </w:r>
      <w:r w:rsidRPr="00AE4F2D">
        <w:rPr>
          <w:rFonts w:cs="Arial"/>
        </w:rPr>
        <w:t xml:space="preserve">xygen carries the same risk as high-risk medicines and safe management requires </w:t>
      </w:r>
      <w:r>
        <w:rPr>
          <w:rFonts w:cs="Arial"/>
        </w:rPr>
        <w:t xml:space="preserve">documentation of </w:t>
      </w:r>
      <w:r w:rsidRPr="00AE4F2D">
        <w:rPr>
          <w:rFonts w:cs="Arial"/>
        </w:rPr>
        <w:t xml:space="preserve">parameters </w:t>
      </w:r>
      <w:r w:rsidR="00591A0B" w:rsidRPr="00591A0B">
        <w:rPr>
          <w:rFonts w:cs="Arial"/>
        </w:rPr>
        <w:t xml:space="preserve">similar </w:t>
      </w:r>
      <w:r w:rsidRPr="00AE4F2D">
        <w:rPr>
          <w:rFonts w:cs="Arial"/>
        </w:rPr>
        <w:t>to medicines.</w:t>
      </w:r>
    </w:p>
    <w:p w14:paraId="05F95AB8" w14:textId="05F55711" w:rsidR="00F003DD" w:rsidRDefault="00F003DD" w:rsidP="00F003DD">
      <w:pPr>
        <w:rPr>
          <w:rFonts w:cs="Arial"/>
          <w:color w:val="333333"/>
        </w:rPr>
      </w:pPr>
      <w:r w:rsidRPr="004166F7">
        <w:t xml:space="preserve">Oxygen is one of the most </w:t>
      </w:r>
      <w:r>
        <w:t>used</w:t>
      </w:r>
      <w:r w:rsidRPr="004166F7">
        <w:t xml:space="preserve"> emergency therapies. Like other therapies, oxygen can cause harm if used inappropriately.</w:t>
      </w:r>
      <w:r w:rsidRPr="00607987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There are risks associated with unrelieved hypoxaemia due to insufficient or delayed oxygen therapy, and hyperoxaemia </w:t>
      </w:r>
      <w:r w:rsidR="00791480">
        <w:rPr>
          <w:rFonts w:cs="Arial"/>
          <w:color w:val="333333"/>
        </w:rPr>
        <w:t xml:space="preserve">and hypercapnia </w:t>
      </w:r>
      <w:r>
        <w:rPr>
          <w:rFonts w:cs="Arial"/>
          <w:color w:val="333333"/>
        </w:rPr>
        <w:t>due to excessive oxygen therapy.</w:t>
      </w:r>
      <w:r w:rsidR="00771D4C">
        <w:rPr>
          <w:rFonts w:cs="Arial"/>
          <w:color w:val="333333"/>
          <w:vertAlign w:val="superscript"/>
        </w:rPr>
        <w:t>8</w:t>
      </w:r>
    </w:p>
    <w:p w14:paraId="4A73F88B" w14:textId="254719C6" w:rsidR="00772512" w:rsidRDefault="00606995" w:rsidP="00606995">
      <w:pPr>
        <w:rPr>
          <w:rFonts w:cs="Arial"/>
        </w:rPr>
      </w:pPr>
      <w:r>
        <w:rPr>
          <w:rFonts w:cs="Arial"/>
        </w:rPr>
        <w:t>Evidence-based guidance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for oxygen use </w:t>
      </w:r>
      <w:r w:rsidRPr="00F96B84">
        <w:rPr>
          <w:rFonts w:cs="Arial"/>
        </w:rPr>
        <w:t>is available</w:t>
      </w:r>
      <w:r>
        <w:rPr>
          <w:rFonts w:cs="Arial"/>
        </w:rPr>
        <w:t>.</w:t>
      </w:r>
      <w:r w:rsidR="00B6615D">
        <w:rPr>
          <w:rFonts w:cs="Arial"/>
          <w:vertAlign w:val="superscript"/>
        </w:rPr>
        <w:t>9</w:t>
      </w:r>
      <w:r w:rsidR="00F003DD">
        <w:rPr>
          <w:rFonts w:cs="Arial"/>
          <w:vertAlign w:val="superscript"/>
        </w:rPr>
        <w:t>,10</w:t>
      </w:r>
      <w:r w:rsidR="00771D4C">
        <w:rPr>
          <w:rFonts w:cs="Arial"/>
          <w:vertAlign w:val="superscript"/>
        </w:rPr>
        <w:t>,11</w:t>
      </w:r>
      <w:r w:rsidR="00B6615D">
        <w:rPr>
          <w:rFonts w:cs="Arial"/>
        </w:rPr>
        <w:t xml:space="preserve"> H</w:t>
      </w:r>
      <w:r w:rsidR="008D37A0">
        <w:rPr>
          <w:rFonts w:cs="Arial"/>
        </w:rPr>
        <w:t xml:space="preserve">owever, </w:t>
      </w:r>
      <w:r>
        <w:rPr>
          <w:rFonts w:cs="Arial"/>
        </w:rPr>
        <w:t xml:space="preserve">coronial inquiries and state and territory incident reports relating to oxygen therapy </w:t>
      </w:r>
      <w:r w:rsidR="006C7951">
        <w:rPr>
          <w:rFonts w:cs="Arial"/>
        </w:rPr>
        <w:t>identify</w:t>
      </w:r>
      <w:r>
        <w:rPr>
          <w:rFonts w:cs="Arial"/>
        </w:rPr>
        <w:t xml:space="preserve"> </w:t>
      </w:r>
      <w:r w:rsidR="00CB2ADF">
        <w:rPr>
          <w:rFonts w:cs="Arial"/>
        </w:rPr>
        <w:t>several</w:t>
      </w:r>
      <w:r w:rsidR="00772512">
        <w:rPr>
          <w:rFonts w:cs="Arial"/>
        </w:rPr>
        <w:t xml:space="preserve"> safety issues including:</w:t>
      </w:r>
    </w:p>
    <w:p w14:paraId="16D65DA7" w14:textId="6C5C43BB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W</w:t>
      </w:r>
      <w:r w:rsidR="00606995" w:rsidRPr="00FB1D4A">
        <w:rPr>
          <w:rFonts w:cs="Arial"/>
          <w:color w:val="000000" w:themeColor="text1"/>
          <w:lang w:eastAsia="en-GB"/>
        </w:rPr>
        <w:t>rong route of administration</w:t>
      </w:r>
    </w:p>
    <w:p w14:paraId="6DCA2610" w14:textId="3F60127A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record oxygen requirements</w:t>
      </w:r>
    </w:p>
    <w:p w14:paraId="0B34A720" w14:textId="3445BA20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I</w:t>
      </w:r>
      <w:r w:rsidR="00606995" w:rsidRPr="00FB1D4A">
        <w:rPr>
          <w:rFonts w:cs="Arial"/>
          <w:color w:val="000000" w:themeColor="text1"/>
          <w:lang w:eastAsia="en-GB"/>
        </w:rPr>
        <w:t>nsufficient and poorly monitored oxygen therapy</w:t>
      </w:r>
    </w:p>
    <w:p w14:paraId="7450879D" w14:textId="5847D6B9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record and communicate observations</w:t>
      </w:r>
    </w:p>
    <w:p w14:paraId="3E44FDCC" w14:textId="03A6B827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identify and act upon falls in oxygen saturation</w:t>
      </w:r>
    </w:p>
    <w:p w14:paraId="02F51685" w14:textId="6F02EE70" w:rsidR="00606995" w:rsidRPr="00772512" w:rsidRDefault="00B229F2" w:rsidP="00FB1D4A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P</w:t>
      </w:r>
      <w:r w:rsidR="00606995" w:rsidRPr="00FB1D4A">
        <w:rPr>
          <w:rFonts w:cs="Arial"/>
          <w:color w:val="000000" w:themeColor="text1"/>
          <w:lang w:eastAsia="en-GB"/>
        </w:rPr>
        <w:t>oor documentation practices.</w:t>
      </w:r>
    </w:p>
    <w:p w14:paraId="2D0278D3" w14:textId="394DACCF" w:rsidR="00650A54" w:rsidRDefault="00650A54" w:rsidP="00650A54">
      <w:pPr>
        <w:rPr>
          <w:rFonts w:cs="Arial"/>
        </w:rPr>
      </w:pPr>
      <w:r>
        <w:t>Oxygen</w:t>
      </w:r>
      <w:r w:rsidRPr="00C07987">
        <w:t xml:space="preserve"> therapy should only be used by personnel trained in its use, and its effects</w:t>
      </w:r>
      <w:r>
        <w:t xml:space="preserve"> on blood oxygen saturation </w:t>
      </w:r>
      <w:r w:rsidRPr="00C07987">
        <w:t>should be monitored whenever possible</w:t>
      </w:r>
      <w:r w:rsidR="00D8355F">
        <w:t>. Monitoring is</w:t>
      </w:r>
      <w:r w:rsidRPr="00C07987">
        <w:t xml:space="preserve"> usually </w:t>
      </w:r>
      <w:r w:rsidR="00D8355F">
        <w:t>with</w:t>
      </w:r>
      <w:r w:rsidRPr="00C07987">
        <w:t xml:space="preserve"> pulse </w:t>
      </w:r>
      <w:r w:rsidRPr="00067EB5">
        <w:t>oximetry</w:t>
      </w:r>
      <w:r w:rsidR="00D8355F">
        <w:t>,</w:t>
      </w:r>
      <w:r>
        <w:rPr>
          <w:vertAlign w:val="superscript"/>
        </w:rPr>
        <w:t>5</w:t>
      </w:r>
      <w:r>
        <w:rPr>
          <w:rFonts w:cs="Arial"/>
          <w:color w:val="333333"/>
        </w:rPr>
        <w:t xml:space="preserve"> </w:t>
      </w:r>
      <w:r w:rsidR="00D8355F">
        <w:rPr>
          <w:rFonts w:cs="Arial"/>
          <w:color w:val="333333"/>
        </w:rPr>
        <w:t>noting there are limitations of use</w:t>
      </w:r>
      <w:r w:rsidR="000311A9">
        <w:rPr>
          <w:rFonts w:cs="Arial"/>
          <w:color w:val="333333"/>
        </w:rPr>
        <w:t>;</w:t>
      </w:r>
      <w:r w:rsidR="00D8355F">
        <w:rPr>
          <w:rFonts w:cs="Arial"/>
          <w:color w:val="333333"/>
        </w:rPr>
        <w:t xml:space="preserve"> </w:t>
      </w:r>
      <w:r w:rsidR="00D8355F" w:rsidRPr="00D8355F">
        <w:rPr>
          <w:rFonts w:cs="Arial"/>
          <w:color w:val="333333"/>
        </w:rPr>
        <w:t>multiple factors, including skin pigmentation, can impact accuracy</w:t>
      </w:r>
      <w:r w:rsidR="00D8355F">
        <w:rPr>
          <w:rFonts w:cs="Arial"/>
          <w:color w:val="333333"/>
          <w:vertAlign w:val="superscript"/>
        </w:rPr>
        <w:t>12</w:t>
      </w:r>
      <w:r w:rsidR="00D8355F">
        <w:rPr>
          <w:rFonts w:cs="Arial"/>
          <w:color w:val="333333"/>
        </w:rPr>
        <w:t xml:space="preserve">. </w:t>
      </w:r>
      <w:r>
        <w:rPr>
          <w:rFonts w:cs="Arial"/>
          <w:color w:val="333333"/>
        </w:rPr>
        <w:t>Blood gas analysis can also be used to monitor blood oxygen saturation.</w:t>
      </w:r>
      <w:r w:rsidR="002C654F">
        <w:rPr>
          <w:rFonts w:cs="Arial"/>
          <w:color w:val="333333"/>
        </w:rPr>
        <w:t xml:space="preserve"> It is recommended that </w:t>
      </w:r>
      <w:r w:rsidR="00E15977">
        <w:rPr>
          <w:rFonts w:cs="Arial"/>
          <w:color w:val="333333"/>
        </w:rPr>
        <w:t xml:space="preserve">clinician education and training programs (including at orientation) </w:t>
      </w:r>
      <w:r w:rsidR="0084106D">
        <w:rPr>
          <w:rFonts w:cs="Arial"/>
          <w:color w:val="333333"/>
        </w:rPr>
        <w:t>include</w:t>
      </w:r>
      <w:r w:rsidR="00E067C9">
        <w:rPr>
          <w:rFonts w:cs="Arial"/>
          <w:color w:val="333333"/>
        </w:rPr>
        <w:t xml:space="preserve"> the</w:t>
      </w:r>
      <w:r w:rsidR="00E15977">
        <w:rPr>
          <w:rFonts w:cs="Arial"/>
          <w:color w:val="333333"/>
        </w:rPr>
        <w:t xml:space="preserve"> appropriate prescribing, administration</w:t>
      </w:r>
      <w:r w:rsidR="00D8355F">
        <w:rPr>
          <w:rFonts w:cs="Arial"/>
          <w:color w:val="333333"/>
        </w:rPr>
        <w:t xml:space="preserve">, </w:t>
      </w:r>
      <w:r w:rsidR="00E15977">
        <w:rPr>
          <w:rFonts w:cs="Arial"/>
          <w:color w:val="333333"/>
        </w:rPr>
        <w:t>monitoring</w:t>
      </w:r>
      <w:r w:rsidR="002C654F">
        <w:rPr>
          <w:rFonts w:cs="Arial"/>
          <w:color w:val="333333"/>
        </w:rPr>
        <w:t xml:space="preserve"> </w:t>
      </w:r>
      <w:r w:rsidR="00D8355F">
        <w:rPr>
          <w:rFonts w:cs="Arial"/>
          <w:color w:val="333333"/>
        </w:rPr>
        <w:t xml:space="preserve">and documentation </w:t>
      </w:r>
      <w:r w:rsidR="002C654F">
        <w:rPr>
          <w:rFonts w:cs="Arial"/>
          <w:color w:val="333333"/>
        </w:rPr>
        <w:t>of oxygen therapy.</w:t>
      </w:r>
    </w:p>
    <w:p w14:paraId="5CBF3FDB" w14:textId="4D8B9B63" w:rsidR="00650A54" w:rsidRPr="009274DE" w:rsidRDefault="00650A54" w:rsidP="00650A54">
      <w:pPr>
        <w:rPr>
          <w:rFonts w:cs="Arial"/>
        </w:rPr>
      </w:pPr>
      <w:r>
        <w:t xml:space="preserve">The governance process </w:t>
      </w:r>
      <w:r w:rsidRPr="00DD5FA7">
        <w:rPr>
          <w:rFonts w:cs="Arial"/>
          <w:color w:val="333333"/>
        </w:rPr>
        <w:t>for safe</w:t>
      </w:r>
      <w:r>
        <w:rPr>
          <w:rFonts w:cs="Arial"/>
          <w:color w:val="333333"/>
        </w:rPr>
        <w:t xml:space="preserve"> documentation, administration </w:t>
      </w:r>
      <w:r w:rsidRPr="00DD5FA7">
        <w:rPr>
          <w:rFonts w:cs="Arial"/>
          <w:color w:val="333333"/>
        </w:rPr>
        <w:t>and monitoring of oxygen</w:t>
      </w:r>
      <w:r>
        <w:rPr>
          <w:rFonts w:cs="Arial"/>
          <w:color w:val="333333"/>
        </w:rPr>
        <w:t xml:space="preserve"> described in this statement </w:t>
      </w:r>
      <w:r>
        <w:t xml:space="preserve">aligns with the </w:t>
      </w:r>
      <w:r w:rsidRPr="00E50795">
        <w:rPr>
          <w:rStyle w:val="Blue"/>
          <w:rFonts w:eastAsiaTheme="majorEastAsia" w:cs="Arial"/>
        </w:rPr>
        <w:t xml:space="preserve">Thoracic Society of Australia and New Zealand </w:t>
      </w:r>
      <w:hyperlink r:id="rId22" w:history="1">
        <w:r w:rsidRPr="006518BE">
          <w:rPr>
            <w:rStyle w:val="Hyperlink"/>
            <w:rFonts w:cs="Arial"/>
          </w:rPr>
          <w:t>Position Statement on Acute Oxygen Use in Adults: Swimming between the flags</w:t>
        </w:r>
      </w:hyperlink>
      <w:r>
        <w:rPr>
          <w:rStyle w:val="Hyperlink"/>
          <w:rFonts w:cs="Arial"/>
        </w:rPr>
        <w:t xml:space="preserve"> </w:t>
      </w:r>
      <w:r w:rsidRPr="0016755D">
        <w:rPr>
          <w:rStyle w:val="Hyperlink"/>
          <w:rFonts w:cs="Arial"/>
        </w:rPr>
        <w:t>(2022)</w:t>
      </w:r>
      <w:r w:rsidRPr="00B54762">
        <w:rPr>
          <w:rStyle w:val="Hyperlink"/>
          <w:rFonts w:cs="Arial"/>
          <w:color w:val="auto"/>
          <w:u w:val="none"/>
        </w:rPr>
        <w:t>.</w:t>
      </w:r>
      <w:r w:rsidR="00FE71F2">
        <w:rPr>
          <w:rStyle w:val="Hyperlink"/>
          <w:rFonts w:cs="Arial"/>
          <w:color w:val="auto"/>
          <w:u w:val="none"/>
          <w:vertAlign w:val="superscript"/>
        </w:rPr>
        <w:t>1</w:t>
      </w:r>
    </w:p>
    <w:p w14:paraId="36D8607E" w14:textId="77777777" w:rsidR="00606995" w:rsidRDefault="00606995" w:rsidP="0047526D">
      <w:pPr>
        <w:pStyle w:val="Heading2"/>
        <w:spacing w:before="240" w:after="120"/>
      </w:pPr>
      <w:bookmarkStart w:id="15" w:name="_Toc176356775"/>
      <w:r>
        <w:lastRenderedPageBreak/>
        <w:t>References</w:t>
      </w:r>
      <w:bookmarkEnd w:id="15"/>
    </w:p>
    <w:p w14:paraId="23CF7606" w14:textId="076EAC53" w:rsidR="00FE71F2" w:rsidRDefault="00FE71F2" w:rsidP="00606995">
      <w:pPr>
        <w:numPr>
          <w:ilvl w:val="0"/>
          <w:numId w:val="31"/>
        </w:numPr>
        <w:spacing w:before="0"/>
        <w:rPr>
          <w:rStyle w:val="Blue"/>
          <w:rFonts w:cs="Arial"/>
        </w:rPr>
      </w:pPr>
      <w:r w:rsidRPr="005E7332">
        <w:rPr>
          <w:rStyle w:val="Blue"/>
          <w:rFonts w:eastAsiaTheme="majorEastAsia" w:cs="Arial"/>
          <w:color w:val="auto"/>
        </w:rPr>
        <w:t xml:space="preserve">Thoracic Society of Australia and New Zealand </w:t>
      </w:r>
      <w:hyperlink r:id="rId23" w:history="1">
        <w:r w:rsidRPr="00D26C2D">
          <w:rPr>
            <w:rStyle w:val="Hyperlink"/>
            <w:rFonts w:eastAsiaTheme="majorEastAsia" w:cs="Arial"/>
          </w:rPr>
          <w:t>Position Statement on Acut</w:t>
        </w:r>
        <w:r w:rsidRPr="00E37657">
          <w:rPr>
            <w:rStyle w:val="Hyperlink"/>
            <w:rFonts w:eastAsiaTheme="majorEastAsia" w:cs="Arial"/>
          </w:rPr>
          <w:t>e Oxyg</w:t>
        </w:r>
        <w:r w:rsidRPr="00D26C2D">
          <w:rPr>
            <w:rStyle w:val="Hyperlink"/>
            <w:rFonts w:eastAsiaTheme="majorEastAsia" w:cs="Arial"/>
          </w:rPr>
          <w:t>en Use in Adults: Swimming between the flags</w:t>
        </w:r>
      </w:hyperlink>
      <w:r w:rsidRPr="00D26C2D">
        <w:rPr>
          <w:rStyle w:val="Hyperlink"/>
          <w:rFonts w:eastAsiaTheme="majorEastAsia" w:cs="Arial"/>
        </w:rPr>
        <w:t xml:space="preserve"> (2022)</w:t>
      </w:r>
      <w:r>
        <w:rPr>
          <w:rFonts w:cs="Arial"/>
        </w:rPr>
        <w:t>.</w:t>
      </w:r>
    </w:p>
    <w:p w14:paraId="1E9828C8" w14:textId="300DFDD4" w:rsidR="0048284B" w:rsidRPr="00B54762" w:rsidRDefault="0048284B" w:rsidP="00606995">
      <w:pPr>
        <w:numPr>
          <w:ilvl w:val="0"/>
          <w:numId w:val="31"/>
        </w:numPr>
        <w:spacing w:before="0"/>
        <w:rPr>
          <w:rFonts w:cs="Arial"/>
          <w:color w:val="002060"/>
        </w:rPr>
      </w:pPr>
      <w:r w:rsidRPr="0089435B">
        <w:rPr>
          <w:rStyle w:val="Blue"/>
          <w:rFonts w:cs="Arial"/>
        </w:rPr>
        <w:t>A</w:t>
      </w:r>
      <w:r>
        <w:rPr>
          <w:rStyle w:val="Blue"/>
          <w:rFonts w:cs="Arial"/>
        </w:rPr>
        <w:t>ustralian Commission on Safety and Quality in Health Care.</w:t>
      </w:r>
      <w:r>
        <w:rPr>
          <w:rFonts w:cs="Arial"/>
        </w:rPr>
        <w:t xml:space="preserve"> </w:t>
      </w:r>
      <w:hyperlink r:id="rId24" w:history="1">
        <w:r w:rsidRPr="00471080">
          <w:rPr>
            <w:rStyle w:val="Hyperlink"/>
            <w:rFonts w:cs="Arial"/>
          </w:rPr>
          <w:t>National Consensus Statement: Essential elements for recognising and responding to acute physiological deterioration</w:t>
        </w:r>
      </w:hyperlink>
      <w:r>
        <w:rPr>
          <w:rFonts w:cs="Arial"/>
        </w:rPr>
        <w:t>. Sydney</w:t>
      </w:r>
      <w:r w:rsidR="006C6E3E">
        <w:rPr>
          <w:rFonts w:cs="Arial"/>
        </w:rPr>
        <w:t>: ACSQHC</w:t>
      </w:r>
      <w:r>
        <w:rPr>
          <w:rFonts w:cs="Arial"/>
        </w:rPr>
        <w:t>; 2019.</w:t>
      </w:r>
    </w:p>
    <w:p w14:paraId="778E8380" w14:textId="204887EB" w:rsidR="0048284B" w:rsidRPr="00B54762" w:rsidRDefault="0048284B" w:rsidP="00606995">
      <w:pPr>
        <w:numPr>
          <w:ilvl w:val="0"/>
          <w:numId w:val="31"/>
        </w:numPr>
        <w:spacing w:before="0"/>
        <w:rPr>
          <w:rStyle w:val="Blue"/>
          <w:rFonts w:cs="Arial"/>
          <w:color w:val="auto"/>
        </w:rPr>
      </w:pPr>
      <w:r w:rsidRPr="00B54762">
        <w:rPr>
          <w:rStyle w:val="Blue"/>
          <w:rFonts w:cs="Arial"/>
          <w:color w:val="auto"/>
        </w:rPr>
        <w:t xml:space="preserve">Australian Commission on Safety and Quality in Health Care. </w:t>
      </w:r>
      <w:hyperlink r:id="rId25" w:history="1">
        <w:r w:rsidRPr="006C6E3E">
          <w:rPr>
            <w:rStyle w:val="Hyperlink"/>
            <w:rFonts w:cs="Arial"/>
          </w:rPr>
          <w:t>Chronic Obstructive Pulmonary Disease (COPD) Clinical Care Standard</w:t>
        </w:r>
      </w:hyperlink>
      <w:r w:rsidRPr="009E6A30">
        <w:rPr>
          <w:rFonts w:cs="Arial"/>
        </w:rPr>
        <w:t>. Sydney</w:t>
      </w:r>
      <w:r w:rsidR="006C6E3E">
        <w:rPr>
          <w:rFonts w:cs="Arial"/>
        </w:rPr>
        <w:t>: ACSQHC</w:t>
      </w:r>
      <w:r w:rsidRPr="009E6A30">
        <w:rPr>
          <w:rFonts w:cs="Arial"/>
        </w:rPr>
        <w:t>; 2024.</w:t>
      </w:r>
    </w:p>
    <w:p w14:paraId="25FA85A9" w14:textId="67F3303D" w:rsidR="00606995" w:rsidRPr="00993B7C" w:rsidRDefault="00606995" w:rsidP="00606995">
      <w:pPr>
        <w:numPr>
          <w:ilvl w:val="0"/>
          <w:numId w:val="31"/>
        </w:numPr>
        <w:spacing w:before="0"/>
        <w:rPr>
          <w:rStyle w:val="Blue"/>
          <w:rFonts w:cs="Arial"/>
        </w:rPr>
      </w:pPr>
      <w:r w:rsidRPr="00B54762">
        <w:rPr>
          <w:rStyle w:val="Blue"/>
          <w:rFonts w:eastAsiaTheme="majorEastAsia" w:cs="Arial"/>
          <w:color w:val="auto"/>
        </w:rPr>
        <w:t xml:space="preserve">Barnett A, Beasley R, Buchan C, Chien J, Farah CS, et al. Thoracic Society of Australia and New Zealand </w:t>
      </w:r>
      <w:r w:rsidRPr="00E50795">
        <w:rPr>
          <w:rFonts w:cs="Arial"/>
        </w:rPr>
        <w:t>Position Statement on Acute Oxygen Use in Adults: ‘Swimming between the flags’. Respirology</w:t>
      </w:r>
      <w:r>
        <w:rPr>
          <w:rFonts w:cs="Arial"/>
        </w:rPr>
        <w:t>.</w:t>
      </w:r>
      <w:r w:rsidRPr="00E50795">
        <w:rPr>
          <w:rFonts w:cs="Arial"/>
        </w:rPr>
        <w:t xml:space="preserve"> 2022;27:262-276. </w:t>
      </w:r>
      <w:r w:rsidRPr="004836A0">
        <w:rPr>
          <w:rStyle w:val="Blue"/>
          <w:rFonts w:eastAsiaTheme="majorEastAsia" w:cs="Arial"/>
        </w:rPr>
        <w:t xml:space="preserve">Available from: </w:t>
      </w:r>
      <w:hyperlink r:id="rId26" w:history="1">
        <w:r w:rsidRPr="00151FBE">
          <w:rPr>
            <w:rStyle w:val="Hyperlink"/>
            <w:rFonts w:eastAsiaTheme="majorEastAsia" w:cs="Arial"/>
          </w:rPr>
          <w:t>www.thoracic.org.au/clinicalpublications/new-releases</w:t>
        </w:r>
      </w:hyperlink>
      <w:r w:rsidRPr="004836A0">
        <w:rPr>
          <w:rStyle w:val="Blue"/>
          <w:rFonts w:eastAsiaTheme="majorEastAsia" w:cs="Arial"/>
        </w:rPr>
        <w:t xml:space="preserve"> </w:t>
      </w:r>
    </w:p>
    <w:p w14:paraId="0C0A9016" w14:textId="34BC49B1" w:rsidR="00DF06D4" w:rsidRPr="00DF06D4" w:rsidRDefault="00D95580" w:rsidP="00DF06D4">
      <w:pPr>
        <w:numPr>
          <w:ilvl w:val="0"/>
          <w:numId w:val="31"/>
        </w:numPr>
        <w:spacing w:before="0"/>
        <w:rPr>
          <w:rFonts w:cs="Arial"/>
        </w:rPr>
      </w:pPr>
      <w:r>
        <w:rPr>
          <w:rFonts w:cs="Arial"/>
        </w:rPr>
        <w:t xml:space="preserve">Pretto, JJ, </w:t>
      </w:r>
      <w:r w:rsidRPr="00D95580">
        <w:rPr>
          <w:rFonts w:cs="Arial"/>
        </w:rPr>
        <w:t>R</w:t>
      </w:r>
      <w:r>
        <w:rPr>
          <w:rFonts w:cs="Arial"/>
        </w:rPr>
        <w:t xml:space="preserve">oebuck T, </w:t>
      </w:r>
      <w:r w:rsidRPr="00D95580">
        <w:rPr>
          <w:rFonts w:cs="Arial"/>
        </w:rPr>
        <w:t>B</w:t>
      </w:r>
      <w:r>
        <w:rPr>
          <w:rFonts w:cs="Arial"/>
        </w:rPr>
        <w:t xml:space="preserve">eckert L, Hamilton G. Clinical Practice Guidelines: </w:t>
      </w:r>
      <w:r w:rsidR="004E0A66" w:rsidRPr="00B54762">
        <w:rPr>
          <w:rFonts w:cs="Arial"/>
        </w:rPr>
        <w:t>Clinical use of pulse oximetry: Official guidelines from the Thoracic Society of Australia and New Zealand</w:t>
      </w:r>
      <w:r>
        <w:rPr>
          <w:rFonts w:cs="Arial"/>
        </w:rPr>
        <w:t xml:space="preserve">. </w:t>
      </w:r>
      <w:r w:rsidRPr="00D95580">
        <w:rPr>
          <w:rFonts w:cs="Arial"/>
        </w:rPr>
        <w:t>Respirology</w:t>
      </w:r>
      <w:r>
        <w:rPr>
          <w:rFonts w:cs="Arial"/>
        </w:rPr>
        <w:t>.</w:t>
      </w:r>
      <w:r w:rsidRPr="00D95580">
        <w:rPr>
          <w:rFonts w:cs="Arial"/>
        </w:rPr>
        <w:t xml:space="preserve"> 2014</w:t>
      </w:r>
      <w:r>
        <w:rPr>
          <w:rFonts w:cs="Arial"/>
        </w:rPr>
        <w:t>;</w:t>
      </w:r>
      <w:r w:rsidRPr="00D95580">
        <w:rPr>
          <w:rFonts w:cs="Arial"/>
        </w:rPr>
        <w:t>19</w:t>
      </w:r>
      <w:r>
        <w:rPr>
          <w:rFonts w:cs="Arial"/>
        </w:rPr>
        <w:t>:</w:t>
      </w:r>
      <w:r w:rsidRPr="00D95580">
        <w:rPr>
          <w:rFonts w:cs="Arial"/>
        </w:rPr>
        <w:t>38–46</w:t>
      </w:r>
      <w:r>
        <w:rPr>
          <w:rFonts w:cs="Arial"/>
        </w:rPr>
        <w:t>.</w:t>
      </w:r>
      <w:r w:rsidR="004E0A66">
        <w:rPr>
          <w:rFonts w:cs="Arial"/>
        </w:rPr>
        <w:t xml:space="preserve"> Available from: </w:t>
      </w:r>
      <w:hyperlink r:id="rId27" w:history="1">
        <w:r w:rsidR="004E0A66" w:rsidRPr="00B641A3">
          <w:rPr>
            <w:rStyle w:val="Hyperlink"/>
            <w:rFonts w:cs="Arial"/>
          </w:rPr>
          <w:t>thoracic.org.au/clinical-use-of-pulse-oximetry-official-guidelines-from-the-thoracic-society-of-australia-and-new-zealand/</w:t>
        </w:r>
      </w:hyperlink>
      <w:r w:rsidR="004E0A66">
        <w:rPr>
          <w:rFonts w:cs="Arial"/>
        </w:rPr>
        <w:t xml:space="preserve"> </w:t>
      </w:r>
    </w:p>
    <w:p w14:paraId="79CB08F3" w14:textId="77777777" w:rsidR="00BC328F" w:rsidRPr="00067EB5" w:rsidRDefault="00BC328F" w:rsidP="00BC328F">
      <w:pPr>
        <w:numPr>
          <w:ilvl w:val="0"/>
          <w:numId w:val="31"/>
        </w:numPr>
        <w:spacing w:before="0"/>
        <w:rPr>
          <w:rFonts w:cs="Arial"/>
        </w:rPr>
      </w:pPr>
      <w:r w:rsidRPr="00067EB5">
        <w:rPr>
          <w:rFonts w:cs="Arial"/>
        </w:rPr>
        <w:t xml:space="preserve">Australian and New Zealand Resuscitation Councils: </w:t>
      </w:r>
      <w:hyperlink r:id="rId28" w:history="1">
        <w:r w:rsidRPr="00067EB5">
          <w:rPr>
            <w:rStyle w:val="Hyperlink"/>
            <w:rFonts w:cs="Arial"/>
          </w:rPr>
          <w:t xml:space="preserve">ANZCOR Guideline 11.6.1 – Targeted Oxygen Therapy in Adult Advanced Life Support </w:t>
        </w:r>
      </w:hyperlink>
    </w:p>
    <w:p w14:paraId="6D517969" w14:textId="5D02D33A" w:rsidR="00591F16" w:rsidRDefault="009E6A30" w:rsidP="0048284B">
      <w:pPr>
        <w:numPr>
          <w:ilvl w:val="0"/>
          <w:numId w:val="31"/>
        </w:numPr>
        <w:spacing w:before="0"/>
        <w:ind w:left="714" w:hanging="357"/>
        <w:rPr>
          <w:rStyle w:val="Blue"/>
          <w:rFonts w:cs="Arial"/>
        </w:rPr>
      </w:pPr>
      <w:r w:rsidRPr="0052250B">
        <w:rPr>
          <w:rStyle w:val="Blue"/>
          <w:rFonts w:cs="Arial"/>
          <w:color w:val="auto"/>
        </w:rPr>
        <w:t>Australian Commission on Safety and Quality in Health Care.</w:t>
      </w:r>
      <w:r>
        <w:rPr>
          <w:rStyle w:val="Blue"/>
          <w:rFonts w:cs="Arial"/>
          <w:color w:val="auto"/>
        </w:rPr>
        <w:t xml:space="preserve"> </w:t>
      </w:r>
      <w:r w:rsidR="00591F16">
        <w:t xml:space="preserve">National Safety and Quality Health Service (NSQHS) Standard: </w:t>
      </w:r>
      <w:hyperlink r:id="rId29" w:history="1">
        <w:r w:rsidR="00591F16" w:rsidRPr="004726D2">
          <w:rPr>
            <w:rStyle w:val="Hyperlink"/>
          </w:rPr>
          <w:t>Recognising and responding to acute deterioration</w:t>
        </w:r>
      </w:hyperlink>
    </w:p>
    <w:p w14:paraId="011372BE" w14:textId="2C663637" w:rsidR="00221855" w:rsidRPr="00E8028E" w:rsidRDefault="00FE1563" w:rsidP="00221855">
      <w:pPr>
        <w:numPr>
          <w:ilvl w:val="0"/>
          <w:numId w:val="31"/>
        </w:numPr>
        <w:spacing w:before="0"/>
        <w:ind w:left="714" w:hanging="357"/>
        <w:rPr>
          <w:rStyle w:val="Blue"/>
          <w:rFonts w:cs="Arial"/>
        </w:rPr>
      </w:pPr>
      <w:r w:rsidRPr="00B54762">
        <w:rPr>
          <w:rStyle w:val="Blue"/>
          <w:rFonts w:cs="Arial"/>
        </w:rPr>
        <w:t>Australian Government. Department of Health and Aged Care.</w:t>
      </w:r>
      <w:r w:rsidR="00E8028E" w:rsidRPr="00B54762">
        <w:rPr>
          <w:rStyle w:val="Blue"/>
          <w:rFonts w:cs="Arial"/>
        </w:rPr>
        <w:t xml:space="preserve"> The</w:t>
      </w:r>
      <w:r w:rsidRPr="00B54762">
        <w:rPr>
          <w:rStyle w:val="Blue"/>
          <w:rFonts w:cs="Arial"/>
        </w:rPr>
        <w:t xml:space="preserve"> </w:t>
      </w:r>
      <w:r w:rsidR="00591F16" w:rsidRPr="00E8028E">
        <w:rPr>
          <w:rStyle w:val="Blue"/>
          <w:rFonts w:cs="Arial"/>
        </w:rPr>
        <w:t>Poisons standard</w:t>
      </w:r>
      <w:r w:rsidR="00E8028E" w:rsidRPr="00B54762">
        <w:rPr>
          <w:rStyle w:val="Blue"/>
          <w:rFonts w:cs="Arial"/>
        </w:rPr>
        <w:t xml:space="preserve"> (the SUSMP) Available from : </w:t>
      </w:r>
      <w:hyperlink r:id="rId30" w:history="1">
        <w:r w:rsidR="007C0F9B" w:rsidRPr="007C0F9B">
          <w:rPr>
            <w:rStyle w:val="Hyperlink"/>
            <w:rFonts w:cs="Arial"/>
          </w:rPr>
          <w:t>www.tga.gov.au/how-we-regulate/ingredients-and-scheduling-medicines-and-chemicals/poisons-standard-and-scheduling-medicines-and-chemicals/poisons-standard-susmp</w:t>
        </w:r>
      </w:hyperlink>
      <w:r w:rsidR="00E8028E" w:rsidRPr="00E8028E">
        <w:rPr>
          <w:rStyle w:val="Blue"/>
          <w:rFonts w:cs="Arial"/>
        </w:rPr>
        <w:t xml:space="preserve"> </w:t>
      </w:r>
    </w:p>
    <w:p w14:paraId="393D514A" w14:textId="77777777" w:rsidR="00771D4C" w:rsidRPr="00771D4C" w:rsidRDefault="00771D4C" w:rsidP="00771D4C">
      <w:pPr>
        <w:pStyle w:val="ListParagraph"/>
        <w:numPr>
          <w:ilvl w:val="0"/>
          <w:numId w:val="31"/>
        </w:numPr>
        <w:spacing w:before="0"/>
        <w:rPr>
          <w:rStyle w:val="Hyperlink"/>
          <w:rFonts w:cs="Arial"/>
          <w:color w:val="auto"/>
          <w:u w:val="none"/>
        </w:rPr>
      </w:pPr>
      <w:r w:rsidRPr="00DD736A">
        <w:rPr>
          <w:rFonts w:cs="Arial"/>
        </w:rPr>
        <w:t xml:space="preserve">Pilcher J, Beasley R. Acute oxygen therapy. Aust Prescr. 2015;38:98–100. Available from: </w:t>
      </w:r>
      <w:hyperlink r:id="rId31" w:history="1">
        <w:r w:rsidRPr="00DD736A">
          <w:rPr>
            <w:rStyle w:val="Hyperlink"/>
            <w:rFonts w:cs="Arial"/>
          </w:rPr>
          <w:t>www.nps.org.au/australian-prescriber/articles/acute-use-of-oxygen-therapy</w:t>
        </w:r>
      </w:hyperlink>
    </w:p>
    <w:p w14:paraId="581C7D00" w14:textId="739A3261" w:rsidR="00221855" w:rsidRPr="00E8028E" w:rsidRDefault="00221855" w:rsidP="00771D4C">
      <w:pPr>
        <w:numPr>
          <w:ilvl w:val="0"/>
          <w:numId w:val="31"/>
        </w:numPr>
        <w:spacing w:before="0"/>
        <w:rPr>
          <w:rStyle w:val="Blue"/>
          <w:rFonts w:cs="Arial"/>
        </w:rPr>
      </w:pPr>
      <w:r w:rsidRPr="00E8028E">
        <w:rPr>
          <w:rStyle w:val="Blue"/>
          <w:rFonts w:eastAsiaTheme="majorEastAsia" w:cs="Arial"/>
        </w:rPr>
        <w:t>Talat</w:t>
      </w:r>
      <w:r w:rsidRPr="00E8028E">
        <w:rPr>
          <w:rFonts w:cs="Arial"/>
          <w:color w:val="2A2A2A"/>
          <w:shd w:val="clear" w:color="auto" w:fill="FFFFFF"/>
        </w:rPr>
        <w:t xml:space="preserve"> U, Schmidtke KA, Khanal S, Turner AM, Vlaev I. Can guidelines rein in oxygen use? A retrospective cross-sectional study using routinely collected data. </w:t>
      </w:r>
      <w:r w:rsidRPr="00E8028E">
        <w:rPr>
          <w:rFonts w:cs="Arial"/>
          <w:i/>
          <w:iCs/>
          <w:color w:val="2A2A2A"/>
          <w:bdr w:val="none" w:sz="0" w:space="0" w:color="auto" w:frame="1"/>
          <w:shd w:val="clear" w:color="auto" w:fill="FFFFFF"/>
        </w:rPr>
        <w:t>International Journal for Quality in Health Care</w:t>
      </w:r>
      <w:r w:rsidRPr="00E8028E">
        <w:rPr>
          <w:rFonts w:cs="Arial"/>
          <w:color w:val="2A2A2A"/>
          <w:shd w:val="clear" w:color="auto" w:fill="FFFFFF"/>
        </w:rPr>
        <w:t>, 2023; 35 (4) </w:t>
      </w:r>
      <w:hyperlink r:id="rId32" w:history="1">
        <w:r w:rsidRPr="00E8028E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doi.org/10.1093/intqhc/mzad073</w:t>
        </w:r>
      </w:hyperlink>
    </w:p>
    <w:p w14:paraId="7051C1B5" w14:textId="3F35F7D0" w:rsidR="00723F27" w:rsidRPr="00221855" w:rsidRDefault="00221855" w:rsidP="00771D4C">
      <w:pPr>
        <w:numPr>
          <w:ilvl w:val="0"/>
          <w:numId w:val="31"/>
        </w:numPr>
        <w:spacing w:before="0"/>
        <w:rPr>
          <w:rFonts w:cs="Arial"/>
        </w:rPr>
      </w:pPr>
      <w:r w:rsidRPr="00221855">
        <w:rPr>
          <w:rFonts w:cs="Arial"/>
          <w:lang w:eastAsia="en-GB"/>
        </w:rPr>
        <w:t xml:space="preserve">National (Thoracic Society of Australia and NZ) clinical practice guidelines (CPG) for </w:t>
      </w:r>
      <w:hyperlink r:id="rId33" w:history="1">
        <w:r w:rsidRPr="00221855">
          <w:rPr>
            <w:rStyle w:val="Hyperlink"/>
            <w:rFonts w:cs="Arial"/>
          </w:rPr>
          <w:t>Clinical use of pulse oximetry</w:t>
        </w:r>
      </w:hyperlink>
      <w:r w:rsidRPr="00221855">
        <w:rPr>
          <w:rFonts w:cs="Arial"/>
        </w:rPr>
        <w:t xml:space="preserve"> (2014)</w:t>
      </w:r>
    </w:p>
    <w:p w14:paraId="5044B2DA" w14:textId="77777777" w:rsidR="00F003DD" w:rsidRPr="000311A9" w:rsidRDefault="00F003DD" w:rsidP="00771D4C">
      <w:pPr>
        <w:numPr>
          <w:ilvl w:val="0"/>
          <w:numId w:val="31"/>
        </w:numPr>
        <w:spacing w:before="0"/>
        <w:rPr>
          <w:rStyle w:val="Hyperlink"/>
          <w:rFonts w:cs="Arial"/>
          <w:color w:val="2A2A2A"/>
          <w:u w:val="none"/>
          <w:shd w:val="clear" w:color="auto" w:fill="FFFFFF"/>
        </w:rPr>
      </w:pPr>
      <w:r w:rsidRPr="00723F27">
        <w:rPr>
          <w:rFonts w:cs="Arial"/>
        </w:rPr>
        <w:t xml:space="preserve">Piraino T, Madden M, Roberts KJ, Lamberti J, Ginier E, et al. American Association for Respiratory Care (AARC) Clinical Practice Guideline: Management of Adult Patients with Oxygen in the Acute Care Setting. Respiratory Care 2022, 67 (1) 115-128; </w:t>
      </w:r>
      <w:hyperlink r:id="rId34" w:history="1">
        <w:r w:rsidRPr="00723F27">
          <w:rPr>
            <w:rStyle w:val="Hyperlink"/>
            <w:rFonts w:cs="Arial"/>
          </w:rPr>
          <w:t>DOI: 10.4187/respcare.09294</w:t>
        </w:r>
      </w:hyperlink>
    </w:p>
    <w:p w14:paraId="659FCCA1" w14:textId="16C49BBC" w:rsidR="00D8355F" w:rsidRPr="00723F27" w:rsidRDefault="00D8355F" w:rsidP="00771D4C">
      <w:pPr>
        <w:numPr>
          <w:ilvl w:val="0"/>
          <w:numId w:val="31"/>
        </w:numPr>
        <w:spacing w:before="0"/>
        <w:rPr>
          <w:rStyle w:val="Hyperlink"/>
          <w:rFonts w:cs="Arial"/>
          <w:color w:val="2A2A2A"/>
          <w:u w:val="none"/>
          <w:shd w:val="clear" w:color="auto" w:fill="FFFFFF"/>
        </w:rPr>
      </w:pPr>
      <w:r>
        <w:rPr>
          <w:rFonts w:cs="Arial"/>
        </w:rPr>
        <w:t>Therapeutic Goods Administration.</w:t>
      </w:r>
      <w:r>
        <w:rPr>
          <w:rStyle w:val="Hyperlink"/>
          <w:rFonts w:cs="Arial"/>
          <w:color w:val="2A2A2A"/>
          <w:u w:val="none"/>
          <w:shd w:val="clear" w:color="auto" w:fill="FFFFFF"/>
        </w:rPr>
        <w:t xml:space="preserve"> </w:t>
      </w:r>
      <w:hyperlink r:id="rId35" w:history="1">
        <w:r w:rsidRPr="00D8355F">
          <w:rPr>
            <w:rStyle w:val="Hyperlink"/>
            <w:rFonts w:cs="Arial"/>
            <w:shd w:val="clear" w:color="auto" w:fill="FFFFFF"/>
          </w:rPr>
          <w:t>Limitations of pulse oximeters and the effect of skin pigmentation</w:t>
        </w:r>
      </w:hyperlink>
      <w:r>
        <w:rPr>
          <w:rStyle w:val="Hyperlink"/>
          <w:rFonts w:cs="Arial"/>
          <w:color w:val="2A2A2A"/>
          <w:u w:val="none"/>
          <w:shd w:val="clear" w:color="auto" w:fill="FFFFFF"/>
        </w:rPr>
        <w:t>. Medical devices safety update (7 Jan 2022).</w:t>
      </w:r>
    </w:p>
    <w:p w14:paraId="55A83436" w14:textId="41806596" w:rsidR="00E209BF" w:rsidRDefault="001764BC" w:rsidP="00FE71F2">
      <w:pPr>
        <w:pStyle w:val="Heading2"/>
        <w:spacing w:before="240" w:after="120"/>
      </w:pPr>
      <w:r>
        <w:t>More information</w:t>
      </w:r>
    </w:p>
    <w:p w14:paraId="30E7D382" w14:textId="77777777" w:rsidR="00E209BF" w:rsidRPr="00E41CF8" w:rsidRDefault="00E209BF" w:rsidP="00E209BF">
      <w:pPr>
        <w:rPr>
          <w:rStyle w:val="Hyperlink"/>
        </w:rPr>
      </w:pPr>
      <w:r>
        <w:t xml:space="preserve">For more information, please visit: </w:t>
      </w:r>
      <w:hyperlink r:id="rId36" w:history="1">
        <w:r w:rsidRPr="00604AAF">
          <w:rPr>
            <w:rStyle w:val="Hyperlink"/>
          </w:rPr>
          <w:t>saf</w:t>
        </w:r>
        <w:r w:rsidRPr="00190C81">
          <w:rPr>
            <w:rStyle w:val="Hyperlink"/>
          </w:rPr>
          <w:t>etyandquality.gov.au</w:t>
        </w:r>
      </w:hyperlink>
    </w:p>
    <w:p w14:paraId="48A9FE8A" w14:textId="1A26A723" w:rsidR="002D35CA" w:rsidRPr="00F337D1" w:rsidRDefault="00E209BF" w:rsidP="00F96BA0">
      <w:r>
        <w:t xml:space="preserve">You can also contact the project team at: </w:t>
      </w:r>
      <w:hyperlink r:id="rId37" w:history="1">
        <w:r w:rsidR="00D81FE5" w:rsidRPr="00E0093B">
          <w:rPr>
            <w:rStyle w:val="Hyperlink"/>
          </w:rPr>
          <w:t>medsafety@safetyandquality.gov.au</w:t>
        </w:r>
      </w:hyperlink>
    </w:p>
    <w:p w14:paraId="3C96C595" w14:textId="6DB3FDE7" w:rsidR="00604AAF" w:rsidRPr="00EA0B96" w:rsidRDefault="00C76AE0" w:rsidP="0047526D">
      <w:pPr>
        <w:pStyle w:val="SandQwebaddress"/>
        <w:spacing w:before="120" w:after="0"/>
        <w:rPr>
          <w:b/>
          <w:bCs/>
          <w:color w:val="005370"/>
          <w:sz w:val="26"/>
          <w:szCs w:val="26"/>
        </w:rPr>
      </w:pPr>
      <w:hyperlink r:id="rId38" w:history="1">
        <w:r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</w:p>
    <w:p w14:paraId="0945C6A1" w14:textId="60AA90EC" w:rsidR="00465AB0" w:rsidRPr="006C7951" w:rsidRDefault="00FD1F7D" w:rsidP="006C7951">
      <w:pPr>
        <w:pStyle w:val="FootnoteText"/>
        <w:tabs>
          <w:tab w:val="right" w:pos="8931"/>
        </w:tabs>
        <w:spacing w:after="0"/>
        <w:rPr>
          <w:rFonts w:eastAsia="MS Gothic"/>
          <w:color w:val="FF00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E1B2D4" wp14:editId="71964C86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AE0" w:rsidRPr="00EA0B96">
        <w:rPr>
          <w:rStyle w:val="Roman"/>
          <w:rFonts w:eastAsia="MS Gothic"/>
        </w:rPr>
        <w:t xml:space="preserve">© Australian Commission on Safety </w:t>
      </w:r>
      <w:r w:rsidR="00C76AE0" w:rsidRPr="00EA0B96">
        <w:rPr>
          <w:rStyle w:val="Roman"/>
          <w:rFonts w:eastAsia="MS Gothic"/>
        </w:rPr>
        <w:br/>
        <w:t>and Quality in Health Care</w:t>
      </w:r>
      <w:r w:rsidR="004E7D1F">
        <w:rPr>
          <w:rStyle w:val="Roman"/>
          <w:rFonts w:eastAsia="MS Gothic"/>
        </w:rPr>
        <w:t xml:space="preserve"> 202</w:t>
      </w:r>
      <w:r w:rsidR="00E37657">
        <w:rPr>
          <w:rStyle w:val="Roman"/>
          <w:rFonts w:eastAsia="MS Gothic"/>
        </w:rPr>
        <w:t>5</w:t>
      </w:r>
      <w:r w:rsidR="00C76AE0" w:rsidRPr="00B37ABB" w:rsidDel="00174535">
        <w:rPr>
          <w:rStyle w:val="Roman"/>
          <w:rFonts w:eastAsia="MS Gothic"/>
          <w:color w:val="FF00FF"/>
        </w:rPr>
        <w:t xml:space="preserve"> </w:t>
      </w:r>
    </w:p>
    <w:sectPr w:rsidR="00465AB0" w:rsidRPr="006C7951" w:rsidSect="008E367E">
      <w:headerReference w:type="even" r:id="rId40"/>
      <w:headerReference w:type="default" r:id="rId41"/>
      <w:footerReference w:type="even" r:id="rId42"/>
      <w:footerReference w:type="default" r:id="rId43"/>
      <w:pgSz w:w="11906" w:h="16838"/>
      <w:pgMar w:top="198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6361" w14:textId="77777777" w:rsidR="00EA6537" w:rsidRDefault="00EA6537" w:rsidP="000B0274">
      <w:r>
        <w:separator/>
      </w:r>
    </w:p>
    <w:p w14:paraId="3CA14FBD" w14:textId="77777777" w:rsidR="00EA6537" w:rsidRDefault="00EA6537"/>
    <w:p w14:paraId="137CD4CA" w14:textId="77777777" w:rsidR="00EA6537" w:rsidRDefault="00EA6537"/>
    <w:p w14:paraId="36FBF5AB" w14:textId="77777777" w:rsidR="00EA6537" w:rsidRDefault="00EA6537"/>
    <w:p w14:paraId="7B0C6201" w14:textId="77777777" w:rsidR="00EA6537" w:rsidRDefault="00EA6537"/>
  </w:endnote>
  <w:endnote w:type="continuationSeparator" w:id="0">
    <w:p w14:paraId="435AF882" w14:textId="77777777" w:rsidR="00EA6537" w:rsidRDefault="00EA6537" w:rsidP="000B0274">
      <w:r>
        <w:continuationSeparator/>
      </w:r>
    </w:p>
    <w:p w14:paraId="13FC5EC2" w14:textId="77777777" w:rsidR="00EA6537" w:rsidRDefault="00EA6537"/>
    <w:p w14:paraId="53CBEF8C" w14:textId="77777777" w:rsidR="00EA6537" w:rsidRDefault="00EA6537"/>
    <w:p w14:paraId="51B1BB1B" w14:textId="77777777" w:rsidR="00EA6537" w:rsidRDefault="00EA6537"/>
    <w:p w14:paraId="2A63CE35" w14:textId="77777777" w:rsidR="00EA6537" w:rsidRDefault="00EA6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F2D4" w14:textId="77777777" w:rsidR="00A5694A" w:rsidRDefault="00A5694A" w:rsidP="00D84622">
    <w:pPr>
      <w:pStyle w:val="Footer"/>
    </w:pPr>
  </w:p>
  <w:p w14:paraId="33CF8C9A" w14:textId="77777777" w:rsidR="00070812" w:rsidRDefault="00070812"/>
  <w:p w14:paraId="3C51C4C4" w14:textId="77777777" w:rsidR="008B014E" w:rsidRDefault="008B014E"/>
  <w:p w14:paraId="27F65E5C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36F1" w14:textId="2FC2E0B3" w:rsidR="008B014E" w:rsidRDefault="007103BE" w:rsidP="007E175B">
    <w:pPr>
      <w:pStyle w:val="Footer"/>
    </w:pPr>
    <w:r w:rsidRPr="00D84622">
      <w:t>Fact Sheet</w:t>
    </w:r>
    <w:r w:rsidR="000A2249">
      <w:t>: Documenting oxygen therapy</w:t>
    </w:r>
    <w:r w:rsidR="00520483">
      <w:t xml:space="preserve"> and response</w:t>
    </w:r>
    <w:r w:rsidR="000A2249">
      <w:t xml:space="preserve"> for safety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5E6BD" w14:textId="77777777" w:rsidR="00EA6537" w:rsidRDefault="00EA6537" w:rsidP="000B0274">
      <w:r>
        <w:separator/>
      </w:r>
    </w:p>
    <w:p w14:paraId="25B1B69B" w14:textId="77777777" w:rsidR="00EA6537" w:rsidRDefault="00EA6537"/>
    <w:p w14:paraId="2DB718E6" w14:textId="77777777" w:rsidR="00EA6537" w:rsidRDefault="00EA6537"/>
    <w:p w14:paraId="6442F90F" w14:textId="77777777" w:rsidR="00EA6537" w:rsidRDefault="00EA6537"/>
    <w:p w14:paraId="7859958E" w14:textId="77777777" w:rsidR="00EA6537" w:rsidRDefault="00EA6537"/>
  </w:footnote>
  <w:footnote w:type="continuationSeparator" w:id="0">
    <w:p w14:paraId="56160672" w14:textId="77777777" w:rsidR="00EA6537" w:rsidRDefault="00EA6537" w:rsidP="000B0274">
      <w:r>
        <w:continuationSeparator/>
      </w:r>
    </w:p>
    <w:p w14:paraId="26021696" w14:textId="77777777" w:rsidR="00EA6537" w:rsidRDefault="00EA6537"/>
    <w:p w14:paraId="392943CC" w14:textId="77777777" w:rsidR="00EA6537" w:rsidRDefault="00EA6537"/>
    <w:p w14:paraId="7F1AB1A3" w14:textId="77777777" w:rsidR="00EA6537" w:rsidRDefault="00EA6537"/>
    <w:p w14:paraId="3E1DB3D3" w14:textId="77777777" w:rsidR="00EA6537" w:rsidRDefault="00EA6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6F0D" w14:textId="77777777" w:rsidR="00A5694A" w:rsidRDefault="00A5694A"/>
  <w:p w14:paraId="6B8A4001" w14:textId="77777777" w:rsidR="00070812" w:rsidRDefault="00070812"/>
  <w:p w14:paraId="31C650FD" w14:textId="77777777" w:rsidR="008B014E" w:rsidRDefault="008B014E"/>
  <w:p w14:paraId="201DBFAC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B3ED" w14:textId="1119B2E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4EC1C287" wp14:editId="7A508B8B">
          <wp:extent cx="4304665" cy="544830"/>
          <wp:effectExtent l="0" t="0" r="0" b="0"/>
          <wp:docPr id="1568885398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578C6802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26CBA"/>
    <w:multiLevelType w:val="hybridMultilevel"/>
    <w:tmpl w:val="C44C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B96010F"/>
    <w:multiLevelType w:val="hybridMultilevel"/>
    <w:tmpl w:val="43D21A10"/>
    <w:lvl w:ilvl="0" w:tplc="237250C0">
      <w:start w:val="1"/>
      <w:numFmt w:val="bullet"/>
      <w:pStyle w:val="PulloutTextBullets-NoInden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D7A19A6"/>
    <w:multiLevelType w:val="hybridMultilevel"/>
    <w:tmpl w:val="EB3AB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D14C3"/>
    <w:multiLevelType w:val="hybridMultilevel"/>
    <w:tmpl w:val="611A7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0530F"/>
    <w:multiLevelType w:val="hybridMultilevel"/>
    <w:tmpl w:val="75A6D01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86C4C35"/>
    <w:multiLevelType w:val="hybridMultilevel"/>
    <w:tmpl w:val="855EDEDE"/>
    <w:lvl w:ilvl="0" w:tplc="A106D1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F3D53"/>
    <w:multiLevelType w:val="hybridMultilevel"/>
    <w:tmpl w:val="906E3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3AE01D6"/>
    <w:multiLevelType w:val="hybridMultilevel"/>
    <w:tmpl w:val="5F4437C2"/>
    <w:lvl w:ilvl="0" w:tplc="22D6D7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F5AE9"/>
    <w:multiLevelType w:val="hybridMultilevel"/>
    <w:tmpl w:val="1AB0278E"/>
    <w:lvl w:ilvl="0" w:tplc="6BB0DD6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FC112C"/>
    <w:multiLevelType w:val="hybridMultilevel"/>
    <w:tmpl w:val="BF26BDD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92A24"/>
    <w:multiLevelType w:val="hybridMultilevel"/>
    <w:tmpl w:val="C44C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3"/>
  </w:num>
  <w:num w:numId="3" w16cid:durableId="2010399634">
    <w:abstractNumId w:val="22"/>
  </w:num>
  <w:num w:numId="4" w16cid:durableId="1896118276">
    <w:abstractNumId w:val="30"/>
  </w:num>
  <w:num w:numId="5" w16cid:durableId="300960936">
    <w:abstractNumId w:val="29"/>
  </w:num>
  <w:num w:numId="6" w16cid:durableId="460001979">
    <w:abstractNumId w:val="14"/>
  </w:num>
  <w:num w:numId="7" w16cid:durableId="1272736034">
    <w:abstractNumId w:val="15"/>
  </w:num>
  <w:num w:numId="8" w16cid:durableId="281155201">
    <w:abstractNumId w:val="11"/>
  </w:num>
  <w:num w:numId="9" w16cid:durableId="1959675322">
    <w:abstractNumId w:val="38"/>
  </w:num>
  <w:num w:numId="10" w16cid:durableId="1185750376">
    <w:abstractNumId w:val="19"/>
  </w:num>
  <w:num w:numId="11" w16cid:durableId="1123500894">
    <w:abstractNumId w:val="17"/>
  </w:num>
  <w:num w:numId="12" w16cid:durableId="825979626">
    <w:abstractNumId w:val="35"/>
  </w:num>
  <w:num w:numId="13" w16cid:durableId="977683346">
    <w:abstractNumId w:val="18"/>
  </w:num>
  <w:num w:numId="14" w16cid:durableId="2057927306">
    <w:abstractNumId w:val="28"/>
  </w:num>
  <w:num w:numId="15" w16cid:durableId="1126317256">
    <w:abstractNumId w:val="39"/>
  </w:num>
  <w:num w:numId="16" w16cid:durableId="1986926756">
    <w:abstractNumId w:val="23"/>
  </w:num>
  <w:num w:numId="17" w16cid:durableId="230846978">
    <w:abstractNumId w:val="16"/>
  </w:num>
  <w:num w:numId="18" w16cid:durableId="222760772">
    <w:abstractNumId w:val="32"/>
  </w:num>
  <w:num w:numId="19" w16cid:durableId="1502430373">
    <w:abstractNumId w:val="34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1954708481">
    <w:abstractNumId w:val="21"/>
  </w:num>
  <w:num w:numId="31" w16cid:durableId="1433207366">
    <w:abstractNumId w:val="27"/>
  </w:num>
  <w:num w:numId="32" w16cid:durableId="1371107405">
    <w:abstractNumId w:val="26"/>
  </w:num>
  <w:num w:numId="33" w16cid:durableId="1877306429">
    <w:abstractNumId w:val="33"/>
  </w:num>
  <w:num w:numId="34" w16cid:durableId="1349791189">
    <w:abstractNumId w:val="31"/>
  </w:num>
  <w:num w:numId="35" w16cid:durableId="1967807303">
    <w:abstractNumId w:val="12"/>
  </w:num>
  <w:num w:numId="36" w16cid:durableId="1032073820">
    <w:abstractNumId w:val="25"/>
  </w:num>
  <w:num w:numId="37" w16cid:durableId="1447580567">
    <w:abstractNumId w:val="37"/>
  </w:num>
  <w:num w:numId="38" w16cid:durableId="647324290">
    <w:abstractNumId w:val="36"/>
  </w:num>
  <w:num w:numId="39" w16cid:durableId="223562461">
    <w:abstractNumId w:val="24"/>
  </w:num>
  <w:num w:numId="40" w16cid:durableId="27355829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6B"/>
    <w:rsid w:val="00002668"/>
    <w:rsid w:val="00003743"/>
    <w:rsid w:val="000077FA"/>
    <w:rsid w:val="0001053B"/>
    <w:rsid w:val="00011096"/>
    <w:rsid w:val="00012782"/>
    <w:rsid w:val="00013AF4"/>
    <w:rsid w:val="00015CC8"/>
    <w:rsid w:val="000171F5"/>
    <w:rsid w:val="00020DBD"/>
    <w:rsid w:val="00025A92"/>
    <w:rsid w:val="000311A9"/>
    <w:rsid w:val="0003162D"/>
    <w:rsid w:val="000362C0"/>
    <w:rsid w:val="00036AB7"/>
    <w:rsid w:val="00036F5E"/>
    <w:rsid w:val="000406F8"/>
    <w:rsid w:val="00043671"/>
    <w:rsid w:val="00045546"/>
    <w:rsid w:val="00050775"/>
    <w:rsid w:val="0005244D"/>
    <w:rsid w:val="00053372"/>
    <w:rsid w:val="00054B74"/>
    <w:rsid w:val="00054F46"/>
    <w:rsid w:val="0006126D"/>
    <w:rsid w:val="00066C47"/>
    <w:rsid w:val="00067456"/>
    <w:rsid w:val="00067CE9"/>
    <w:rsid w:val="00070812"/>
    <w:rsid w:val="00074B13"/>
    <w:rsid w:val="0008065C"/>
    <w:rsid w:val="000811F9"/>
    <w:rsid w:val="0008507C"/>
    <w:rsid w:val="000878C2"/>
    <w:rsid w:val="00090EFF"/>
    <w:rsid w:val="00091FC5"/>
    <w:rsid w:val="00092229"/>
    <w:rsid w:val="0009402F"/>
    <w:rsid w:val="00095DA6"/>
    <w:rsid w:val="00095DC5"/>
    <w:rsid w:val="000A2249"/>
    <w:rsid w:val="000A3F0D"/>
    <w:rsid w:val="000A4C01"/>
    <w:rsid w:val="000A5038"/>
    <w:rsid w:val="000B0219"/>
    <w:rsid w:val="000B0274"/>
    <w:rsid w:val="000B0BFE"/>
    <w:rsid w:val="000B4610"/>
    <w:rsid w:val="000B5094"/>
    <w:rsid w:val="000B79D3"/>
    <w:rsid w:val="000C1722"/>
    <w:rsid w:val="000C1DD4"/>
    <w:rsid w:val="000C5B0F"/>
    <w:rsid w:val="000C7A69"/>
    <w:rsid w:val="000D017D"/>
    <w:rsid w:val="000D22BB"/>
    <w:rsid w:val="000D3DBA"/>
    <w:rsid w:val="000D4ABE"/>
    <w:rsid w:val="000D6405"/>
    <w:rsid w:val="000E2F2E"/>
    <w:rsid w:val="000F0D77"/>
    <w:rsid w:val="000F29C7"/>
    <w:rsid w:val="000F3EE1"/>
    <w:rsid w:val="000F4D34"/>
    <w:rsid w:val="000F71A8"/>
    <w:rsid w:val="001023D5"/>
    <w:rsid w:val="0010673D"/>
    <w:rsid w:val="00106CF5"/>
    <w:rsid w:val="00111135"/>
    <w:rsid w:val="00115403"/>
    <w:rsid w:val="00115E61"/>
    <w:rsid w:val="0011672A"/>
    <w:rsid w:val="00120FCB"/>
    <w:rsid w:val="00125883"/>
    <w:rsid w:val="00127B1D"/>
    <w:rsid w:val="00131E52"/>
    <w:rsid w:val="0013212C"/>
    <w:rsid w:val="00140002"/>
    <w:rsid w:val="00143291"/>
    <w:rsid w:val="00143A76"/>
    <w:rsid w:val="00145BE3"/>
    <w:rsid w:val="00145CA7"/>
    <w:rsid w:val="00146A66"/>
    <w:rsid w:val="001507C6"/>
    <w:rsid w:val="00150DE1"/>
    <w:rsid w:val="00153149"/>
    <w:rsid w:val="00157B31"/>
    <w:rsid w:val="00160453"/>
    <w:rsid w:val="00161AF7"/>
    <w:rsid w:val="00161CF7"/>
    <w:rsid w:val="00162CD6"/>
    <w:rsid w:val="001652A9"/>
    <w:rsid w:val="00174141"/>
    <w:rsid w:val="00174535"/>
    <w:rsid w:val="001764BC"/>
    <w:rsid w:val="0017675C"/>
    <w:rsid w:val="00183675"/>
    <w:rsid w:val="00184C86"/>
    <w:rsid w:val="001852DE"/>
    <w:rsid w:val="001859B5"/>
    <w:rsid w:val="001860B2"/>
    <w:rsid w:val="00190C81"/>
    <w:rsid w:val="001918F7"/>
    <w:rsid w:val="001921ED"/>
    <w:rsid w:val="00194C51"/>
    <w:rsid w:val="00195458"/>
    <w:rsid w:val="001962DE"/>
    <w:rsid w:val="00196AC8"/>
    <w:rsid w:val="001A11A5"/>
    <w:rsid w:val="001A1EBD"/>
    <w:rsid w:val="001A4A68"/>
    <w:rsid w:val="001B15D1"/>
    <w:rsid w:val="001B3443"/>
    <w:rsid w:val="001B7C8B"/>
    <w:rsid w:val="001C5F4A"/>
    <w:rsid w:val="001D0D87"/>
    <w:rsid w:val="001D5631"/>
    <w:rsid w:val="001E1042"/>
    <w:rsid w:val="001E38B8"/>
    <w:rsid w:val="001E5B99"/>
    <w:rsid w:val="001E7599"/>
    <w:rsid w:val="001E77C4"/>
    <w:rsid w:val="001E78C6"/>
    <w:rsid w:val="001F6D10"/>
    <w:rsid w:val="001F7642"/>
    <w:rsid w:val="002006BD"/>
    <w:rsid w:val="00204C47"/>
    <w:rsid w:val="0020592F"/>
    <w:rsid w:val="00211447"/>
    <w:rsid w:val="00221855"/>
    <w:rsid w:val="002255F7"/>
    <w:rsid w:val="00226491"/>
    <w:rsid w:val="0023008B"/>
    <w:rsid w:val="0023112B"/>
    <w:rsid w:val="0023231A"/>
    <w:rsid w:val="00237ADF"/>
    <w:rsid w:val="002437FF"/>
    <w:rsid w:val="00245D81"/>
    <w:rsid w:val="0024767D"/>
    <w:rsid w:val="002503C3"/>
    <w:rsid w:val="00251167"/>
    <w:rsid w:val="002526F1"/>
    <w:rsid w:val="002550A7"/>
    <w:rsid w:val="00255596"/>
    <w:rsid w:val="00255DCB"/>
    <w:rsid w:val="00255EB0"/>
    <w:rsid w:val="002562E3"/>
    <w:rsid w:val="00257746"/>
    <w:rsid w:val="00261F43"/>
    <w:rsid w:val="002625FB"/>
    <w:rsid w:val="00263A63"/>
    <w:rsid w:val="00264387"/>
    <w:rsid w:val="00264A5A"/>
    <w:rsid w:val="002662B4"/>
    <w:rsid w:val="0026675D"/>
    <w:rsid w:val="00267635"/>
    <w:rsid w:val="002703A4"/>
    <w:rsid w:val="002741D6"/>
    <w:rsid w:val="00275451"/>
    <w:rsid w:val="00277A59"/>
    <w:rsid w:val="0028150E"/>
    <w:rsid w:val="00281FD4"/>
    <w:rsid w:val="0028304B"/>
    <w:rsid w:val="002851F2"/>
    <w:rsid w:val="0028676B"/>
    <w:rsid w:val="002917A4"/>
    <w:rsid w:val="00291EBD"/>
    <w:rsid w:val="00293CDE"/>
    <w:rsid w:val="00296130"/>
    <w:rsid w:val="002A3CEA"/>
    <w:rsid w:val="002B37B6"/>
    <w:rsid w:val="002B3885"/>
    <w:rsid w:val="002C1CA0"/>
    <w:rsid w:val="002C654F"/>
    <w:rsid w:val="002C6AF0"/>
    <w:rsid w:val="002C6E07"/>
    <w:rsid w:val="002D0EB0"/>
    <w:rsid w:val="002D247E"/>
    <w:rsid w:val="002D298D"/>
    <w:rsid w:val="002D35CA"/>
    <w:rsid w:val="002D7504"/>
    <w:rsid w:val="002D7E68"/>
    <w:rsid w:val="002E003F"/>
    <w:rsid w:val="002E195D"/>
    <w:rsid w:val="002E2DBA"/>
    <w:rsid w:val="002E3986"/>
    <w:rsid w:val="002E6A48"/>
    <w:rsid w:val="002E7082"/>
    <w:rsid w:val="002F3AE3"/>
    <w:rsid w:val="002F7E6F"/>
    <w:rsid w:val="00300174"/>
    <w:rsid w:val="003023BA"/>
    <w:rsid w:val="00304D91"/>
    <w:rsid w:val="0030786C"/>
    <w:rsid w:val="00312A62"/>
    <w:rsid w:val="00313197"/>
    <w:rsid w:val="00316683"/>
    <w:rsid w:val="00321AD9"/>
    <w:rsid w:val="00341202"/>
    <w:rsid w:val="00341A36"/>
    <w:rsid w:val="00341BEE"/>
    <w:rsid w:val="00343286"/>
    <w:rsid w:val="0034680F"/>
    <w:rsid w:val="0035066E"/>
    <w:rsid w:val="00350BE1"/>
    <w:rsid w:val="00350DBE"/>
    <w:rsid w:val="003657DB"/>
    <w:rsid w:val="0036588B"/>
    <w:rsid w:val="00370326"/>
    <w:rsid w:val="0037719B"/>
    <w:rsid w:val="00380792"/>
    <w:rsid w:val="003808E4"/>
    <w:rsid w:val="0038248B"/>
    <w:rsid w:val="00386683"/>
    <w:rsid w:val="003873C6"/>
    <w:rsid w:val="00392002"/>
    <w:rsid w:val="00392A85"/>
    <w:rsid w:val="00396AFB"/>
    <w:rsid w:val="003975EA"/>
    <w:rsid w:val="003A2C98"/>
    <w:rsid w:val="003A70CE"/>
    <w:rsid w:val="003B1E52"/>
    <w:rsid w:val="003C297A"/>
    <w:rsid w:val="003C540E"/>
    <w:rsid w:val="003C5F0C"/>
    <w:rsid w:val="003C6625"/>
    <w:rsid w:val="003D0C7C"/>
    <w:rsid w:val="003D17F9"/>
    <w:rsid w:val="003D3806"/>
    <w:rsid w:val="003D437B"/>
    <w:rsid w:val="003D4829"/>
    <w:rsid w:val="003E197F"/>
    <w:rsid w:val="003E1DAA"/>
    <w:rsid w:val="003E6E73"/>
    <w:rsid w:val="003E76C8"/>
    <w:rsid w:val="003F3F0B"/>
    <w:rsid w:val="00400DD1"/>
    <w:rsid w:val="0040152C"/>
    <w:rsid w:val="00402CBA"/>
    <w:rsid w:val="0040604F"/>
    <w:rsid w:val="0040735A"/>
    <w:rsid w:val="00412E9D"/>
    <w:rsid w:val="00414952"/>
    <w:rsid w:val="00423210"/>
    <w:rsid w:val="004240B5"/>
    <w:rsid w:val="00425504"/>
    <w:rsid w:val="0042727E"/>
    <w:rsid w:val="004305D6"/>
    <w:rsid w:val="004316C7"/>
    <w:rsid w:val="004334F9"/>
    <w:rsid w:val="004377EE"/>
    <w:rsid w:val="00440CC0"/>
    <w:rsid w:val="00440D73"/>
    <w:rsid w:val="004437F3"/>
    <w:rsid w:val="004460F4"/>
    <w:rsid w:val="00447D31"/>
    <w:rsid w:val="00452849"/>
    <w:rsid w:val="00455560"/>
    <w:rsid w:val="00456385"/>
    <w:rsid w:val="00457050"/>
    <w:rsid w:val="00462074"/>
    <w:rsid w:val="00465AB0"/>
    <w:rsid w:val="00470AB8"/>
    <w:rsid w:val="00472097"/>
    <w:rsid w:val="0047526D"/>
    <w:rsid w:val="00477E9B"/>
    <w:rsid w:val="0048284B"/>
    <w:rsid w:val="00482ECA"/>
    <w:rsid w:val="00485776"/>
    <w:rsid w:val="00485794"/>
    <w:rsid w:val="004867E2"/>
    <w:rsid w:val="00486826"/>
    <w:rsid w:val="0048784D"/>
    <w:rsid w:val="00487BBD"/>
    <w:rsid w:val="00493009"/>
    <w:rsid w:val="00493AA0"/>
    <w:rsid w:val="004A0670"/>
    <w:rsid w:val="004A4851"/>
    <w:rsid w:val="004A5C81"/>
    <w:rsid w:val="004A7968"/>
    <w:rsid w:val="004B0417"/>
    <w:rsid w:val="004B20D2"/>
    <w:rsid w:val="004B2999"/>
    <w:rsid w:val="004B45E6"/>
    <w:rsid w:val="004B6515"/>
    <w:rsid w:val="004C04EB"/>
    <w:rsid w:val="004C3664"/>
    <w:rsid w:val="004C4927"/>
    <w:rsid w:val="004C5FD9"/>
    <w:rsid w:val="004C6833"/>
    <w:rsid w:val="004D5E77"/>
    <w:rsid w:val="004E067A"/>
    <w:rsid w:val="004E0A66"/>
    <w:rsid w:val="004E179B"/>
    <w:rsid w:val="004E2389"/>
    <w:rsid w:val="004E2753"/>
    <w:rsid w:val="004E50C2"/>
    <w:rsid w:val="004E58C1"/>
    <w:rsid w:val="004E7D1F"/>
    <w:rsid w:val="004F03BF"/>
    <w:rsid w:val="004F0DB8"/>
    <w:rsid w:val="004F412D"/>
    <w:rsid w:val="00500939"/>
    <w:rsid w:val="00505824"/>
    <w:rsid w:val="0051563D"/>
    <w:rsid w:val="005179C7"/>
    <w:rsid w:val="00520483"/>
    <w:rsid w:val="0052107C"/>
    <w:rsid w:val="005221B7"/>
    <w:rsid w:val="00530100"/>
    <w:rsid w:val="00530427"/>
    <w:rsid w:val="0053429F"/>
    <w:rsid w:val="00536E0C"/>
    <w:rsid w:val="00536FAA"/>
    <w:rsid w:val="005408C7"/>
    <w:rsid w:val="005422E7"/>
    <w:rsid w:val="005437FD"/>
    <w:rsid w:val="00544A4E"/>
    <w:rsid w:val="0054711C"/>
    <w:rsid w:val="00547F71"/>
    <w:rsid w:val="00552A92"/>
    <w:rsid w:val="00553E33"/>
    <w:rsid w:val="00555C4C"/>
    <w:rsid w:val="00555D6E"/>
    <w:rsid w:val="00562F72"/>
    <w:rsid w:val="0056304B"/>
    <w:rsid w:val="00565252"/>
    <w:rsid w:val="00565356"/>
    <w:rsid w:val="00566B97"/>
    <w:rsid w:val="00570C6C"/>
    <w:rsid w:val="00577EE4"/>
    <w:rsid w:val="00582911"/>
    <w:rsid w:val="00584334"/>
    <w:rsid w:val="00591A0B"/>
    <w:rsid w:val="00591A14"/>
    <w:rsid w:val="00591F16"/>
    <w:rsid w:val="0059380A"/>
    <w:rsid w:val="0059724C"/>
    <w:rsid w:val="005A1AA7"/>
    <w:rsid w:val="005A499B"/>
    <w:rsid w:val="005A4D0B"/>
    <w:rsid w:val="005A61B4"/>
    <w:rsid w:val="005A65E0"/>
    <w:rsid w:val="005A735B"/>
    <w:rsid w:val="005B04D8"/>
    <w:rsid w:val="005C1496"/>
    <w:rsid w:val="005C26F0"/>
    <w:rsid w:val="005C5EF4"/>
    <w:rsid w:val="005C6AAE"/>
    <w:rsid w:val="005D1073"/>
    <w:rsid w:val="005D1804"/>
    <w:rsid w:val="005D2770"/>
    <w:rsid w:val="005D5D06"/>
    <w:rsid w:val="005D62B5"/>
    <w:rsid w:val="005E16D2"/>
    <w:rsid w:val="005E2614"/>
    <w:rsid w:val="005E7144"/>
    <w:rsid w:val="005E7332"/>
    <w:rsid w:val="005F1E4A"/>
    <w:rsid w:val="005F3FB6"/>
    <w:rsid w:val="00600475"/>
    <w:rsid w:val="00604778"/>
    <w:rsid w:val="00604AAF"/>
    <w:rsid w:val="00606995"/>
    <w:rsid w:val="00607B0B"/>
    <w:rsid w:val="00611870"/>
    <w:rsid w:val="00613624"/>
    <w:rsid w:val="00614E29"/>
    <w:rsid w:val="0062216A"/>
    <w:rsid w:val="00622AA3"/>
    <w:rsid w:val="00623DB3"/>
    <w:rsid w:val="00625634"/>
    <w:rsid w:val="00625EC1"/>
    <w:rsid w:val="00626F7D"/>
    <w:rsid w:val="00630199"/>
    <w:rsid w:val="0063097F"/>
    <w:rsid w:val="006317C9"/>
    <w:rsid w:val="00631BA9"/>
    <w:rsid w:val="00632475"/>
    <w:rsid w:val="00632C09"/>
    <w:rsid w:val="00632C35"/>
    <w:rsid w:val="006340B0"/>
    <w:rsid w:val="00641773"/>
    <w:rsid w:val="00641CB0"/>
    <w:rsid w:val="0064239F"/>
    <w:rsid w:val="006456F1"/>
    <w:rsid w:val="0064666B"/>
    <w:rsid w:val="00650A54"/>
    <w:rsid w:val="00656A90"/>
    <w:rsid w:val="00657DD2"/>
    <w:rsid w:val="00664B6D"/>
    <w:rsid w:val="00664F67"/>
    <w:rsid w:val="006655E2"/>
    <w:rsid w:val="00667658"/>
    <w:rsid w:val="00670F54"/>
    <w:rsid w:val="0067214D"/>
    <w:rsid w:val="006728F9"/>
    <w:rsid w:val="006746DA"/>
    <w:rsid w:val="00675066"/>
    <w:rsid w:val="006765C3"/>
    <w:rsid w:val="006767BC"/>
    <w:rsid w:val="006803BA"/>
    <w:rsid w:val="006922F5"/>
    <w:rsid w:val="006947D9"/>
    <w:rsid w:val="00697828"/>
    <w:rsid w:val="006A16DD"/>
    <w:rsid w:val="006A2587"/>
    <w:rsid w:val="006B1EB9"/>
    <w:rsid w:val="006B3CFC"/>
    <w:rsid w:val="006B6427"/>
    <w:rsid w:val="006C0CD8"/>
    <w:rsid w:val="006C1810"/>
    <w:rsid w:val="006C5516"/>
    <w:rsid w:val="006C5AEE"/>
    <w:rsid w:val="006C679A"/>
    <w:rsid w:val="006C6E3E"/>
    <w:rsid w:val="006C7951"/>
    <w:rsid w:val="006D09FE"/>
    <w:rsid w:val="006D0C40"/>
    <w:rsid w:val="006D15C1"/>
    <w:rsid w:val="006D732F"/>
    <w:rsid w:val="006E4597"/>
    <w:rsid w:val="006E50F2"/>
    <w:rsid w:val="006E688D"/>
    <w:rsid w:val="006F1432"/>
    <w:rsid w:val="006F7964"/>
    <w:rsid w:val="0070287B"/>
    <w:rsid w:val="007028EC"/>
    <w:rsid w:val="007035D8"/>
    <w:rsid w:val="0070703E"/>
    <w:rsid w:val="0070776B"/>
    <w:rsid w:val="00707D22"/>
    <w:rsid w:val="007103BE"/>
    <w:rsid w:val="00711E21"/>
    <w:rsid w:val="00712832"/>
    <w:rsid w:val="00713F05"/>
    <w:rsid w:val="00715168"/>
    <w:rsid w:val="0071583E"/>
    <w:rsid w:val="0071637F"/>
    <w:rsid w:val="00716597"/>
    <w:rsid w:val="00716FED"/>
    <w:rsid w:val="007179AF"/>
    <w:rsid w:val="0072168A"/>
    <w:rsid w:val="00722691"/>
    <w:rsid w:val="007238E8"/>
    <w:rsid w:val="00723F27"/>
    <w:rsid w:val="0072413F"/>
    <w:rsid w:val="00725FB9"/>
    <w:rsid w:val="00730020"/>
    <w:rsid w:val="007333AD"/>
    <w:rsid w:val="007360BF"/>
    <w:rsid w:val="00737D4D"/>
    <w:rsid w:val="007406E6"/>
    <w:rsid w:val="00741327"/>
    <w:rsid w:val="007426D9"/>
    <w:rsid w:val="00746CCD"/>
    <w:rsid w:val="00747CE1"/>
    <w:rsid w:val="007517A6"/>
    <w:rsid w:val="007545C7"/>
    <w:rsid w:val="007572B4"/>
    <w:rsid w:val="00757FA3"/>
    <w:rsid w:val="0076005C"/>
    <w:rsid w:val="00760B8B"/>
    <w:rsid w:val="0076111D"/>
    <w:rsid w:val="007635C1"/>
    <w:rsid w:val="00764E20"/>
    <w:rsid w:val="00766B42"/>
    <w:rsid w:val="0076731D"/>
    <w:rsid w:val="00767650"/>
    <w:rsid w:val="00767A90"/>
    <w:rsid w:val="00770588"/>
    <w:rsid w:val="00770EDE"/>
    <w:rsid w:val="00771D4C"/>
    <w:rsid w:val="00772512"/>
    <w:rsid w:val="00775272"/>
    <w:rsid w:val="0077542E"/>
    <w:rsid w:val="0077624B"/>
    <w:rsid w:val="0078066A"/>
    <w:rsid w:val="0078070C"/>
    <w:rsid w:val="00784541"/>
    <w:rsid w:val="00787790"/>
    <w:rsid w:val="007907DF"/>
    <w:rsid w:val="00791480"/>
    <w:rsid w:val="00794344"/>
    <w:rsid w:val="00794DF2"/>
    <w:rsid w:val="007968CC"/>
    <w:rsid w:val="00796FB7"/>
    <w:rsid w:val="0079708B"/>
    <w:rsid w:val="007A0A76"/>
    <w:rsid w:val="007B04A9"/>
    <w:rsid w:val="007B16AC"/>
    <w:rsid w:val="007B1970"/>
    <w:rsid w:val="007B1D5C"/>
    <w:rsid w:val="007B5D05"/>
    <w:rsid w:val="007B5D1E"/>
    <w:rsid w:val="007C0F9B"/>
    <w:rsid w:val="007C2217"/>
    <w:rsid w:val="007C26F7"/>
    <w:rsid w:val="007C2E29"/>
    <w:rsid w:val="007C471C"/>
    <w:rsid w:val="007C52D3"/>
    <w:rsid w:val="007D4258"/>
    <w:rsid w:val="007D4683"/>
    <w:rsid w:val="007E000D"/>
    <w:rsid w:val="007E175B"/>
    <w:rsid w:val="007E303E"/>
    <w:rsid w:val="007E3F8A"/>
    <w:rsid w:val="007E6D24"/>
    <w:rsid w:val="007F3645"/>
    <w:rsid w:val="007F58DD"/>
    <w:rsid w:val="007F5F1A"/>
    <w:rsid w:val="007F6791"/>
    <w:rsid w:val="00802131"/>
    <w:rsid w:val="00803F89"/>
    <w:rsid w:val="00805E44"/>
    <w:rsid w:val="00811C26"/>
    <w:rsid w:val="00812029"/>
    <w:rsid w:val="00812A44"/>
    <w:rsid w:val="00815206"/>
    <w:rsid w:val="00817A33"/>
    <w:rsid w:val="00820059"/>
    <w:rsid w:val="008264EB"/>
    <w:rsid w:val="00827924"/>
    <w:rsid w:val="00830756"/>
    <w:rsid w:val="008333AC"/>
    <w:rsid w:val="00837A90"/>
    <w:rsid w:val="00837B9C"/>
    <w:rsid w:val="0084106D"/>
    <w:rsid w:val="00842146"/>
    <w:rsid w:val="0084662F"/>
    <w:rsid w:val="008513E5"/>
    <w:rsid w:val="00852531"/>
    <w:rsid w:val="00855A49"/>
    <w:rsid w:val="00856DF5"/>
    <w:rsid w:val="00857E76"/>
    <w:rsid w:val="0086059A"/>
    <w:rsid w:val="00865932"/>
    <w:rsid w:val="00872059"/>
    <w:rsid w:val="008724DB"/>
    <w:rsid w:val="00873673"/>
    <w:rsid w:val="00873791"/>
    <w:rsid w:val="008803A1"/>
    <w:rsid w:val="0088122A"/>
    <w:rsid w:val="008839CD"/>
    <w:rsid w:val="00891576"/>
    <w:rsid w:val="00892AC8"/>
    <w:rsid w:val="00897E5A"/>
    <w:rsid w:val="008A07AF"/>
    <w:rsid w:val="008A4580"/>
    <w:rsid w:val="008A4AC8"/>
    <w:rsid w:val="008A4E8B"/>
    <w:rsid w:val="008A58F9"/>
    <w:rsid w:val="008B014E"/>
    <w:rsid w:val="008D09DE"/>
    <w:rsid w:val="008D37A0"/>
    <w:rsid w:val="008D5AFD"/>
    <w:rsid w:val="008E3658"/>
    <w:rsid w:val="008E367E"/>
    <w:rsid w:val="008E59EB"/>
    <w:rsid w:val="008E5D6A"/>
    <w:rsid w:val="008F24D9"/>
    <w:rsid w:val="008F26C0"/>
    <w:rsid w:val="008F6BE7"/>
    <w:rsid w:val="00901462"/>
    <w:rsid w:val="00901D6C"/>
    <w:rsid w:val="00902A76"/>
    <w:rsid w:val="00904474"/>
    <w:rsid w:val="009076BA"/>
    <w:rsid w:val="0091137C"/>
    <w:rsid w:val="00911EAD"/>
    <w:rsid w:val="0091384C"/>
    <w:rsid w:val="009144A8"/>
    <w:rsid w:val="009213F3"/>
    <w:rsid w:val="0092204C"/>
    <w:rsid w:val="00922DEE"/>
    <w:rsid w:val="009238AA"/>
    <w:rsid w:val="009244B8"/>
    <w:rsid w:val="00925748"/>
    <w:rsid w:val="00927031"/>
    <w:rsid w:val="00932407"/>
    <w:rsid w:val="00933B21"/>
    <w:rsid w:val="00933EC2"/>
    <w:rsid w:val="00941048"/>
    <w:rsid w:val="00942066"/>
    <w:rsid w:val="009421F3"/>
    <w:rsid w:val="009424A5"/>
    <w:rsid w:val="00946112"/>
    <w:rsid w:val="00950089"/>
    <w:rsid w:val="0095539D"/>
    <w:rsid w:val="00957E40"/>
    <w:rsid w:val="00957E88"/>
    <w:rsid w:val="00961B39"/>
    <w:rsid w:val="00961FBE"/>
    <w:rsid w:val="0096293E"/>
    <w:rsid w:val="00964277"/>
    <w:rsid w:val="0096474D"/>
    <w:rsid w:val="0097582E"/>
    <w:rsid w:val="00977D26"/>
    <w:rsid w:val="00977E26"/>
    <w:rsid w:val="009805EC"/>
    <w:rsid w:val="00981F1E"/>
    <w:rsid w:val="00983238"/>
    <w:rsid w:val="00984227"/>
    <w:rsid w:val="009904EA"/>
    <w:rsid w:val="009907D7"/>
    <w:rsid w:val="00991AF5"/>
    <w:rsid w:val="0099343F"/>
    <w:rsid w:val="00995094"/>
    <w:rsid w:val="009971DC"/>
    <w:rsid w:val="009A007B"/>
    <w:rsid w:val="009A0425"/>
    <w:rsid w:val="009A263C"/>
    <w:rsid w:val="009A3B45"/>
    <w:rsid w:val="009A7A8D"/>
    <w:rsid w:val="009B053D"/>
    <w:rsid w:val="009B3E5D"/>
    <w:rsid w:val="009B58B4"/>
    <w:rsid w:val="009B64E3"/>
    <w:rsid w:val="009C1B04"/>
    <w:rsid w:val="009C5964"/>
    <w:rsid w:val="009C672E"/>
    <w:rsid w:val="009C77A3"/>
    <w:rsid w:val="009D0B90"/>
    <w:rsid w:val="009D3827"/>
    <w:rsid w:val="009D42D8"/>
    <w:rsid w:val="009D5B61"/>
    <w:rsid w:val="009D6852"/>
    <w:rsid w:val="009D6C7C"/>
    <w:rsid w:val="009E0725"/>
    <w:rsid w:val="009E0D48"/>
    <w:rsid w:val="009E0FFC"/>
    <w:rsid w:val="009E1F38"/>
    <w:rsid w:val="009E5D18"/>
    <w:rsid w:val="009E6A30"/>
    <w:rsid w:val="009E6B78"/>
    <w:rsid w:val="009E6D37"/>
    <w:rsid w:val="009F1EC9"/>
    <w:rsid w:val="009F33F8"/>
    <w:rsid w:val="009F4ACF"/>
    <w:rsid w:val="009F5557"/>
    <w:rsid w:val="009F67E8"/>
    <w:rsid w:val="00A02BFF"/>
    <w:rsid w:val="00A02E7D"/>
    <w:rsid w:val="00A0364C"/>
    <w:rsid w:val="00A0554C"/>
    <w:rsid w:val="00A057E4"/>
    <w:rsid w:val="00A1011B"/>
    <w:rsid w:val="00A1015B"/>
    <w:rsid w:val="00A139AB"/>
    <w:rsid w:val="00A15082"/>
    <w:rsid w:val="00A16AEE"/>
    <w:rsid w:val="00A171E0"/>
    <w:rsid w:val="00A33F83"/>
    <w:rsid w:val="00A354DF"/>
    <w:rsid w:val="00A369E8"/>
    <w:rsid w:val="00A4199A"/>
    <w:rsid w:val="00A4512D"/>
    <w:rsid w:val="00A541E1"/>
    <w:rsid w:val="00A54775"/>
    <w:rsid w:val="00A54A37"/>
    <w:rsid w:val="00A5502C"/>
    <w:rsid w:val="00A5694A"/>
    <w:rsid w:val="00A6528C"/>
    <w:rsid w:val="00A65795"/>
    <w:rsid w:val="00A6672E"/>
    <w:rsid w:val="00A705AF"/>
    <w:rsid w:val="00A7126D"/>
    <w:rsid w:val="00A73C2F"/>
    <w:rsid w:val="00A75B58"/>
    <w:rsid w:val="00A76BE9"/>
    <w:rsid w:val="00A77349"/>
    <w:rsid w:val="00A7796F"/>
    <w:rsid w:val="00A81D72"/>
    <w:rsid w:val="00A931E2"/>
    <w:rsid w:val="00A93A18"/>
    <w:rsid w:val="00A964DB"/>
    <w:rsid w:val="00A966C0"/>
    <w:rsid w:val="00A96DED"/>
    <w:rsid w:val="00AA0055"/>
    <w:rsid w:val="00AA0A90"/>
    <w:rsid w:val="00AA3A3E"/>
    <w:rsid w:val="00AA43B3"/>
    <w:rsid w:val="00AA5654"/>
    <w:rsid w:val="00AA603A"/>
    <w:rsid w:val="00AA6DC2"/>
    <w:rsid w:val="00AA7B58"/>
    <w:rsid w:val="00AB0A6E"/>
    <w:rsid w:val="00AB221C"/>
    <w:rsid w:val="00AB40AB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D6746"/>
    <w:rsid w:val="00AD7E28"/>
    <w:rsid w:val="00AE05BB"/>
    <w:rsid w:val="00AE0BA6"/>
    <w:rsid w:val="00AE3267"/>
    <w:rsid w:val="00AF6154"/>
    <w:rsid w:val="00AF6E6C"/>
    <w:rsid w:val="00B07615"/>
    <w:rsid w:val="00B114A2"/>
    <w:rsid w:val="00B1218D"/>
    <w:rsid w:val="00B14DB7"/>
    <w:rsid w:val="00B159A5"/>
    <w:rsid w:val="00B163F6"/>
    <w:rsid w:val="00B20701"/>
    <w:rsid w:val="00B213FD"/>
    <w:rsid w:val="00B229F2"/>
    <w:rsid w:val="00B23AF3"/>
    <w:rsid w:val="00B24DF4"/>
    <w:rsid w:val="00B2665E"/>
    <w:rsid w:val="00B27C86"/>
    <w:rsid w:val="00B30753"/>
    <w:rsid w:val="00B328AF"/>
    <w:rsid w:val="00B32C79"/>
    <w:rsid w:val="00B32DD1"/>
    <w:rsid w:val="00B37148"/>
    <w:rsid w:val="00B3720C"/>
    <w:rsid w:val="00B37974"/>
    <w:rsid w:val="00B37ABB"/>
    <w:rsid w:val="00B41409"/>
    <w:rsid w:val="00B41627"/>
    <w:rsid w:val="00B42851"/>
    <w:rsid w:val="00B446B2"/>
    <w:rsid w:val="00B456E0"/>
    <w:rsid w:val="00B459E9"/>
    <w:rsid w:val="00B46B70"/>
    <w:rsid w:val="00B46E7A"/>
    <w:rsid w:val="00B47076"/>
    <w:rsid w:val="00B5113E"/>
    <w:rsid w:val="00B54762"/>
    <w:rsid w:val="00B5603D"/>
    <w:rsid w:val="00B56B37"/>
    <w:rsid w:val="00B57759"/>
    <w:rsid w:val="00B60D44"/>
    <w:rsid w:val="00B60D86"/>
    <w:rsid w:val="00B63BA7"/>
    <w:rsid w:val="00B6615D"/>
    <w:rsid w:val="00B67F09"/>
    <w:rsid w:val="00B732F1"/>
    <w:rsid w:val="00B904EC"/>
    <w:rsid w:val="00B91269"/>
    <w:rsid w:val="00B91454"/>
    <w:rsid w:val="00B93CD5"/>
    <w:rsid w:val="00B9432A"/>
    <w:rsid w:val="00B95A67"/>
    <w:rsid w:val="00B96A84"/>
    <w:rsid w:val="00BA0015"/>
    <w:rsid w:val="00BA2A5D"/>
    <w:rsid w:val="00BA2DE8"/>
    <w:rsid w:val="00BA4AEE"/>
    <w:rsid w:val="00BA6E06"/>
    <w:rsid w:val="00BB2D0A"/>
    <w:rsid w:val="00BB55E6"/>
    <w:rsid w:val="00BC07E4"/>
    <w:rsid w:val="00BC328F"/>
    <w:rsid w:val="00BC4293"/>
    <w:rsid w:val="00BC4D09"/>
    <w:rsid w:val="00BD0941"/>
    <w:rsid w:val="00BD0B57"/>
    <w:rsid w:val="00BD209C"/>
    <w:rsid w:val="00BD5F76"/>
    <w:rsid w:val="00BD649D"/>
    <w:rsid w:val="00BE0410"/>
    <w:rsid w:val="00BE0DE7"/>
    <w:rsid w:val="00BE0E9C"/>
    <w:rsid w:val="00BE6832"/>
    <w:rsid w:val="00BE71AD"/>
    <w:rsid w:val="00BF1002"/>
    <w:rsid w:val="00BF17AA"/>
    <w:rsid w:val="00BF2561"/>
    <w:rsid w:val="00BF5905"/>
    <w:rsid w:val="00BF6152"/>
    <w:rsid w:val="00C025A9"/>
    <w:rsid w:val="00C06314"/>
    <w:rsid w:val="00C10135"/>
    <w:rsid w:val="00C123DF"/>
    <w:rsid w:val="00C12706"/>
    <w:rsid w:val="00C206EE"/>
    <w:rsid w:val="00C22B49"/>
    <w:rsid w:val="00C23604"/>
    <w:rsid w:val="00C268AC"/>
    <w:rsid w:val="00C30349"/>
    <w:rsid w:val="00C308FA"/>
    <w:rsid w:val="00C31839"/>
    <w:rsid w:val="00C31A7F"/>
    <w:rsid w:val="00C32280"/>
    <w:rsid w:val="00C33D29"/>
    <w:rsid w:val="00C35287"/>
    <w:rsid w:val="00C35DEC"/>
    <w:rsid w:val="00C35F32"/>
    <w:rsid w:val="00C43226"/>
    <w:rsid w:val="00C436EE"/>
    <w:rsid w:val="00C477AC"/>
    <w:rsid w:val="00C51BE7"/>
    <w:rsid w:val="00C53C65"/>
    <w:rsid w:val="00C565EF"/>
    <w:rsid w:val="00C57614"/>
    <w:rsid w:val="00C57EC0"/>
    <w:rsid w:val="00C60D62"/>
    <w:rsid w:val="00C618D7"/>
    <w:rsid w:val="00C61E50"/>
    <w:rsid w:val="00C624CC"/>
    <w:rsid w:val="00C624F8"/>
    <w:rsid w:val="00C625E7"/>
    <w:rsid w:val="00C6264D"/>
    <w:rsid w:val="00C63431"/>
    <w:rsid w:val="00C63C14"/>
    <w:rsid w:val="00C64BBB"/>
    <w:rsid w:val="00C64D00"/>
    <w:rsid w:val="00C66A41"/>
    <w:rsid w:val="00C71B20"/>
    <w:rsid w:val="00C74935"/>
    <w:rsid w:val="00C7543A"/>
    <w:rsid w:val="00C76AE0"/>
    <w:rsid w:val="00C77193"/>
    <w:rsid w:val="00C80163"/>
    <w:rsid w:val="00C84B06"/>
    <w:rsid w:val="00C85E91"/>
    <w:rsid w:val="00C911AD"/>
    <w:rsid w:val="00C91F09"/>
    <w:rsid w:val="00CA04C6"/>
    <w:rsid w:val="00CB0684"/>
    <w:rsid w:val="00CB2190"/>
    <w:rsid w:val="00CB2787"/>
    <w:rsid w:val="00CB2ADF"/>
    <w:rsid w:val="00CB5999"/>
    <w:rsid w:val="00CB5B1A"/>
    <w:rsid w:val="00CB733F"/>
    <w:rsid w:val="00CC27B8"/>
    <w:rsid w:val="00CC36EF"/>
    <w:rsid w:val="00CC4B4F"/>
    <w:rsid w:val="00CC4B8E"/>
    <w:rsid w:val="00CC697B"/>
    <w:rsid w:val="00CC7207"/>
    <w:rsid w:val="00CE01B5"/>
    <w:rsid w:val="00CE16CC"/>
    <w:rsid w:val="00CE1712"/>
    <w:rsid w:val="00CE3387"/>
    <w:rsid w:val="00CE3A39"/>
    <w:rsid w:val="00CE7355"/>
    <w:rsid w:val="00CF09DD"/>
    <w:rsid w:val="00CF35D7"/>
    <w:rsid w:val="00CF3753"/>
    <w:rsid w:val="00CF4118"/>
    <w:rsid w:val="00CF6318"/>
    <w:rsid w:val="00CF702F"/>
    <w:rsid w:val="00D00B7D"/>
    <w:rsid w:val="00D05CB2"/>
    <w:rsid w:val="00D07C0D"/>
    <w:rsid w:val="00D10D90"/>
    <w:rsid w:val="00D11383"/>
    <w:rsid w:val="00D116AD"/>
    <w:rsid w:val="00D13C42"/>
    <w:rsid w:val="00D16B25"/>
    <w:rsid w:val="00D20AD1"/>
    <w:rsid w:val="00D23494"/>
    <w:rsid w:val="00D24922"/>
    <w:rsid w:val="00D25AC3"/>
    <w:rsid w:val="00D301EA"/>
    <w:rsid w:val="00D31DC2"/>
    <w:rsid w:val="00D401B3"/>
    <w:rsid w:val="00D41AE5"/>
    <w:rsid w:val="00D429E0"/>
    <w:rsid w:val="00D42B9A"/>
    <w:rsid w:val="00D446AF"/>
    <w:rsid w:val="00D469E4"/>
    <w:rsid w:val="00D4728F"/>
    <w:rsid w:val="00D50F47"/>
    <w:rsid w:val="00D52285"/>
    <w:rsid w:val="00D5318D"/>
    <w:rsid w:val="00D5354B"/>
    <w:rsid w:val="00D563D0"/>
    <w:rsid w:val="00D64D6C"/>
    <w:rsid w:val="00D65FBA"/>
    <w:rsid w:val="00D738DB"/>
    <w:rsid w:val="00D73FE2"/>
    <w:rsid w:val="00D7465B"/>
    <w:rsid w:val="00D76E56"/>
    <w:rsid w:val="00D77741"/>
    <w:rsid w:val="00D81026"/>
    <w:rsid w:val="00D812BD"/>
    <w:rsid w:val="00D816E1"/>
    <w:rsid w:val="00D81FE5"/>
    <w:rsid w:val="00D8355F"/>
    <w:rsid w:val="00D84622"/>
    <w:rsid w:val="00D87CBD"/>
    <w:rsid w:val="00D9306A"/>
    <w:rsid w:val="00D940D5"/>
    <w:rsid w:val="00D944BF"/>
    <w:rsid w:val="00D95580"/>
    <w:rsid w:val="00D96327"/>
    <w:rsid w:val="00D96578"/>
    <w:rsid w:val="00DA3C7F"/>
    <w:rsid w:val="00DB07A4"/>
    <w:rsid w:val="00DB5454"/>
    <w:rsid w:val="00DB5911"/>
    <w:rsid w:val="00DB59C2"/>
    <w:rsid w:val="00DB739A"/>
    <w:rsid w:val="00DC0477"/>
    <w:rsid w:val="00DC0D24"/>
    <w:rsid w:val="00DC58CD"/>
    <w:rsid w:val="00DD047B"/>
    <w:rsid w:val="00DD5D99"/>
    <w:rsid w:val="00DD6F15"/>
    <w:rsid w:val="00DD736A"/>
    <w:rsid w:val="00DE3C4E"/>
    <w:rsid w:val="00DE5D9E"/>
    <w:rsid w:val="00DE65F4"/>
    <w:rsid w:val="00DE75D8"/>
    <w:rsid w:val="00DF06D4"/>
    <w:rsid w:val="00DF0A09"/>
    <w:rsid w:val="00DF0B12"/>
    <w:rsid w:val="00DF3751"/>
    <w:rsid w:val="00DF515C"/>
    <w:rsid w:val="00DF5695"/>
    <w:rsid w:val="00DF61C9"/>
    <w:rsid w:val="00E015E6"/>
    <w:rsid w:val="00E017F8"/>
    <w:rsid w:val="00E05B44"/>
    <w:rsid w:val="00E066B4"/>
    <w:rsid w:val="00E067C9"/>
    <w:rsid w:val="00E13C5C"/>
    <w:rsid w:val="00E15977"/>
    <w:rsid w:val="00E209BF"/>
    <w:rsid w:val="00E236C6"/>
    <w:rsid w:val="00E2703D"/>
    <w:rsid w:val="00E30EA7"/>
    <w:rsid w:val="00E3115C"/>
    <w:rsid w:val="00E34876"/>
    <w:rsid w:val="00E34F33"/>
    <w:rsid w:val="00E35CBB"/>
    <w:rsid w:val="00E35DC5"/>
    <w:rsid w:val="00E37657"/>
    <w:rsid w:val="00E40C30"/>
    <w:rsid w:val="00E40F95"/>
    <w:rsid w:val="00E41CF8"/>
    <w:rsid w:val="00E4269D"/>
    <w:rsid w:val="00E42EFD"/>
    <w:rsid w:val="00E4312B"/>
    <w:rsid w:val="00E57576"/>
    <w:rsid w:val="00E604B3"/>
    <w:rsid w:val="00E60650"/>
    <w:rsid w:val="00E60EE1"/>
    <w:rsid w:val="00E6109E"/>
    <w:rsid w:val="00E6468A"/>
    <w:rsid w:val="00E708F6"/>
    <w:rsid w:val="00E716B4"/>
    <w:rsid w:val="00E7210E"/>
    <w:rsid w:val="00E72DFF"/>
    <w:rsid w:val="00E77F6B"/>
    <w:rsid w:val="00E8028E"/>
    <w:rsid w:val="00E81403"/>
    <w:rsid w:val="00E85819"/>
    <w:rsid w:val="00E86B67"/>
    <w:rsid w:val="00E9314D"/>
    <w:rsid w:val="00E95DFC"/>
    <w:rsid w:val="00EA0B96"/>
    <w:rsid w:val="00EA33D5"/>
    <w:rsid w:val="00EA3432"/>
    <w:rsid w:val="00EA5E02"/>
    <w:rsid w:val="00EA5FD0"/>
    <w:rsid w:val="00EA63B1"/>
    <w:rsid w:val="00EA6537"/>
    <w:rsid w:val="00EA7AF6"/>
    <w:rsid w:val="00EB0020"/>
    <w:rsid w:val="00EB068A"/>
    <w:rsid w:val="00EC7D3F"/>
    <w:rsid w:val="00ED0468"/>
    <w:rsid w:val="00ED0DD3"/>
    <w:rsid w:val="00ED208F"/>
    <w:rsid w:val="00ED648B"/>
    <w:rsid w:val="00EE16DD"/>
    <w:rsid w:val="00EE2AE5"/>
    <w:rsid w:val="00EE31B0"/>
    <w:rsid w:val="00EE356F"/>
    <w:rsid w:val="00EE397E"/>
    <w:rsid w:val="00EE65B1"/>
    <w:rsid w:val="00EF1C55"/>
    <w:rsid w:val="00EF1C95"/>
    <w:rsid w:val="00EF23C0"/>
    <w:rsid w:val="00EF2774"/>
    <w:rsid w:val="00EF3163"/>
    <w:rsid w:val="00EF4059"/>
    <w:rsid w:val="00EF5586"/>
    <w:rsid w:val="00EF5DD1"/>
    <w:rsid w:val="00F003DD"/>
    <w:rsid w:val="00F00403"/>
    <w:rsid w:val="00F05832"/>
    <w:rsid w:val="00F061D0"/>
    <w:rsid w:val="00F067A6"/>
    <w:rsid w:val="00F078B7"/>
    <w:rsid w:val="00F07B77"/>
    <w:rsid w:val="00F100D6"/>
    <w:rsid w:val="00F1278D"/>
    <w:rsid w:val="00F14BFD"/>
    <w:rsid w:val="00F17566"/>
    <w:rsid w:val="00F20F84"/>
    <w:rsid w:val="00F238F2"/>
    <w:rsid w:val="00F332B3"/>
    <w:rsid w:val="00F337D1"/>
    <w:rsid w:val="00F34B4A"/>
    <w:rsid w:val="00F34D63"/>
    <w:rsid w:val="00F35F7A"/>
    <w:rsid w:val="00F412D8"/>
    <w:rsid w:val="00F41427"/>
    <w:rsid w:val="00F41C35"/>
    <w:rsid w:val="00F4438C"/>
    <w:rsid w:val="00F46ED7"/>
    <w:rsid w:val="00F549D7"/>
    <w:rsid w:val="00F556DB"/>
    <w:rsid w:val="00F560D5"/>
    <w:rsid w:val="00F56325"/>
    <w:rsid w:val="00F64638"/>
    <w:rsid w:val="00F73D95"/>
    <w:rsid w:val="00F77044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A289A"/>
    <w:rsid w:val="00FA3C5E"/>
    <w:rsid w:val="00FA4197"/>
    <w:rsid w:val="00FB1D4A"/>
    <w:rsid w:val="00FB375B"/>
    <w:rsid w:val="00FB6425"/>
    <w:rsid w:val="00FB6910"/>
    <w:rsid w:val="00FB722E"/>
    <w:rsid w:val="00FB7B31"/>
    <w:rsid w:val="00FC07DB"/>
    <w:rsid w:val="00FC56B4"/>
    <w:rsid w:val="00FC7F5D"/>
    <w:rsid w:val="00FD0858"/>
    <w:rsid w:val="00FD1BC7"/>
    <w:rsid w:val="00FD1D84"/>
    <w:rsid w:val="00FD1F7D"/>
    <w:rsid w:val="00FD4E9C"/>
    <w:rsid w:val="00FD50A4"/>
    <w:rsid w:val="00FD59F4"/>
    <w:rsid w:val="00FD7241"/>
    <w:rsid w:val="00FD744A"/>
    <w:rsid w:val="00FE1563"/>
    <w:rsid w:val="00FE3C06"/>
    <w:rsid w:val="00FE4538"/>
    <w:rsid w:val="00FE5005"/>
    <w:rsid w:val="00FE58D5"/>
    <w:rsid w:val="00FE5CA3"/>
    <w:rsid w:val="00FE71F2"/>
    <w:rsid w:val="00FF08C3"/>
    <w:rsid w:val="00FF36DC"/>
    <w:rsid w:val="00FF3CD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8125E6"/>
  <w15:docId w15:val="{0A630AF4-5BA4-48B0-8D82-CF7EC2F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13197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customStyle="1" w:styleId="Blue">
    <w:name w:val="Blue"/>
    <w:basedOn w:val="DefaultParagraphFont"/>
    <w:uiPriority w:val="1"/>
    <w:qFormat/>
    <w:rsid w:val="00606995"/>
    <w:rPr>
      <w:color w:val="002060"/>
    </w:rPr>
  </w:style>
  <w:style w:type="character" w:styleId="CommentReference">
    <w:name w:val="annotation reference"/>
    <w:basedOn w:val="DefaultParagraphFont"/>
    <w:semiHidden/>
    <w:unhideWhenUsed/>
    <w:locked/>
    <w:rsid w:val="008513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851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3E5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85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8513E5"/>
    <w:rPr>
      <w:b/>
      <w:bCs/>
      <w:lang w:eastAsia="en-AU"/>
    </w:rPr>
  </w:style>
  <w:style w:type="paragraph" w:customStyle="1" w:styleId="PulloutTextBullets-NoIndent">
    <w:name w:val="Pullout Text Bullets - No Indent"/>
    <w:basedOn w:val="PulloutTextBody"/>
    <w:qFormat/>
    <w:rsid w:val="009B58B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linelibrary.wiley.com/doi/full/10.1111/resp.14218" TargetMode="External"/><Relationship Id="rId18" Type="http://schemas.openxmlformats.org/officeDocument/2006/relationships/hyperlink" Target="https://www.safetyandquality.gov.au/standards/nsqhs-standards/recognising-and-responding-acute-deterioration-standard" TargetMode="External"/><Relationship Id="rId26" Type="http://schemas.openxmlformats.org/officeDocument/2006/relationships/hyperlink" Target="http://www.thoracic.org.au/clinicalpublications/new-releases" TargetMode="External"/><Relationship Id="rId39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s://www.tga.gov.au/publication/poisons-standard-susmp" TargetMode="External"/><Relationship Id="rId34" Type="http://schemas.openxmlformats.org/officeDocument/2006/relationships/hyperlink" Target="https://rc.rcjournal.com/content/67/1/115" TargetMode="Externa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onlinelibrary.wiley.com/doi/full/10.1111/resp.14218" TargetMode="External"/><Relationship Id="rId17" Type="http://schemas.openxmlformats.org/officeDocument/2006/relationships/hyperlink" Target="https://www.anzcor.org/assets/anzcor-guidelines/guideline-11-6-1-targeted-oxygen-therapy-in-adult-advanced-life-support-249.pdf" TargetMode="External"/><Relationship Id="rId25" Type="http://schemas.openxmlformats.org/officeDocument/2006/relationships/hyperlink" Target="https://www.safetyandquality.gov.au/publications-and-resources/resource-library/chronic-obstructive-pulmonary-disease-clinical-care-standard-2024" TargetMode="External"/><Relationship Id="rId33" Type="http://schemas.openxmlformats.org/officeDocument/2006/relationships/hyperlink" Target="https://www.thoracic.org.au/journal-publishing/area?command=record&amp;id=9" TargetMode="External"/><Relationship Id="rId38" Type="http://schemas.openxmlformats.org/officeDocument/2006/relationships/hyperlink" Target="http://www.safetyandquality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oracic.org.au/clinical-use-of-pulse-oximetry-official-guidelines-from-the-thoracic-society-of-australia-and-new-zealand/" TargetMode="External"/><Relationship Id="rId20" Type="http://schemas.openxmlformats.org/officeDocument/2006/relationships/hyperlink" Target="https://www.safetyandquality.gov.au/publications-and-resources/resource-library/chronic-obstructive-pulmonary-disease-clinical-care-standard-2024" TargetMode="External"/><Relationship Id="rId29" Type="http://schemas.openxmlformats.org/officeDocument/2006/relationships/hyperlink" Target="https://www.safetyandquality.gov.au/standards/nsqhs-standards/recognising-and-responding-acute-deterioration-standard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tyandquality.gov.au/sites/default/files/2021-12/essential_elements_for_recognising_and_responding_to_acute_physiological_deterioration.pdf" TargetMode="External"/><Relationship Id="rId24" Type="http://schemas.openxmlformats.org/officeDocument/2006/relationships/hyperlink" Target="https://www.safetyandquality.gov.au/sites/default/files/2021-12/essential_elements_for_recognising_and_responding_to_acute_physiological_deterioration.pdf" TargetMode="External"/><Relationship Id="rId32" Type="http://schemas.openxmlformats.org/officeDocument/2006/relationships/hyperlink" Target="https://doi.org/10.1093/intqhc/mzad073" TargetMode="External"/><Relationship Id="rId37" Type="http://schemas.openxmlformats.org/officeDocument/2006/relationships/hyperlink" Target="mailto:medsafety@safetyandquality.gov.au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horacic.org.au/education-events/educational-resources/" TargetMode="External"/><Relationship Id="rId23" Type="http://schemas.openxmlformats.org/officeDocument/2006/relationships/hyperlink" Target="https://onlinelibrary.wiley.com/doi/full/10.1111/resp.14218" TargetMode="External"/><Relationship Id="rId28" Type="http://schemas.openxmlformats.org/officeDocument/2006/relationships/hyperlink" Target="https://www.anzcor.org/assets/anzcor-guidelines/guideline-11-6-1-targeted-oxygen-therapy-in-adult-advanced-life-support-249.pdf" TargetMode="External"/><Relationship Id="rId36" Type="http://schemas.openxmlformats.org/officeDocument/2006/relationships/hyperlink" Target="https://www.safetyandquality.gov.au/" TargetMode="External"/><Relationship Id="rId10" Type="http://schemas.openxmlformats.org/officeDocument/2006/relationships/hyperlink" Target="https://onlinelibrary.wiley.com/doi/full/10.1111/resp.14218" TargetMode="External"/><Relationship Id="rId19" Type="http://schemas.openxmlformats.org/officeDocument/2006/relationships/hyperlink" Target="https://www.safetyandquality.gov.au/publications-and-resources/resource-library/national-consensus-statement-essential-elements-recognising-and-responding-acute-physiological-deterioration-third-edition" TargetMode="External"/><Relationship Id="rId31" Type="http://schemas.openxmlformats.org/officeDocument/2006/relationships/hyperlink" Target="http://www.nps.org.au/australian-prescriber/articles/acute-use-of-oxygen-therapy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library.wiley.com/doi/full/10.1111/resp.14218" TargetMode="External"/><Relationship Id="rId22" Type="http://schemas.openxmlformats.org/officeDocument/2006/relationships/hyperlink" Target="https://onlinelibrary.wiley.com/doi/full/10.1111/resp.14218" TargetMode="External"/><Relationship Id="rId27" Type="http://schemas.openxmlformats.org/officeDocument/2006/relationships/hyperlink" Target="https://thoracic.org.au/clinical-use-of-pulse-oximetry-official-guidelines-from-the-thoracic-society-of-australia-and-new-zealand/" TargetMode="External"/><Relationship Id="rId30" Type="http://schemas.openxmlformats.org/officeDocument/2006/relationships/hyperlink" Target="http://www.tga.gov.au/how-we-regulate/ingredients-and-scheduling-medicines-and-chemicals/poisons-standard-and-scheduling-medicines-and-chemicals/poisons-standard-susmp" TargetMode="External"/><Relationship Id="rId35" Type="http://schemas.openxmlformats.org/officeDocument/2006/relationships/hyperlink" Target="https://www.tga.gov.au/news/safety-updates/limitations-pulse-oximeters-and-effect-skin-pigmentation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wlih\OneDrive%20-%20Department%20of%20Health\Desktop\04%20Projects\Oxygen%20-%20safe%20use%20and%20management\Fact%20sheet\TEMPLATE%20-%20Accessible%20Word%20-%20Fact%20sheet%20for%20HSOs%20-%20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Accessible Word - Fact sheet for HSOs -  21 July 2023.DOTX</Template>
  <TotalTime>12</TotalTime>
  <Pages>5</Pages>
  <Words>2517</Words>
  <Characters>15788</Characters>
  <Application>Microsoft Office Word</Application>
  <DocSecurity>0</DocSecurity>
  <Lines>254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COVID-19 and Endoscopy Procedures, April 2020</vt:lpstr>
    </vt:vector>
  </TitlesOfParts>
  <Manager/>
  <Company>Australian Commission on Safety and Quality in Health Care</Company>
  <LinksUpToDate>false</LinksUpToDate>
  <CharactersWithSpaces>18183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COVID-19 and Endoscopy Procedures, April 2020</dc:title>
  <dc:subject/>
  <dc:creator>DOWLING, Helen</dc:creator>
  <cp:keywords/>
  <dc:description/>
  <cp:lastModifiedBy>SHIPP, Diana</cp:lastModifiedBy>
  <cp:revision>3</cp:revision>
  <cp:lastPrinted>2025-02-25T04:19:00Z</cp:lastPrinted>
  <dcterms:created xsi:type="dcterms:W3CDTF">2025-02-26T04:22:00Z</dcterms:created>
  <dcterms:modified xsi:type="dcterms:W3CDTF">2025-02-26T04:34:00Z</dcterms:modified>
  <cp:category/>
</cp:coreProperties>
</file>