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216290" w14:textId="77777777" w:rsidR="00F14851" w:rsidRPr="003C44C7" w:rsidRDefault="00F14851" w:rsidP="005058EE">
      <w:pPr>
        <w:pStyle w:val="Title"/>
      </w:pPr>
      <w:r w:rsidRPr="003C44C7">
        <w:t>Antimicrobial use in Australian hospitals</w:t>
      </w:r>
    </w:p>
    <w:p w14:paraId="5DCEF1AC" w14:textId="26DF8A70" w:rsidR="00F14851" w:rsidRPr="003C44C7" w:rsidRDefault="00F14851" w:rsidP="005058EE">
      <w:pPr>
        <w:pStyle w:val="Subtitle"/>
      </w:pPr>
      <w:r w:rsidRPr="003C44C7">
        <w:t>2014 report of the National Antimicrobial Utilisation Surveillance Program</w:t>
      </w:r>
    </w:p>
    <w:p w14:paraId="671A38A3" w14:textId="77777777" w:rsidR="007000FA" w:rsidRPr="003C44C7" w:rsidRDefault="00A829B3">
      <w:r w:rsidRPr="003C44C7">
        <w:rPr>
          <w:noProof/>
        </w:rPr>
        <w:drawing>
          <wp:inline distT="0" distB="0" distL="0" distR="0" wp14:anchorId="457ADEF5" wp14:editId="41E4B440">
            <wp:extent cx="1972945" cy="414655"/>
            <wp:effectExtent l="0" t="0" r="8255" b="4445"/>
            <wp:docPr id="1" name="Picture 1" descr="Logo for SA Health (Government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Healthlogohorizontal4C_CMY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2945" cy="414655"/>
                    </a:xfrm>
                    <a:prstGeom prst="rect">
                      <a:avLst/>
                    </a:prstGeom>
                    <a:noFill/>
                    <a:ln>
                      <a:noFill/>
                    </a:ln>
                  </pic:spPr>
                </pic:pic>
              </a:graphicData>
            </a:graphic>
          </wp:inline>
        </w:drawing>
      </w:r>
      <w:r w:rsidR="007000FA" w:rsidRPr="003C44C7">
        <w:t xml:space="preserve"> </w:t>
      </w:r>
    </w:p>
    <w:p w14:paraId="73FBA74B" w14:textId="6F8C958A" w:rsidR="007000FA" w:rsidRPr="003C44C7" w:rsidRDefault="007000FA">
      <w:r w:rsidRPr="003C44C7">
        <w:t xml:space="preserve"> </w:t>
      </w:r>
      <w:r w:rsidR="00A829B3" w:rsidRPr="003C44C7">
        <w:rPr>
          <w:noProof/>
        </w:rPr>
        <w:drawing>
          <wp:inline distT="0" distB="0" distL="0" distR="0" wp14:anchorId="3F3FD35F" wp14:editId="000C242A">
            <wp:extent cx="2311400" cy="254000"/>
            <wp:effectExtent l="0" t="0" r="0" b="0"/>
            <wp:docPr id="2" name="Picture 2" descr="Logo for the Australian Commission on Safety and Quality in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SQHC_inline_CMYK_EPS (537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1400" cy="254000"/>
                    </a:xfrm>
                    <a:prstGeom prst="rect">
                      <a:avLst/>
                    </a:prstGeom>
                    <a:noFill/>
                    <a:ln>
                      <a:noFill/>
                    </a:ln>
                  </pic:spPr>
                </pic:pic>
              </a:graphicData>
            </a:graphic>
          </wp:inline>
        </w:drawing>
      </w:r>
      <w:r w:rsidR="00E945C4" w:rsidRPr="003C44C7">
        <w:t xml:space="preserve"> </w:t>
      </w:r>
    </w:p>
    <w:p w14:paraId="184DDF89" w14:textId="77777777" w:rsidR="00F14851" w:rsidRPr="003C44C7" w:rsidRDefault="00A829B3">
      <w:r w:rsidRPr="003C44C7">
        <w:rPr>
          <w:noProof/>
        </w:rPr>
        <w:drawing>
          <wp:inline distT="0" distB="0" distL="0" distR="0" wp14:anchorId="2CABE7CB" wp14:editId="21D72D99">
            <wp:extent cx="1955800" cy="609600"/>
            <wp:effectExtent l="0" t="0" r="6350" b="0"/>
            <wp:docPr id="3" name="Picture 3" descr="Logo for Antimicrobial Use and Resistanc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 AURA Logo (D15-94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5800" cy="609600"/>
                    </a:xfrm>
                    <a:prstGeom prst="rect">
                      <a:avLst/>
                    </a:prstGeom>
                    <a:noFill/>
                    <a:ln>
                      <a:noFill/>
                    </a:ln>
                  </pic:spPr>
                </pic:pic>
              </a:graphicData>
            </a:graphic>
          </wp:inline>
        </w:drawing>
      </w:r>
    </w:p>
    <w:p w14:paraId="5E33EDC6" w14:textId="77777777" w:rsidR="005058EE" w:rsidRPr="003C44C7" w:rsidRDefault="005058EE">
      <w:pPr>
        <w:spacing w:after="0"/>
        <w:rPr>
          <w:sz w:val="20"/>
        </w:rPr>
      </w:pPr>
      <w:r w:rsidRPr="003C44C7">
        <w:br w:type="page"/>
      </w:r>
    </w:p>
    <w:p w14:paraId="7E8544D6" w14:textId="68CEBCF5" w:rsidR="007000FA" w:rsidRPr="003C44C7" w:rsidRDefault="007000FA" w:rsidP="005058EE">
      <w:pPr>
        <w:pStyle w:val="ImprintText"/>
      </w:pPr>
      <w:r w:rsidRPr="003C44C7">
        <w:t>© Commonwealth of Australia 2015</w:t>
      </w:r>
    </w:p>
    <w:p w14:paraId="59AEBD2D" w14:textId="77777777" w:rsidR="007000FA" w:rsidRPr="003C44C7" w:rsidRDefault="007000FA" w:rsidP="005058EE">
      <w:pPr>
        <w:pStyle w:val="ImprintText"/>
      </w:pPr>
      <w:r w:rsidRPr="003C44C7">
        <w:t>Antimicrobial use in Australian hospitals: 2014 annual report of the National Antimicrobial Utilisation Surveillance Program</w:t>
      </w:r>
    </w:p>
    <w:p w14:paraId="1F9C55DF" w14:textId="77777777" w:rsidR="007000FA" w:rsidRPr="003C44C7" w:rsidRDefault="007000FA" w:rsidP="005058EE">
      <w:pPr>
        <w:pStyle w:val="ImprintText"/>
      </w:pPr>
      <w:r w:rsidRPr="003C44C7">
        <w:t>ISBN 978-1-925224-12-2 (print), 978-1-925224-14-6 (online)</w:t>
      </w:r>
    </w:p>
    <w:p w14:paraId="7A5E5562" w14:textId="77777777" w:rsidR="007000FA" w:rsidRPr="003C44C7" w:rsidRDefault="007000FA" w:rsidP="005058EE">
      <w:pPr>
        <w:pStyle w:val="ImprintText"/>
      </w:pPr>
      <w:r w:rsidRPr="003C44C7">
        <w:t>This annual report was prepared by:</w:t>
      </w:r>
    </w:p>
    <w:p w14:paraId="0FFE7981" w14:textId="77777777" w:rsidR="007000FA" w:rsidRPr="003C44C7" w:rsidRDefault="007000FA" w:rsidP="005058EE">
      <w:pPr>
        <w:pStyle w:val="ImprintText"/>
      </w:pPr>
      <w:r w:rsidRPr="003C44C7">
        <w:t>Infection Control Service</w:t>
      </w:r>
      <w:r w:rsidRPr="003C44C7">
        <w:br/>
        <w:t>Communicable Disease Control Branch</w:t>
      </w:r>
      <w:r w:rsidRPr="003C44C7">
        <w:br/>
        <w:t xml:space="preserve">SA Department for Health and Ageing </w:t>
      </w:r>
      <w:r w:rsidRPr="003C44C7">
        <w:br/>
        <w:t>11 Hindmarsh Square</w:t>
      </w:r>
      <w:r w:rsidRPr="003C44C7">
        <w:br/>
        <w:t>Adelaide, South Australia 5000</w:t>
      </w:r>
    </w:p>
    <w:p w14:paraId="308808BB" w14:textId="77777777" w:rsidR="007000FA" w:rsidRPr="003C44C7" w:rsidRDefault="007000FA" w:rsidP="005058EE">
      <w:pPr>
        <w:pStyle w:val="ImprintText"/>
      </w:pPr>
      <w:r w:rsidRPr="003C44C7">
        <w:t>in collaboration with:</w:t>
      </w:r>
    </w:p>
    <w:p w14:paraId="6DC3B09E" w14:textId="77777777" w:rsidR="007000FA" w:rsidRPr="003C44C7" w:rsidRDefault="007000FA" w:rsidP="005058EE">
      <w:pPr>
        <w:pStyle w:val="ImprintText"/>
      </w:pPr>
      <w:r w:rsidRPr="003C44C7">
        <w:t>Australian Commission on Safety and Quality in Health Care</w:t>
      </w:r>
      <w:r w:rsidRPr="003C44C7">
        <w:br/>
        <w:t>Level 5, 255 Elizabeth Street</w:t>
      </w:r>
      <w:r w:rsidRPr="003C44C7">
        <w:br/>
        <w:t>Sydney, New South Wales 2000</w:t>
      </w:r>
    </w:p>
    <w:p w14:paraId="075B9091" w14:textId="77777777" w:rsidR="007000FA" w:rsidRPr="003C44C7" w:rsidRDefault="007000FA" w:rsidP="005058EE">
      <w:pPr>
        <w:pStyle w:val="ImprintText"/>
      </w:pPr>
      <w:r w:rsidRPr="003C44C7">
        <w:t>Enquiries for SA Department for Health and Ageing to Vicki McNeil:</w:t>
      </w:r>
      <w:r w:rsidRPr="003C44C7">
        <w:br/>
      </w:r>
      <w:r w:rsidRPr="003C44C7">
        <w:rPr>
          <w:rStyle w:val="Hyperlink"/>
        </w:rPr>
        <w:t>vicki.mcneil@sa.gov.au</w:t>
      </w:r>
      <w:r w:rsidRPr="003C44C7">
        <w:br/>
        <w:t>Ph: +61 8 7425 7169</w:t>
      </w:r>
    </w:p>
    <w:p w14:paraId="5EC5C531" w14:textId="77777777" w:rsidR="007000FA" w:rsidRPr="003C44C7" w:rsidRDefault="007000FA" w:rsidP="005058EE">
      <w:pPr>
        <w:pStyle w:val="ImprintText"/>
      </w:pPr>
      <w:r w:rsidRPr="003C44C7">
        <w:t>Enquiries for ACSQHC to Professor John Turnidge:</w:t>
      </w:r>
      <w:r w:rsidRPr="003C44C7">
        <w:br/>
        <w:t>john.turnidge@safetyandquality.gov.au</w:t>
      </w:r>
      <w:r w:rsidRPr="003C44C7">
        <w:br/>
        <w:t>Ph: +61 2 9126 3508</w:t>
      </w:r>
    </w:p>
    <w:p w14:paraId="642AE3AE" w14:textId="1615AB1C" w:rsidR="007000FA" w:rsidRPr="003C44C7" w:rsidRDefault="007000FA" w:rsidP="005058EE">
      <w:pPr>
        <w:pStyle w:val="ImprintText"/>
      </w:pPr>
      <w:r w:rsidRPr="003C44C7">
        <w:t>This annual report can be accessed at the websites of the South Australian Department for Health and Ageing (</w:t>
      </w:r>
      <w:hyperlink r:id="rId12" w:history="1">
        <w:r w:rsidRPr="003C44C7">
          <w:rPr>
            <w:rStyle w:val="Hyperlink"/>
            <w:color w:val="0070C0"/>
            <w:u w:val="single"/>
          </w:rPr>
          <w:t>www.sahealth.sa.gov.au/nausp</w:t>
        </w:r>
      </w:hyperlink>
      <w:r w:rsidRPr="003C44C7">
        <w:t>), and the Australian Commission on Safety and Quality in Health Care (</w:t>
      </w:r>
      <w:hyperlink r:id="rId13" w:history="1">
        <w:r w:rsidRPr="003C44C7">
          <w:rPr>
            <w:rStyle w:val="Hyperlink"/>
            <w:color w:val="0070C0"/>
            <w:u w:val="single"/>
          </w:rPr>
          <w:t>www.safetyandquality.gov.au</w:t>
        </w:r>
      </w:hyperlink>
      <w:r w:rsidRPr="003C44C7">
        <w:t>).</w:t>
      </w:r>
    </w:p>
    <w:p w14:paraId="5C6D8637" w14:textId="77777777" w:rsidR="007000FA" w:rsidRPr="003C44C7" w:rsidRDefault="007000FA" w:rsidP="005058EE">
      <w:pPr>
        <w:pStyle w:val="ImprintText"/>
      </w:pPr>
      <w:r w:rsidRPr="003C44C7">
        <w:t xml:space="preserve">Disclaimer: The data presented in this report were correct at the time of publication and reflect usage rates based on data on antimicrobial quantities and occupied bed-days supplied by individual contributors. Minor discrepancies with previous reports may occur as a result of data adjustments made by contributing hospitals. </w:t>
      </w:r>
    </w:p>
    <w:p w14:paraId="70C2DD6B" w14:textId="77777777" w:rsidR="007000FA" w:rsidRPr="003C44C7" w:rsidRDefault="007000FA" w:rsidP="005058EE">
      <w:pPr>
        <w:pStyle w:val="ImprintText"/>
      </w:pPr>
      <w:r w:rsidRPr="003C44C7">
        <w:lastRenderedPageBreak/>
        <w:t>This work is copyright. It may be reproduced in whole or in part for study or training purposes subject to the inclusion of an acknowledgment of the source. Requests and inquiries concerning reproduction and rights for purposes other than those indicated above require the written permission of the Australian Commission on Safety and Quality in Health Care, GPO Box 5480, Sydney, NSW 2001, or mail@safetyandquality.gov.au.</w:t>
      </w:r>
    </w:p>
    <w:p w14:paraId="7EB55238" w14:textId="77777777" w:rsidR="007000FA" w:rsidRPr="003C44C7" w:rsidRDefault="007000FA" w:rsidP="005058EE">
      <w:pPr>
        <w:pStyle w:val="ImprintText"/>
      </w:pPr>
      <w:r w:rsidRPr="003C44C7">
        <w:t>This publication is part of the work being conducted by the Australian Commission on Safety and Quality in Health Care to establish a national antimicrobial resistance and usage surveillance system. The work is being undertaken through the Antimicrobial Use and Resistance in Australia (AURA) project.</w:t>
      </w:r>
    </w:p>
    <w:p w14:paraId="0D203465" w14:textId="77777777" w:rsidR="007000FA" w:rsidRPr="003C44C7" w:rsidRDefault="007000FA" w:rsidP="005058EE">
      <w:pPr>
        <w:pStyle w:val="ImprintText"/>
      </w:pPr>
      <w:r w:rsidRPr="003C44C7">
        <w:t>The Australian Commission on Safety and Quality in Health Care wishes to thank those involved in producing this report.</w:t>
      </w:r>
    </w:p>
    <w:p w14:paraId="2786B885" w14:textId="77777777" w:rsidR="00F14851" w:rsidRPr="003C44C7" w:rsidRDefault="00F14851">
      <w:pPr>
        <w:pStyle w:val="Heading1a"/>
      </w:pPr>
      <w:r w:rsidRPr="003C44C7">
        <w:lastRenderedPageBreak/>
        <w:t>Foreword</w:t>
      </w:r>
    </w:p>
    <w:p w14:paraId="76619823" w14:textId="77777777" w:rsidR="00F14851" w:rsidRPr="003C44C7" w:rsidRDefault="00F14851">
      <w:r w:rsidRPr="003C44C7">
        <w:t>The National Antimicrobial Utilisation Surveillance Program (NAUSP) commenced in July 2004. This report is the first of its kind for NAUSP, providing national data on antimicrobial use in 129 adult acute care hospitals, both public and private. This represents more than 90% of principal referral hospital beds and 82% of total beds in hospitals with more than 50 beds across Australia.</w:t>
      </w:r>
    </w:p>
    <w:p w14:paraId="19165E0B" w14:textId="06A519D5" w:rsidR="00F14851" w:rsidRPr="003C44C7" w:rsidRDefault="00F14851">
      <w:r w:rsidRPr="003C44C7">
        <w:t xml:space="preserve">The report was commissioned by the Australian Commission on Safety and Quality in Health Care to give healthcare professionals and administrators an overview of antimicrobial use by contributors to NAUSP during January–December 2014. It includes historical comparisons over 5- and 10-year periods. Interstate and intrastate data are presented for the first time, along with comparisons of usage rates between the new Australian Institute of Health and Welfare peer groups for selected antimicrobial classes. </w:t>
      </w:r>
    </w:p>
    <w:p w14:paraId="0A22920F" w14:textId="77777777" w:rsidR="00F14851" w:rsidRPr="003C44C7" w:rsidRDefault="00F14851">
      <w:r w:rsidRPr="003C44C7">
        <w:t>NAUSP is supported by the Antimicrobial Use and Resistance in Australia (AURA) project, conducted by the Australian Commission on Safety and Quality in Health Care on behalf of the Australian Government Department of Health. NAUSP is managed by the Infection Control Service, Communicable Disease Control Branch, SA Health.</w:t>
      </w:r>
    </w:p>
    <w:p w14:paraId="0C75DFA0" w14:textId="77777777" w:rsidR="001C4A6D" w:rsidRDefault="001C4A6D">
      <w:pPr>
        <w:spacing w:after="0"/>
        <w:sectPr w:rsidR="001C4A6D" w:rsidSect="001C4A6D">
          <w:footerReference w:type="default" r:id="rId14"/>
          <w:pgSz w:w="11906" w:h="16838"/>
          <w:pgMar w:top="1440" w:right="1440" w:bottom="1440" w:left="1440" w:header="720" w:footer="720" w:gutter="0"/>
          <w:cols w:space="720"/>
          <w:noEndnote/>
          <w:docGrid w:linePitch="326"/>
        </w:sectPr>
      </w:pPr>
    </w:p>
    <w:p w14:paraId="06DCBC40" w14:textId="41E8BA32" w:rsidR="005058EE" w:rsidRPr="003C44C7" w:rsidRDefault="005058EE" w:rsidP="005058EE">
      <w:pPr>
        <w:pStyle w:val="Heading1a"/>
      </w:pPr>
      <w:r w:rsidRPr="003C44C7">
        <w:t>Contents</w:t>
      </w:r>
    </w:p>
    <w:p w14:paraId="56ED759F" w14:textId="77777777" w:rsidR="005A1501" w:rsidRDefault="005058EE">
      <w:pPr>
        <w:pStyle w:val="TOC1"/>
        <w:rPr>
          <w:rFonts w:asciiTheme="minorHAnsi" w:eastAsiaTheme="minorEastAsia" w:hAnsiTheme="minorHAnsi" w:cstheme="minorBidi"/>
          <w:b w:val="0"/>
          <w:bCs w:val="0"/>
          <w:color w:val="auto"/>
          <w:sz w:val="22"/>
          <w:szCs w:val="22"/>
        </w:rPr>
      </w:pPr>
      <w:r w:rsidRPr="003C44C7">
        <w:fldChar w:fldCharType="begin"/>
      </w:r>
      <w:r w:rsidRPr="003C44C7">
        <w:instrText xml:space="preserve"> TOC \o "1-2" \h \z \u </w:instrText>
      </w:r>
      <w:r w:rsidRPr="003C44C7">
        <w:fldChar w:fldCharType="separate"/>
      </w:r>
      <w:hyperlink w:anchor="_Toc429391521" w:history="1">
        <w:r w:rsidR="005A1501" w:rsidRPr="007E3619">
          <w:rPr>
            <w:rStyle w:val="Hyperlink"/>
          </w:rPr>
          <w:t>Abbreviations</w:t>
        </w:r>
        <w:r w:rsidR="005A1501">
          <w:rPr>
            <w:webHidden/>
          </w:rPr>
          <w:tab/>
        </w:r>
        <w:r w:rsidR="005A1501">
          <w:rPr>
            <w:webHidden/>
          </w:rPr>
          <w:fldChar w:fldCharType="begin"/>
        </w:r>
        <w:r w:rsidR="005A1501">
          <w:rPr>
            <w:webHidden/>
          </w:rPr>
          <w:instrText xml:space="preserve"> PAGEREF _Toc429391521 \h </w:instrText>
        </w:r>
        <w:r w:rsidR="005A1501">
          <w:rPr>
            <w:webHidden/>
          </w:rPr>
        </w:r>
        <w:r w:rsidR="005A1501">
          <w:rPr>
            <w:webHidden/>
          </w:rPr>
          <w:fldChar w:fldCharType="separate"/>
        </w:r>
        <w:r w:rsidR="00881525">
          <w:rPr>
            <w:webHidden/>
          </w:rPr>
          <w:t>3</w:t>
        </w:r>
        <w:r w:rsidR="005A1501">
          <w:rPr>
            <w:webHidden/>
          </w:rPr>
          <w:fldChar w:fldCharType="end"/>
        </w:r>
      </w:hyperlink>
    </w:p>
    <w:p w14:paraId="6EC62C80" w14:textId="77777777" w:rsidR="005A1501" w:rsidRDefault="005A1501">
      <w:pPr>
        <w:pStyle w:val="TOC1"/>
        <w:rPr>
          <w:rFonts w:asciiTheme="minorHAnsi" w:eastAsiaTheme="minorEastAsia" w:hAnsiTheme="minorHAnsi" w:cstheme="minorBidi"/>
          <w:b w:val="0"/>
          <w:bCs w:val="0"/>
          <w:color w:val="auto"/>
          <w:sz w:val="22"/>
          <w:szCs w:val="22"/>
        </w:rPr>
      </w:pPr>
      <w:hyperlink w:anchor="_Toc429391522" w:history="1">
        <w:r w:rsidRPr="007E3619">
          <w:rPr>
            <w:rStyle w:val="Hyperlink"/>
          </w:rPr>
          <w:t>Executive summary</w:t>
        </w:r>
        <w:r>
          <w:rPr>
            <w:webHidden/>
          </w:rPr>
          <w:tab/>
        </w:r>
        <w:r>
          <w:rPr>
            <w:webHidden/>
          </w:rPr>
          <w:fldChar w:fldCharType="begin"/>
        </w:r>
        <w:r>
          <w:rPr>
            <w:webHidden/>
          </w:rPr>
          <w:instrText xml:space="preserve"> PAGEREF _Toc429391522 \h </w:instrText>
        </w:r>
        <w:r>
          <w:rPr>
            <w:webHidden/>
          </w:rPr>
        </w:r>
        <w:r>
          <w:rPr>
            <w:webHidden/>
          </w:rPr>
          <w:fldChar w:fldCharType="separate"/>
        </w:r>
        <w:r w:rsidR="00881525">
          <w:rPr>
            <w:webHidden/>
          </w:rPr>
          <w:t>4</w:t>
        </w:r>
        <w:r>
          <w:rPr>
            <w:webHidden/>
          </w:rPr>
          <w:fldChar w:fldCharType="end"/>
        </w:r>
      </w:hyperlink>
    </w:p>
    <w:p w14:paraId="43A61F3D" w14:textId="77777777" w:rsidR="005A1501" w:rsidRDefault="005A1501">
      <w:pPr>
        <w:pStyle w:val="TOC1"/>
        <w:rPr>
          <w:rFonts w:asciiTheme="minorHAnsi" w:eastAsiaTheme="minorEastAsia" w:hAnsiTheme="minorHAnsi" w:cstheme="minorBidi"/>
          <w:b w:val="0"/>
          <w:bCs w:val="0"/>
          <w:color w:val="auto"/>
          <w:sz w:val="22"/>
          <w:szCs w:val="22"/>
        </w:rPr>
      </w:pPr>
      <w:hyperlink w:anchor="_Toc429391523" w:history="1">
        <w:r w:rsidRPr="007E3619">
          <w:rPr>
            <w:rStyle w:val="Hyperlink"/>
          </w:rPr>
          <w:t>Introduction</w:t>
        </w:r>
        <w:r>
          <w:rPr>
            <w:webHidden/>
          </w:rPr>
          <w:tab/>
        </w:r>
        <w:bookmarkStart w:id="0" w:name="_GoBack"/>
        <w:bookmarkEnd w:id="0"/>
        <w:r>
          <w:rPr>
            <w:webHidden/>
          </w:rPr>
          <w:fldChar w:fldCharType="begin"/>
        </w:r>
        <w:r>
          <w:rPr>
            <w:webHidden/>
          </w:rPr>
          <w:instrText xml:space="preserve"> PAGEREF _Toc429391523 \h </w:instrText>
        </w:r>
        <w:r>
          <w:rPr>
            <w:webHidden/>
          </w:rPr>
        </w:r>
        <w:r>
          <w:rPr>
            <w:webHidden/>
          </w:rPr>
          <w:fldChar w:fldCharType="separate"/>
        </w:r>
        <w:r w:rsidR="00881525">
          <w:rPr>
            <w:webHidden/>
          </w:rPr>
          <w:t>6</w:t>
        </w:r>
        <w:r>
          <w:rPr>
            <w:webHidden/>
          </w:rPr>
          <w:fldChar w:fldCharType="end"/>
        </w:r>
      </w:hyperlink>
    </w:p>
    <w:p w14:paraId="570940D9" w14:textId="77777777" w:rsidR="005A1501" w:rsidRDefault="005A1501">
      <w:pPr>
        <w:pStyle w:val="TOC1"/>
        <w:rPr>
          <w:rFonts w:asciiTheme="minorHAnsi" w:eastAsiaTheme="minorEastAsia" w:hAnsiTheme="minorHAnsi" w:cstheme="minorBidi"/>
          <w:b w:val="0"/>
          <w:bCs w:val="0"/>
          <w:color w:val="auto"/>
          <w:sz w:val="22"/>
          <w:szCs w:val="22"/>
        </w:rPr>
      </w:pPr>
      <w:hyperlink w:anchor="_Toc429391524" w:history="1">
        <w:r w:rsidRPr="007E3619">
          <w:rPr>
            <w:rStyle w:val="Hyperlink"/>
          </w:rPr>
          <w:t>Methods</w:t>
        </w:r>
        <w:r>
          <w:rPr>
            <w:webHidden/>
          </w:rPr>
          <w:tab/>
        </w:r>
        <w:r>
          <w:rPr>
            <w:webHidden/>
          </w:rPr>
          <w:fldChar w:fldCharType="begin"/>
        </w:r>
        <w:r>
          <w:rPr>
            <w:webHidden/>
          </w:rPr>
          <w:instrText xml:space="preserve"> PAGEREF _Toc429391524 \h </w:instrText>
        </w:r>
        <w:r>
          <w:rPr>
            <w:webHidden/>
          </w:rPr>
        </w:r>
        <w:r>
          <w:rPr>
            <w:webHidden/>
          </w:rPr>
          <w:fldChar w:fldCharType="separate"/>
        </w:r>
        <w:r w:rsidR="00881525">
          <w:rPr>
            <w:webHidden/>
          </w:rPr>
          <w:t>7</w:t>
        </w:r>
        <w:r>
          <w:rPr>
            <w:webHidden/>
          </w:rPr>
          <w:fldChar w:fldCharType="end"/>
        </w:r>
      </w:hyperlink>
    </w:p>
    <w:p w14:paraId="1909AEEF" w14:textId="77777777" w:rsidR="005A1501" w:rsidRDefault="005A1501">
      <w:pPr>
        <w:pStyle w:val="TOC2"/>
        <w:rPr>
          <w:rFonts w:asciiTheme="minorHAnsi" w:eastAsiaTheme="minorEastAsia" w:hAnsiTheme="minorHAnsi" w:cstheme="minorBidi"/>
          <w:noProof/>
          <w:color w:val="auto"/>
          <w:sz w:val="22"/>
          <w:szCs w:val="22"/>
        </w:rPr>
      </w:pPr>
      <w:hyperlink w:anchor="_Toc429391525" w:history="1">
        <w:r w:rsidRPr="007E3619">
          <w:rPr>
            <w:rStyle w:val="Hyperlink"/>
            <w:noProof/>
          </w:rPr>
          <w:t>Contributing hospitals</w:t>
        </w:r>
        <w:r>
          <w:rPr>
            <w:noProof/>
            <w:webHidden/>
          </w:rPr>
          <w:tab/>
        </w:r>
        <w:r>
          <w:rPr>
            <w:noProof/>
            <w:webHidden/>
          </w:rPr>
          <w:fldChar w:fldCharType="begin"/>
        </w:r>
        <w:r>
          <w:rPr>
            <w:noProof/>
            <w:webHidden/>
          </w:rPr>
          <w:instrText xml:space="preserve"> PAGEREF _Toc429391525 \h </w:instrText>
        </w:r>
        <w:r>
          <w:rPr>
            <w:noProof/>
            <w:webHidden/>
          </w:rPr>
        </w:r>
        <w:r>
          <w:rPr>
            <w:noProof/>
            <w:webHidden/>
          </w:rPr>
          <w:fldChar w:fldCharType="separate"/>
        </w:r>
        <w:r w:rsidR="00881525">
          <w:rPr>
            <w:noProof/>
            <w:webHidden/>
          </w:rPr>
          <w:t>7</w:t>
        </w:r>
        <w:r>
          <w:rPr>
            <w:noProof/>
            <w:webHidden/>
          </w:rPr>
          <w:fldChar w:fldCharType="end"/>
        </w:r>
      </w:hyperlink>
    </w:p>
    <w:p w14:paraId="2388C218" w14:textId="77777777" w:rsidR="005A1501" w:rsidRDefault="005A1501">
      <w:pPr>
        <w:pStyle w:val="TOC2"/>
        <w:rPr>
          <w:rFonts w:asciiTheme="minorHAnsi" w:eastAsiaTheme="minorEastAsia" w:hAnsiTheme="minorHAnsi" w:cstheme="minorBidi"/>
          <w:noProof/>
          <w:color w:val="auto"/>
          <w:sz w:val="22"/>
          <w:szCs w:val="22"/>
        </w:rPr>
      </w:pPr>
      <w:hyperlink w:anchor="_Toc429391526" w:history="1">
        <w:r w:rsidRPr="007E3619">
          <w:rPr>
            <w:rStyle w:val="Hyperlink"/>
            <w:noProof/>
          </w:rPr>
          <w:t>Units of measurement</w:t>
        </w:r>
        <w:r>
          <w:rPr>
            <w:noProof/>
            <w:webHidden/>
          </w:rPr>
          <w:tab/>
        </w:r>
        <w:r>
          <w:rPr>
            <w:noProof/>
            <w:webHidden/>
          </w:rPr>
          <w:fldChar w:fldCharType="begin"/>
        </w:r>
        <w:r>
          <w:rPr>
            <w:noProof/>
            <w:webHidden/>
          </w:rPr>
          <w:instrText xml:space="preserve"> PAGEREF _Toc429391526 \h </w:instrText>
        </w:r>
        <w:r>
          <w:rPr>
            <w:noProof/>
            <w:webHidden/>
          </w:rPr>
        </w:r>
        <w:r>
          <w:rPr>
            <w:noProof/>
            <w:webHidden/>
          </w:rPr>
          <w:fldChar w:fldCharType="separate"/>
        </w:r>
        <w:r w:rsidR="00881525">
          <w:rPr>
            <w:noProof/>
            <w:webHidden/>
          </w:rPr>
          <w:t>8</w:t>
        </w:r>
        <w:r>
          <w:rPr>
            <w:noProof/>
            <w:webHidden/>
          </w:rPr>
          <w:fldChar w:fldCharType="end"/>
        </w:r>
      </w:hyperlink>
    </w:p>
    <w:p w14:paraId="508AE032" w14:textId="77777777" w:rsidR="005A1501" w:rsidRDefault="005A1501">
      <w:pPr>
        <w:pStyle w:val="TOC2"/>
        <w:rPr>
          <w:rFonts w:asciiTheme="minorHAnsi" w:eastAsiaTheme="minorEastAsia" w:hAnsiTheme="minorHAnsi" w:cstheme="minorBidi"/>
          <w:noProof/>
          <w:color w:val="auto"/>
          <w:sz w:val="22"/>
          <w:szCs w:val="22"/>
        </w:rPr>
      </w:pPr>
      <w:hyperlink w:anchor="_Toc429391527" w:history="1">
        <w:r w:rsidRPr="007E3619">
          <w:rPr>
            <w:rStyle w:val="Hyperlink"/>
            <w:noProof/>
          </w:rPr>
          <w:t>Data quality</w:t>
        </w:r>
        <w:r>
          <w:rPr>
            <w:noProof/>
            <w:webHidden/>
          </w:rPr>
          <w:tab/>
        </w:r>
        <w:r>
          <w:rPr>
            <w:noProof/>
            <w:webHidden/>
          </w:rPr>
          <w:fldChar w:fldCharType="begin"/>
        </w:r>
        <w:r>
          <w:rPr>
            <w:noProof/>
            <w:webHidden/>
          </w:rPr>
          <w:instrText xml:space="preserve"> PAGEREF _Toc429391527 \h </w:instrText>
        </w:r>
        <w:r>
          <w:rPr>
            <w:noProof/>
            <w:webHidden/>
          </w:rPr>
        </w:r>
        <w:r>
          <w:rPr>
            <w:noProof/>
            <w:webHidden/>
          </w:rPr>
          <w:fldChar w:fldCharType="separate"/>
        </w:r>
        <w:r w:rsidR="00881525">
          <w:rPr>
            <w:noProof/>
            <w:webHidden/>
          </w:rPr>
          <w:t>9</w:t>
        </w:r>
        <w:r>
          <w:rPr>
            <w:noProof/>
            <w:webHidden/>
          </w:rPr>
          <w:fldChar w:fldCharType="end"/>
        </w:r>
      </w:hyperlink>
    </w:p>
    <w:p w14:paraId="7AC7B0F5" w14:textId="77777777" w:rsidR="005A1501" w:rsidRDefault="005A1501">
      <w:pPr>
        <w:pStyle w:val="TOC2"/>
        <w:rPr>
          <w:rFonts w:asciiTheme="minorHAnsi" w:eastAsiaTheme="minorEastAsia" w:hAnsiTheme="minorHAnsi" w:cstheme="minorBidi"/>
          <w:noProof/>
          <w:color w:val="auto"/>
          <w:sz w:val="22"/>
          <w:szCs w:val="22"/>
        </w:rPr>
      </w:pPr>
      <w:hyperlink w:anchor="_Toc429391528" w:history="1">
        <w:r w:rsidRPr="007E3619">
          <w:rPr>
            <w:rStyle w:val="Hyperlink"/>
            <w:noProof/>
          </w:rPr>
          <w:t>Data exclusions</w:t>
        </w:r>
        <w:r>
          <w:rPr>
            <w:noProof/>
            <w:webHidden/>
          </w:rPr>
          <w:tab/>
        </w:r>
        <w:r>
          <w:rPr>
            <w:noProof/>
            <w:webHidden/>
          </w:rPr>
          <w:fldChar w:fldCharType="begin"/>
        </w:r>
        <w:r>
          <w:rPr>
            <w:noProof/>
            <w:webHidden/>
          </w:rPr>
          <w:instrText xml:space="preserve"> PAGEREF _Toc429391528 \h </w:instrText>
        </w:r>
        <w:r>
          <w:rPr>
            <w:noProof/>
            <w:webHidden/>
          </w:rPr>
        </w:r>
        <w:r>
          <w:rPr>
            <w:noProof/>
            <w:webHidden/>
          </w:rPr>
          <w:fldChar w:fldCharType="separate"/>
        </w:r>
        <w:r w:rsidR="00881525">
          <w:rPr>
            <w:noProof/>
            <w:webHidden/>
          </w:rPr>
          <w:t>9</w:t>
        </w:r>
        <w:r>
          <w:rPr>
            <w:noProof/>
            <w:webHidden/>
          </w:rPr>
          <w:fldChar w:fldCharType="end"/>
        </w:r>
      </w:hyperlink>
    </w:p>
    <w:p w14:paraId="59DC9C31" w14:textId="77777777" w:rsidR="005A1501" w:rsidRDefault="005A1501">
      <w:pPr>
        <w:pStyle w:val="TOC2"/>
        <w:rPr>
          <w:rFonts w:asciiTheme="minorHAnsi" w:eastAsiaTheme="minorEastAsia" w:hAnsiTheme="minorHAnsi" w:cstheme="minorBidi"/>
          <w:noProof/>
          <w:color w:val="auto"/>
          <w:sz w:val="22"/>
          <w:szCs w:val="22"/>
        </w:rPr>
      </w:pPr>
      <w:hyperlink w:anchor="_Toc429391529" w:history="1">
        <w:r w:rsidRPr="007E3619">
          <w:rPr>
            <w:rStyle w:val="Hyperlink"/>
            <w:noProof/>
          </w:rPr>
          <w:t>Data classification, restrictions and limitations</w:t>
        </w:r>
        <w:r>
          <w:rPr>
            <w:noProof/>
            <w:webHidden/>
          </w:rPr>
          <w:tab/>
        </w:r>
        <w:r>
          <w:rPr>
            <w:noProof/>
            <w:webHidden/>
          </w:rPr>
          <w:fldChar w:fldCharType="begin"/>
        </w:r>
        <w:r>
          <w:rPr>
            <w:noProof/>
            <w:webHidden/>
          </w:rPr>
          <w:instrText xml:space="preserve"> PAGEREF _Toc429391529 \h </w:instrText>
        </w:r>
        <w:r>
          <w:rPr>
            <w:noProof/>
            <w:webHidden/>
          </w:rPr>
        </w:r>
        <w:r>
          <w:rPr>
            <w:noProof/>
            <w:webHidden/>
          </w:rPr>
          <w:fldChar w:fldCharType="separate"/>
        </w:r>
        <w:r w:rsidR="00881525">
          <w:rPr>
            <w:noProof/>
            <w:webHidden/>
          </w:rPr>
          <w:t>10</w:t>
        </w:r>
        <w:r>
          <w:rPr>
            <w:noProof/>
            <w:webHidden/>
          </w:rPr>
          <w:fldChar w:fldCharType="end"/>
        </w:r>
      </w:hyperlink>
    </w:p>
    <w:p w14:paraId="7F60E0EF" w14:textId="77777777" w:rsidR="005A1501" w:rsidRDefault="005A1501">
      <w:pPr>
        <w:pStyle w:val="TOC1"/>
        <w:rPr>
          <w:rFonts w:asciiTheme="minorHAnsi" w:eastAsiaTheme="minorEastAsia" w:hAnsiTheme="minorHAnsi" w:cstheme="minorBidi"/>
          <w:b w:val="0"/>
          <w:bCs w:val="0"/>
          <w:color w:val="auto"/>
          <w:sz w:val="22"/>
          <w:szCs w:val="22"/>
        </w:rPr>
      </w:pPr>
      <w:hyperlink w:anchor="_Toc429391530" w:history="1">
        <w:r w:rsidRPr="007E3619">
          <w:rPr>
            <w:rStyle w:val="Hyperlink"/>
          </w:rPr>
          <w:t>Overview of antimicrobial usage rates, 2014</w:t>
        </w:r>
        <w:r>
          <w:rPr>
            <w:webHidden/>
          </w:rPr>
          <w:tab/>
        </w:r>
        <w:r>
          <w:rPr>
            <w:webHidden/>
          </w:rPr>
          <w:fldChar w:fldCharType="begin"/>
        </w:r>
        <w:r>
          <w:rPr>
            <w:webHidden/>
          </w:rPr>
          <w:instrText xml:space="preserve"> PAGEREF _Toc429391530 \h </w:instrText>
        </w:r>
        <w:r>
          <w:rPr>
            <w:webHidden/>
          </w:rPr>
        </w:r>
        <w:r>
          <w:rPr>
            <w:webHidden/>
          </w:rPr>
          <w:fldChar w:fldCharType="separate"/>
        </w:r>
        <w:r w:rsidR="00881525">
          <w:rPr>
            <w:webHidden/>
          </w:rPr>
          <w:t>11</w:t>
        </w:r>
        <w:r>
          <w:rPr>
            <w:webHidden/>
          </w:rPr>
          <w:fldChar w:fldCharType="end"/>
        </w:r>
      </w:hyperlink>
    </w:p>
    <w:p w14:paraId="42A2288F" w14:textId="77777777" w:rsidR="005A1501" w:rsidRDefault="005A1501">
      <w:pPr>
        <w:pStyle w:val="TOC2"/>
        <w:rPr>
          <w:rFonts w:asciiTheme="minorHAnsi" w:eastAsiaTheme="minorEastAsia" w:hAnsiTheme="minorHAnsi" w:cstheme="minorBidi"/>
          <w:noProof/>
          <w:color w:val="auto"/>
          <w:sz w:val="22"/>
          <w:szCs w:val="22"/>
        </w:rPr>
      </w:pPr>
      <w:hyperlink w:anchor="_Toc429391531" w:history="1">
        <w:r w:rsidRPr="007E3619">
          <w:rPr>
            <w:rStyle w:val="Hyperlink"/>
            <w:noProof/>
          </w:rPr>
          <w:t>Total-hospital annual antimicrobial usage rates</w:t>
        </w:r>
        <w:r>
          <w:rPr>
            <w:noProof/>
            <w:webHidden/>
          </w:rPr>
          <w:tab/>
        </w:r>
        <w:r>
          <w:rPr>
            <w:noProof/>
            <w:webHidden/>
          </w:rPr>
          <w:fldChar w:fldCharType="begin"/>
        </w:r>
        <w:r>
          <w:rPr>
            <w:noProof/>
            <w:webHidden/>
          </w:rPr>
          <w:instrText xml:space="preserve"> PAGEREF _Toc429391531 \h </w:instrText>
        </w:r>
        <w:r>
          <w:rPr>
            <w:noProof/>
            <w:webHidden/>
          </w:rPr>
        </w:r>
        <w:r>
          <w:rPr>
            <w:noProof/>
            <w:webHidden/>
          </w:rPr>
          <w:fldChar w:fldCharType="separate"/>
        </w:r>
        <w:r w:rsidR="00881525">
          <w:rPr>
            <w:noProof/>
            <w:webHidden/>
          </w:rPr>
          <w:t>11</w:t>
        </w:r>
        <w:r>
          <w:rPr>
            <w:noProof/>
            <w:webHidden/>
          </w:rPr>
          <w:fldChar w:fldCharType="end"/>
        </w:r>
      </w:hyperlink>
    </w:p>
    <w:p w14:paraId="61FAD9D4" w14:textId="77777777" w:rsidR="005A1501" w:rsidRDefault="005A1501">
      <w:pPr>
        <w:pStyle w:val="TOC2"/>
        <w:rPr>
          <w:rFonts w:asciiTheme="minorHAnsi" w:eastAsiaTheme="minorEastAsia" w:hAnsiTheme="minorHAnsi" w:cstheme="minorBidi"/>
          <w:noProof/>
          <w:color w:val="auto"/>
          <w:sz w:val="22"/>
          <w:szCs w:val="22"/>
        </w:rPr>
      </w:pPr>
      <w:hyperlink w:anchor="_Toc429391532" w:history="1">
        <w:r w:rsidRPr="007E3619">
          <w:rPr>
            <w:rStyle w:val="Hyperlink"/>
            <w:noProof/>
          </w:rPr>
          <w:t>Top 20 antibacterials</w:t>
        </w:r>
        <w:r>
          <w:rPr>
            <w:noProof/>
            <w:webHidden/>
          </w:rPr>
          <w:tab/>
        </w:r>
        <w:r>
          <w:rPr>
            <w:noProof/>
            <w:webHidden/>
          </w:rPr>
          <w:fldChar w:fldCharType="begin"/>
        </w:r>
        <w:r>
          <w:rPr>
            <w:noProof/>
            <w:webHidden/>
          </w:rPr>
          <w:instrText xml:space="preserve"> PAGEREF _Toc429391532 \h </w:instrText>
        </w:r>
        <w:r>
          <w:rPr>
            <w:noProof/>
            <w:webHidden/>
          </w:rPr>
        </w:r>
        <w:r>
          <w:rPr>
            <w:noProof/>
            <w:webHidden/>
          </w:rPr>
          <w:fldChar w:fldCharType="separate"/>
        </w:r>
        <w:r w:rsidR="00881525">
          <w:rPr>
            <w:noProof/>
            <w:webHidden/>
          </w:rPr>
          <w:t>16</w:t>
        </w:r>
        <w:r>
          <w:rPr>
            <w:noProof/>
            <w:webHidden/>
          </w:rPr>
          <w:fldChar w:fldCharType="end"/>
        </w:r>
      </w:hyperlink>
    </w:p>
    <w:p w14:paraId="6F8378B9" w14:textId="77777777" w:rsidR="005A1501" w:rsidRDefault="005A1501">
      <w:pPr>
        <w:pStyle w:val="TOC2"/>
        <w:rPr>
          <w:rFonts w:asciiTheme="minorHAnsi" w:eastAsiaTheme="minorEastAsia" w:hAnsiTheme="minorHAnsi" w:cstheme="minorBidi"/>
          <w:noProof/>
          <w:color w:val="auto"/>
          <w:sz w:val="22"/>
          <w:szCs w:val="22"/>
        </w:rPr>
      </w:pPr>
      <w:hyperlink w:anchor="_Toc429391533" w:history="1">
        <w:r w:rsidRPr="007E3619">
          <w:rPr>
            <w:rStyle w:val="Hyperlink"/>
            <w:noProof/>
          </w:rPr>
          <w:t>Comparison of usage rates by state</w:t>
        </w:r>
        <w:r>
          <w:rPr>
            <w:noProof/>
            <w:webHidden/>
          </w:rPr>
          <w:tab/>
        </w:r>
        <w:r>
          <w:rPr>
            <w:noProof/>
            <w:webHidden/>
          </w:rPr>
          <w:fldChar w:fldCharType="begin"/>
        </w:r>
        <w:r>
          <w:rPr>
            <w:noProof/>
            <w:webHidden/>
          </w:rPr>
          <w:instrText xml:space="preserve"> PAGEREF _Toc429391533 \h </w:instrText>
        </w:r>
        <w:r>
          <w:rPr>
            <w:noProof/>
            <w:webHidden/>
          </w:rPr>
        </w:r>
        <w:r>
          <w:rPr>
            <w:noProof/>
            <w:webHidden/>
          </w:rPr>
          <w:fldChar w:fldCharType="separate"/>
        </w:r>
        <w:r w:rsidR="00881525">
          <w:rPr>
            <w:noProof/>
            <w:webHidden/>
          </w:rPr>
          <w:t>17</w:t>
        </w:r>
        <w:r>
          <w:rPr>
            <w:noProof/>
            <w:webHidden/>
          </w:rPr>
          <w:fldChar w:fldCharType="end"/>
        </w:r>
      </w:hyperlink>
    </w:p>
    <w:p w14:paraId="21BB41D4" w14:textId="77777777" w:rsidR="005A1501" w:rsidRDefault="005A1501">
      <w:pPr>
        <w:pStyle w:val="TOC2"/>
        <w:rPr>
          <w:rFonts w:asciiTheme="minorHAnsi" w:eastAsiaTheme="minorEastAsia" w:hAnsiTheme="minorHAnsi" w:cstheme="minorBidi"/>
          <w:noProof/>
          <w:color w:val="auto"/>
          <w:sz w:val="22"/>
          <w:szCs w:val="22"/>
        </w:rPr>
      </w:pPr>
      <w:hyperlink w:anchor="_Toc429391534" w:history="1">
        <w:r w:rsidRPr="007E3619">
          <w:rPr>
            <w:rStyle w:val="Hyperlink"/>
            <w:noProof/>
          </w:rPr>
          <w:t>Intrastate usage rates</w:t>
        </w:r>
        <w:r>
          <w:rPr>
            <w:noProof/>
            <w:webHidden/>
          </w:rPr>
          <w:tab/>
        </w:r>
        <w:r>
          <w:rPr>
            <w:noProof/>
            <w:webHidden/>
          </w:rPr>
          <w:fldChar w:fldCharType="begin"/>
        </w:r>
        <w:r>
          <w:rPr>
            <w:noProof/>
            <w:webHidden/>
          </w:rPr>
          <w:instrText xml:space="preserve"> PAGEREF _Toc429391534 \h </w:instrText>
        </w:r>
        <w:r>
          <w:rPr>
            <w:noProof/>
            <w:webHidden/>
          </w:rPr>
        </w:r>
        <w:r>
          <w:rPr>
            <w:noProof/>
            <w:webHidden/>
          </w:rPr>
          <w:fldChar w:fldCharType="separate"/>
        </w:r>
        <w:r w:rsidR="00881525">
          <w:rPr>
            <w:noProof/>
            <w:webHidden/>
          </w:rPr>
          <w:t>19</w:t>
        </w:r>
        <w:r>
          <w:rPr>
            <w:noProof/>
            <w:webHidden/>
          </w:rPr>
          <w:fldChar w:fldCharType="end"/>
        </w:r>
      </w:hyperlink>
    </w:p>
    <w:p w14:paraId="27D915CB" w14:textId="77777777" w:rsidR="005A1501" w:rsidRDefault="005A1501">
      <w:pPr>
        <w:pStyle w:val="TOC1"/>
        <w:rPr>
          <w:rFonts w:asciiTheme="minorHAnsi" w:eastAsiaTheme="minorEastAsia" w:hAnsiTheme="minorHAnsi" w:cstheme="minorBidi"/>
          <w:b w:val="0"/>
          <w:bCs w:val="0"/>
          <w:color w:val="auto"/>
          <w:sz w:val="22"/>
          <w:szCs w:val="22"/>
        </w:rPr>
      </w:pPr>
      <w:hyperlink w:anchor="_Toc429391535" w:history="1">
        <w:r w:rsidRPr="007E3619">
          <w:rPr>
            <w:rStyle w:val="Hyperlink"/>
          </w:rPr>
          <w:t>Annual usage rates by antimicrobial class, 2010–14</w:t>
        </w:r>
        <w:r>
          <w:rPr>
            <w:webHidden/>
          </w:rPr>
          <w:tab/>
        </w:r>
        <w:r>
          <w:rPr>
            <w:webHidden/>
          </w:rPr>
          <w:fldChar w:fldCharType="begin"/>
        </w:r>
        <w:r>
          <w:rPr>
            <w:webHidden/>
          </w:rPr>
          <w:instrText xml:space="preserve"> PAGEREF _Toc429391535 \h </w:instrText>
        </w:r>
        <w:r>
          <w:rPr>
            <w:webHidden/>
          </w:rPr>
        </w:r>
        <w:r>
          <w:rPr>
            <w:webHidden/>
          </w:rPr>
          <w:fldChar w:fldCharType="separate"/>
        </w:r>
        <w:r w:rsidR="00881525">
          <w:rPr>
            <w:webHidden/>
          </w:rPr>
          <w:t>25</w:t>
        </w:r>
        <w:r>
          <w:rPr>
            <w:webHidden/>
          </w:rPr>
          <w:fldChar w:fldCharType="end"/>
        </w:r>
      </w:hyperlink>
    </w:p>
    <w:p w14:paraId="4E25D3ED" w14:textId="77777777" w:rsidR="005A1501" w:rsidRDefault="005A1501">
      <w:pPr>
        <w:pStyle w:val="TOC2"/>
        <w:rPr>
          <w:rFonts w:asciiTheme="minorHAnsi" w:eastAsiaTheme="minorEastAsia" w:hAnsiTheme="minorHAnsi" w:cstheme="minorBidi"/>
          <w:noProof/>
          <w:color w:val="auto"/>
          <w:sz w:val="22"/>
          <w:szCs w:val="22"/>
        </w:rPr>
      </w:pPr>
      <w:hyperlink w:anchor="_Toc429391536" w:history="1">
        <w:r w:rsidRPr="007E3619">
          <w:rPr>
            <w:rStyle w:val="Hyperlink"/>
            <w:noProof/>
          </w:rPr>
          <w:t>Total-hospital usage rates for antibacterial classes</w:t>
        </w:r>
        <w:r>
          <w:rPr>
            <w:noProof/>
            <w:webHidden/>
          </w:rPr>
          <w:tab/>
        </w:r>
        <w:r>
          <w:rPr>
            <w:noProof/>
            <w:webHidden/>
          </w:rPr>
          <w:fldChar w:fldCharType="begin"/>
        </w:r>
        <w:r>
          <w:rPr>
            <w:noProof/>
            <w:webHidden/>
          </w:rPr>
          <w:instrText xml:space="preserve"> PAGEREF _Toc429391536 \h </w:instrText>
        </w:r>
        <w:r>
          <w:rPr>
            <w:noProof/>
            <w:webHidden/>
          </w:rPr>
        </w:r>
        <w:r>
          <w:rPr>
            <w:noProof/>
            <w:webHidden/>
          </w:rPr>
          <w:fldChar w:fldCharType="separate"/>
        </w:r>
        <w:r w:rsidR="00881525">
          <w:rPr>
            <w:noProof/>
            <w:webHidden/>
          </w:rPr>
          <w:t>25</w:t>
        </w:r>
        <w:r>
          <w:rPr>
            <w:noProof/>
            <w:webHidden/>
          </w:rPr>
          <w:fldChar w:fldCharType="end"/>
        </w:r>
      </w:hyperlink>
    </w:p>
    <w:p w14:paraId="1C401A5E" w14:textId="77777777" w:rsidR="005A1501" w:rsidRDefault="005A1501">
      <w:pPr>
        <w:pStyle w:val="TOC1"/>
        <w:rPr>
          <w:rFonts w:asciiTheme="minorHAnsi" w:eastAsiaTheme="minorEastAsia" w:hAnsiTheme="minorHAnsi" w:cstheme="minorBidi"/>
          <w:b w:val="0"/>
          <w:bCs w:val="0"/>
          <w:color w:val="auto"/>
          <w:sz w:val="22"/>
          <w:szCs w:val="22"/>
        </w:rPr>
      </w:pPr>
      <w:hyperlink w:anchor="_Toc429391537" w:history="1">
        <w:r w:rsidRPr="007E3619">
          <w:rPr>
            <w:rStyle w:val="Hyperlink"/>
          </w:rPr>
          <w:t>Antimicrobial usage rates by individual agent, 2014</w:t>
        </w:r>
        <w:r>
          <w:rPr>
            <w:webHidden/>
          </w:rPr>
          <w:tab/>
        </w:r>
        <w:r>
          <w:rPr>
            <w:webHidden/>
          </w:rPr>
          <w:fldChar w:fldCharType="begin"/>
        </w:r>
        <w:r>
          <w:rPr>
            <w:webHidden/>
          </w:rPr>
          <w:instrText xml:space="preserve"> PAGEREF _Toc429391537 \h </w:instrText>
        </w:r>
        <w:r>
          <w:rPr>
            <w:webHidden/>
          </w:rPr>
        </w:r>
        <w:r>
          <w:rPr>
            <w:webHidden/>
          </w:rPr>
          <w:fldChar w:fldCharType="separate"/>
        </w:r>
        <w:r w:rsidR="00881525">
          <w:rPr>
            <w:webHidden/>
          </w:rPr>
          <w:t>28</w:t>
        </w:r>
        <w:r>
          <w:rPr>
            <w:webHidden/>
          </w:rPr>
          <w:fldChar w:fldCharType="end"/>
        </w:r>
      </w:hyperlink>
    </w:p>
    <w:p w14:paraId="624057DF" w14:textId="77777777" w:rsidR="005A1501" w:rsidRDefault="005A1501">
      <w:pPr>
        <w:pStyle w:val="TOC2"/>
        <w:rPr>
          <w:rFonts w:asciiTheme="minorHAnsi" w:eastAsiaTheme="minorEastAsia" w:hAnsiTheme="minorHAnsi" w:cstheme="minorBidi"/>
          <w:noProof/>
          <w:color w:val="auto"/>
          <w:sz w:val="22"/>
          <w:szCs w:val="22"/>
        </w:rPr>
      </w:pPr>
      <w:hyperlink w:anchor="_Toc429391538" w:history="1">
        <w:r w:rsidRPr="007E3619">
          <w:rPr>
            <w:rStyle w:val="Hyperlink"/>
            <w:noProof/>
          </w:rPr>
          <w:t>Aminoglycosides – amikacin, gentamicin, tobramycin</w:t>
        </w:r>
        <w:r>
          <w:rPr>
            <w:noProof/>
            <w:webHidden/>
          </w:rPr>
          <w:tab/>
        </w:r>
        <w:r>
          <w:rPr>
            <w:noProof/>
            <w:webHidden/>
          </w:rPr>
          <w:fldChar w:fldCharType="begin"/>
        </w:r>
        <w:r>
          <w:rPr>
            <w:noProof/>
            <w:webHidden/>
          </w:rPr>
          <w:instrText xml:space="preserve"> PAGEREF _Toc429391538 \h </w:instrText>
        </w:r>
        <w:r>
          <w:rPr>
            <w:noProof/>
            <w:webHidden/>
          </w:rPr>
        </w:r>
        <w:r>
          <w:rPr>
            <w:noProof/>
            <w:webHidden/>
          </w:rPr>
          <w:fldChar w:fldCharType="separate"/>
        </w:r>
        <w:r w:rsidR="00881525">
          <w:rPr>
            <w:noProof/>
            <w:webHidden/>
          </w:rPr>
          <w:t>28</w:t>
        </w:r>
        <w:r>
          <w:rPr>
            <w:noProof/>
            <w:webHidden/>
          </w:rPr>
          <w:fldChar w:fldCharType="end"/>
        </w:r>
      </w:hyperlink>
    </w:p>
    <w:p w14:paraId="5977EA0A" w14:textId="77777777" w:rsidR="005A1501" w:rsidRDefault="005A1501">
      <w:pPr>
        <w:pStyle w:val="TOC2"/>
        <w:rPr>
          <w:rFonts w:asciiTheme="minorHAnsi" w:eastAsiaTheme="minorEastAsia" w:hAnsiTheme="minorHAnsi" w:cstheme="minorBidi"/>
          <w:noProof/>
          <w:color w:val="auto"/>
          <w:sz w:val="22"/>
          <w:szCs w:val="22"/>
        </w:rPr>
      </w:pPr>
      <w:hyperlink w:anchor="_Toc429391539" w:history="1">
        <w:r w:rsidRPr="007E3619">
          <w:rPr>
            <w:rStyle w:val="Hyperlink"/>
            <w:noProof/>
          </w:rPr>
          <w:t>Carbapenems – doripenem, ertapenem, imipenem, meropenem</w:t>
        </w:r>
        <w:r>
          <w:rPr>
            <w:noProof/>
            <w:webHidden/>
          </w:rPr>
          <w:tab/>
        </w:r>
        <w:r>
          <w:rPr>
            <w:noProof/>
            <w:webHidden/>
          </w:rPr>
          <w:fldChar w:fldCharType="begin"/>
        </w:r>
        <w:r>
          <w:rPr>
            <w:noProof/>
            <w:webHidden/>
          </w:rPr>
          <w:instrText xml:space="preserve"> PAGEREF _Toc429391539 \h </w:instrText>
        </w:r>
        <w:r>
          <w:rPr>
            <w:noProof/>
            <w:webHidden/>
          </w:rPr>
        </w:r>
        <w:r>
          <w:rPr>
            <w:noProof/>
            <w:webHidden/>
          </w:rPr>
          <w:fldChar w:fldCharType="separate"/>
        </w:r>
        <w:r w:rsidR="00881525">
          <w:rPr>
            <w:noProof/>
            <w:webHidden/>
          </w:rPr>
          <w:t>29</w:t>
        </w:r>
        <w:r>
          <w:rPr>
            <w:noProof/>
            <w:webHidden/>
          </w:rPr>
          <w:fldChar w:fldCharType="end"/>
        </w:r>
      </w:hyperlink>
    </w:p>
    <w:p w14:paraId="685A6E47" w14:textId="77777777" w:rsidR="005A1501" w:rsidRDefault="005A1501">
      <w:pPr>
        <w:pStyle w:val="TOC2"/>
        <w:rPr>
          <w:rFonts w:asciiTheme="minorHAnsi" w:eastAsiaTheme="minorEastAsia" w:hAnsiTheme="minorHAnsi" w:cstheme="minorBidi"/>
          <w:noProof/>
          <w:color w:val="auto"/>
          <w:sz w:val="22"/>
          <w:szCs w:val="22"/>
        </w:rPr>
      </w:pPr>
      <w:hyperlink w:anchor="_Toc429391540" w:history="1">
        <w:r w:rsidRPr="007E3619">
          <w:rPr>
            <w:rStyle w:val="Hyperlink"/>
            <w:noProof/>
          </w:rPr>
          <w:t>Third- and fourth-generation cephalosporins – ceftriaxone, cefotaxime, ceftazidime, cefepime</w:t>
        </w:r>
        <w:r>
          <w:rPr>
            <w:noProof/>
            <w:webHidden/>
          </w:rPr>
          <w:tab/>
        </w:r>
        <w:r>
          <w:rPr>
            <w:noProof/>
            <w:webHidden/>
          </w:rPr>
          <w:fldChar w:fldCharType="begin"/>
        </w:r>
        <w:r>
          <w:rPr>
            <w:noProof/>
            <w:webHidden/>
          </w:rPr>
          <w:instrText xml:space="preserve"> PAGEREF _Toc429391540 \h </w:instrText>
        </w:r>
        <w:r>
          <w:rPr>
            <w:noProof/>
            <w:webHidden/>
          </w:rPr>
        </w:r>
        <w:r>
          <w:rPr>
            <w:noProof/>
            <w:webHidden/>
          </w:rPr>
          <w:fldChar w:fldCharType="separate"/>
        </w:r>
        <w:r w:rsidR="00881525">
          <w:rPr>
            <w:noProof/>
            <w:webHidden/>
          </w:rPr>
          <w:t>29</w:t>
        </w:r>
        <w:r>
          <w:rPr>
            <w:noProof/>
            <w:webHidden/>
          </w:rPr>
          <w:fldChar w:fldCharType="end"/>
        </w:r>
      </w:hyperlink>
    </w:p>
    <w:p w14:paraId="7045822A" w14:textId="77777777" w:rsidR="005A1501" w:rsidRDefault="005A1501">
      <w:pPr>
        <w:pStyle w:val="TOC2"/>
        <w:rPr>
          <w:rFonts w:asciiTheme="minorHAnsi" w:eastAsiaTheme="minorEastAsia" w:hAnsiTheme="minorHAnsi" w:cstheme="minorBidi"/>
          <w:noProof/>
          <w:color w:val="auto"/>
          <w:sz w:val="22"/>
          <w:szCs w:val="22"/>
        </w:rPr>
      </w:pPr>
      <w:hyperlink w:anchor="_Toc429391541" w:history="1">
        <w:r w:rsidRPr="007E3619">
          <w:rPr>
            <w:rStyle w:val="Hyperlink"/>
            <w:noProof/>
          </w:rPr>
          <w:t>Fluoroquinolones – ciprofloxacin, norfloxacin, moxifloxacin</w:t>
        </w:r>
        <w:r>
          <w:rPr>
            <w:noProof/>
            <w:webHidden/>
          </w:rPr>
          <w:tab/>
        </w:r>
        <w:r>
          <w:rPr>
            <w:noProof/>
            <w:webHidden/>
          </w:rPr>
          <w:fldChar w:fldCharType="begin"/>
        </w:r>
        <w:r>
          <w:rPr>
            <w:noProof/>
            <w:webHidden/>
          </w:rPr>
          <w:instrText xml:space="preserve"> PAGEREF _Toc429391541 \h </w:instrText>
        </w:r>
        <w:r>
          <w:rPr>
            <w:noProof/>
            <w:webHidden/>
          </w:rPr>
        </w:r>
        <w:r>
          <w:rPr>
            <w:noProof/>
            <w:webHidden/>
          </w:rPr>
          <w:fldChar w:fldCharType="separate"/>
        </w:r>
        <w:r w:rsidR="00881525">
          <w:rPr>
            <w:noProof/>
            <w:webHidden/>
          </w:rPr>
          <w:t>30</w:t>
        </w:r>
        <w:r>
          <w:rPr>
            <w:noProof/>
            <w:webHidden/>
          </w:rPr>
          <w:fldChar w:fldCharType="end"/>
        </w:r>
      </w:hyperlink>
    </w:p>
    <w:p w14:paraId="359F866F" w14:textId="77777777" w:rsidR="005A1501" w:rsidRDefault="005A1501">
      <w:pPr>
        <w:pStyle w:val="TOC2"/>
        <w:rPr>
          <w:rFonts w:asciiTheme="minorHAnsi" w:eastAsiaTheme="minorEastAsia" w:hAnsiTheme="minorHAnsi" w:cstheme="minorBidi"/>
          <w:noProof/>
          <w:color w:val="auto"/>
          <w:sz w:val="22"/>
          <w:szCs w:val="22"/>
        </w:rPr>
      </w:pPr>
      <w:hyperlink w:anchor="_Toc429391542" w:history="1">
        <w:r w:rsidRPr="007E3619">
          <w:rPr>
            <w:rStyle w:val="Hyperlink"/>
            <w:noProof/>
          </w:rPr>
          <w:t>Glycopeptides – vancomycin, teicoplanin</w:t>
        </w:r>
        <w:r>
          <w:rPr>
            <w:noProof/>
            <w:webHidden/>
          </w:rPr>
          <w:tab/>
        </w:r>
        <w:r>
          <w:rPr>
            <w:noProof/>
            <w:webHidden/>
          </w:rPr>
          <w:fldChar w:fldCharType="begin"/>
        </w:r>
        <w:r>
          <w:rPr>
            <w:noProof/>
            <w:webHidden/>
          </w:rPr>
          <w:instrText xml:space="preserve"> PAGEREF _Toc429391542 \h </w:instrText>
        </w:r>
        <w:r>
          <w:rPr>
            <w:noProof/>
            <w:webHidden/>
          </w:rPr>
        </w:r>
        <w:r>
          <w:rPr>
            <w:noProof/>
            <w:webHidden/>
          </w:rPr>
          <w:fldChar w:fldCharType="separate"/>
        </w:r>
        <w:r w:rsidR="00881525">
          <w:rPr>
            <w:noProof/>
            <w:webHidden/>
          </w:rPr>
          <w:t>32</w:t>
        </w:r>
        <w:r>
          <w:rPr>
            <w:noProof/>
            <w:webHidden/>
          </w:rPr>
          <w:fldChar w:fldCharType="end"/>
        </w:r>
      </w:hyperlink>
    </w:p>
    <w:p w14:paraId="43F52FDC" w14:textId="77777777" w:rsidR="005A1501" w:rsidRDefault="005A1501">
      <w:pPr>
        <w:pStyle w:val="TOC2"/>
        <w:rPr>
          <w:rFonts w:asciiTheme="minorHAnsi" w:eastAsiaTheme="minorEastAsia" w:hAnsiTheme="minorHAnsi" w:cstheme="minorBidi"/>
          <w:noProof/>
          <w:color w:val="auto"/>
          <w:sz w:val="22"/>
          <w:szCs w:val="22"/>
        </w:rPr>
      </w:pPr>
      <w:hyperlink w:anchor="_Toc429391543" w:history="1">
        <w:r w:rsidRPr="007E3619">
          <w:rPr>
            <w:rStyle w:val="Hyperlink"/>
            <w:noProof/>
          </w:rPr>
          <w:t>Macrolides – azithromycin, clarithromycin, erythromycin, roxithromycin</w:t>
        </w:r>
        <w:r>
          <w:rPr>
            <w:noProof/>
            <w:webHidden/>
          </w:rPr>
          <w:tab/>
        </w:r>
        <w:r>
          <w:rPr>
            <w:noProof/>
            <w:webHidden/>
          </w:rPr>
          <w:fldChar w:fldCharType="begin"/>
        </w:r>
        <w:r>
          <w:rPr>
            <w:noProof/>
            <w:webHidden/>
          </w:rPr>
          <w:instrText xml:space="preserve"> PAGEREF _Toc429391543 \h </w:instrText>
        </w:r>
        <w:r>
          <w:rPr>
            <w:noProof/>
            <w:webHidden/>
          </w:rPr>
        </w:r>
        <w:r>
          <w:rPr>
            <w:noProof/>
            <w:webHidden/>
          </w:rPr>
          <w:fldChar w:fldCharType="separate"/>
        </w:r>
        <w:r w:rsidR="00881525">
          <w:rPr>
            <w:noProof/>
            <w:webHidden/>
          </w:rPr>
          <w:t>33</w:t>
        </w:r>
        <w:r>
          <w:rPr>
            <w:noProof/>
            <w:webHidden/>
          </w:rPr>
          <w:fldChar w:fldCharType="end"/>
        </w:r>
      </w:hyperlink>
    </w:p>
    <w:p w14:paraId="3039D51A" w14:textId="77777777" w:rsidR="005A1501" w:rsidRDefault="005A1501">
      <w:pPr>
        <w:pStyle w:val="TOC2"/>
        <w:rPr>
          <w:rFonts w:asciiTheme="minorHAnsi" w:eastAsiaTheme="minorEastAsia" w:hAnsiTheme="minorHAnsi" w:cstheme="minorBidi"/>
          <w:noProof/>
          <w:color w:val="auto"/>
          <w:sz w:val="22"/>
          <w:szCs w:val="22"/>
        </w:rPr>
      </w:pPr>
      <w:hyperlink w:anchor="_Toc429391544" w:history="1">
        <w:r w:rsidRPr="007E3619">
          <w:rPr>
            <w:rStyle w:val="Hyperlink"/>
            <w:noProof/>
          </w:rPr>
          <w:t>Penicillins – penicillin/ß-lactamase inhibitor combinations: ticarcillin with clavulanate, piperacillin with tazobactam, amoxycillin with clavulanic acid</w:t>
        </w:r>
        <w:r>
          <w:rPr>
            <w:noProof/>
            <w:webHidden/>
          </w:rPr>
          <w:tab/>
        </w:r>
        <w:r>
          <w:rPr>
            <w:noProof/>
            <w:webHidden/>
          </w:rPr>
          <w:fldChar w:fldCharType="begin"/>
        </w:r>
        <w:r>
          <w:rPr>
            <w:noProof/>
            <w:webHidden/>
          </w:rPr>
          <w:instrText xml:space="preserve"> PAGEREF _Toc429391544 \h </w:instrText>
        </w:r>
        <w:r>
          <w:rPr>
            <w:noProof/>
            <w:webHidden/>
          </w:rPr>
        </w:r>
        <w:r>
          <w:rPr>
            <w:noProof/>
            <w:webHidden/>
          </w:rPr>
          <w:fldChar w:fldCharType="separate"/>
        </w:r>
        <w:r w:rsidR="00881525">
          <w:rPr>
            <w:noProof/>
            <w:webHidden/>
          </w:rPr>
          <w:t>34</w:t>
        </w:r>
        <w:r>
          <w:rPr>
            <w:noProof/>
            <w:webHidden/>
          </w:rPr>
          <w:fldChar w:fldCharType="end"/>
        </w:r>
      </w:hyperlink>
    </w:p>
    <w:p w14:paraId="35B1198B" w14:textId="77777777" w:rsidR="005A1501" w:rsidRDefault="005A1501">
      <w:pPr>
        <w:pStyle w:val="TOC2"/>
        <w:rPr>
          <w:rFonts w:asciiTheme="minorHAnsi" w:eastAsiaTheme="minorEastAsia" w:hAnsiTheme="minorHAnsi" w:cstheme="minorBidi"/>
          <w:noProof/>
          <w:color w:val="auto"/>
          <w:sz w:val="22"/>
          <w:szCs w:val="22"/>
        </w:rPr>
      </w:pPr>
      <w:hyperlink w:anchor="_Toc429391545" w:history="1">
        <w:r w:rsidRPr="007E3619">
          <w:rPr>
            <w:rStyle w:val="Hyperlink"/>
            <w:noProof/>
          </w:rPr>
          <w:t>Reserve-line agents – colistin, daptomycin, linezolid, tigecycline, ceftaroline</w:t>
        </w:r>
        <w:r>
          <w:rPr>
            <w:noProof/>
            <w:webHidden/>
          </w:rPr>
          <w:tab/>
        </w:r>
        <w:r>
          <w:rPr>
            <w:noProof/>
            <w:webHidden/>
          </w:rPr>
          <w:fldChar w:fldCharType="begin"/>
        </w:r>
        <w:r>
          <w:rPr>
            <w:noProof/>
            <w:webHidden/>
          </w:rPr>
          <w:instrText xml:space="preserve"> PAGEREF _Toc429391545 \h </w:instrText>
        </w:r>
        <w:r>
          <w:rPr>
            <w:noProof/>
            <w:webHidden/>
          </w:rPr>
        </w:r>
        <w:r>
          <w:rPr>
            <w:noProof/>
            <w:webHidden/>
          </w:rPr>
          <w:fldChar w:fldCharType="separate"/>
        </w:r>
        <w:r w:rsidR="00881525">
          <w:rPr>
            <w:noProof/>
            <w:webHidden/>
          </w:rPr>
          <w:t>36</w:t>
        </w:r>
        <w:r>
          <w:rPr>
            <w:noProof/>
            <w:webHidden/>
          </w:rPr>
          <w:fldChar w:fldCharType="end"/>
        </w:r>
      </w:hyperlink>
    </w:p>
    <w:p w14:paraId="41FB61C8" w14:textId="77777777" w:rsidR="005A1501" w:rsidRDefault="005A1501">
      <w:pPr>
        <w:spacing w:after="0"/>
        <w:rPr>
          <w:rStyle w:val="Hyperlink"/>
          <w:b/>
          <w:bCs/>
          <w:noProof/>
        </w:rPr>
      </w:pPr>
      <w:r>
        <w:rPr>
          <w:rStyle w:val="Hyperlink"/>
          <w:noProof/>
        </w:rPr>
        <w:br w:type="page"/>
      </w:r>
    </w:p>
    <w:p w14:paraId="662DADD4" w14:textId="7C5AC9C4" w:rsidR="005A1501" w:rsidRDefault="005A1501">
      <w:pPr>
        <w:pStyle w:val="TOC1"/>
        <w:rPr>
          <w:rFonts w:asciiTheme="minorHAnsi" w:eastAsiaTheme="minorEastAsia" w:hAnsiTheme="minorHAnsi" w:cstheme="minorBidi"/>
          <w:b w:val="0"/>
          <w:bCs w:val="0"/>
          <w:color w:val="auto"/>
          <w:sz w:val="22"/>
          <w:szCs w:val="22"/>
        </w:rPr>
      </w:pPr>
      <w:hyperlink w:anchor="_Toc429391546" w:history="1">
        <w:r w:rsidRPr="007E3619">
          <w:rPr>
            <w:rStyle w:val="Hyperlink"/>
          </w:rPr>
          <w:t>Analysis of antibacterial usage by peer group</w:t>
        </w:r>
        <w:r>
          <w:rPr>
            <w:webHidden/>
          </w:rPr>
          <w:tab/>
        </w:r>
        <w:r>
          <w:rPr>
            <w:webHidden/>
          </w:rPr>
          <w:fldChar w:fldCharType="begin"/>
        </w:r>
        <w:r>
          <w:rPr>
            <w:webHidden/>
          </w:rPr>
          <w:instrText xml:space="preserve"> PAGEREF _Toc429391546 \h </w:instrText>
        </w:r>
        <w:r>
          <w:rPr>
            <w:webHidden/>
          </w:rPr>
        </w:r>
        <w:r>
          <w:rPr>
            <w:webHidden/>
          </w:rPr>
          <w:fldChar w:fldCharType="separate"/>
        </w:r>
        <w:r w:rsidR="00881525">
          <w:rPr>
            <w:webHidden/>
          </w:rPr>
          <w:t>37</w:t>
        </w:r>
        <w:r>
          <w:rPr>
            <w:webHidden/>
          </w:rPr>
          <w:fldChar w:fldCharType="end"/>
        </w:r>
      </w:hyperlink>
    </w:p>
    <w:p w14:paraId="01729109" w14:textId="77777777" w:rsidR="005A1501" w:rsidRDefault="005A1501">
      <w:pPr>
        <w:pStyle w:val="TOC2"/>
        <w:rPr>
          <w:rFonts w:asciiTheme="minorHAnsi" w:eastAsiaTheme="minorEastAsia" w:hAnsiTheme="minorHAnsi" w:cstheme="minorBidi"/>
          <w:noProof/>
          <w:color w:val="auto"/>
          <w:sz w:val="22"/>
          <w:szCs w:val="22"/>
        </w:rPr>
      </w:pPr>
      <w:hyperlink w:anchor="_Toc429391547" w:history="1">
        <w:r w:rsidRPr="007E3619">
          <w:rPr>
            <w:rStyle w:val="Hyperlink"/>
            <w:noProof/>
          </w:rPr>
          <w:t>Aminoglycosides</w:t>
        </w:r>
        <w:r>
          <w:rPr>
            <w:noProof/>
            <w:webHidden/>
          </w:rPr>
          <w:tab/>
        </w:r>
        <w:r>
          <w:rPr>
            <w:noProof/>
            <w:webHidden/>
          </w:rPr>
          <w:fldChar w:fldCharType="begin"/>
        </w:r>
        <w:r>
          <w:rPr>
            <w:noProof/>
            <w:webHidden/>
          </w:rPr>
          <w:instrText xml:space="preserve"> PAGEREF _Toc429391547 \h </w:instrText>
        </w:r>
        <w:r>
          <w:rPr>
            <w:noProof/>
            <w:webHidden/>
          </w:rPr>
        </w:r>
        <w:r>
          <w:rPr>
            <w:noProof/>
            <w:webHidden/>
          </w:rPr>
          <w:fldChar w:fldCharType="separate"/>
        </w:r>
        <w:r w:rsidR="00881525">
          <w:rPr>
            <w:noProof/>
            <w:webHidden/>
          </w:rPr>
          <w:t>37</w:t>
        </w:r>
        <w:r>
          <w:rPr>
            <w:noProof/>
            <w:webHidden/>
          </w:rPr>
          <w:fldChar w:fldCharType="end"/>
        </w:r>
      </w:hyperlink>
    </w:p>
    <w:p w14:paraId="2332B2C7" w14:textId="77777777" w:rsidR="005A1501" w:rsidRDefault="005A1501">
      <w:pPr>
        <w:pStyle w:val="TOC2"/>
        <w:rPr>
          <w:rFonts w:asciiTheme="minorHAnsi" w:eastAsiaTheme="minorEastAsia" w:hAnsiTheme="minorHAnsi" w:cstheme="minorBidi"/>
          <w:noProof/>
          <w:color w:val="auto"/>
          <w:sz w:val="22"/>
          <w:szCs w:val="22"/>
        </w:rPr>
      </w:pPr>
      <w:hyperlink w:anchor="_Toc429391548" w:history="1">
        <w:r w:rsidRPr="007E3619">
          <w:rPr>
            <w:rStyle w:val="Hyperlink"/>
            <w:noProof/>
          </w:rPr>
          <w:t>Carbapenems</w:t>
        </w:r>
        <w:r>
          <w:rPr>
            <w:noProof/>
            <w:webHidden/>
          </w:rPr>
          <w:tab/>
        </w:r>
        <w:r>
          <w:rPr>
            <w:noProof/>
            <w:webHidden/>
          </w:rPr>
          <w:fldChar w:fldCharType="begin"/>
        </w:r>
        <w:r>
          <w:rPr>
            <w:noProof/>
            <w:webHidden/>
          </w:rPr>
          <w:instrText xml:space="preserve"> PAGEREF _Toc429391548 \h </w:instrText>
        </w:r>
        <w:r>
          <w:rPr>
            <w:noProof/>
            <w:webHidden/>
          </w:rPr>
        </w:r>
        <w:r>
          <w:rPr>
            <w:noProof/>
            <w:webHidden/>
          </w:rPr>
          <w:fldChar w:fldCharType="separate"/>
        </w:r>
        <w:r w:rsidR="00881525">
          <w:rPr>
            <w:noProof/>
            <w:webHidden/>
          </w:rPr>
          <w:t>37</w:t>
        </w:r>
        <w:r>
          <w:rPr>
            <w:noProof/>
            <w:webHidden/>
          </w:rPr>
          <w:fldChar w:fldCharType="end"/>
        </w:r>
      </w:hyperlink>
    </w:p>
    <w:p w14:paraId="6B015216" w14:textId="77777777" w:rsidR="005A1501" w:rsidRDefault="005A1501">
      <w:pPr>
        <w:pStyle w:val="TOC2"/>
        <w:rPr>
          <w:rFonts w:asciiTheme="minorHAnsi" w:eastAsiaTheme="minorEastAsia" w:hAnsiTheme="minorHAnsi" w:cstheme="minorBidi"/>
          <w:noProof/>
          <w:color w:val="auto"/>
          <w:sz w:val="22"/>
          <w:szCs w:val="22"/>
        </w:rPr>
      </w:pPr>
      <w:hyperlink w:anchor="_Toc429391549" w:history="1">
        <w:r w:rsidRPr="007E3619">
          <w:rPr>
            <w:rStyle w:val="Hyperlink"/>
            <w:noProof/>
          </w:rPr>
          <w:t>Third- and fourth-generation cephalosporins – ceftriaxone, cefotaxime, ceftazidime, cefepime</w:t>
        </w:r>
        <w:r>
          <w:rPr>
            <w:noProof/>
            <w:webHidden/>
          </w:rPr>
          <w:tab/>
        </w:r>
        <w:r>
          <w:rPr>
            <w:noProof/>
            <w:webHidden/>
          </w:rPr>
          <w:fldChar w:fldCharType="begin"/>
        </w:r>
        <w:r>
          <w:rPr>
            <w:noProof/>
            <w:webHidden/>
          </w:rPr>
          <w:instrText xml:space="preserve"> PAGEREF _Toc429391549 \h </w:instrText>
        </w:r>
        <w:r>
          <w:rPr>
            <w:noProof/>
            <w:webHidden/>
          </w:rPr>
        </w:r>
        <w:r>
          <w:rPr>
            <w:noProof/>
            <w:webHidden/>
          </w:rPr>
          <w:fldChar w:fldCharType="separate"/>
        </w:r>
        <w:r w:rsidR="00881525">
          <w:rPr>
            <w:noProof/>
            <w:webHidden/>
          </w:rPr>
          <w:t>38</w:t>
        </w:r>
        <w:r>
          <w:rPr>
            <w:noProof/>
            <w:webHidden/>
          </w:rPr>
          <w:fldChar w:fldCharType="end"/>
        </w:r>
      </w:hyperlink>
    </w:p>
    <w:p w14:paraId="2CB6FA83" w14:textId="77777777" w:rsidR="005A1501" w:rsidRDefault="005A1501">
      <w:pPr>
        <w:pStyle w:val="TOC2"/>
        <w:rPr>
          <w:rFonts w:asciiTheme="minorHAnsi" w:eastAsiaTheme="minorEastAsia" w:hAnsiTheme="minorHAnsi" w:cstheme="minorBidi"/>
          <w:noProof/>
          <w:color w:val="auto"/>
          <w:sz w:val="22"/>
          <w:szCs w:val="22"/>
        </w:rPr>
      </w:pPr>
      <w:hyperlink w:anchor="_Toc429391550" w:history="1">
        <w:r w:rsidRPr="007E3619">
          <w:rPr>
            <w:rStyle w:val="Hyperlink"/>
            <w:noProof/>
          </w:rPr>
          <w:t>Fluoroquinolones – ciprofloxacin, norfloxacin, moxifloxacin</w:t>
        </w:r>
        <w:r>
          <w:rPr>
            <w:noProof/>
            <w:webHidden/>
          </w:rPr>
          <w:tab/>
        </w:r>
        <w:r>
          <w:rPr>
            <w:noProof/>
            <w:webHidden/>
          </w:rPr>
          <w:fldChar w:fldCharType="begin"/>
        </w:r>
        <w:r>
          <w:rPr>
            <w:noProof/>
            <w:webHidden/>
          </w:rPr>
          <w:instrText xml:space="preserve"> PAGEREF _Toc429391550 \h </w:instrText>
        </w:r>
        <w:r>
          <w:rPr>
            <w:noProof/>
            <w:webHidden/>
          </w:rPr>
        </w:r>
        <w:r>
          <w:rPr>
            <w:noProof/>
            <w:webHidden/>
          </w:rPr>
          <w:fldChar w:fldCharType="separate"/>
        </w:r>
        <w:r w:rsidR="00881525">
          <w:rPr>
            <w:noProof/>
            <w:webHidden/>
          </w:rPr>
          <w:t>38</w:t>
        </w:r>
        <w:r>
          <w:rPr>
            <w:noProof/>
            <w:webHidden/>
          </w:rPr>
          <w:fldChar w:fldCharType="end"/>
        </w:r>
      </w:hyperlink>
    </w:p>
    <w:p w14:paraId="02B52DAA" w14:textId="77777777" w:rsidR="005A1501" w:rsidRDefault="005A1501">
      <w:pPr>
        <w:pStyle w:val="TOC2"/>
        <w:rPr>
          <w:rFonts w:asciiTheme="minorHAnsi" w:eastAsiaTheme="minorEastAsia" w:hAnsiTheme="minorHAnsi" w:cstheme="minorBidi"/>
          <w:noProof/>
          <w:color w:val="auto"/>
          <w:sz w:val="22"/>
          <w:szCs w:val="22"/>
        </w:rPr>
      </w:pPr>
      <w:hyperlink w:anchor="_Toc429391551" w:history="1">
        <w:r w:rsidRPr="007E3619">
          <w:rPr>
            <w:rStyle w:val="Hyperlink"/>
            <w:noProof/>
          </w:rPr>
          <w:t>Glycopeptides – vancomycin, teicoplanin</w:t>
        </w:r>
        <w:r>
          <w:rPr>
            <w:noProof/>
            <w:webHidden/>
          </w:rPr>
          <w:tab/>
        </w:r>
        <w:r>
          <w:rPr>
            <w:noProof/>
            <w:webHidden/>
          </w:rPr>
          <w:fldChar w:fldCharType="begin"/>
        </w:r>
        <w:r>
          <w:rPr>
            <w:noProof/>
            <w:webHidden/>
          </w:rPr>
          <w:instrText xml:space="preserve"> PAGEREF _Toc429391551 \h </w:instrText>
        </w:r>
        <w:r>
          <w:rPr>
            <w:noProof/>
            <w:webHidden/>
          </w:rPr>
        </w:r>
        <w:r>
          <w:rPr>
            <w:noProof/>
            <w:webHidden/>
          </w:rPr>
          <w:fldChar w:fldCharType="separate"/>
        </w:r>
        <w:r w:rsidR="00881525">
          <w:rPr>
            <w:noProof/>
            <w:webHidden/>
          </w:rPr>
          <w:t>39</w:t>
        </w:r>
        <w:r>
          <w:rPr>
            <w:noProof/>
            <w:webHidden/>
          </w:rPr>
          <w:fldChar w:fldCharType="end"/>
        </w:r>
      </w:hyperlink>
    </w:p>
    <w:p w14:paraId="7BA57D77" w14:textId="77777777" w:rsidR="005A1501" w:rsidRDefault="005A1501">
      <w:pPr>
        <w:pStyle w:val="TOC2"/>
        <w:rPr>
          <w:rFonts w:asciiTheme="minorHAnsi" w:eastAsiaTheme="minorEastAsia" w:hAnsiTheme="minorHAnsi" w:cstheme="minorBidi"/>
          <w:noProof/>
          <w:color w:val="auto"/>
          <w:sz w:val="22"/>
          <w:szCs w:val="22"/>
        </w:rPr>
      </w:pPr>
      <w:hyperlink w:anchor="_Toc429391552" w:history="1">
        <w:r w:rsidRPr="007E3619">
          <w:rPr>
            <w:rStyle w:val="Hyperlink"/>
            <w:noProof/>
          </w:rPr>
          <w:t>Macrolides – azithromycin, clarithromycin, erythromycin, roxithromycin</w:t>
        </w:r>
        <w:r>
          <w:rPr>
            <w:noProof/>
            <w:webHidden/>
          </w:rPr>
          <w:tab/>
        </w:r>
        <w:r>
          <w:rPr>
            <w:noProof/>
            <w:webHidden/>
          </w:rPr>
          <w:fldChar w:fldCharType="begin"/>
        </w:r>
        <w:r>
          <w:rPr>
            <w:noProof/>
            <w:webHidden/>
          </w:rPr>
          <w:instrText xml:space="preserve"> PAGEREF _Toc429391552 \h </w:instrText>
        </w:r>
        <w:r>
          <w:rPr>
            <w:noProof/>
            <w:webHidden/>
          </w:rPr>
        </w:r>
        <w:r>
          <w:rPr>
            <w:noProof/>
            <w:webHidden/>
          </w:rPr>
          <w:fldChar w:fldCharType="separate"/>
        </w:r>
        <w:r w:rsidR="00881525">
          <w:rPr>
            <w:noProof/>
            <w:webHidden/>
          </w:rPr>
          <w:t>39</w:t>
        </w:r>
        <w:r>
          <w:rPr>
            <w:noProof/>
            <w:webHidden/>
          </w:rPr>
          <w:fldChar w:fldCharType="end"/>
        </w:r>
      </w:hyperlink>
    </w:p>
    <w:p w14:paraId="16CB2C9B" w14:textId="77777777" w:rsidR="005A1501" w:rsidRDefault="005A1501">
      <w:pPr>
        <w:pStyle w:val="TOC2"/>
        <w:rPr>
          <w:rFonts w:asciiTheme="minorHAnsi" w:eastAsiaTheme="minorEastAsia" w:hAnsiTheme="minorHAnsi" w:cstheme="minorBidi"/>
          <w:noProof/>
          <w:color w:val="auto"/>
          <w:sz w:val="22"/>
          <w:szCs w:val="22"/>
        </w:rPr>
      </w:pPr>
      <w:hyperlink w:anchor="_Toc429391553" w:history="1">
        <w:r w:rsidRPr="007E3619">
          <w:rPr>
            <w:rStyle w:val="Hyperlink"/>
            <w:noProof/>
          </w:rPr>
          <w:t>Penicillins – antipseudomonal penicillin/ß-lactamase inhibitor combinations: ticarcillin with clavulanate, piperacillin with tazobactam</w:t>
        </w:r>
        <w:r>
          <w:rPr>
            <w:noProof/>
            <w:webHidden/>
          </w:rPr>
          <w:tab/>
        </w:r>
        <w:r>
          <w:rPr>
            <w:noProof/>
            <w:webHidden/>
          </w:rPr>
          <w:fldChar w:fldCharType="begin"/>
        </w:r>
        <w:r>
          <w:rPr>
            <w:noProof/>
            <w:webHidden/>
          </w:rPr>
          <w:instrText xml:space="preserve"> PAGEREF _Toc429391553 \h </w:instrText>
        </w:r>
        <w:r>
          <w:rPr>
            <w:noProof/>
            <w:webHidden/>
          </w:rPr>
        </w:r>
        <w:r>
          <w:rPr>
            <w:noProof/>
            <w:webHidden/>
          </w:rPr>
          <w:fldChar w:fldCharType="separate"/>
        </w:r>
        <w:r w:rsidR="00881525">
          <w:rPr>
            <w:noProof/>
            <w:webHidden/>
          </w:rPr>
          <w:t>40</w:t>
        </w:r>
        <w:r>
          <w:rPr>
            <w:noProof/>
            <w:webHidden/>
          </w:rPr>
          <w:fldChar w:fldCharType="end"/>
        </w:r>
      </w:hyperlink>
    </w:p>
    <w:p w14:paraId="0B7AEFC8" w14:textId="77777777" w:rsidR="005A1501" w:rsidRDefault="005A1501">
      <w:pPr>
        <w:pStyle w:val="TOC2"/>
        <w:rPr>
          <w:rFonts w:asciiTheme="minorHAnsi" w:eastAsiaTheme="minorEastAsia" w:hAnsiTheme="minorHAnsi" w:cstheme="minorBidi"/>
          <w:noProof/>
          <w:color w:val="auto"/>
          <w:sz w:val="22"/>
          <w:szCs w:val="22"/>
        </w:rPr>
      </w:pPr>
      <w:hyperlink w:anchor="_Toc429391554" w:history="1">
        <w:r w:rsidRPr="007E3619">
          <w:rPr>
            <w:rStyle w:val="Hyperlink"/>
            <w:noProof/>
          </w:rPr>
          <w:t>Reserve-line agents – colistin, daptomycin, linezolid</w:t>
        </w:r>
        <w:r>
          <w:rPr>
            <w:noProof/>
            <w:webHidden/>
          </w:rPr>
          <w:tab/>
        </w:r>
        <w:r>
          <w:rPr>
            <w:noProof/>
            <w:webHidden/>
          </w:rPr>
          <w:fldChar w:fldCharType="begin"/>
        </w:r>
        <w:r>
          <w:rPr>
            <w:noProof/>
            <w:webHidden/>
          </w:rPr>
          <w:instrText xml:space="preserve"> PAGEREF _Toc429391554 \h </w:instrText>
        </w:r>
        <w:r>
          <w:rPr>
            <w:noProof/>
            <w:webHidden/>
          </w:rPr>
        </w:r>
        <w:r>
          <w:rPr>
            <w:noProof/>
            <w:webHidden/>
          </w:rPr>
          <w:fldChar w:fldCharType="separate"/>
        </w:r>
        <w:r w:rsidR="00881525">
          <w:rPr>
            <w:noProof/>
            <w:webHidden/>
          </w:rPr>
          <w:t>40</w:t>
        </w:r>
        <w:r>
          <w:rPr>
            <w:noProof/>
            <w:webHidden/>
          </w:rPr>
          <w:fldChar w:fldCharType="end"/>
        </w:r>
      </w:hyperlink>
    </w:p>
    <w:p w14:paraId="064D8B59" w14:textId="77777777" w:rsidR="005A1501" w:rsidRDefault="005A1501">
      <w:pPr>
        <w:pStyle w:val="TOC1"/>
        <w:rPr>
          <w:rFonts w:asciiTheme="minorHAnsi" w:eastAsiaTheme="minorEastAsia" w:hAnsiTheme="minorHAnsi" w:cstheme="minorBidi"/>
          <w:b w:val="0"/>
          <w:bCs w:val="0"/>
          <w:color w:val="auto"/>
          <w:sz w:val="22"/>
          <w:szCs w:val="22"/>
        </w:rPr>
      </w:pPr>
      <w:hyperlink w:anchor="_Toc429391555" w:history="1">
        <w:r w:rsidRPr="007E3619">
          <w:rPr>
            <w:rStyle w:val="Hyperlink"/>
          </w:rPr>
          <w:t>Benchmarking with other antimicrobial usage data</w:t>
        </w:r>
        <w:r>
          <w:rPr>
            <w:webHidden/>
          </w:rPr>
          <w:tab/>
        </w:r>
        <w:r>
          <w:rPr>
            <w:webHidden/>
          </w:rPr>
          <w:fldChar w:fldCharType="begin"/>
        </w:r>
        <w:r>
          <w:rPr>
            <w:webHidden/>
          </w:rPr>
          <w:instrText xml:space="preserve"> PAGEREF _Toc429391555 \h </w:instrText>
        </w:r>
        <w:r>
          <w:rPr>
            <w:webHidden/>
          </w:rPr>
        </w:r>
        <w:r>
          <w:rPr>
            <w:webHidden/>
          </w:rPr>
          <w:fldChar w:fldCharType="separate"/>
        </w:r>
        <w:r w:rsidR="00881525">
          <w:rPr>
            <w:webHidden/>
          </w:rPr>
          <w:t>42</w:t>
        </w:r>
        <w:r>
          <w:rPr>
            <w:webHidden/>
          </w:rPr>
          <w:fldChar w:fldCharType="end"/>
        </w:r>
      </w:hyperlink>
    </w:p>
    <w:p w14:paraId="67E797F1" w14:textId="77777777" w:rsidR="005A1501" w:rsidRDefault="005A1501">
      <w:pPr>
        <w:pStyle w:val="TOC2"/>
        <w:rPr>
          <w:rFonts w:asciiTheme="minorHAnsi" w:eastAsiaTheme="minorEastAsia" w:hAnsiTheme="minorHAnsi" w:cstheme="minorBidi"/>
          <w:noProof/>
          <w:color w:val="auto"/>
          <w:sz w:val="22"/>
          <w:szCs w:val="22"/>
        </w:rPr>
      </w:pPr>
      <w:hyperlink w:anchor="_Toc429391556" w:history="1">
        <w:r w:rsidRPr="007E3619">
          <w:rPr>
            <w:rStyle w:val="Hyperlink"/>
            <w:noProof/>
          </w:rPr>
          <w:t>International total-hospital usage rates</w:t>
        </w:r>
        <w:r>
          <w:rPr>
            <w:noProof/>
            <w:webHidden/>
          </w:rPr>
          <w:tab/>
        </w:r>
        <w:r>
          <w:rPr>
            <w:noProof/>
            <w:webHidden/>
          </w:rPr>
          <w:fldChar w:fldCharType="begin"/>
        </w:r>
        <w:r>
          <w:rPr>
            <w:noProof/>
            <w:webHidden/>
          </w:rPr>
          <w:instrText xml:space="preserve"> PAGEREF _Toc429391556 \h </w:instrText>
        </w:r>
        <w:r>
          <w:rPr>
            <w:noProof/>
            <w:webHidden/>
          </w:rPr>
        </w:r>
        <w:r>
          <w:rPr>
            <w:noProof/>
            <w:webHidden/>
          </w:rPr>
          <w:fldChar w:fldCharType="separate"/>
        </w:r>
        <w:r w:rsidR="00881525">
          <w:rPr>
            <w:noProof/>
            <w:webHidden/>
          </w:rPr>
          <w:t>43</w:t>
        </w:r>
        <w:r>
          <w:rPr>
            <w:noProof/>
            <w:webHidden/>
          </w:rPr>
          <w:fldChar w:fldCharType="end"/>
        </w:r>
      </w:hyperlink>
    </w:p>
    <w:p w14:paraId="3ABCE4BF" w14:textId="77777777" w:rsidR="005A1501" w:rsidRDefault="005A1501">
      <w:pPr>
        <w:pStyle w:val="TOC1"/>
        <w:rPr>
          <w:rFonts w:asciiTheme="minorHAnsi" w:eastAsiaTheme="minorEastAsia" w:hAnsiTheme="minorHAnsi" w:cstheme="minorBidi"/>
          <w:b w:val="0"/>
          <w:bCs w:val="0"/>
          <w:color w:val="auto"/>
          <w:sz w:val="22"/>
          <w:szCs w:val="22"/>
        </w:rPr>
      </w:pPr>
      <w:hyperlink w:anchor="_Toc429391557" w:history="1">
        <w:r w:rsidRPr="007E3619">
          <w:rPr>
            <w:rStyle w:val="Hyperlink"/>
          </w:rPr>
          <w:t>Discussion</w:t>
        </w:r>
        <w:r>
          <w:rPr>
            <w:webHidden/>
          </w:rPr>
          <w:tab/>
        </w:r>
        <w:r>
          <w:rPr>
            <w:webHidden/>
          </w:rPr>
          <w:fldChar w:fldCharType="begin"/>
        </w:r>
        <w:r>
          <w:rPr>
            <w:webHidden/>
          </w:rPr>
          <w:instrText xml:space="preserve"> PAGEREF _Toc429391557 \h </w:instrText>
        </w:r>
        <w:r>
          <w:rPr>
            <w:webHidden/>
          </w:rPr>
        </w:r>
        <w:r>
          <w:rPr>
            <w:webHidden/>
          </w:rPr>
          <w:fldChar w:fldCharType="separate"/>
        </w:r>
        <w:r w:rsidR="00881525">
          <w:rPr>
            <w:webHidden/>
          </w:rPr>
          <w:t>45</w:t>
        </w:r>
        <w:r>
          <w:rPr>
            <w:webHidden/>
          </w:rPr>
          <w:fldChar w:fldCharType="end"/>
        </w:r>
      </w:hyperlink>
    </w:p>
    <w:p w14:paraId="7BA05850" w14:textId="77777777" w:rsidR="005A1501" w:rsidRDefault="005A1501">
      <w:pPr>
        <w:pStyle w:val="TOC1"/>
        <w:rPr>
          <w:rFonts w:asciiTheme="minorHAnsi" w:eastAsiaTheme="minorEastAsia" w:hAnsiTheme="minorHAnsi" w:cstheme="minorBidi"/>
          <w:b w:val="0"/>
          <w:bCs w:val="0"/>
          <w:color w:val="auto"/>
          <w:sz w:val="22"/>
          <w:szCs w:val="22"/>
        </w:rPr>
      </w:pPr>
      <w:hyperlink w:anchor="_Toc429391558" w:history="1">
        <w:r w:rsidRPr="007E3619">
          <w:rPr>
            <w:rStyle w:val="Hyperlink"/>
          </w:rPr>
          <w:t>Acknowledgments</w:t>
        </w:r>
        <w:r>
          <w:rPr>
            <w:webHidden/>
          </w:rPr>
          <w:tab/>
        </w:r>
        <w:r>
          <w:rPr>
            <w:webHidden/>
          </w:rPr>
          <w:fldChar w:fldCharType="begin"/>
        </w:r>
        <w:r>
          <w:rPr>
            <w:webHidden/>
          </w:rPr>
          <w:instrText xml:space="preserve"> PAGEREF _Toc429391558 \h </w:instrText>
        </w:r>
        <w:r>
          <w:rPr>
            <w:webHidden/>
          </w:rPr>
        </w:r>
        <w:r>
          <w:rPr>
            <w:webHidden/>
          </w:rPr>
          <w:fldChar w:fldCharType="separate"/>
        </w:r>
        <w:r w:rsidR="00881525">
          <w:rPr>
            <w:webHidden/>
          </w:rPr>
          <w:t>48</w:t>
        </w:r>
        <w:r>
          <w:rPr>
            <w:webHidden/>
          </w:rPr>
          <w:fldChar w:fldCharType="end"/>
        </w:r>
      </w:hyperlink>
    </w:p>
    <w:p w14:paraId="5168E89A" w14:textId="77777777" w:rsidR="005A1501" w:rsidRDefault="005A1501">
      <w:pPr>
        <w:pStyle w:val="TOC1"/>
        <w:tabs>
          <w:tab w:val="left" w:pos="1440"/>
        </w:tabs>
        <w:rPr>
          <w:rFonts w:asciiTheme="minorHAnsi" w:eastAsiaTheme="minorEastAsia" w:hAnsiTheme="minorHAnsi" w:cstheme="minorBidi"/>
          <w:b w:val="0"/>
          <w:bCs w:val="0"/>
          <w:color w:val="auto"/>
          <w:sz w:val="22"/>
          <w:szCs w:val="22"/>
        </w:rPr>
      </w:pPr>
      <w:hyperlink w:anchor="_Toc429391559" w:history="1">
        <w:r w:rsidRPr="007E3619">
          <w:rPr>
            <w:rStyle w:val="Hyperlink"/>
          </w:rPr>
          <w:t>Appendix 1</w:t>
        </w:r>
        <w:r>
          <w:rPr>
            <w:rFonts w:asciiTheme="minorHAnsi" w:eastAsiaTheme="minorEastAsia" w:hAnsiTheme="minorHAnsi" w:cstheme="minorBidi"/>
            <w:b w:val="0"/>
            <w:bCs w:val="0"/>
            <w:color w:val="auto"/>
            <w:sz w:val="22"/>
            <w:szCs w:val="22"/>
          </w:rPr>
          <w:tab/>
        </w:r>
        <w:r w:rsidRPr="007E3619">
          <w:rPr>
            <w:rStyle w:val="Hyperlink"/>
          </w:rPr>
          <w:t>Contributor information</w:t>
        </w:r>
        <w:r>
          <w:rPr>
            <w:webHidden/>
          </w:rPr>
          <w:tab/>
        </w:r>
        <w:r>
          <w:rPr>
            <w:webHidden/>
          </w:rPr>
          <w:fldChar w:fldCharType="begin"/>
        </w:r>
        <w:r>
          <w:rPr>
            <w:webHidden/>
          </w:rPr>
          <w:instrText xml:space="preserve"> PAGEREF _Toc429391559 \h </w:instrText>
        </w:r>
        <w:r>
          <w:rPr>
            <w:webHidden/>
          </w:rPr>
        </w:r>
        <w:r>
          <w:rPr>
            <w:webHidden/>
          </w:rPr>
          <w:fldChar w:fldCharType="separate"/>
        </w:r>
        <w:r w:rsidR="00881525">
          <w:rPr>
            <w:webHidden/>
          </w:rPr>
          <w:t>49</w:t>
        </w:r>
        <w:r>
          <w:rPr>
            <w:webHidden/>
          </w:rPr>
          <w:fldChar w:fldCharType="end"/>
        </w:r>
      </w:hyperlink>
    </w:p>
    <w:p w14:paraId="40B0393B" w14:textId="77777777" w:rsidR="005A1501" w:rsidRDefault="005A1501">
      <w:pPr>
        <w:pStyle w:val="TOC1"/>
        <w:tabs>
          <w:tab w:val="left" w:pos="1440"/>
        </w:tabs>
        <w:rPr>
          <w:rFonts w:asciiTheme="minorHAnsi" w:eastAsiaTheme="minorEastAsia" w:hAnsiTheme="minorHAnsi" w:cstheme="minorBidi"/>
          <w:b w:val="0"/>
          <w:bCs w:val="0"/>
          <w:color w:val="auto"/>
          <w:sz w:val="22"/>
          <w:szCs w:val="22"/>
        </w:rPr>
      </w:pPr>
      <w:hyperlink w:anchor="_Toc429391560" w:history="1">
        <w:r w:rsidRPr="007E3619">
          <w:rPr>
            <w:rStyle w:val="Hyperlink"/>
          </w:rPr>
          <w:t>Appendix 2</w:t>
        </w:r>
        <w:r>
          <w:rPr>
            <w:rFonts w:asciiTheme="minorHAnsi" w:eastAsiaTheme="minorEastAsia" w:hAnsiTheme="minorHAnsi" w:cstheme="minorBidi"/>
            <w:b w:val="0"/>
            <w:bCs w:val="0"/>
            <w:color w:val="auto"/>
            <w:sz w:val="22"/>
            <w:szCs w:val="22"/>
          </w:rPr>
          <w:tab/>
        </w:r>
        <w:r w:rsidRPr="007E3619">
          <w:rPr>
            <w:rStyle w:val="Hyperlink"/>
          </w:rPr>
          <w:t>Definitions</w:t>
        </w:r>
        <w:r>
          <w:rPr>
            <w:webHidden/>
          </w:rPr>
          <w:tab/>
        </w:r>
        <w:r>
          <w:rPr>
            <w:webHidden/>
          </w:rPr>
          <w:fldChar w:fldCharType="begin"/>
        </w:r>
        <w:r>
          <w:rPr>
            <w:webHidden/>
          </w:rPr>
          <w:instrText xml:space="preserve"> PAGEREF _Toc429391560 \h </w:instrText>
        </w:r>
        <w:r>
          <w:rPr>
            <w:webHidden/>
          </w:rPr>
        </w:r>
        <w:r>
          <w:rPr>
            <w:webHidden/>
          </w:rPr>
          <w:fldChar w:fldCharType="separate"/>
        </w:r>
        <w:r w:rsidR="00881525">
          <w:rPr>
            <w:webHidden/>
          </w:rPr>
          <w:t>51</w:t>
        </w:r>
        <w:r>
          <w:rPr>
            <w:webHidden/>
          </w:rPr>
          <w:fldChar w:fldCharType="end"/>
        </w:r>
      </w:hyperlink>
    </w:p>
    <w:p w14:paraId="43906BBE" w14:textId="77777777" w:rsidR="005A1501" w:rsidRDefault="005A1501">
      <w:pPr>
        <w:pStyle w:val="TOC1"/>
        <w:tabs>
          <w:tab w:val="left" w:pos="1440"/>
        </w:tabs>
        <w:rPr>
          <w:rFonts w:asciiTheme="minorHAnsi" w:eastAsiaTheme="minorEastAsia" w:hAnsiTheme="minorHAnsi" w:cstheme="minorBidi"/>
          <w:b w:val="0"/>
          <w:bCs w:val="0"/>
          <w:color w:val="auto"/>
          <w:sz w:val="22"/>
          <w:szCs w:val="22"/>
        </w:rPr>
      </w:pPr>
      <w:hyperlink w:anchor="_Toc429391561" w:history="1">
        <w:r w:rsidRPr="007E3619">
          <w:rPr>
            <w:rStyle w:val="Hyperlink"/>
          </w:rPr>
          <w:t>Appendix 3</w:t>
        </w:r>
        <w:r>
          <w:rPr>
            <w:rFonts w:asciiTheme="minorHAnsi" w:eastAsiaTheme="minorEastAsia" w:hAnsiTheme="minorHAnsi" w:cstheme="minorBidi"/>
            <w:b w:val="0"/>
            <w:bCs w:val="0"/>
            <w:color w:val="auto"/>
            <w:sz w:val="22"/>
            <w:szCs w:val="22"/>
          </w:rPr>
          <w:tab/>
        </w:r>
        <w:r w:rsidRPr="007E3619">
          <w:rPr>
            <w:rStyle w:val="Hyperlink"/>
          </w:rPr>
          <w:t>WHO defined daily doses for antibacterial agents included in the NAUSP annual report</w:t>
        </w:r>
        <w:r>
          <w:rPr>
            <w:webHidden/>
          </w:rPr>
          <w:tab/>
        </w:r>
        <w:r>
          <w:rPr>
            <w:webHidden/>
          </w:rPr>
          <w:fldChar w:fldCharType="begin"/>
        </w:r>
        <w:r>
          <w:rPr>
            <w:webHidden/>
          </w:rPr>
          <w:instrText xml:space="preserve"> PAGEREF _Toc429391561 \h </w:instrText>
        </w:r>
        <w:r>
          <w:rPr>
            <w:webHidden/>
          </w:rPr>
        </w:r>
        <w:r>
          <w:rPr>
            <w:webHidden/>
          </w:rPr>
          <w:fldChar w:fldCharType="separate"/>
        </w:r>
        <w:r w:rsidR="00881525">
          <w:rPr>
            <w:webHidden/>
          </w:rPr>
          <w:t>52</w:t>
        </w:r>
        <w:r>
          <w:rPr>
            <w:webHidden/>
          </w:rPr>
          <w:fldChar w:fldCharType="end"/>
        </w:r>
      </w:hyperlink>
    </w:p>
    <w:p w14:paraId="168233AA" w14:textId="77777777" w:rsidR="005A1501" w:rsidRDefault="005A1501">
      <w:pPr>
        <w:pStyle w:val="TOC1"/>
        <w:rPr>
          <w:rFonts w:asciiTheme="minorHAnsi" w:eastAsiaTheme="minorEastAsia" w:hAnsiTheme="minorHAnsi" w:cstheme="minorBidi"/>
          <w:b w:val="0"/>
          <w:bCs w:val="0"/>
          <w:color w:val="auto"/>
          <w:sz w:val="22"/>
          <w:szCs w:val="22"/>
        </w:rPr>
      </w:pPr>
      <w:hyperlink w:anchor="_Toc429391562" w:history="1">
        <w:r w:rsidRPr="007E3619">
          <w:rPr>
            <w:rStyle w:val="Hyperlink"/>
          </w:rPr>
          <w:t>Glossary</w:t>
        </w:r>
        <w:r>
          <w:rPr>
            <w:webHidden/>
          </w:rPr>
          <w:tab/>
        </w:r>
        <w:r>
          <w:rPr>
            <w:webHidden/>
          </w:rPr>
          <w:fldChar w:fldCharType="begin"/>
        </w:r>
        <w:r>
          <w:rPr>
            <w:webHidden/>
          </w:rPr>
          <w:instrText xml:space="preserve"> PAGEREF _Toc429391562 \h </w:instrText>
        </w:r>
        <w:r>
          <w:rPr>
            <w:webHidden/>
          </w:rPr>
        </w:r>
        <w:r>
          <w:rPr>
            <w:webHidden/>
          </w:rPr>
          <w:fldChar w:fldCharType="separate"/>
        </w:r>
        <w:r w:rsidR="00881525">
          <w:rPr>
            <w:webHidden/>
          </w:rPr>
          <w:t>57</w:t>
        </w:r>
        <w:r>
          <w:rPr>
            <w:webHidden/>
          </w:rPr>
          <w:fldChar w:fldCharType="end"/>
        </w:r>
      </w:hyperlink>
    </w:p>
    <w:p w14:paraId="1C04B9DB" w14:textId="77777777" w:rsidR="005A1501" w:rsidRDefault="005A1501">
      <w:pPr>
        <w:pStyle w:val="TOC1"/>
        <w:rPr>
          <w:rFonts w:asciiTheme="minorHAnsi" w:eastAsiaTheme="minorEastAsia" w:hAnsiTheme="minorHAnsi" w:cstheme="minorBidi"/>
          <w:b w:val="0"/>
          <w:bCs w:val="0"/>
          <w:color w:val="auto"/>
          <w:sz w:val="22"/>
          <w:szCs w:val="22"/>
        </w:rPr>
      </w:pPr>
      <w:hyperlink w:anchor="_Toc429391563" w:history="1">
        <w:r w:rsidRPr="007E3619">
          <w:rPr>
            <w:rStyle w:val="Hyperlink"/>
          </w:rPr>
          <w:t>References</w:t>
        </w:r>
        <w:r>
          <w:rPr>
            <w:webHidden/>
          </w:rPr>
          <w:tab/>
        </w:r>
        <w:r>
          <w:rPr>
            <w:webHidden/>
          </w:rPr>
          <w:fldChar w:fldCharType="begin"/>
        </w:r>
        <w:r>
          <w:rPr>
            <w:webHidden/>
          </w:rPr>
          <w:instrText xml:space="preserve"> PAGEREF _Toc429391563 \h </w:instrText>
        </w:r>
        <w:r>
          <w:rPr>
            <w:webHidden/>
          </w:rPr>
        </w:r>
        <w:r>
          <w:rPr>
            <w:webHidden/>
          </w:rPr>
          <w:fldChar w:fldCharType="separate"/>
        </w:r>
        <w:r w:rsidR="00881525">
          <w:rPr>
            <w:webHidden/>
          </w:rPr>
          <w:t>59</w:t>
        </w:r>
        <w:r>
          <w:rPr>
            <w:webHidden/>
          </w:rPr>
          <w:fldChar w:fldCharType="end"/>
        </w:r>
      </w:hyperlink>
    </w:p>
    <w:p w14:paraId="6019C693" w14:textId="77777777" w:rsidR="005058EE" w:rsidRPr="003C44C7" w:rsidRDefault="005058EE">
      <w:r w:rsidRPr="003C44C7">
        <w:fldChar w:fldCharType="end"/>
      </w:r>
    </w:p>
    <w:p w14:paraId="6B49F68E" w14:textId="77777777" w:rsidR="00F14851" w:rsidRPr="003C44C7" w:rsidRDefault="00F14851"/>
    <w:p w14:paraId="0F848CC4" w14:textId="36A81192" w:rsidR="00F14851" w:rsidRPr="003C44C7" w:rsidRDefault="00F14851" w:rsidP="005058EE">
      <w:pPr>
        <w:pStyle w:val="Heading1"/>
      </w:pPr>
      <w:bookmarkStart w:id="1" w:name="_Toc429391521"/>
      <w:r w:rsidRPr="003C44C7">
        <w:t>Abbreviations</w:t>
      </w:r>
      <w:bookmarkEnd w:id="1"/>
    </w:p>
    <w:tbl>
      <w:tblPr>
        <w:tblW w:w="0" w:type="auto"/>
        <w:tblInd w:w="80" w:type="dxa"/>
        <w:tblLayout w:type="fixed"/>
        <w:tblCellMar>
          <w:left w:w="0" w:type="dxa"/>
          <w:right w:w="0" w:type="dxa"/>
        </w:tblCellMar>
        <w:tblLook w:val="0000" w:firstRow="0" w:lastRow="0" w:firstColumn="0" w:lastColumn="0" w:noHBand="0" w:noVBand="0"/>
      </w:tblPr>
      <w:tblGrid>
        <w:gridCol w:w="1474"/>
        <w:gridCol w:w="7173"/>
      </w:tblGrid>
      <w:tr w:rsidR="00F14851" w:rsidRPr="003C44C7" w14:paraId="037E0EB7" w14:textId="77777777" w:rsidTr="005058EE">
        <w:trPr>
          <w:trHeight w:val="60"/>
        </w:trPr>
        <w:tc>
          <w:tcPr>
            <w:tcW w:w="1474" w:type="dxa"/>
            <w:tcBorders>
              <w:top w:val="nil"/>
              <w:left w:val="nil"/>
              <w:bottom w:val="nil"/>
              <w:right w:val="nil"/>
            </w:tcBorders>
            <w:tcMar>
              <w:top w:w="80" w:type="dxa"/>
              <w:left w:w="80" w:type="dxa"/>
              <w:bottom w:w="80" w:type="dxa"/>
              <w:right w:w="80" w:type="dxa"/>
            </w:tcMar>
          </w:tcPr>
          <w:p w14:paraId="6B18F352" w14:textId="77777777" w:rsidR="00F14851" w:rsidRPr="003C44C7" w:rsidRDefault="00F14851">
            <w:r w:rsidRPr="003C44C7">
              <w:t>AIHW</w:t>
            </w:r>
          </w:p>
        </w:tc>
        <w:tc>
          <w:tcPr>
            <w:tcW w:w="7173" w:type="dxa"/>
            <w:tcBorders>
              <w:top w:val="nil"/>
              <w:left w:val="nil"/>
              <w:bottom w:val="nil"/>
              <w:right w:val="nil"/>
            </w:tcBorders>
            <w:tcMar>
              <w:top w:w="80" w:type="dxa"/>
              <w:left w:w="80" w:type="dxa"/>
              <w:bottom w:w="80" w:type="dxa"/>
              <w:right w:w="80" w:type="dxa"/>
            </w:tcMar>
          </w:tcPr>
          <w:p w14:paraId="373B92DE" w14:textId="77777777" w:rsidR="00F14851" w:rsidRPr="003C44C7" w:rsidRDefault="00F14851">
            <w:r w:rsidRPr="003C44C7">
              <w:t>Australian Institute of Health and Welfare</w:t>
            </w:r>
          </w:p>
        </w:tc>
      </w:tr>
      <w:tr w:rsidR="00F14851" w:rsidRPr="003C44C7" w14:paraId="43C0E84A" w14:textId="77777777" w:rsidTr="005058EE">
        <w:trPr>
          <w:trHeight w:val="60"/>
        </w:trPr>
        <w:tc>
          <w:tcPr>
            <w:tcW w:w="1474" w:type="dxa"/>
            <w:tcBorders>
              <w:top w:val="nil"/>
              <w:left w:val="nil"/>
              <w:bottom w:val="nil"/>
              <w:right w:val="nil"/>
            </w:tcBorders>
            <w:tcMar>
              <w:top w:w="80" w:type="dxa"/>
              <w:left w:w="80" w:type="dxa"/>
              <w:bottom w:w="80" w:type="dxa"/>
              <w:right w:w="80" w:type="dxa"/>
            </w:tcMar>
          </w:tcPr>
          <w:p w14:paraId="16074193" w14:textId="77777777" w:rsidR="00F14851" w:rsidRPr="003C44C7" w:rsidRDefault="00F14851">
            <w:r w:rsidRPr="003C44C7">
              <w:t>AMS</w:t>
            </w:r>
          </w:p>
        </w:tc>
        <w:tc>
          <w:tcPr>
            <w:tcW w:w="7173" w:type="dxa"/>
            <w:tcBorders>
              <w:top w:val="nil"/>
              <w:left w:val="nil"/>
              <w:bottom w:val="nil"/>
              <w:right w:val="nil"/>
            </w:tcBorders>
            <w:tcMar>
              <w:top w:w="80" w:type="dxa"/>
              <w:left w:w="80" w:type="dxa"/>
              <w:bottom w:w="80" w:type="dxa"/>
              <w:right w:w="80" w:type="dxa"/>
            </w:tcMar>
          </w:tcPr>
          <w:p w14:paraId="2F6B55A2" w14:textId="77777777" w:rsidR="00F14851" w:rsidRPr="003C44C7" w:rsidRDefault="00F14851">
            <w:r w:rsidRPr="003C44C7">
              <w:t>antimicrobial stewardship</w:t>
            </w:r>
          </w:p>
        </w:tc>
      </w:tr>
      <w:tr w:rsidR="00F14851" w:rsidRPr="003C44C7" w14:paraId="45195752" w14:textId="77777777" w:rsidTr="005058EE">
        <w:trPr>
          <w:trHeight w:val="60"/>
        </w:trPr>
        <w:tc>
          <w:tcPr>
            <w:tcW w:w="1474" w:type="dxa"/>
            <w:tcBorders>
              <w:top w:val="nil"/>
              <w:left w:val="nil"/>
              <w:bottom w:val="nil"/>
              <w:right w:val="nil"/>
            </w:tcBorders>
            <w:tcMar>
              <w:top w:w="80" w:type="dxa"/>
              <w:left w:w="80" w:type="dxa"/>
              <w:bottom w:w="80" w:type="dxa"/>
              <w:right w:w="80" w:type="dxa"/>
            </w:tcMar>
          </w:tcPr>
          <w:p w14:paraId="5A9C40D0" w14:textId="77777777" w:rsidR="00F14851" w:rsidRPr="003C44C7" w:rsidRDefault="00F14851">
            <w:r w:rsidRPr="003C44C7">
              <w:t>DANMAP</w:t>
            </w:r>
          </w:p>
        </w:tc>
        <w:tc>
          <w:tcPr>
            <w:tcW w:w="7173" w:type="dxa"/>
            <w:tcBorders>
              <w:top w:val="nil"/>
              <w:left w:val="nil"/>
              <w:bottom w:val="nil"/>
              <w:right w:val="nil"/>
            </w:tcBorders>
            <w:tcMar>
              <w:top w:w="80" w:type="dxa"/>
              <w:left w:w="80" w:type="dxa"/>
              <w:bottom w:w="80" w:type="dxa"/>
              <w:right w:w="80" w:type="dxa"/>
            </w:tcMar>
          </w:tcPr>
          <w:p w14:paraId="376F54EA" w14:textId="77777777" w:rsidR="00F14851" w:rsidRPr="003C44C7" w:rsidRDefault="00F14851">
            <w:r w:rsidRPr="003C44C7">
              <w:t>Danish Integrated Antimicrobial Resistance Monitoring and Research Programme</w:t>
            </w:r>
          </w:p>
        </w:tc>
      </w:tr>
      <w:tr w:rsidR="00F14851" w:rsidRPr="003C44C7" w14:paraId="0B868E40" w14:textId="77777777" w:rsidTr="005058EE">
        <w:trPr>
          <w:trHeight w:val="60"/>
        </w:trPr>
        <w:tc>
          <w:tcPr>
            <w:tcW w:w="1474" w:type="dxa"/>
            <w:tcBorders>
              <w:top w:val="nil"/>
              <w:left w:val="nil"/>
              <w:bottom w:val="nil"/>
              <w:right w:val="nil"/>
            </w:tcBorders>
            <w:tcMar>
              <w:top w:w="80" w:type="dxa"/>
              <w:left w:w="80" w:type="dxa"/>
              <w:bottom w:w="80" w:type="dxa"/>
              <w:right w:w="80" w:type="dxa"/>
            </w:tcMar>
          </w:tcPr>
          <w:p w14:paraId="7837B51C" w14:textId="77777777" w:rsidR="00F14851" w:rsidRPr="003C44C7" w:rsidRDefault="00F14851">
            <w:r w:rsidRPr="003C44C7">
              <w:t xml:space="preserve">DDD </w:t>
            </w:r>
          </w:p>
        </w:tc>
        <w:tc>
          <w:tcPr>
            <w:tcW w:w="7173" w:type="dxa"/>
            <w:tcBorders>
              <w:top w:val="nil"/>
              <w:left w:val="nil"/>
              <w:bottom w:val="nil"/>
              <w:right w:val="nil"/>
            </w:tcBorders>
            <w:tcMar>
              <w:top w:w="80" w:type="dxa"/>
              <w:left w:w="80" w:type="dxa"/>
              <w:bottom w:w="80" w:type="dxa"/>
              <w:right w:w="80" w:type="dxa"/>
            </w:tcMar>
          </w:tcPr>
          <w:p w14:paraId="0C2BE897" w14:textId="77777777" w:rsidR="00F14851" w:rsidRPr="003C44C7" w:rsidRDefault="00F14851">
            <w:r w:rsidRPr="003C44C7">
              <w:t>defined daily dose</w:t>
            </w:r>
          </w:p>
        </w:tc>
      </w:tr>
      <w:tr w:rsidR="00F14851" w:rsidRPr="003C44C7" w14:paraId="23F4CB24" w14:textId="77777777" w:rsidTr="005058EE">
        <w:trPr>
          <w:trHeight w:val="60"/>
        </w:trPr>
        <w:tc>
          <w:tcPr>
            <w:tcW w:w="1474" w:type="dxa"/>
            <w:tcBorders>
              <w:top w:val="nil"/>
              <w:left w:val="nil"/>
              <w:bottom w:val="nil"/>
              <w:right w:val="nil"/>
            </w:tcBorders>
            <w:tcMar>
              <w:top w:w="80" w:type="dxa"/>
              <w:left w:w="80" w:type="dxa"/>
              <w:bottom w:w="80" w:type="dxa"/>
              <w:right w:w="80" w:type="dxa"/>
            </w:tcMar>
          </w:tcPr>
          <w:p w14:paraId="440BD2DD" w14:textId="77777777" w:rsidR="00F14851" w:rsidRPr="003C44C7" w:rsidRDefault="00F14851">
            <w:r w:rsidRPr="003C44C7">
              <w:t>MRO</w:t>
            </w:r>
          </w:p>
        </w:tc>
        <w:tc>
          <w:tcPr>
            <w:tcW w:w="7173" w:type="dxa"/>
            <w:tcBorders>
              <w:top w:val="nil"/>
              <w:left w:val="nil"/>
              <w:bottom w:val="nil"/>
              <w:right w:val="nil"/>
            </w:tcBorders>
            <w:tcMar>
              <w:top w:w="80" w:type="dxa"/>
              <w:left w:w="80" w:type="dxa"/>
              <w:bottom w:w="80" w:type="dxa"/>
              <w:right w:w="80" w:type="dxa"/>
            </w:tcMar>
          </w:tcPr>
          <w:p w14:paraId="14A5492C" w14:textId="77777777" w:rsidR="00F14851" w:rsidRPr="003C44C7" w:rsidRDefault="00F14851">
            <w:r w:rsidRPr="003C44C7">
              <w:t>multidrug-resistant organism</w:t>
            </w:r>
          </w:p>
        </w:tc>
      </w:tr>
      <w:tr w:rsidR="00F14851" w:rsidRPr="003C44C7" w14:paraId="3BE93F83" w14:textId="77777777" w:rsidTr="005058EE">
        <w:trPr>
          <w:trHeight w:val="60"/>
        </w:trPr>
        <w:tc>
          <w:tcPr>
            <w:tcW w:w="1474" w:type="dxa"/>
            <w:tcBorders>
              <w:top w:val="nil"/>
              <w:left w:val="nil"/>
              <w:bottom w:val="nil"/>
              <w:right w:val="nil"/>
            </w:tcBorders>
            <w:tcMar>
              <w:top w:w="80" w:type="dxa"/>
              <w:left w:w="80" w:type="dxa"/>
              <w:bottom w:w="80" w:type="dxa"/>
              <w:right w:w="80" w:type="dxa"/>
            </w:tcMar>
          </w:tcPr>
          <w:p w14:paraId="0121F9BA" w14:textId="77777777" w:rsidR="00F14851" w:rsidRPr="003C44C7" w:rsidRDefault="00F14851">
            <w:r w:rsidRPr="003C44C7">
              <w:t>NAUSP</w:t>
            </w:r>
          </w:p>
        </w:tc>
        <w:tc>
          <w:tcPr>
            <w:tcW w:w="7173" w:type="dxa"/>
            <w:tcBorders>
              <w:top w:val="nil"/>
              <w:left w:val="nil"/>
              <w:bottom w:val="nil"/>
              <w:right w:val="nil"/>
            </w:tcBorders>
            <w:tcMar>
              <w:top w:w="80" w:type="dxa"/>
              <w:left w:w="80" w:type="dxa"/>
              <w:bottom w:w="80" w:type="dxa"/>
              <w:right w:w="80" w:type="dxa"/>
            </w:tcMar>
          </w:tcPr>
          <w:p w14:paraId="0F75F94A" w14:textId="77777777" w:rsidR="00F14851" w:rsidRPr="003C44C7" w:rsidRDefault="00F14851">
            <w:r w:rsidRPr="003C44C7">
              <w:t>National Antimicrobial Utilisation Surveillance Program</w:t>
            </w:r>
          </w:p>
        </w:tc>
      </w:tr>
      <w:tr w:rsidR="00F14851" w:rsidRPr="003C44C7" w14:paraId="69DF073B" w14:textId="77777777" w:rsidTr="005058EE">
        <w:trPr>
          <w:trHeight w:val="60"/>
        </w:trPr>
        <w:tc>
          <w:tcPr>
            <w:tcW w:w="1474" w:type="dxa"/>
            <w:tcBorders>
              <w:top w:val="nil"/>
              <w:left w:val="nil"/>
              <w:bottom w:val="nil"/>
              <w:right w:val="nil"/>
            </w:tcBorders>
            <w:tcMar>
              <w:top w:w="80" w:type="dxa"/>
              <w:left w:w="80" w:type="dxa"/>
              <w:bottom w:w="80" w:type="dxa"/>
              <w:right w:w="80" w:type="dxa"/>
            </w:tcMar>
          </w:tcPr>
          <w:p w14:paraId="7E364955" w14:textId="77777777" w:rsidR="00F14851" w:rsidRPr="003C44C7" w:rsidRDefault="00F14851">
            <w:r w:rsidRPr="003C44C7">
              <w:t>NethMap</w:t>
            </w:r>
          </w:p>
        </w:tc>
        <w:tc>
          <w:tcPr>
            <w:tcW w:w="7173" w:type="dxa"/>
            <w:tcBorders>
              <w:top w:val="nil"/>
              <w:left w:val="nil"/>
              <w:bottom w:val="nil"/>
              <w:right w:val="nil"/>
            </w:tcBorders>
            <w:tcMar>
              <w:top w:w="80" w:type="dxa"/>
              <w:left w:w="80" w:type="dxa"/>
              <w:bottom w:w="80" w:type="dxa"/>
              <w:right w:w="80" w:type="dxa"/>
            </w:tcMar>
          </w:tcPr>
          <w:p w14:paraId="03A84801" w14:textId="77777777" w:rsidR="00F14851" w:rsidRPr="003C44C7" w:rsidRDefault="00F14851">
            <w:r w:rsidRPr="003C44C7">
              <w:rPr>
                <w:rStyle w:val="Emphasis"/>
              </w:rPr>
              <w:t>Consumption of antimicrobial agents and antimicrobial resistance among medically important bacteria in the Netherlands</w:t>
            </w:r>
            <w:r w:rsidRPr="003C44C7">
              <w:t xml:space="preserve"> report</w:t>
            </w:r>
          </w:p>
        </w:tc>
      </w:tr>
      <w:tr w:rsidR="00F14851" w:rsidRPr="003C44C7" w14:paraId="26A3CB67" w14:textId="77777777" w:rsidTr="005058EE">
        <w:trPr>
          <w:trHeight w:val="60"/>
        </w:trPr>
        <w:tc>
          <w:tcPr>
            <w:tcW w:w="1474" w:type="dxa"/>
            <w:tcBorders>
              <w:top w:val="nil"/>
              <w:left w:val="nil"/>
              <w:bottom w:val="nil"/>
              <w:right w:val="nil"/>
            </w:tcBorders>
            <w:tcMar>
              <w:top w:w="80" w:type="dxa"/>
              <w:left w:w="80" w:type="dxa"/>
              <w:bottom w:w="80" w:type="dxa"/>
              <w:right w:w="80" w:type="dxa"/>
            </w:tcMar>
          </w:tcPr>
          <w:p w14:paraId="2C255D78" w14:textId="77777777" w:rsidR="00F14851" w:rsidRPr="003C44C7" w:rsidRDefault="00F14851">
            <w:r w:rsidRPr="003C44C7">
              <w:t>OBD</w:t>
            </w:r>
          </w:p>
        </w:tc>
        <w:tc>
          <w:tcPr>
            <w:tcW w:w="7173" w:type="dxa"/>
            <w:tcBorders>
              <w:top w:val="nil"/>
              <w:left w:val="nil"/>
              <w:bottom w:val="nil"/>
              <w:right w:val="nil"/>
            </w:tcBorders>
            <w:tcMar>
              <w:top w:w="80" w:type="dxa"/>
              <w:left w:w="80" w:type="dxa"/>
              <w:bottom w:w="80" w:type="dxa"/>
              <w:right w:w="80" w:type="dxa"/>
            </w:tcMar>
          </w:tcPr>
          <w:p w14:paraId="307F81D0" w14:textId="77777777" w:rsidR="00F14851" w:rsidRPr="003C44C7" w:rsidRDefault="00F14851">
            <w:r w:rsidRPr="003C44C7">
              <w:t>occupied-bed-days</w:t>
            </w:r>
          </w:p>
        </w:tc>
      </w:tr>
      <w:tr w:rsidR="00F14851" w:rsidRPr="003C44C7" w14:paraId="1AA1F184" w14:textId="77777777" w:rsidTr="005058EE">
        <w:trPr>
          <w:trHeight w:val="60"/>
        </w:trPr>
        <w:tc>
          <w:tcPr>
            <w:tcW w:w="1474" w:type="dxa"/>
            <w:tcBorders>
              <w:top w:val="nil"/>
              <w:left w:val="nil"/>
              <w:bottom w:val="nil"/>
              <w:right w:val="nil"/>
            </w:tcBorders>
            <w:tcMar>
              <w:top w:w="80" w:type="dxa"/>
              <w:left w:w="80" w:type="dxa"/>
              <w:bottom w:w="80" w:type="dxa"/>
              <w:right w:w="80" w:type="dxa"/>
            </w:tcMar>
          </w:tcPr>
          <w:p w14:paraId="74BEE2CA" w14:textId="77777777" w:rsidR="00F14851" w:rsidRPr="003C44C7" w:rsidRDefault="00F14851">
            <w:r w:rsidRPr="003C44C7">
              <w:t>SWEDRES</w:t>
            </w:r>
          </w:p>
        </w:tc>
        <w:tc>
          <w:tcPr>
            <w:tcW w:w="7173" w:type="dxa"/>
            <w:tcBorders>
              <w:top w:val="nil"/>
              <w:left w:val="nil"/>
              <w:bottom w:val="nil"/>
              <w:right w:val="nil"/>
            </w:tcBorders>
            <w:tcMar>
              <w:top w:w="80" w:type="dxa"/>
              <w:left w:w="80" w:type="dxa"/>
              <w:bottom w:w="80" w:type="dxa"/>
              <w:right w:w="80" w:type="dxa"/>
            </w:tcMar>
          </w:tcPr>
          <w:p w14:paraId="5A0F5E4F" w14:textId="77777777" w:rsidR="00F14851" w:rsidRPr="003C44C7" w:rsidRDefault="00F14851">
            <w:r w:rsidRPr="003C44C7">
              <w:t>Swedish Antibiotic Utilisation and Resistance in Human Medicine report</w:t>
            </w:r>
          </w:p>
        </w:tc>
      </w:tr>
      <w:tr w:rsidR="00F14851" w:rsidRPr="003C44C7" w14:paraId="3A01054B" w14:textId="77777777" w:rsidTr="005058EE">
        <w:trPr>
          <w:trHeight w:val="60"/>
        </w:trPr>
        <w:tc>
          <w:tcPr>
            <w:tcW w:w="1474" w:type="dxa"/>
            <w:tcBorders>
              <w:top w:val="nil"/>
              <w:left w:val="nil"/>
              <w:bottom w:val="nil"/>
              <w:right w:val="nil"/>
            </w:tcBorders>
            <w:tcMar>
              <w:top w:w="80" w:type="dxa"/>
              <w:left w:w="80" w:type="dxa"/>
              <w:bottom w:w="80" w:type="dxa"/>
              <w:right w:w="80" w:type="dxa"/>
            </w:tcMar>
          </w:tcPr>
          <w:p w14:paraId="51BB0F3F" w14:textId="77777777" w:rsidR="00F14851" w:rsidRPr="003C44C7" w:rsidRDefault="00F14851">
            <w:r w:rsidRPr="003C44C7">
              <w:t>WHO</w:t>
            </w:r>
          </w:p>
        </w:tc>
        <w:tc>
          <w:tcPr>
            <w:tcW w:w="7173" w:type="dxa"/>
            <w:tcBorders>
              <w:top w:val="nil"/>
              <w:left w:val="nil"/>
              <w:bottom w:val="nil"/>
              <w:right w:val="nil"/>
            </w:tcBorders>
            <w:tcMar>
              <w:top w:w="80" w:type="dxa"/>
              <w:left w:w="80" w:type="dxa"/>
              <w:bottom w:w="80" w:type="dxa"/>
              <w:right w:w="80" w:type="dxa"/>
            </w:tcMar>
          </w:tcPr>
          <w:p w14:paraId="1044C9DE" w14:textId="77777777" w:rsidR="00F14851" w:rsidRPr="003C44C7" w:rsidRDefault="00F14851">
            <w:r w:rsidRPr="003C44C7">
              <w:t xml:space="preserve">World Health Organization </w:t>
            </w:r>
          </w:p>
        </w:tc>
      </w:tr>
    </w:tbl>
    <w:p w14:paraId="232FCEE5" w14:textId="77777777" w:rsidR="005058EE" w:rsidRPr="003C44C7" w:rsidRDefault="005058EE" w:rsidP="00EF5A92">
      <w:pPr>
        <w:pStyle w:val="BoxHeading"/>
      </w:pPr>
      <w:r w:rsidRPr="003C44C7">
        <w:t>Note on terminology</w:t>
      </w:r>
    </w:p>
    <w:p w14:paraId="7C20E23B" w14:textId="77777777" w:rsidR="005058EE" w:rsidRPr="003C44C7" w:rsidRDefault="005058EE" w:rsidP="00EF5A92">
      <w:pPr>
        <w:pStyle w:val="BoxText"/>
      </w:pPr>
      <w:r w:rsidRPr="003C44C7">
        <w:t>The term ‘antimicrobial’ is now most widely used when referring to agents used to treat or prevent infections caused by microbes. The term embraces antibacterial, antifungal, antiviral and antiparasitic agents. The common term ‘antibiotic’ is ambiguous and is now not used except in public communication and common parlance.</w:t>
      </w:r>
    </w:p>
    <w:p w14:paraId="5434D833" w14:textId="1493F6BC" w:rsidR="00F14851" w:rsidRPr="003C44C7" w:rsidRDefault="005058EE" w:rsidP="00EF5A92">
      <w:pPr>
        <w:pStyle w:val="BoxText"/>
      </w:pPr>
      <w:r w:rsidRPr="003C44C7">
        <w:t>In this report, ‘antimicrobial’ is used when it implies that data on all, or almost all, the classes of agents have been captured in a surveillance program. Since this report is confined to systemic antibacterial agents, ‘antibacterial’ is used when referring to the output of analyses, and when comparisons are made with data reported by other countries.</w:t>
      </w:r>
    </w:p>
    <w:p w14:paraId="0A570116" w14:textId="77777777" w:rsidR="00F14851" w:rsidRPr="003C44C7" w:rsidRDefault="00F14851"/>
    <w:p w14:paraId="46D15354" w14:textId="77777777" w:rsidR="00F14851" w:rsidRPr="003C44C7" w:rsidRDefault="00F14851">
      <w:pPr>
        <w:pStyle w:val="Heading1"/>
      </w:pPr>
      <w:bookmarkStart w:id="2" w:name="_Toc429391522"/>
      <w:r w:rsidRPr="003C44C7">
        <w:t>Executive summary</w:t>
      </w:r>
      <w:bookmarkEnd w:id="2"/>
    </w:p>
    <w:p w14:paraId="6776890B" w14:textId="77777777" w:rsidR="00F14851" w:rsidRPr="003C44C7" w:rsidRDefault="00F14851">
      <w:r w:rsidRPr="003C44C7">
        <w:t>The National Antimicrobial Utilisation Surveillance Program (NAUSP) commenced in July 2004 to provide ongoing, nationally representative data on antimicrobial use in adult acute care hospitals.</w:t>
      </w:r>
      <w:r w:rsidRPr="003C44C7">
        <w:rPr>
          <w:rStyle w:val="Superscript"/>
        </w:rPr>
        <w:t>1</w:t>
      </w:r>
      <w:r w:rsidRPr="003C44C7">
        <w:t xml:space="preserve"> Since 2008, all Australian states and territories have been represented in the program. The number of hospitals participating in the program has doubled since the introduction of the National Safety and Quality Health Service Standards in 2011 by the Australian Commission on Safety and Quality in Health Care. </w:t>
      </w:r>
    </w:p>
    <w:p w14:paraId="4974486E" w14:textId="77777777" w:rsidR="00F14851" w:rsidRPr="003C44C7" w:rsidRDefault="00F14851">
      <w:r w:rsidRPr="003C44C7">
        <w:t>At the end of 2014, the total number of participating contributors with more than six months of data was 129 (111 public and 18 private hospitals). For Australian public hospital beds, this represents more than 90% of principal referral hospital beds and 82% of total beds in hospitals with more than 50 beds.</w:t>
      </w:r>
    </w:p>
    <w:p w14:paraId="0D0B9136" w14:textId="77777777" w:rsidR="00F14851" w:rsidRPr="003C44C7" w:rsidRDefault="00F14851">
      <w:r w:rsidRPr="003C44C7">
        <w:t xml:space="preserve">The program uses standardised usage density rates, based on the World Health Organization’s Anatomical Therapeutic Chemical standards for ‘defined daily doses’ (DDDs). The denominator is the frequently used metric of inpatient ‘occupied-bed-days’ (OBDs). Reporting on antimicrobial use, based on DDDs, enables assessment and comparison of total-hospital use as a rate. </w:t>
      </w:r>
    </w:p>
    <w:p w14:paraId="0FCE71A7" w14:textId="77777777" w:rsidR="00F14851" w:rsidRPr="003C44C7" w:rsidRDefault="00F14851">
      <w:r w:rsidRPr="003C44C7">
        <w:t xml:space="preserve">This report covers antimicrobial use for the period January–December 2014. It includes data from 129 Australian hospitals, ranging from principal referral hospitals to small public acute hospitals, as classified by the Australian Institute of Health and Welfare. </w:t>
      </w:r>
    </w:p>
    <w:p w14:paraId="7DEACD82" w14:textId="77777777" w:rsidR="00F14851" w:rsidRPr="003C44C7" w:rsidRDefault="00F14851">
      <w:r w:rsidRPr="003C44C7">
        <w:t>Previous NAUSP annual reports included data for principal referral hospitals. In those reports, usage rates varied several-fold between hospitals for some antibacterials across the national sample. Each contributing hospital needs to determine whether usage rates are appropriate in light of their hospital’s activity.</w:t>
      </w:r>
    </w:p>
    <w:p w14:paraId="33DAFD1F" w14:textId="77777777" w:rsidR="00F14851" w:rsidRPr="003C44C7" w:rsidRDefault="00F14851">
      <w:r w:rsidRPr="003C44C7">
        <w:t>The Antimicrobial Use and Resistance in Australia (AURA) project will analyse these surveillance data and, in combination with appropriateness data from the National Antimicrobial Prescribing Survey, inform uptake of improved antimicrobial stewardship.</w:t>
      </w:r>
    </w:p>
    <w:p w14:paraId="732D62B4" w14:textId="697687FC" w:rsidR="00F14851" w:rsidRPr="003C44C7" w:rsidRDefault="00F14851" w:rsidP="00A85AE3">
      <w:pPr>
        <w:rPr>
          <w:rStyle w:val="Strong"/>
          <w:szCs w:val="24"/>
        </w:rPr>
      </w:pPr>
      <w:r w:rsidRPr="003C44C7">
        <w:rPr>
          <w:rStyle w:val="Strong"/>
          <w:szCs w:val="24"/>
        </w:rPr>
        <w:t>Key findings include the following:</w:t>
      </w:r>
    </w:p>
    <w:p w14:paraId="2F30886E" w14:textId="77777777" w:rsidR="00F14851" w:rsidRPr="003C44C7" w:rsidRDefault="00F14851" w:rsidP="00A85AE3">
      <w:pPr>
        <w:pStyle w:val="Bullet"/>
      </w:pPr>
      <w:r w:rsidRPr="003C44C7">
        <w:t>The 20 systemic antibacterials most frequently dispensed nationally are amoxycillin with clavulanic acid, flucloxacillin, cephazolin, amoxycillin, doxycycline, cephalexin, piperacillin with tazobactam, ceftriaxone, metronidazole, azithromycin, gentamicin, ciprofloxacin, ampicillin, benzylpenicillin, vancomycin, trimethoprim, meropenem, sulfamethoxazole with trimethoprim, roxithromycin and clindamycin. This accounts for 92% of antibacterials dispensed in NAUSP hospitals.</w:t>
      </w:r>
    </w:p>
    <w:p w14:paraId="73EEB34F" w14:textId="77777777" w:rsidR="00F14851" w:rsidRPr="003C44C7" w:rsidRDefault="00F14851" w:rsidP="00A85AE3">
      <w:pPr>
        <w:pStyle w:val="Bullet"/>
      </w:pPr>
      <w:r w:rsidRPr="003C44C7">
        <w:t>Use of highly reserved agents such as colistin, daptomycin, linezolid and tigecycline is very low (less than 5 DDDs per 1000 OBDs in the majority of hospitals). Daptomycin usage rates, although extremely low (less than 2 DDDs per 1000 OBDs), are increasing.</w:t>
      </w:r>
    </w:p>
    <w:p w14:paraId="2761C541" w14:textId="77777777" w:rsidR="00F14851" w:rsidRPr="003C44C7" w:rsidRDefault="00F14851" w:rsidP="00A85AE3">
      <w:pPr>
        <w:pStyle w:val="Bullet"/>
      </w:pPr>
      <w:r w:rsidRPr="003C44C7">
        <w:t>Australian usage rates continue to be greater than in the Netherlands and Sweden, and on par with Denmark’s. Broader international comparisons are limited by differences in data collection methods and units of measurement between countries.</w:t>
      </w:r>
    </w:p>
    <w:p w14:paraId="6CD90349" w14:textId="77777777" w:rsidR="00F14851" w:rsidRPr="003C44C7" w:rsidRDefault="00F14851" w:rsidP="00A85AE3">
      <w:pPr>
        <w:pStyle w:val="Bullet"/>
      </w:pPr>
      <w:r w:rsidRPr="003C44C7">
        <w:t>Since 2005, there has been a noticeable increase in the use of ß-lactamase inhibitor combinations (especially amoxycillin with clavulanic acid and piperacillin with tazobactam), a more modest increase in the use of first-generation cephalosporins, and a noticeable decrease in the use of aminoglycosides and fluoroquinolones.</w:t>
      </w:r>
    </w:p>
    <w:p w14:paraId="5C5FFBF5" w14:textId="77777777" w:rsidR="00F14851" w:rsidRPr="003C44C7" w:rsidRDefault="00F14851" w:rsidP="00A85AE3">
      <w:pPr>
        <w:pStyle w:val="BulletLast"/>
        <w:rPr>
          <w:rFonts w:ascii="Helvetica-Light" w:hAnsi="Helvetica-Light" w:cs="Helvetica-Light"/>
          <w:sz w:val="20"/>
        </w:rPr>
      </w:pPr>
      <w:r w:rsidRPr="003C44C7">
        <w:t>During the period January–December 2014, the average aggregate annual rate for total-hospital antibacterial use was 943.6 DDDs per 1000 OBDs, a decrease of 2.2% from the 2013 rate and a decrease of 6.2% from Australia’s peak usage (1006 DDDs per 1000 OBDs) in 2010. Tasmania recorded the highest usage, with 1242 DDDs per 1000 OBDs, followed by New South Wales and the Australian Capital Territory, with 1092 DDDs per 1000 OBDs.</w:t>
      </w:r>
    </w:p>
    <w:p w14:paraId="6951CA55" w14:textId="77777777" w:rsidR="00F14851" w:rsidRPr="003C44C7" w:rsidRDefault="00F14851">
      <w:pPr>
        <w:pStyle w:val="Heading1"/>
      </w:pPr>
      <w:bookmarkStart w:id="3" w:name="_Toc429391523"/>
      <w:r w:rsidRPr="003C44C7">
        <w:t>Introduction</w:t>
      </w:r>
      <w:bookmarkEnd w:id="3"/>
    </w:p>
    <w:p w14:paraId="01CC010A" w14:textId="77777777" w:rsidR="00F14851" w:rsidRPr="003C44C7" w:rsidRDefault="00F14851">
      <w:r w:rsidRPr="003C44C7">
        <w:t xml:space="preserve">Effective surveillance of inpatient antimicrobial use requires quantitative measures and data against which facilities can benchmark their use of antimicrobials. This benchmarking provides a baseline and allows continual feedback for any antimicrobial stewardship (AMS) activities and interventions that facilities undertake. </w:t>
      </w:r>
    </w:p>
    <w:p w14:paraId="0A508E2A" w14:textId="77777777" w:rsidR="00F14851" w:rsidRPr="003C44C7" w:rsidRDefault="00F14851">
      <w:r w:rsidRPr="003C44C7">
        <w:t>The National Antimicrobial Utilisation Surveillance Program (NAUSP) commenced in July 2004. Participating hospitals (Appendix 1) contribute on a voluntary basis, and the number of hospitals has increased greatly since the introduction of the National Safety and Quality Health Service Standards in 2011. NAUSP participation supports successful implementation of Standard 3: Preventing and Controlling Healthcare Associated Infections.</w:t>
      </w:r>
    </w:p>
    <w:p w14:paraId="4F6A9735" w14:textId="77777777" w:rsidR="00F14851" w:rsidRPr="003C44C7" w:rsidRDefault="00F14851">
      <w:r w:rsidRPr="003C44C7">
        <w:t xml:space="preserve">The program has steadily expanded, and all Australian states and territories are now represented in the program; 32 hospitals have contributed continuously since July 2004 (13 since 2001, when only South Australian hospitals participated). This report contains data from 129 Australian hospitals (111 public and 18 private hospitals). For the public hospitals (principal referral hospitals through to small public acute hospitals), this represents 82% of total beds in hospitals with 50 beds or more (Figure 1). </w:t>
      </w:r>
    </w:p>
    <w:p w14:paraId="4737B4B2" w14:textId="77777777" w:rsidR="00F14851" w:rsidRPr="003C44C7" w:rsidRDefault="00F14851">
      <w:r w:rsidRPr="003C44C7">
        <w:t>For the first time, this annual NAUSP report presents data on state-specific antimicrobial use.</w:t>
      </w:r>
    </w:p>
    <w:p w14:paraId="0A7193A6" w14:textId="77777777" w:rsidR="005C387B" w:rsidRPr="003C44C7" w:rsidRDefault="005C387B" w:rsidP="005C387B">
      <w:pPr>
        <w:pStyle w:val="FigureName"/>
      </w:pPr>
      <w:r w:rsidRPr="003C44C7">
        <w:t>Figure 1</w:t>
      </w:r>
      <w:r w:rsidRPr="003C44C7">
        <w:tab/>
        <w:t>Cumulative number of hospitals (public and private) contributing to NAUSP</w:t>
      </w:r>
    </w:p>
    <w:p w14:paraId="7209E43F" w14:textId="77777777" w:rsidR="00F14851" w:rsidRPr="003C44C7" w:rsidRDefault="00A829B3">
      <w:pPr>
        <w:pStyle w:val="FigureNameSpan"/>
      </w:pPr>
      <w:r w:rsidRPr="003C44C7">
        <w:rPr>
          <w:noProof/>
        </w:rPr>
        <w:drawing>
          <wp:inline distT="0" distB="0" distL="0" distR="0" wp14:anchorId="21F62836" wp14:editId="7D2C7CDC">
            <wp:extent cx="5926455" cy="3581400"/>
            <wp:effectExtent l="0" t="0" r="0" b="0"/>
            <wp:docPr id="4" name="Picture 4" descr="Line graph showing the cumulative number of hospitals contributing to NAUSP from July 2004 to June 2014. The number increased from 32 in July 2004 to 129 in June 2014. It increased steadily from 2004 to 2011 (when 61 hospitals contributed) and then more sharply aft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1-Number_of_hospita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6455" cy="3581400"/>
                    </a:xfrm>
                    <a:prstGeom prst="rect">
                      <a:avLst/>
                    </a:prstGeom>
                    <a:noFill/>
                    <a:ln>
                      <a:noFill/>
                    </a:ln>
                  </pic:spPr>
                </pic:pic>
              </a:graphicData>
            </a:graphic>
          </wp:inline>
        </w:drawing>
      </w:r>
    </w:p>
    <w:p w14:paraId="008636DB" w14:textId="77777777" w:rsidR="00F14851" w:rsidRPr="003C44C7" w:rsidRDefault="00F14851">
      <w:pPr>
        <w:pStyle w:val="Heading1"/>
      </w:pPr>
      <w:bookmarkStart w:id="4" w:name="_Toc429391524"/>
      <w:r w:rsidRPr="003C44C7">
        <w:t>Methods</w:t>
      </w:r>
      <w:bookmarkEnd w:id="4"/>
    </w:p>
    <w:p w14:paraId="37F32DAD" w14:textId="77777777" w:rsidR="00F14851" w:rsidRPr="003C44C7" w:rsidRDefault="00F14851">
      <w:pPr>
        <w:pStyle w:val="Heading2"/>
      </w:pPr>
      <w:bookmarkStart w:id="5" w:name="_Toc429391525"/>
      <w:r w:rsidRPr="003C44C7">
        <w:t>Contributing hospitals</w:t>
      </w:r>
      <w:bookmarkEnd w:id="5"/>
    </w:p>
    <w:p w14:paraId="072C0F95" w14:textId="216D7FD7" w:rsidR="00F14851" w:rsidRPr="003C44C7" w:rsidRDefault="00F14851">
      <w:r w:rsidRPr="003C44C7">
        <w:t>This report covers total in-hospital antimicrobial usage data collected from 129 contributing hospitals across Australia, as shown in Table 1. The number of hospitals contributing to NAUSP, and the number with intensive care units, vary from year to year. Although the Northern Territory supplies data to NAUSP, it has been excluded from this 2014 report because of issues with the scope of data suppl</w:t>
      </w:r>
      <w:r w:rsidR="00E945C4" w:rsidRPr="003C44C7">
        <w:t>ied.</w:t>
      </w:r>
    </w:p>
    <w:p w14:paraId="405E7BE1" w14:textId="77777777" w:rsidR="00F14851" w:rsidRPr="003C44C7" w:rsidRDefault="00F14851">
      <w:r w:rsidRPr="003C44C7">
        <w:t xml:space="preserve">As additional hospitals join the surveillance program, data from months before they join may be provided and added to the NAUSP database. These data are incorporated into subsequent annual and bimonthly reports. This may result in variations from previous NAUSP reports in the data reported for 2014. </w:t>
      </w:r>
    </w:p>
    <w:p w14:paraId="03C33BC9" w14:textId="77777777" w:rsidR="00F14851" w:rsidRPr="003C44C7" w:rsidRDefault="00F14851">
      <w:pPr>
        <w:rPr>
          <w:rStyle w:val="Superscript"/>
        </w:rPr>
      </w:pPr>
      <w:r w:rsidRPr="003C44C7">
        <w:t xml:space="preserve">The Australian Institute of Health and Welfare (AIHW) criteria used to classify hospitals have recently been reviewed, and new peer groupings came into effect from December 2014. The peer group system is designed to be flexible and robust, and the updated peer groups are a reflection of the type and nature of services provided. For more information, see Appendix C in AIHW’s </w:t>
      </w:r>
      <w:r w:rsidRPr="003C44C7">
        <w:rPr>
          <w:rStyle w:val="Emphasis"/>
        </w:rPr>
        <w:t>Australian hospital statistics 2012–13.</w:t>
      </w:r>
      <w:r w:rsidRPr="003C44C7">
        <w:rPr>
          <w:rStyle w:val="Superscript"/>
        </w:rPr>
        <w:t>2</w:t>
      </w:r>
    </w:p>
    <w:p w14:paraId="73D947B6" w14:textId="77777777" w:rsidR="00F14851" w:rsidRPr="003C44C7" w:rsidRDefault="00F14851">
      <w:r w:rsidRPr="003C44C7">
        <w:t xml:space="preserve">This annual report relates to the first application of the revised AIHW peer groups by NAUSP, and provides an instrument for benchmarking future analyses. </w:t>
      </w:r>
    </w:p>
    <w:p w14:paraId="71A10C12" w14:textId="77777777" w:rsidR="00F14851" w:rsidRPr="003C44C7" w:rsidRDefault="00F14851">
      <w:pPr>
        <w:pStyle w:val="NormalBeforeBullet"/>
      </w:pPr>
      <w:r w:rsidRPr="003C44C7">
        <w:t>The participating hospitals for 2014 fell into the following peer groups, as classified by the AIHW; the percentage of all hospitals in each peer group is shown in parentheses:</w:t>
      </w:r>
    </w:p>
    <w:p w14:paraId="4A591197" w14:textId="77777777" w:rsidR="00F14851" w:rsidRPr="003C44C7" w:rsidRDefault="00F14851" w:rsidP="00A85AE3">
      <w:pPr>
        <w:pStyle w:val="Bullet"/>
      </w:pPr>
      <w:r w:rsidRPr="003C44C7">
        <w:t>principal referral – 28 contributors (97%)</w:t>
      </w:r>
    </w:p>
    <w:p w14:paraId="56049BDB" w14:textId="77777777" w:rsidR="00F14851" w:rsidRPr="003C44C7" w:rsidRDefault="00F14851" w:rsidP="00A85AE3">
      <w:pPr>
        <w:pStyle w:val="Bullet"/>
      </w:pPr>
      <w:r w:rsidRPr="003C44C7">
        <w:t>specialist women’s – 2 contributors (32%)</w:t>
      </w:r>
    </w:p>
    <w:p w14:paraId="09DBFDC6" w14:textId="77777777" w:rsidR="00F14851" w:rsidRPr="003C44C7" w:rsidRDefault="00F14851" w:rsidP="00A85AE3">
      <w:pPr>
        <w:pStyle w:val="Bullet"/>
      </w:pPr>
      <w:r w:rsidRPr="003C44C7">
        <w:t>large public acute – 51 contributors (82%)</w:t>
      </w:r>
    </w:p>
    <w:p w14:paraId="57A346E8" w14:textId="77777777" w:rsidR="00F14851" w:rsidRPr="003C44C7" w:rsidRDefault="00F14851" w:rsidP="00A85AE3">
      <w:pPr>
        <w:pStyle w:val="Bullet"/>
      </w:pPr>
      <w:r w:rsidRPr="003C44C7">
        <w:t>medium public acute – 26 contributors (58%)</w:t>
      </w:r>
    </w:p>
    <w:p w14:paraId="2DE4120B" w14:textId="77777777" w:rsidR="00F14851" w:rsidRPr="003C44C7" w:rsidRDefault="00F14851" w:rsidP="00A85AE3">
      <w:pPr>
        <w:pStyle w:val="BulletLast"/>
      </w:pPr>
      <w:r w:rsidRPr="003C44C7">
        <w:t>small public acute with surgery and/or obstetrics – 4 contributors (3%).</w:t>
      </w:r>
    </w:p>
    <w:p w14:paraId="2194E8B8" w14:textId="77777777" w:rsidR="00F14851" w:rsidRPr="003C44C7" w:rsidRDefault="00F14851">
      <w:pPr>
        <w:rPr>
          <w:rStyle w:val="Hyperlink"/>
        </w:rPr>
      </w:pPr>
      <w:r w:rsidRPr="003C44C7">
        <w:rPr>
          <w:rStyle w:val="Hyperlink"/>
        </w:rPr>
        <w:t xml:space="preserve">Private hospitals are not included in the AIHW peer grouping. Instead, they have been assigned to a classification by NAUSP for routine bimonthly reporting of hospital </w:t>
      </w:r>
      <w:r w:rsidRPr="003C44C7">
        <w:t>antimicrobial use</w:t>
      </w:r>
      <w:r w:rsidRPr="003C44C7">
        <w:rPr>
          <w:rStyle w:val="Hyperlink"/>
        </w:rPr>
        <w:t xml:space="preserve"> based on the facility’s individual characteristics (e.g. bed numbers, geographical location, specialties) to enable them to benchmark with similar hospitals. However, in this annual report, private hospital data have only been included in intrastate usage rate analyses, where the hospitals are de-identified.</w:t>
      </w:r>
    </w:p>
    <w:p w14:paraId="68B0A193" w14:textId="77777777" w:rsidR="001137D1" w:rsidRPr="003C44C7" w:rsidRDefault="001137D1" w:rsidP="00A85AE3">
      <w:pPr>
        <w:pStyle w:val="TableName"/>
      </w:pPr>
      <w:r w:rsidRPr="003C44C7">
        <w:t>Table 1</w:t>
      </w:r>
      <w:r w:rsidRPr="003C44C7">
        <w:tab/>
        <w:t>2014 contributors to NAUSP, by peer group</w:t>
      </w:r>
    </w:p>
    <w:tbl>
      <w:tblPr>
        <w:tblW w:w="0" w:type="auto"/>
        <w:tblInd w:w="85" w:type="dxa"/>
        <w:tblLayout w:type="fixed"/>
        <w:tblCellMar>
          <w:left w:w="0" w:type="dxa"/>
          <w:right w:w="0" w:type="dxa"/>
        </w:tblCellMar>
        <w:tblLook w:val="0000" w:firstRow="0" w:lastRow="0" w:firstColumn="0" w:lastColumn="0" w:noHBand="0" w:noVBand="0"/>
      </w:tblPr>
      <w:tblGrid>
        <w:gridCol w:w="1488"/>
        <w:gridCol w:w="1106"/>
        <w:gridCol w:w="1134"/>
        <w:gridCol w:w="1303"/>
        <w:gridCol w:w="1290"/>
        <w:gridCol w:w="1276"/>
        <w:gridCol w:w="1360"/>
        <w:gridCol w:w="752"/>
      </w:tblGrid>
      <w:tr w:rsidR="001137D1" w:rsidRPr="003C44C7" w14:paraId="46029750" w14:textId="77777777" w:rsidTr="003C44C7">
        <w:trPr>
          <w:trHeight w:val="376"/>
          <w:tblHeader/>
        </w:trPr>
        <w:tc>
          <w:tcPr>
            <w:tcW w:w="1488" w:type="dxa"/>
            <w:vMerge w:val="restart"/>
            <w:tcBorders>
              <w:top w:val="single" w:sz="4" w:space="0" w:color="auto"/>
            </w:tcBorders>
            <w:shd w:val="clear" w:color="auto" w:fill="auto"/>
            <w:tcMar>
              <w:top w:w="113" w:type="dxa"/>
              <w:left w:w="85" w:type="dxa"/>
              <w:bottom w:w="113" w:type="dxa"/>
              <w:right w:w="85" w:type="dxa"/>
            </w:tcMar>
            <w:vAlign w:val="bottom"/>
          </w:tcPr>
          <w:p w14:paraId="5B337039" w14:textId="77777777" w:rsidR="001137D1" w:rsidRPr="003C44C7" w:rsidRDefault="001137D1" w:rsidP="00A85AE3">
            <w:pPr>
              <w:pStyle w:val="TableHeading"/>
            </w:pPr>
            <w:r w:rsidRPr="003C44C7">
              <w:t>State</w:t>
            </w:r>
          </w:p>
        </w:tc>
        <w:tc>
          <w:tcPr>
            <w:tcW w:w="8221" w:type="dxa"/>
            <w:gridSpan w:val="7"/>
            <w:tcBorders>
              <w:top w:val="single" w:sz="4" w:space="0" w:color="auto"/>
            </w:tcBorders>
            <w:shd w:val="clear" w:color="auto" w:fill="auto"/>
            <w:tcMar>
              <w:top w:w="113" w:type="dxa"/>
              <w:left w:w="85" w:type="dxa"/>
              <w:bottom w:w="113" w:type="dxa"/>
              <w:right w:w="85" w:type="dxa"/>
            </w:tcMar>
            <w:vAlign w:val="bottom"/>
          </w:tcPr>
          <w:p w14:paraId="5F652328" w14:textId="77777777" w:rsidR="001137D1" w:rsidRPr="003C44C7" w:rsidRDefault="001137D1" w:rsidP="00A85AE3">
            <w:pPr>
              <w:pStyle w:val="TableHeading"/>
              <w:jc w:val="center"/>
            </w:pPr>
            <w:r w:rsidRPr="003C44C7">
              <w:t>Peer group</w:t>
            </w:r>
          </w:p>
        </w:tc>
      </w:tr>
      <w:tr w:rsidR="001137D1" w:rsidRPr="003C44C7" w14:paraId="0DEB289D" w14:textId="77777777" w:rsidTr="003C44C7">
        <w:trPr>
          <w:trHeight w:val="605"/>
          <w:tblHeader/>
        </w:trPr>
        <w:tc>
          <w:tcPr>
            <w:tcW w:w="1488" w:type="dxa"/>
            <w:vMerge/>
            <w:tcBorders>
              <w:bottom w:val="single" w:sz="4" w:space="0" w:color="auto"/>
            </w:tcBorders>
            <w:shd w:val="clear" w:color="auto" w:fill="auto"/>
          </w:tcPr>
          <w:p w14:paraId="6C73B379" w14:textId="77777777" w:rsidR="001137D1" w:rsidRPr="003C44C7" w:rsidRDefault="001137D1" w:rsidP="00A85AE3">
            <w:pPr>
              <w:pStyle w:val="TableHeading"/>
              <w:rPr>
                <w:rFonts w:ascii="Gotham-Medium" w:hAnsi="Gotham-Medium"/>
                <w:color w:val="auto"/>
              </w:rPr>
            </w:pPr>
          </w:p>
        </w:tc>
        <w:tc>
          <w:tcPr>
            <w:tcW w:w="1106" w:type="dxa"/>
            <w:tcBorders>
              <w:bottom w:val="single" w:sz="4" w:space="0" w:color="auto"/>
            </w:tcBorders>
            <w:shd w:val="clear" w:color="auto" w:fill="auto"/>
            <w:tcMar>
              <w:top w:w="113" w:type="dxa"/>
              <w:left w:w="85" w:type="dxa"/>
              <w:bottom w:w="113" w:type="dxa"/>
              <w:right w:w="85" w:type="dxa"/>
            </w:tcMar>
            <w:vAlign w:val="bottom"/>
          </w:tcPr>
          <w:p w14:paraId="2DB919E0" w14:textId="77777777" w:rsidR="001137D1" w:rsidRPr="003C44C7" w:rsidRDefault="001137D1" w:rsidP="00A85AE3">
            <w:pPr>
              <w:pStyle w:val="TableHeading"/>
              <w:jc w:val="center"/>
            </w:pPr>
            <w:r w:rsidRPr="003C44C7">
              <w:t>Principal referral</w:t>
            </w:r>
          </w:p>
        </w:tc>
        <w:tc>
          <w:tcPr>
            <w:tcW w:w="1134" w:type="dxa"/>
            <w:tcBorders>
              <w:bottom w:val="single" w:sz="4" w:space="0" w:color="auto"/>
            </w:tcBorders>
            <w:shd w:val="clear" w:color="auto" w:fill="auto"/>
            <w:tcMar>
              <w:top w:w="113" w:type="dxa"/>
              <w:left w:w="85" w:type="dxa"/>
              <w:bottom w:w="113" w:type="dxa"/>
              <w:right w:w="85" w:type="dxa"/>
            </w:tcMar>
            <w:vAlign w:val="bottom"/>
          </w:tcPr>
          <w:p w14:paraId="31227606" w14:textId="77777777" w:rsidR="001137D1" w:rsidRPr="003C44C7" w:rsidRDefault="001137D1" w:rsidP="00A85AE3">
            <w:pPr>
              <w:pStyle w:val="TableHeading"/>
              <w:jc w:val="center"/>
            </w:pPr>
            <w:r w:rsidRPr="003C44C7">
              <w:t>Specialist women’s</w:t>
            </w:r>
          </w:p>
        </w:tc>
        <w:tc>
          <w:tcPr>
            <w:tcW w:w="1303" w:type="dxa"/>
            <w:tcBorders>
              <w:bottom w:val="single" w:sz="4" w:space="0" w:color="auto"/>
            </w:tcBorders>
            <w:shd w:val="clear" w:color="auto" w:fill="auto"/>
            <w:tcMar>
              <w:top w:w="113" w:type="dxa"/>
              <w:left w:w="85" w:type="dxa"/>
              <w:bottom w:w="113" w:type="dxa"/>
              <w:right w:w="85" w:type="dxa"/>
            </w:tcMar>
            <w:vAlign w:val="bottom"/>
          </w:tcPr>
          <w:p w14:paraId="1216A13E" w14:textId="77777777" w:rsidR="001137D1" w:rsidRPr="003C44C7" w:rsidRDefault="001137D1" w:rsidP="00A85AE3">
            <w:pPr>
              <w:pStyle w:val="TableHeading"/>
              <w:jc w:val="center"/>
            </w:pPr>
            <w:r w:rsidRPr="003C44C7">
              <w:t xml:space="preserve">Large </w:t>
            </w:r>
            <w:r w:rsidRPr="003C44C7">
              <w:br/>
              <w:t>public acute</w:t>
            </w:r>
          </w:p>
        </w:tc>
        <w:tc>
          <w:tcPr>
            <w:tcW w:w="1290" w:type="dxa"/>
            <w:tcBorders>
              <w:bottom w:val="single" w:sz="4" w:space="0" w:color="auto"/>
            </w:tcBorders>
            <w:shd w:val="clear" w:color="auto" w:fill="auto"/>
            <w:tcMar>
              <w:top w:w="113" w:type="dxa"/>
              <w:left w:w="85" w:type="dxa"/>
              <w:bottom w:w="113" w:type="dxa"/>
              <w:right w:w="85" w:type="dxa"/>
            </w:tcMar>
            <w:vAlign w:val="bottom"/>
          </w:tcPr>
          <w:p w14:paraId="093491EE" w14:textId="77777777" w:rsidR="001137D1" w:rsidRPr="003C44C7" w:rsidRDefault="001137D1" w:rsidP="00A85AE3">
            <w:pPr>
              <w:pStyle w:val="TableHeading"/>
              <w:jc w:val="center"/>
            </w:pPr>
            <w:r w:rsidRPr="003C44C7">
              <w:t>Medium public acute</w:t>
            </w:r>
          </w:p>
        </w:tc>
        <w:tc>
          <w:tcPr>
            <w:tcW w:w="1276" w:type="dxa"/>
            <w:tcBorders>
              <w:bottom w:val="single" w:sz="4" w:space="0" w:color="auto"/>
            </w:tcBorders>
            <w:shd w:val="clear" w:color="auto" w:fill="auto"/>
            <w:tcMar>
              <w:top w:w="113" w:type="dxa"/>
              <w:left w:w="85" w:type="dxa"/>
              <w:bottom w:w="113" w:type="dxa"/>
              <w:right w:w="85" w:type="dxa"/>
            </w:tcMar>
            <w:vAlign w:val="bottom"/>
          </w:tcPr>
          <w:p w14:paraId="40CF1919" w14:textId="77777777" w:rsidR="001137D1" w:rsidRPr="003C44C7" w:rsidRDefault="001137D1" w:rsidP="00A85AE3">
            <w:pPr>
              <w:pStyle w:val="TableHeading"/>
              <w:jc w:val="center"/>
            </w:pPr>
            <w:r w:rsidRPr="003C44C7">
              <w:t>Small public acute</w:t>
            </w:r>
          </w:p>
        </w:tc>
        <w:tc>
          <w:tcPr>
            <w:tcW w:w="1360" w:type="dxa"/>
            <w:tcBorders>
              <w:bottom w:val="single" w:sz="4" w:space="0" w:color="auto"/>
            </w:tcBorders>
            <w:shd w:val="clear" w:color="auto" w:fill="auto"/>
            <w:tcMar>
              <w:top w:w="113" w:type="dxa"/>
              <w:left w:w="85" w:type="dxa"/>
              <w:bottom w:w="113" w:type="dxa"/>
              <w:right w:w="85" w:type="dxa"/>
            </w:tcMar>
            <w:vAlign w:val="bottom"/>
          </w:tcPr>
          <w:p w14:paraId="6402B26A" w14:textId="77777777" w:rsidR="001137D1" w:rsidRPr="003C44C7" w:rsidRDefault="001137D1" w:rsidP="00A85AE3">
            <w:pPr>
              <w:pStyle w:val="TableHeading"/>
              <w:jc w:val="center"/>
            </w:pPr>
            <w:r w:rsidRPr="003C44C7">
              <w:t xml:space="preserve">Private </w:t>
            </w:r>
            <w:r w:rsidRPr="003C44C7">
              <w:br/>
              <w:t>(non-peered)</w:t>
            </w:r>
          </w:p>
        </w:tc>
        <w:tc>
          <w:tcPr>
            <w:tcW w:w="752" w:type="dxa"/>
            <w:tcBorders>
              <w:bottom w:val="single" w:sz="4" w:space="0" w:color="auto"/>
            </w:tcBorders>
            <w:shd w:val="clear" w:color="auto" w:fill="auto"/>
            <w:tcMar>
              <w:top w:w="113" w:type="dxa"/>
              <w:left w:w="85" w:type="dxa"/>
              <w:bottom w:w="113" w:type="dxa"/>
              <w:right w:w="85" w:type="dxa"/>
            </w:tcMar>
            <w:vAlign w:val="bottom"/>
          </w:tcPr>
          <w:p w14:paraId="568380A5" w14:textId="77777777" w:rsidR="001137D1" w:rsidRPr="003C44C7" w:rsidRDefault="001137D1" w:rsidP="00A85AE3">
            <w:pPr>
              <w:pStyle w:val="TableHeading"/>
              <w:jc w:val="center"/>
            </w:pPr>
            <w:r w:rsidRPr="003C44C7">
              <w:t>Total</w:t>
            </w:r>
          </w:p>
        </w:tc>
      </w:tr>
      <w:tr w:rsidR="001137D1" w:rsidRPr="003C44C7" w14:paraId="35EDC992" w14:textId="77777777" w:rsidTr="00A85AE3">
        <w:trPr>
          <w:trHeight w:val="60"/>
        </w:trPr>
        <w:tc>
          <w:tcPr>
            <w:tcW w:w="1488" w:type="dxa"/>
            <w:tcBorders>
              <w:top w:val="single" w:sz="4" w:space="0" w:color="auto"/>
            </w:tcBorders>
            <w:tcMar>
              <w:top w:w="113" w:type="dxa"/>
              <w:left w:w="85" w:type="dxa"/>
              <w:bottom w:w="113" w:type="dxa"/>
              <w:right w:w="85" w:type="dxa"/>
            </w:tcMar>
            <w:vAlign w:val="center"/>
          </w:tcPr>
          <w:p w14:paraId="1181CD61" w14:textId="77777777" w:rsidR="001137D1" w:rsidRPr="003C44C7" w:rsidRDefault="001137D1" w:rsidP="00A85AE3">
            <w:pPr>
              <w:pStyle w:val="TableText"/>
            </w:pPr>
            <w:r w:rsidRPr="003C44C7">
              <w:t>NSW and ACT</w:t>
            </w:r>
          </w:p>
        </w:tc>
        <w:tc>
          <w:tcPr>
            <w:tcW w:w="1106" w:type="dxa"/>
            <w:tcBorders>
              <w:top w:val="single" w:sz="4" w:space="0" w:color="auto"/>
            </w:tcBorders>
            <w:tcMar>
              <w:top w:w="113" w:type="dxa"/>
              <w:left w:w="113" w:type="dxa"/>
              <w:bottom w:w="113" w:type="dxa"/>
              <w:right w:w="397" w:type="dxa"/>
            </w:tcMar>
            <w:vAlign w:val="bottom"/>
          </w:tcPr>
          <w:p w14:paraId="3BB0BA83" w14:textId="77777777" w:rsidR="001137D1" w:rsidRPr="003C44C7" w:rsidRDefault="001137D1" w:rsidP="00A85AE3">
            <w:pPr>
              <w:pStyle w:val="TableText"/>
              <w:jc w:val="right"/>
            </w:pPr>
            <w:r w:rsidRPr="003C44C7">
              <w:t>12</w:t>
            </w:r>
          </w:p>
        </w:tc>
        <w:tc>
          <w:tcPr>
            <w:tcW w:w="1134" w:type="dxa"/>
            <w:tcBorders>
              <w:top w:val="single" w:sz="4" w:space="0" w:color="auto"/>
            </w:tcBorders>
            <w:tcMar>
              <w:top w:w="113" w:type="dxa"/>
              <w:left w:w="113" w:type="dxa"/>
              <w:bottom w:w="113" w:type="dxa"/>
              <w:right w:w="397" w:type="dxa"/>
            </w:tcMar>
            <w:vAlign w:val="bottom"/>
          </w:tcPr>
          <w:p w14:paraId="05EFF6E1" w14:textId="77777777" w:rsidR="001137D1" w:rsidRPr="003C44C7" w:rsidRDefault="001137D1" w:rsidP="00A85AE3">
            <w:pPr>
              <w:pStyle w:val="TableText"/>
              <w:jc w:val="right"/>
            </w:pPr>
            <w:r w:rsidRPr="003C44C7">
              <w:t>0</w:t>
            </w:r>
          </w:p>
        </w:tc>
        <w:tc>
          <w:tcPr>
            <w:tcW w:w="1303" w:type="dxa"/>
            <w:tcBorders>
              <w:top w:val="single" w:sz="4" w:space="0" w:color="auto"/>
            </w:tcBorders>
            <w:tcMar>
              <w:top w:w="113" w:type="dxa"/>
              <w:left w:w="113" w:type="dxa"/>
              <w:bottom w:w="113" w:type="dxa"/>
              <w:right w:w="397" w:type="dxa"/>
            </w:tcMar>
            <w:vAlign w:val="bottom"/>
          </w:tcPr>
          <w:p w14:paraId="61DECD8F" w14:textId="77777777" w:rsidR="001137D1" w:rsidRPr="003C44C7" w:rsidRDefault="001137D1" w:rsidP="00A85AE3">
            <w:pPr>
              <w:pStyle w:val="TableText"/>
              <w:jc w:val="right"/>
            </w:pPr>
            <w:r w:rsidRPr="003C44C7">
              <w:t>21</w:t>
            </w:r>
          </w:p>
        </w:tc>
        <w:tc>
          <w:tcPr>
            <w:tcW w:w="1290" w:type="dxa"/>
            <w:tcBorders>
              <w:top w:val="single" w:sz="4" w:space="0" w:color="auto"/>
            </w:tcBorders>
            <w:tcMar>
              <w:top w:w="113" w:type="dxa"/>
              <w:left w:w="113" w:type="dxa"/>
              <w:bottom w:w="113" w:type="dxa"/>
              <w:right w:w="510" w:type="dxa"/>
            </w:tcMar>
            <w:vAlign w:val="bottom"/>
          </w:tcPr>
          <w:p w14:paraId="3B80CD27" w14:textId="77777777" w:rsidR="001137D1" w:rsidRPr="003C44C7" w:rsidRDefault="001137D1" w:rsidP="00A85AE3">
            <w:pPr>
              <w:pStyle w:val="TableText"/>
              <w:jc w:val="right"/>
            </w:pPr>
            <w:r w:rsidRPr="003C44C7">
              <w:t>10</w:t>
            </w:r>
          </w:p>
        </w:tc>
        <w:tc>
          <w:tcPr>
            <w:tcW w:w="1276" w:type="dxa"/>
            <w:tcBorders>
              <w:top w:val="single" w:sz="4" w:space="0" w:color="auto"/>
            </w:tcBorders>
            <w:tcMar>
              <w:top w:w="113" w:type="dxa"/>
              <w:left w:w="113" w:type="dxa"/>
              <w:bottom w:w="113" w:type="dxa"/>
              <w:right w:w="510" w:type="dxa"/>
            </w:tcMar>
            <w:vAlign w:val="bottom"/>
          </w:tcPr>
          <w:p w14:paraId="574B21B7" w14:textId="77777777" w:rsidR="001137D1" w:rsidRPr="003C44C7" w:rsidRDefault="001137D1" w:rsidP="00A85AE3">
            <w:pPr>
              <w:pStyle w:val="TableText"/>
              <w:jc w:val="right"/>
            </w:pPr>
            <w:r w:rsidRPr="003C44C7">
              <w:t>0</w:t>
            </w:r>
          </w:p>
        </w:tc>
        <w:tc>
          <w:tcPr>
            <w:tcW w:w="1360" w:type="dxa"/>
            <w:tcBorders>
              <w:top w:val="single" w:sz="4" w:space="0" w:color="auto"/>
            </w:tcBorders>
            <w:tcMar>
              <w:top w:w="113" w:type="dxa"/>
              <w:left w:w="113" w:type="dxa"/>
              <w:bottom w:w="113" w:type="dxa"/>
              <w:right w:w="510" w:type="dxa"/>
            </w:tcMar>
            <w:vAlign w:val="bottom"/>
          </w:tcPr>
          <w:p w14:paraId="78594D6F" w14:textId="77777777" w:rsidR="001137D1" w:rsidRPr="003C44C7" w:rsidRDefault="001137D1" w:rsidP="00A85AE3">
            <w:pPr>
              <w:pStyle w:val="TableText"/>
              <w:jc w:val="right"/>
            </w:pPr>
            <w:r w:rsidRPr="003C44C7">
              <w:t>0</w:t>
            </w:r>
          </w:p>
        </w:tc>
        <w:tc>
          <w:tcPr>
            <w:tcW w:w="752" w:type="dxa"/>
            <w:tcBorders>
              <w:top w:val="single" w:sz="4" w:space="0" w:color="auto"/>
            </w:tcBorders>
            <w:tcMar>
              <w:top w:w="113" w:type="dxa"/>
              <w:left w:w="113" w:type="dxa"/>
              <w:bottom w:w="113" w:type="dxa"/>
              <w:right w:w="227" w:type="dxa"/>
            </w:tcMar>
            <w:vAlign w:val="bottom"/>
          </w:tcPr>
          <w:p w14:paraId="14FC8101" w14:textId="77777777" w:rsidR="001137D1" w:rsidRPr="003C44C7" w:rsidRDefault="001137D1" w:rsidP="00A85AE3">
            <w:pPr>
              <w:pStyle w:val="TableText"/>
              <w:jc w:val="right"/>
            </w:pPr>
            <w:r w:rsidRPr="003C44C7">
              <w:t>43</w:t>
            </w:r>
          </w:p>
        </w:tc>
      </w:tr>
      <w:tr w:rsidR="001137D1" w:rsidRPr="003C44C7" w14:paraId="4B5DF592" w14:textId="77777777" w:rsidTr="00A85AE3">
        <w:trPr>
          <w:trHeight w:val="60"/>
        </w:trPr>
        <w:tc>
          <w:tcPr>
            <w:tcW w:w="1488" w:type="dxa"/>
            <w:tcMar>
              <w:top w:w="113" w:type="dxa"/>
              <w:left w:w="85" w:type="dxa"/>
              <w:bottom w:w="113" w:type="dxa"/>
              <w:right w:w="85" w:type="dxa"/>
            </w:tcMar>
            <w:vAlign w:val="center"/>
          </w:tcPr>
          <w:p w14:paraId="7E5AC771" w14:textId="77777777" w:rsidR="001137D1" w:rsidRPr="003C44C7" w:rsidRDefault="001137D1" w:rsidP="00A85AE3">
            <w:pPr>
              <w:pStyle w:val="TableText"/>
            </w:pPr>
            <w:r w:rsidRPr="003C44C7">
              <w:t xml:space="preserve">Qld </w:t>
            </w:r>
          </w:p>
        </w:tc>
        <w:tc>
          <w:tcPr>
            <w:tcW w:w="1106" w:type="dxa"/>
            <w:tcMar>
              <w:top w:w="113" w:type="dxa"/>
              <w:left w:w="113" w:type="dxa"/>
              <w:bottom w:w="113" w:type="dxa"/>
              <w:right w:w="397" w:type="dxa"/>
            </w:tcMar>
            <w:vAlign w:val="bottom"/>
          </w:tcPr>
          <w:p w14:paraId="7BA23F58" w14:textId="77777777" w:rsidR="001137D1" w:rsidRPr="003C44C7" w:rsidRDefault="001137D1" w:rsidP="00A85AE3">
            <w:pPr>
              <w:pStyle w:val="TableText"/>
              <w:jc w:val="right"/>
            </w:pPr>
            <w:r w:rsidRPr="003C44C7">
              <w:t>5</w:t>
            </w:r>
          </w:p>
        </w:tc>
        <w:tc>
          <w:tcPr>
            <w:tcW w:w="1134" w:type="dxa"/>
            <w:tcMar>
              <w:top w:w="113" w:type="dxa"/>
              <w:left w:w="113" w:type="dxa"/>
              <w:bottom w:w="113" w:type="dxa"/>
              <w:right w:w="397" w:type="dxa"/>
            </w:tcMar>
            <w:vAlign w:val="bottom"/>
          </w:tcPr>
          <w:p w14:paraId="1A651892" w14:textId="77777777" w:rsidR="001137D1" w:rsidRPr="003C44C7" w:rsidRDefault="001137D1" w:rsidP="00A85AE3">
            <w:pPr>
              <w:pStyle w:val="TableText"/>
              <w:jc w:val="right"/>
            </w:pPr>
            <w:r w:rsidRPr="003C44C7">
              <w:t>1</w:t>
            </w:r>
          </w:p>
        </w:tc>
        <w:tc>
          <w:tcPr>
            <w:tcW w:w="1303" w:type="dxa"/>
            <w:tcMar>
              <w:top w:w="113" w:type="dxa"/>
              <w:left w:w="113" w:type="dxa"/>
              <w:bottom w:w="113" w:type="dxa"/>
              <w:right w:w="397" w:type="dxa"/>
            </w:tcMar>
            <w:vAlign w:val="bottom"/>
          </w:tcPr>
          <w:p w14:paraId="336C476C" w14:textId="77777777" w:rsidR="001137D1" w:rsidRPr="003C44C7" w:rsidRDefault="001137D1" w:rsidP="00A85AE3">
            <w:pPr>
              <w:pStyle w:val="TableText"/>
              <w:jc w:val="right"/>
            </w:pPr>
            <w:r w:rsidRPr="003C44C7">
              <w:t>12</w:t>
            </w:r>
          </w:p>
        </w:tc>
        <w:tc>
          <w:tcPr>
            <w:tcW w:w="1290" w:type="dxa"/>
            <w:tcMar>
              <w:top w:w="113" w:type="dxa"/>
              <w:left w:w="113" w:type="dxa"/>
              <w:bottom w:w="113" w:type="dxa"/>
              <w:right w:w="510" w:type="dxa"/>
            </w:tcMar>
            <w:vAlign w:val="bottom"/>
          </w:tcPr>
          <w:p w14:paraId="5BFCBE6B" w14:textId="77777777" w:rsidR="001137D1" w:rsidRPr="003C44C7" w:rsidRDefault="001137D1" w:rsidP="00A85AE3">
            <w:pPr>
              <w:pStyle w:val="TableText"/>
              <w:jc w:val="right"/>
            </w:pPr>
            <w:r w:rsidRPr="003C44C7">
              <w:t>5</w:t>
            </w:r>
          </w:p>
        </w:tc>
        <w:tc>
          <w:tcPr>
            <w:tcW w:w="1276" w:type="dxa"/>
            <w:tcMar>
              <w:top w:w="113" w:type="dxa"/>
              <w:left w:w="113" w:type="dxa"/>
              <w:bottom w:w="113" w:type="dxa"/>
              <w:right w:w="510" w:type="dxa"/>
            </w:tcMar>
            <w:vAlign w:val="bottom"/>
          </w:tcPr>
          <w:p w14:paraId="0A21F3F4" w14:textId="77777777" w:rsidR="001137D1" w:rsidRPr="003C44C7" w:rsidRDefault="001137D1" w:rsidP="00A85AE3">
            <w:pPr>
              <w:pStyle w:val="TableText"/>
              <w:jc w:val="right"/>
            </w:pPr>
            <w:r w:rsidRPr="003C44C7">
              <w:t>0</w:t>
            </w:r>
          </w:p>
        </w:tc>
        <w:tc>
          <w:tcPr>
            <w:tcW w:w="1360" w:type="dxa"/>
            <w:tcMar>
              <w:top w:w="113" w:type="dxa"/>
              <w:left w:w="113" w:type="dxa"/>
              <w:bottom w:w="113" w:type="dxa"/>
              <w:right w:w="510" w:type="dxa"/>
            </w:tcMar>
            <w:vAlign w:val="bottom"/>
          </w:tcPr>
          <w:p w14:paraId="53988C64" w14:textId="77777777" w:rsidR="001137D1" w:rsidRPr="003C44C7" w:rsidRDefault="001137D1" w:rsidP="00A85AE3">
            <w:pPr>
              <w:pStyle w:val="TableText"/>
              <w:jc w:val="right"/>
            </w:pPr>
            <w:r w:rsidRPr="003C44C7">
              <w:t>6</w:t>
            </w:r>
          </w:p>
        </w:tc>
        <w:tc>
          <w:tcPr>
            <w:tcW w:w="752" w:type="dxa"/>
            <w:tcMar>
              <w:top w:w="113" w:type="dxa"/>
              <w:left w:w="113" w:type="dxa"/>
              <w:bottom w:w="113" w:type="dxa"/>
              <w:right w:w="227" w:type="dxa"/>
            </w:tcMar>
            <w:vAlign w:val="bottom"/>
          </w:tcPr>
          <w:p w14:paraId="1E4EAD60" w14:textId="77777777" w:rsidR="001137D1" w:rsidRPr="003C44C7" w:rsidRDefault="001137D1" w:rsidP="00A85AE3">
            <w:pPr>
              <w:pStyle w:val="TableText"/>
              <w:jc w:val="right"/>
            </w:pPr>
            <w:r w:rsidRPr="003C44C7">
              <w:t>29</w:t>
            </w:r>
          </w:p>
        </w:tc>
      </w:tr>
      <w:tr w:rsidR="001137D1" w:rsidRPr="003C44C7" w14:paraId="00213211" w14:textId="77777777" w:rsidTr="00A85AE3">
        <w:trPr>
          <w:trHeight w:val="60"/>
        </w:trPr>
        <w:tc>
          <w:tcPr>
            <w:tcW w:w="1488" w:type="dxa"/>
            <w:tcMar>
              <w:top w:w="113" w:type="dxa"/>
              <w:left w:w="85" w:type="dxa"/>
              <w:bottom w:w="113" w:type="dxa"/>
              <w:right w:w="85" w:type="dxa"/>
            </w:tcMar>
            <w:vAlign w:val="center"/>
          </w:tcPr>
          <w:p w14:paraId="6EA2B6A1" w14:textId="77777777" w:rsidR="001137D1" w:rsidRPr="003C44C7" w:rsidRDefault="001137D1" w:rsidP="00A85AE3">
            <w:pPr>
              <w:pStyle w:val="TableText"/>
            </w:pPr>
            <w:r w:rsidRPr="003C44C7">
              <w:t>SA</w:t>
            </w:r>
          </w:p>
        </w:tc>
        <w:tc>
          <w:tcPr>
            <w:tcW w:w="1106" w:type="dxa"/>
            <w:tcMar>
              <w:top w:w="113" w:type="dxa"/>
              <w:left w:w="113" w:type="dxa"/>
              <w:bottom w:w="113" w:type="dxa"/>
              <w:right w:w="397" w:type="dxa"/>
            </w:tcMar>
            <w:vAlign w:val="bottom"/>
          </w:tcPr>
          <w:p w14:paraId="73454176" w14:textId="77777777" w:rsidR="001137D1" w:rsidRPr="003C44C7" w:rsidRDefault="001137D1" w:rsidP="00A85AE3">
            <w:pPr>
              <w:pStyle w:val="TableText"/>
              <w:jc w:val="right"/>
            </w:pPr>
            <w:r w:rsidRPr="003C44C7">
              <w:t>2</w:t>
            </w:r>
          </w:p>
        </w:tc>
        <w:tc>
          <w:tcPr>
            <w:tcW w:w="1134" w:type="dxa"/>
            <w:tcMar>
              <w:top w:w="113" w:type="dxa"/>
              <w:left w:w="113" w:type="dxa"/>
              <w:bottom w:w="113" w:type="dxa"/>
              <w:right w:w="397" w:type="dxa"/>
            </w:tcMar>
            <w:vAlign w:val="bottom"/>
          </w:tcPr>
          <w:p w14:paraId="42ED3930" w14:textId="77777777" w:rsidR="001137D1" w:rsidRPr="003C44C7" w:rsidRDefault="001137D1" w:rsidP="00A85AE3">
            <w:pPr>
              <w:pStyle w:val="TableText"/>
              <w:jc w:val="right"/>
            </w:pPr>
            <w:r w:rsidRPr="003C44C7">
              <w:t>0</w:t>
            </w:r>
          </w:p>
        </w:tc>
        <w:tc>
          <w:tcPr>
            <w:tcW w:w="1303" w:type="dxa"/>
            <w:tcMar>
              <w:top w:w="113" w:type="dxa"/>
              <w:left w:w="113" w:type="dxa"/>
              <w:bottom w:w="113" w:type="dxa"/>
              <w:right w:w="397" w:type="dxa"/>
            </w:tcMar>
            <w:vAlign w:val="bottom"/>
          </w:tcPr>
          <w:p w14:paraId="21B7C0E1" w14:textId="77777777" w:rsidR="001137D1" w:rsidRPr="003C44C7" w:rsidRDefault="001137D1" w:rsidP="00A85AE3">
            <w:pPr>
              <w:pStyle w:val="TableText"/>
              <w:jc w:val="right"/>
            </w:pPr>
            <w:r w:rsidRPr="003C44C7">
              <w:t>4</w:t>
            </w:r>
          </w:p>
        </w:tc>
        <w:tc>
          <w:tcPr>
            <w:tcW w:w="1290" w:type="dxa"/>
            <w:tcMar>
              <w:top w:w="113" w:type="dxa"/>
              <w:left w:w="113" w:type="dxa"/>
              <w:bottom w:w="113" w:type="dxa"/>
              <w:right w:w="510" w:type="dxa"/>
            </w:tcMar>
            <w:vAlign w:val="bottom"/>
          </w:tcPr>
          <w:p w14:paraId="216F346F" w14:textId="77777777" w:rsidR="001137D1" w:rsidRPr="003C44C7" w:rsidRDefault="001137D1" w:rsidP="00A85AE3">
            <w:pPr>
              <w:pStyle w:val="TableText"/>
              <w:jc w:val="right"/>
            </w:pPr>
            <w:r w:rsidRPr="003C44C7">
              <w:t>4</w:t>
            </w:r>
          </w:p>
        </w:tc>
        <w:tc>
          <w:tcPr>
            <w:tcW w:w="1276" w:type="dxa"/>
            <w:tcMar>
              <w:top w:w="113" w:type="dxa"/>
              <w:left w:w="113" w:type="dxa"/>
              <w:bottom w:w="113" w:type="dxa"/>
              <w:right w:w="510" w:type="dxa"/>
            </w:tcMar>
            <w:vAlign w:val="bottom"/>
          </w:tcPr>
          <w:p w14:paraId="423B3EBF" w14:textId="77777777" w:rsidR="001137D1" w:rsidRPr="003C44C7" w:rsidRDefault="001137D1" w:rsidP="00A85AE3">
            <w:pPr>
              <w:pStyle w:val="TableText"/>
              <w:jc w:val="right"/>
            </w:pPr>
            <w:r w:rsidRPr="003C44C7">
              <w:t>3</w:t>
            </w:r>
          </w:p>
        </w:tc>
        <w:tc>
          <w:tcPr>
            <w:tcW w:w="1360" w:type="dxa"/>
            <w:tcMar>
              <w:top w:w="113" w:type="dxa"/>
              <w:left w:w="113" w:type="dxa"/>
              <w:bottom w:w="113" w:type="dxa"/>
              <w:right w:w="510" w:type="dxa"/>
            </w:tcMar>
            <w:vAlign w:val="bottom"/>
          </w:tcPr>
          <w:p w14:paraId="75E2F69B" w14:textId="77777777" w:rsidR="001137D1" w:rsidRPr="003C44C7" w:rsidRDefault="001137D1" w:rsidP="00A85AE3">
            <w:pPr>
              <w:pStyle w:val="TableText"/>
              <w:jc w:val="right"/>
            </w:pPr>
            <w:r w:rsidRPr="003C44C7">
              <w:t>6</w:t>
            </w:r>
          </w:p>
        </w:tc>
        <w:tc>
          <w:tcPr>
            <w:tcW w:w="752" w:type="dxa"/>
            <w:tcMar>
              <w:top w:w="113" w:type="dxa"/>
              <w:left w:w="113" w:type="dxa"/>
              <w:bottom w:w="113" w:type="dxa"/>
              <w:right w:w="227" w:type="dxa"/>
            </w:tcMar>
            <w:vAlign w:val="bottom"/>
          </w:tcPr>
          <w:p w14:paraId="1F1B949E" w14:textId="77777777" w:rsidR="001137D1" w:rsidRPr="003C44C7" w:rsidRDefault="001137D1" w:rsidP="00A85AE3">
            <w:pPr>
              <w:pStyle w:val="TableText"/>
              <w:jc w:val="right"/>
            </w:pPr>
            <w:r w:rsidRPr="003C44C7">
              <w:t>19</w:t>
            </w:r>
          </w:p>
        </w:tc>
      </w:tr>
      <w:tr w:rsidR="001137D1" w:rsidRPr="003C44C7" w14:paraId="33D36811" w14:textId="77777777" w:rsidTr="00A85AE3">
        <w:trPr>
          <w:trHeight w:val="60"/>
        </w:trPr>
        <w:tc>
          <w:tcPr>
            <w:tcW w:w="1488" w:type="dxa"/>
            <w:tcMar>
              <w:top w:w="113" w:type="dxa"/>
              <w:left w:w="85" w:type="dxa"/>
              <w:bottom w:w="113" w:type="dxa"/>
              <w:right w:w="85" w:type="dxa"/>
            </w:tcMar>
            <w:vAlign w:val="center"/>
          </w:tcPr>
          <w:p w14:paraId="148A604A" w14:textId="77777777" w:rsidR="001137D1" w:rsidRPr="003C44C7" w:rsidRDefault="001137D1" w:rsidP="00A85AE3">
            <w:pPr>
              <w:pStyle w:val="TableText"/>
            </w:pPr>
            <w:r w:rsidRPr="003C44C7">
              <w:t>Tas</w:t>
            </w:r>
          </w:p>
        </w:tc>
        <w:tc>
          <w:tcPr>
            <w:tcW w:w="1106" w:type="dxa"/>
            <w:tcMar>
              <w:top w:w="113" w:type="dxa"/>
              <w:left w:w="113" w:type="dxa"/>
              <w:bottom w:w="113" w:type="dxa"/>
              <w:right w:w="397" w:type="dxa"/>
            </w:tcMar>
            <w:vAlign w:val="bottom"/>
          </w:tcPr>
          <w:p w14:paraId="1B9CAD82" w14:textId="77777777" w:rsidR="001137D1" w:rsidRPr="003C44C7" w:rsidRDefault="001137D1" w:rsidP="00A85AE3">
            <w:pPr>
              <w:pStyle w:val="TableText"/>
              <w:jc w:val="right"/>
            </w:pPr>
            <w:r w:rsidRPr="003C44C7">
              <w:t>1</w:t>
            </w:r>
          </w:p>
        </w:tc>
        <w:tc>
          <w:tcPr>
            <w:tcW w:w="1134" w:type="dxa"/>
            <w:tcMar>
              <w:top w:w="113" w:type="dxa"/>
              <w:left w:w="113" w:type="dxa"/>
              <w:bottom w:w="113" w:type="dxa"/>
              <w:right w:w="397" w:type="dxa"/>
            </w:tcMar>
            <w:vAlign w:val="bottom"/>
          </w:tcPr>
          <w:p w14:paraId="64B92607" w14:textId="77777777" w:rsidR="001137D1" w:rsidRPr="003C44C7" w:rsidRDefault="001137D1" w:rsidP="00A85AE3">
            <w:pPr>
              <w:pStyle w:val="TableText"/>
              <w:jc w:val="right"/>
            </w:pPr>
            <w:r w:rsidRPr="003C44C7">
              <w:t>0</w:t>
            </w:r>
          </w:p>
        </w:tc>
        <w:tc>
          <w:tcPr>
            <w:tcW w:w="1303" w:type="dxa"/>
            <w:tcMar>
              <w:top w:w="113" w:type="dxa"/>
              <w:left w:w="113" w:type="dxa"/>
              <w:bottom w:w="113" w:type="dxa"/>
              <w:right w:w="397" w:type="dxa"/>
            </w:tcMar>
            <w:vAlign w:val="bottom"/>
          </w:tcPr>
          <w:p w14:paraId="2DF4C9BD" w14:textId="77777777" w:rsidR="001137D1" w:rsidRPr="003C44C7" w:rsidRDefault="001137D1" w:rsidP="00A85AE3">
            <w:pPr>
              <w:pStyle w:val="TableText"/>
              <w:jc w:val="right"/>
            </w:pPr>
            <w:r w:rsidRPr="003C44C7">
              <w:t>2</w:t>
            </w:r>
          </w:p>
        </w:tc>
        <w:tc>
          <w:tcPr>
            <w:tcW w:w="1290" w:type="dxa"/>
            <w:tcMar>
              <w:top w:w="113" w:type="dxa"/>
              <w:left w:w="113" w:type="dxa"/>
              <w:bottom w:w="113" w:type="dxa"/>
              <w:right w:w="510" w:type="dxa"/>
            </w:tcMar>
            <w:vAlign w:val="bottom"/>
          </w:tcPr>
          <w:p w14:paraId="22EC206B" w14:textId="77777777" w:rsidR="001137D1" w:rsidRPr="003C44C7" w:rsidRDefault="001137D1" w:rsidP="00A85AE3">
            <w:pPr>
              <w:pStyle w:val="TableText"/>
              <w:jc w:val="right"/>
            </w:pPr>
            <w:r w:rsidRPr="003C44C7">
              <w:t>1</w:t>
            </w:r>
          </w:p>
        </w:tc>
        <w:tc>
          <w:tcPr>
            <w:tcW w:w="1276" w:type="dxa"/>
            <w:tcMar>
              <w:top w:w="113" w:type="dxa"/>
              <w:left w:w="113" w:type="dxa"/>
              <w:bottom w:w="113" w:type="dxa"/>
              <w:right w:w="510" w:type="dxa"/>
            </w:tcMar>
            <w:vAlign w:val="bottom"/>
          </w:tcPr>
          <w:p w14:paraId="57A46AA8" w14:textId="77777777" w:rsidR="001137D1" w:rsidRPr="003C44C7" w:rsidRDefault="001137D1" w:rsidP="00A85AE3">
            <w:pPr>
              <w:pStyle w:val="TableText"/>
              <w:jc w:val="right"/>
            </w:pPr>
            <w:r w:rsidRPr="003C44C7">
              <w:t>0</w:t>
            </w:r>
          </w:p>
        </w:tc>
        <w:tc>
          <w:tcPr>
            <w:tcW w:w="1360" w:type="dxa"/>
            <w:tcMar>
              <w:top w:w="113" w:type="dxa"/>
              <w:left w:w="113" w:type="dxa"/>
              <w:bottom w:w="113" w:type="dxa"/>
              <w:right w:w="510" w:type="dxa"/>
            </w:tcMar>
            <w:vAlign w:val="bottom"/>
          </w:tcPr>
          <w:p w14:paraId="599C9B4D" w14:textId="77777777" w:rsidR="001137D1" w:rsidRPr="003C44C7" w:rsidRDefault="001137D1" w:rsidP="00A85AE3">
            <w:pPr>
              <w:pStyle w:val="TableText"/>
              <w:jc w:val="right"/>
            </w:pPr>
            <w:r w:rsidRPr="003C44C7">
              <w:t>1</w:t>
            </w:r>
          </w:p>
        </w:tc>
        <w:tc>
          <w:tcPr>
            <w:tcW w:w="752" w:type="dxa"/>
            <w:tcMar>
              <w:top w:w="113" w:type="dxa"/>
              <w:left w:w="113" w:type="dxa"/>
              <w:bottom w:w="113" w:type="dxa"/>
              <w:right w:w="227" w:type="dxa"/>
            </w:tcMar>
            <w:vAlign w:val="bottom"/>
          </w:tcPr>
          <w:p w14:paraId="67FEC4DE" w14:textId="77777777" w:rsidR="001137D1" w:rsidRPr="003C44C7" w:rsidRDefault="001137D1" w:rsidP="00A85AE3">
            <w:pPr>
              <w:pStyle w:val="TableText"/>
              <w:jc w:val="right"/>
            </w:pPr>
            <w:r w:rsidRPr="003C44C7">
              <w:t>5</w:t>
            </w:r>
          </w:p>
        </w:tc>
      </w:tr>
      <w:tr w:rsidR="001137D1" w:rsidRPr="003C44C7" w14:paraId="7C1228B2" w14:textId="77777777" w:rsidTr="00A85AE3">
        <w:trPr>
          <w:trHeight w:val="60"/>
        </w:trPr>
        <w:tc>
          <w:tcPr>
            <w:tcW w:w="1488" w:type="dxa"/>
            <w:tcMar>
              <w:top w:w="113" w:type="dxa"/>
              <w:left w:w="85" w:type="dxa"/>
              <w:bottom w:w="113" w:type="dxa"/>
              <w:right w:w="85" w:type="dxa"/>
            </w:tcMar>
            <w:vAlign w:val="center"/>
          </w:tcPr>
          <w:p w14:paraId="504C31D6" w14:textId="77777777" w:rsidR="001137D1" w:rsidRPr="003C44C7" w:rsidRDefault="001137D1" w:rsidP="00A85AE3">
            <w:pPr>
              <w:pStyle w:val="TableText"/>
            </w:pPr>
            <w:r w:rsidRPr="003C44C7">
              <w:t>Vic</w:t>
            </w:r>
          </w:p>
        </w:tc>
        <w:tc>
          <w:tcPr>
            <w:tcW w:w="1106" w:type="dxa"/>
            <w:tcMar>
              <w:top w:w="113" w:type="dxa"/>
              <w:left w:w="113" w:type="dxa"/>
              <w:bottom w:w="113" w:type="dxa"/>
              <w:right w:w="397" w:type="dxa"/>
            </w:tcMar>
            <w:vAlign w:val="bottom"/>
          </w:tcPr>
          <w:p w14:paraId="1620BA88" w14:textId="77777777" w:rsidR="001137D1" w:rsidRPr="003C44C7" w:rsidRDefault="001137D1" w:rsidP="00A85AE3">
            <w:pPr>
              <w:pStyle w:val="TableText"/>
              <w:jc w:val="right"/>
            </w:pPr>
            <w:r w:rsidRPr="003C44C7">
              <w:t>6</w:t>
            </w:r>
          </w:p>
        </w:tc>
        <w:tc>
          <w:tcPr>
            <w:tcW w:w="1134" w:type="dxa"/>
            <w:tcMar>
              <w:top w:w="113" w:type="dxa"/>
              <w:left w:w="113" w:type="dxa"/>
              <w:bottom w:w="113" w:type="dxa"/>
              <w:right w:w="397" w:type="dxa"/>
            </w:tcMar>
            <w:vAlign w:val="bottom"/>
          </w:tcPr>
          <w:p w14:paraId="00A0BA71" w14:textId="77777777" w:rsidR="001137D1" w:rsidRPr="003C44C7" w:rsidRDefault="001137D1" w:rsidP="00A85AE3">
            <w:pPr>
              <w:pStyle w:val="TableText"/>
              <w:jc w:val="right"/>
            </w:pPr>
            <w:r w:rsidRPr="003C44C7">
              <w:t>0</w:t>
            </w:r>
          </w:p>
        </w:tc>
        <w:tc>
          <w:tcPr>
            <w:tcW w:w="1303" w:type="dxa"/>
            <w:tcMar>
              <w:top w:w="113" w:type="dxa"/>
              <w:left w:w="113" w:type="dxa"/>
              <w:bottom w:w="113" w:type="dxa"/>
              <w:right w:w="397" w:type="dxa"/>
            </w:tcMar>
            <w:vAlign w:val="bottom"/>
          </w:tcPr>
          <w:p w14:paraId="311D3C05" w14:textId="77777777" w:rsidR="001137D1" w:rsidRPr="003C44C7" w:rsidRDefault="001137D1" w:rsidP="00A85AE3">
            <w:pPr>
              <w:pStyle w:val="TableText"/>
              <w:jc w:val="right"/>
            </w:pPr>
            <w:r w:rsidRPr="003C44C7">
              <w:t>8</w:t>
            </w:r>
          </w:p>
        </w:tc>
        <w:tc>
          <w:tcPr>
            <w:tcW w:w="1290" w:type="dxa"/>
            <w:tcMar>
              <w:top w:w="113" w:type="dxa"/>
              <w:left w:w="113" w:type="dxa"/>
              <w:bottom w:w="113" w:type="dxa"/>
              <w:right w:w="510" w:type="dxa"/>
            </w:tcMar>
            <w:vAlign w:val="bottom"/>
          </w:tcPr>
          <w:p w14:paraId="499463C8" w14:textId="77777777" w:rsidR="001137D1" w:rsidRPr="003C44C7" w:rsidRDefault="001137D1" w:rsidP="00A85AE3">
            <w:pPr>
              <w:pStyle w:val="TableText"/>
              <w:jc w:val="right"/>
            </w:pPr>
            <w:r w:rsidRPr="003C44C7">
              <w:t>5</w:t>
            </w:r>
          </w:p>
        </w:tc>
        <w:tc>
          <w:tcPr>
            <w:tcW w:w="1276" w:type="dxa"/>
            <w:tcMar>
              <w:top w:w="113" w:type="dxa"/>
              <w:left w:w="113" w:type="dxa"/>
              <w:bottom w:w="113" w:type="dxa"/>
              <w:right w:w="510" w:type="dxa"/>
            </w:tcMar>
            <w:vAlign w:val="bottom"/>
          </w:tcPr>
          <w:p w14:paraId="5CC4DE70" w14:textId="77777777" w:rsidR="001137D1" w:rsidRPr="003C44C7" w:rsidRDefault="001137D1" w:rsidP="00A85AE3">
            <w:pPr>
              <w:pStyle w:val="TableText"/>
              <w:jc w:val="right"/>
            </w:pPr>
            <w:r w:rsidRPr="003C44C7">
              <w:t>0</w:t>
            </w:r>
          </w:p>
        </w:tc>
        <w:tc>
          <w:tcPr>
            <w:tcW w:w="1360" w:type="dxa"/>
            <w:tcMar>
              <w:top w:w="113" w:type="dxa"/>
              <w:left w:w="113" w:type="dxa"/>
              <w:bottom w:w="113" w:type="dxa"/>
              <w:right w:w="510" w:type="dxa"/>
            </w:tcMar>
            <w:vAlign w:val="bottom"/>
          </w:tcPr>
          <w:p w14:paraId="07964AB4" w14:textId="77777777" w:rsidR="001137D1" w:rsidRPr="003C44C7" w:rsidRDefault="001137D1" w:rsidP="00A85AE3">
            <w:pPr>
              <w:pStyle w:val="TableText"/>
              <w:jc w:val="right"/>
            </w:pPr>
            <w:r w:rsidRPr="003C44C7">
              <w:t>4</w:t>
            </w:r>
          </w:p>
        </w:tc>
        <w:tc>
          <w:tcPr>
            <w:tcW w:w="752" w:type="dxa"/>
            <w:tcMar>
              <w:top w:w="113" w:type="dxa"/>
              <w:left w:w="113" w:type="dxa"/>
              <w:bottom w:w="113" w:type="dxa"/>
              <w:right w:w="227" w:type="dxa"/>
            </w:tcMar>
            <w:vAlign w:val="bottom"/>
          </w:tcPr>
          <w:p w14:paraId="2BBC90F7" w14:textId="77777777" w:rsidR="001137D1" w:rsidRPr="003C44C7" w:rsidRDefault="001137D1" w:rsidP="00A85AE3">
            <w:pPr>
              <w:pStyle w:val="TableText"/>
              <w:jc w:val="right"/>
            </w:pPr>
            <w:r w:rsidRPr="003C44C7">
              <w:t>23</w:t>
            </w:r>
          </w:p>
        </w:tc>
      </w:tr>
      <w:tr w:rsidR="001137D1" w:rsidRPr="003C44C7" w14:paraId="631406FC" w14:textId="77777777" w:rsidTr="00A85AE3">
        <w:trPr>
          <w:trHeight w:val="60"/>
        </w:trPr>
        <w:tc>
          <w:tcPr>
            <w:tcW w:w="1488" w:type="dxa"/>
            <w:tcMar>
              <w:top w:w="113" w:type="dxa"/>
              <w:left w:w="85" w:type="dxa"/>
              <w:bottom w:w="113" w:type="dxa"/>
              <w:right w:w="85" w:type="dxa"/>
            </w:tcMar>
            <w:vAlign w:val="center"/>
          </w:tcPr>
          <w:p w14:paraId="5FB0341E" w14:textId="77777777" w:rsidR="001137D1" w:rsidRPr="003C44C7" w:rsidRDefault="001137D1" w:rsidP="00A85AE3">
            <w:pPr>
              <w:pStyle w:val="TableText"/>
            </w:pPr>
            <w:r w:rsidRPr="003C44C7">
              <w:t>WA</w:t>
            </w:r>
          </w:p>
        </w:tc>
        <w:tc>
          <w:tcPr>
            <w:tcW w:w="1106" w:type="dxa"/>
            <w:tcMar>
              <w:top w:w="113" w:type="dxa"/>
              <w:left w:w="113" w:type="dxa"/>
              <w:bottom w:w="113" w:type="dxa"/>
              <w:right w:w="397" w:type="dxa"/>
            </w:tcMar>
            <w:vAlign w:val="bottom"/>
          </w:tcPr>
          <w:p w14:paraId="05CC3BB1" w14:textId="77777777" w:rsidR="001137D1" w:rsidRPr="003C44C7" w:rsidRDefault="001137D1" w:rsidP="00A85AE3">
            <w:pPr>
              <w:pStyle w:val="TableText"/>
              <w:jc w:val="right"/>
            </w:pPr>
            <w:r w:rsidRPr="003C44C7">
              <w:t>2</w:t>
            </w:r>
          </w:p>
        </w:tc>
        <w:tc>
          <w:tcPr>
            <w:tcW w:w="1134" w:type="dxa"/>
            <w:tcMar>
              <w:top w:w="113" w:type="dxa"/>
              <w:left w:w="113" w:type="dxa"/>
              <w:bottom w:w="113" w:type="dxa"/>
              <w:right w:w="397" w:type="dxa"/>
            </w:tcMar>
            <w:vAlign w:val="bottom"/>
          </w:tcPr>
          <w:p w14:paraId="071AB225" w14:textId="77777777" w:rsidR="001137D1" w:rsidRPr="003C44C7" w:rsidRDefault="001137D1" w:rsidP="00A85AE3">
            <w:pPr>
              <w:pStyle w:val="TableText"/>
              <w:jc w:val="right"/>
            </w:pPr>
            <w:r w:rsidRPr="003C44C7">
              <w:t>1</w:t>
            </w:r>
          </w:p>
        </w:tc>
        <w:tc>
          <w:tcPr>
            <w:tcW w:w="1303" w:type="dxa"/>
            <w:tcMar>
              <w:top w:w="113" w:type="dxa"/>
              <w:left w:w="113" w:type="dxa"/>
              <w:bottom w:w="113" w:type="dxa"/>
              <w:right w:w="397" w:type="dxa"/>
            </w:tcMar>
            <w:vAlign w:val="bottom"/>
          </w:tcPr>
          <w:p w14:paraId="2630FBCD" w14:textId="77777777" w:rsidR="001137D1" w:rsidRPr="003C44C7" w:rsidRDefault="001137D1" w:rsidP="00A85AE3">
            <w:pPr>
              <w:pStyle w:val="TableText"/>
              <w:jc w:val="right"/>
            </w:pPr>
            <w:r w:rsidRPr="003C44C7">
              <w:t>4</w:t>
            </w:r>
          </w:p>
        </w:tc>
        <w:tc>
          <w:tcPr>
            <w:tcW w:w="1290" w:type="dxa"/>
            <w:tcMar>
              <w:top w:w="113" w:type="dxa"/>
              <w:left w:w="113" w:type="dxa"/>
              <w:bottom w:w="113" w:type="dxa"/>
              <w:right w:w="510" w:type="dxa"/>
            </w:tcMar>
            <w:vAlign w:val="bottom"/>
          </w:tcPr>
          <w:p w14:paraId="4038B074" w14:textId="77777777" w:rsidR="001137D1" w:rsidRPr="003C44C7" w:rsidRDefault="001137D1" w:rsidP="00A85AE3">
            <w:pPr>
              <w:pStyle w:val="TableText"/>
              <w:jc w:val="right"/>
            </w:pPr>
            <w:r w:rsidRPr="003C44C7">
              <w:t>1</w:t>
            </w:r>
          </w:p>
        </w:tc>
        <w:tc>
          <w:tcPr>
            <w:tcW w:w="1276" w:type="dxa"/>
            <w:tcMar>
              <w:top w:w="113" w:type="dxa"/>
              <w:left w:w="113" w:type="dxa"/>
              <w:bottom w:w="113" w:type="dxa"/>
              <w:right w:w="510" w:type="dxa"/>
            </w:tcMar>
            <w:vAlign w:val="bottom"/>
          </w:tcPr>
          <w:p w14:paraId="59D628D5" w14:textId="77777777" w:rsidR="001137D1" w:rsidRPr="003C44C7" w:rsidRDefault="001137D1" w:rsidP="00A85AE3">
            <w:pPr>
              <w:pStyle w:val="TableText"/>
              <w:jc w:val="right"/>
            </w:pPr>
            <w:r w:rsidRPr="003C44C7">
              <w:t>1</w:t>
            </w:r>
          </w:p>
        </w:tc>
        <w:tc>
          <w:tcPr>
            <w:tcW w:w="1360" w:type="dxa"/>
            <w:tcMar>
              <w:top w:w="113" w:type="dxa"/>
              <w:left w:w="113" w:type="dxa"/>
              <w:bottom w:w="113" w:type="dxa"/>
              <w:right w:w="510" w:type="dxa"/>
            </w:tcMar>
            <w:vAlign w:val="bottom"/>
          </w:tcPr>
          <w:p w14:paraId="07E9534A" w14:textId="77777777" w:rsidR="001137D1" w:rsidRPr="003C44C7" w:rsidRDefault="001137D1" w:rsidP="00A85AE3">
            <w:pPr>
              <w:pStyle w:val="TableText"/>
              <w:jc w:val="right"/>
            </w:pPr>
            <w:r w:rsidRPr="003C44C7">
              <w:t>1</w:t>
            </w:r>
          </w:p>
        </w:tc>
        <w:tc>
          <w:tcPr>
            <w:tcW w:w="752" w:type="dxa"/>
            <w:tcMar>
              <w:top w:w="113" w:type="dxa"/>
              <w:left w:w="113" w:type="dxa"/>
              <w:bottom w:w="113" w:type="dxa"/>
              <w:right w:w="227" w:type="dxa"/>
            </w:tcMar>
            <w:vAlign w:val="bottom"/>
          </w:tcPr>
          <w:p w14:paraId="1D2D048B" w14:textId="77777777" w:rsidR="001137D1" w:rsidRPr="003C44C7" w:rsidRDefault="001137D1" w:rsidP="00A85AE3">
            <w:pPr>
              <w:pStyle w:val="TableText"/>
              <w:jc w:val="right"/>
            </w:pPr>
            <w:r w:rsidRPr="003C44C7">
              <w:t>10</w:t>
            </w:r>
          </w:p>
        </w:tc>
      </w:tr>
      <w:tr w:rsidR="001137D1" w:rsidRPr="003C44C7" w14:paraId="43259F25" w14:textId="77777777" w:rsidTr="00A85AE3">
        <w:trPr>
          <w:trHeight w:val="64"/>
        </w:trPr>
        <w:tc>
          <w:tcPr>
            <w:tcW w:w="1488" w:type="dxa"/>
            <w:tcBorders>
              <w:bottom w:val="single" w:sz="4" w:space="0" w:color="auto"/>
            </w:tcBorders>
            <w:tcMar>
              <w:top w:w="113" w:type="dxa"/>
              <w:left w:w="85" w:type="dxa"/>
              <w:bottom w:w="113" w:type="dxa"/>
              <w:right w:w="85" w:type="dxa"/>
            </w:tcMar>
            <w:vAlign w:val="bottom"/>
          </w:tcPr>
          <w:p w14:paraId="125CDE1F" w14:textId="77777777" w:rsidR="001137D1" w:rsidRPr="003C44C7" w:rsidRDefault="001137D1" w:rsidP="00A85AE3">
            <w:pPr>
              <w:pStyle w:val="TableText"/>
            </w:pPr>
            <w:r w:rsidRPr="003C44C7">
              <w:rPr>
                <w:rStyle w:val="Strong"/>
              </w:rPr>
              <w:t>Total</w:t>
            </w:r>
          </w:p>
        </w:tc>
        <w:tc>
          <w:tcPr>
            <w:tcW w:w="1106" w:type="dxa"/>
            <w:tcBorders>
              <w:bottom w:val="single" w:sz="4" w:space="0" w:color="auto"/>
            </w:tcBorders>
            <w:tcMar>
              <w:top w:w="113" w:type="dxa"/>
              <w:left w:w="113" w:type="dxa"/>
              <w:bottom w:w="113" w:type="dxa"/>
              <w:right w:w="397" w:type="dxa"/>
            </w:tcMar>
            <w:vAlign w:val="bottom"/>
          </w:tcPr>
          <w:p w14:paraId="0FC2064F" w14:textId="77777777" w:rsidR="001137D1" w:rsidRPr="003C44C7" w:rsidRDefault="001137D1" w:rsidP="00A85AE3">
            <w:pPr>
              <w:pStyle w:val="TableText"/>
              <w:jc w:val="right"/>
            </w:pPr>
            <w:r w:rsidRPr="003C44C7">
              <w:rPr>
                <w:rStyle w:val="Strong"/>
              </w:rPr>
              <w:t>28</w:t>
            </w:r>
          </w:p>
        </w:tc>
        <w:tc>
          <w:tcPr>
            <w:tcW w:w="1134" w:type="dxa"/>
            <w:tcBorders>
              <w:bottom w:val="single" w:sz="4" w:space="0" w:color="auto"/>
            </w:tcBorders>
            <w:tcMar>
              <w:top w:w="113" w:type="dxa"/>
              <w:left w:w="113" w:type="dxa"/>
              <w:bottom w:w="113" w:type="dxa"/>
              <w:right w:w="397" w:type="dxa"/>
            </w:tcMar>
            <w:vAlign w:val="bottom"/>
          </w:tcPr>
          <w:p w14:paraId="2178BD46" w14:textId="77777777" w:rsidR="001137D1" w:rsidRPr="003C44C7" w:rsidRDefault="001137D1" w:rsidP="00A85AE3">
            <w:pPr>
              <w:pStyle w:val="TableText"/>
              <w:jc w:val="right"/>
            </w:pPr>
            <w:r w:rsidRPr="003C44C7">
              <w:rPr>
                <w:rStyle w:val="Strong"/>
              </w:rPr>
              <w:t>2</w:t>
            </w:r>
          </w:p>
        </w:tc>
        <w:tc>
          <w:tcPr>
            <w:tcW w:w="1303" w:type="dxa"/>
            <w:tcBorders>
              <w:bottom w:val="single" w:sz="4" w:space="0" w:color="auto"/>
            </w:tcBorders>
            <w:tcMar>
              <w:top w:w="113" w:type="dxa"/>
              <w:left w:w="113" w:type="dxa"/>
              <w:bottom w:w="113" w:type="dxa"/>
              <w:right w:w="397" w:type="dxa"/>
            </w:tcMar>
            <w:vAlign w:val="bottom"/>
          </w:tcPr>
          <w:p w14:paraId="3001DF3A" w14:textId="77777777" w:rsidR="001137D1" w:rsidRPr="003C44C7" w:rsidRDefault="001137D1" w:rsidP="00A85AE3">
            <w:pPr>
              <w:pStyle w:val="TableText"/>
              <w:jc w:val="right"/>
            </w:pPr>
            <w:r w:rsidRPr="003C44C7">
              <w:rPr>
                <w:rStyle w:val="Strong"/>
              </w:rPr>
              <w:t>51</w:t>
            </w:r>
          </w:p>
        </w:tc>
        <w:tc>
          <w:tcPr>
            <w:tcW w:w="1290" w:type="dxa"/>
            <w:tcBorders>
              <w:bottom w:val="single" w:sz="4" w:space="0" w:color="auto"/>
            </w:tcBorders>
            <w:tcMar>
              <w:top w:w="113" w:type="dxa"/>
              <w:left w:w="113" w:type="dxa"/>
              <w:bottom w:w="113" w:type="dxa"/>
              <w:right w:w="510" w:type="dxa"/>
            </w:tcMar>
            <w:vAlign w:val="bottom"/>
          </w:tcPr>
          <w:p w14:paraId="52DD81C5" w14:textId="77777777" w:rsidR="001137D1" w:rsidRPr="003C44C7" w:rsidRDefault="001137D1" w:rsidP="00A85AE3">
            <w:pPr>
              <w:pStyle w:val="TableText"/>
              <w:jc w:val="right"/>
            </w:pPr>
            <w:r w:rsidRPr="003C44C7">
              <w:rPr>
                <w:rStyle w:val="Strong"/>
              </w:rPr>
              <w:t>26</w:t>
            </w:r>
          </w:p>
        </w:tc>
        <w:tc>
          <w:tcPr>
            <w:tcW w:w="1276" w:type="dxa"/>
            <w:tcBorders>
              <w:bottom w:val="single" w:sz="4" w:space="0" w:color="auto"/>
            </w:tcBorders>
            <w:tcMar>
              <w:top w:w="113" w:type="dxa"/>
              <w:left w:w="113" w:type="dxa"/>
              <w:bottom w:w="113" w:type="dxa"/>
              <w:right w:w="510" w:type="dxa"/>
            </w:tcMar>
            <w:vAlign w:val="bottom"/>
          </w:tcPr>
          <w:p w14:paraId="16C84A45" w14:textId="77777777" w:rsidR="001137D1" w:rsidRPr="003C44C7" w:rsidRDefault="001137D1" w:rsidP="00A85AE3">
            <w:pPr>
              <w:pStyle w:val="TableText"/>
              <w:jc w:val="right"/>
            </w:pPr>
            <w:r w:rsidRPr="003C44C7">
              <w:rPr>
                <w:rStyle w:val="Strong"/>
              </w:rPr>
              <w:t>4</w:t>
            </w:r>
          </w:p>
        </w:tc>
        <w:tc>
          <w:tcPr>
            <w:tcW w:w="1360" w:type="dxa"/>
            <w:tcBorders>
              <w:bottom w:val="single" w:sz="4" w:space="0" w:color="auto"/>
            </w:tcBorders>
            <w:tcMar>
              <w:top w:w="113" w:type="dxa"/>
              <w:left w:w="113" w:type="dxa"/>
              <w:bottom w:w="113" w:type="dxa"/>
              <w:right w:w="510" w:type="dxa"/>
            </w:tcMar>
            <w:vAlign w:val="bottom"/>
          </w:tcPr>
          <w:p w14:paraId="1CD5FB88" w14:textId="77777777" w:rsidR="001137D1" w:rsidRPr="003C44C7" w:rsidRDefault="001137D1" w:rsidP="00A85AE3">
            <w:pPr>
              <w:pStyle w:val="TableText"/>
              <w:jc w:val="right"/>
            </w:pPr>
            <w:r w:rsidRPr="003C44C7">
              <w:rPr>
                <w:rStyle w:val="Strong"/>
              </w:rPr>
              <w:t>18</w:t>
            </w:r>
          </w:p>
        </w:tc>
        <w:tc>
          <w:tcPr>
            <w:tcW w:w="752" w:type="dxa"/>
            <w:tcBorders>
              <w:bottom w:val="single" w:sz="4" w:space="0" w:color="auto"/>
            </w:tcBorders>
            <w:tcMar>
              <w:top w:w="113" w:type="dxa"/>
              <w:left w:w="113" w:type="dxa"/>
              <w:bottom w:w="113" w:type="dxa"/>
              <w:right w:w="227" w:type="dxa"/>
            </w:tcMar>
            <w:vAlign w:val="bottom"/>
          </w:tcPr>
          <w:p w14:paraId="581F484D" w14:textId="77777777" w:rsidR="001137D1" w:rsidRPr="003C44C7" w:rsidRDefault="001137D1" w:rsidP="00A85AE3">
            <w:pPr>
              <w:pStyle w:val="TableText"/>
              <w:jc w:val="right"/>
            </w:pPr>
            <w:r w:rsidRPr="003C44C7">
              <w:rPr>
                <w:rStyle w:val="Strong"/>
              </w:rPr>
              <w:t>129</w:t>
            </w:r>
          </w:p>
        </w:tc>
      </w:tr>
    </w:tbl>
    <w:p w14:paraId="4A7C4AFA" w14:textId="77777777" w:rsidR="00F14851" w:rsidRPr="003C44C7" w:rsidRDefault="00F14851">
      <w:r w:rsidRPr="003C44C7">
        <w:t xml:space="preserve">Pharmacy departments of participating hospitals supply NAUSP with aggregate monthly details of antimicrobials issued to individual inpatients and ward imprest supplies (ward stock managed by the pharmacy) via dispensing reports. Hospital occupancy data are collected in the form of overnight occupied bed-days. </w:t>
      </w:r>
    </w:p>
    <w:p w14:paraId="1D5530B7" w14:textId="77777777" w:rsidR="00F14851" w:rsidRPr="003C44C7" w:rsidRDefault="00F14851">
      <w:r w:rsidRPr="003C44C7">
        <w:t>NAUSP uses semi-automated statistical algorithms to detect irregular values, as part of rigorous quality assurance processes that occur during loading of data and before report production. Contributors are alerted if suspect data are detected. Nevertheless, responsibility for the accuracy of data supplied to NAUSP lies with contributing hospitals.</w:t>
      </w:r>
    </w:p>
    <w:p w14:paraId="683A926D" w14:textId="77777777" w:rsidR="00F14851" w:rsidRPr="003C44C7" w:rsidRDefault="00F14851">
      <w:r w:rsidRPr="003C44C7">
        <w:t>NAUSP assigns each contributing hospital a unique code to identify its usage rates of selected antimicrobials, by therapeutic group, in charts supplied to contributors and jurisdictions.</w:t>
      </w:r>
    </w:p>
    <w:p w14:paraId="2A105769" w14:textId="77777777" w:rsidR="00F14851" w:rsidRPr="003C44C7" w:rsidRDefault="00F14851">
      <w:pPr>
        <w:pStyle w:val="Heading2"/>
      </w:pPr>
      <w:bookmarkStart w:id="6" w:name="_Toc429391526"/>
      <w:r w:rsidRPr="003C44C7">
        <w:t>Units of measurement</w:t>
      </w:r>
      <w:bookmarkEnd w:id="6"/>
    </w:p>
    <w:p w14:paraId="4FF61BA1" w14:textId="77777777" w:rsidR="00F14851" w:rsidRPr="003C44C7" w:rsidRDefault="00F14851">
      <w:r w:rsidRPr="003C44C7">
        <w:t>Antimicrobial data are aggregated over the period of interest at hospital level and converted to standardised usage density rates based on the World Health Organization (WHO) definition of defined daily dose (DDD), with 1000 occupied-bed-days (OBDs) as the denominator (Appendix 2). The DDD for any drug represents the average maintenance dose per day for an average adult for the main indication of the medicine.</w:t>
      </w:r>
      <w:r w:rsidRPr="003C44C7">
        <w:rPr>
          <w:rStyle w:val="Superscript"/>
        </w:rPr>
        <w:t>3,4</w:t>
      </w:r>
      <w:r w:rsidRPr="003C44C7">
        <w:t xml:space="preserve"> </w:t>
      </w:r>
    </w:p>
    <w:p w14:paraId="2F8ECA14" w14:textId="77777777" w:rsidR="00F14851" w:rsidRPr="003C44C7" w:rsidRDefault="00F14851">
      <w:pPr>
        <w:pStyle w:val="NormalBeforeBullet"/>
      </w:pPr>
      <w:r w:rsidRPr="003C44C7">
        <w:t xml:space="preserve">Values calculated from raw data submitted to NAUSP include: </w:t>
      </w:r>
    </w:p>
    <w:p w14:paraId="13EB2BE6" w14:textId="77777777" w:rsidR="00F14851" w:rsidRPr="003C44C7" w:rsidRDefault="00F14851">
      <w:pPr>
        <w:pStyle w:val="Bullet"/>
      </w:pPr>
      <w:r w:rsidRPr="003C44C7">
        <w:t>the DDDs of the antimicrobial agent</w:t>
      </w:r>
    </w:p>
    <w:p w14:paraId="3FFFC6BC" w14:textId="77777777" w:rsidR="00F14851" w:rsidRPr="003C44C7" w:rsidRDefault="00F14851">
      <w:pPr>
        <w:pStyle w:val="Bullet"/>
      </w:pPr>
      <w:r w:rsidRPr="003C44C7">
        <w:t>the aggregate number of grams of the antimicrobial used for a month</w:t>
      </w:r>
    </w:p>
    <w:p w14:paraId="5277EC45" w14:textId="77777777" w:rsidR="00F14851" w:rsidRPr="003C44C7" w:rsidRDefault="00F14851">
      <w:pPr>
        <w:pStyle w:val="Bullet"/>
      </w:pPr>
      <w:r w:rsidRPr="003C44C7">
        <w:t>monthly antimicrobial usage rates</w:t>
      </w:r>
    </w:p>
    <w:p w14:paraId="5DAFE1F7" w14:textId="77777777" w:rsidR="00F14851" w:rsidRPr="003C44C7" w:rsidRDefault="00F14851">
      <w:pPr>
        <w:pStyle w:val="BulletLast"/>
      </w:pPr>
      <w:r w:rsidRPr="003C44C7">
        <w:t>a three- or five-month moving average of the usage rate.</w:t>
      </w:r>
    </w:p>
    <w:p w14:paraId="3F7CA4D6" w14:textId="77777777" w:rsidR="00F14851" w:rsidRPr="003C44C7" w:rsidRDefault="00F14851">
      <w:r w:rsidRPr="003C44C7">
        <w:t>Standardised usage density rates are widely accepted as appropriate measures of adult medicine use in non-ambulatory settings and adopted by international antimicrobial surveillance programs.</w:t>
      </w:r>
      <w:r w:rsidRPr="003C44C7">
        <w:rPr>
          <w:rStyle w:val="Superscript"/>
        </w:rPr>
        <w:t>5-7</w:t>
      </w:r>
      <w:r w:rsidRPr="003C44C7">
        <w:t xml:space="preserve"> Use of an internationally accepted standard rate enables comparison of usage data for antimicrobial agents that have different doses, aggregation of data to assess use by antimicrobial class, and comparisons with data from other surveillance programs or studies. However, such comparisons need to be made with care because of variations in the casemix of patients and international healthcare practices. </w:t>
      </w:r>
    </w:p>
    <w:p w14:paraId="2BCC72FF" w14:textId="77777777" w:rsidR="00F14851" w:rsidRPr="003C44C7" w:rsidRDefault="00F14851">
      <w:pPr>
        <w:pStyle w:val="Heading2"/>
      </w:pPr>
      <w:bookmarkStart w:id="7" w:name="_Toc429391527"/>
      <w:r w:rsidRPr="003C44C7">
        <w:t>Data quality</w:t>
      </w:r>
      <w:bookmarkEnd w:id="7"/>
    </w:p>
    <w:p w14:paraId="5D645E87" w14:textId="77777777" w:rsidR="00F14851" w:rsidRPr="003C44C7" w:rsidRDefault="00F14851">
      <w:r w:rsidRPr="003C44C7">
        <w:t>All data submitted to NAUSP are validated by automated and manual processes before reports are generated and disseminated to contributors. The database used by the program provides alerts when quantities fall outside a ‘usual’ or expected range. This enables verification of data at an early stage of data submission. Data validation activities are scheduled immediately before production of national bimonthly and annual reports. Semi-automated statistical algorithms are used to compare data with previous submissions, detect irregular values, validate suspect values against original contributor data and processed usage data, and confirm denominator and numerator data used for usage rate calculations. Pharmacists are involved in this process, enabling NAUSP officers to apply reasoned, skilled judgment, and notify contributors of any anomalies requiring attention or resubmission of data.</w:t>
      </w:r>
    </w:p>
    <w:p w14:paraId="6E8B3C3A" w14:textId="77777777" w:rsidR="00F14851" w:rsidRPr="003C44C7" w:rsidRDefault="00F14851">
      <w:pPr>
        <w:pStyle w:val="NormalBeforeBullet"/>
      </w:pPr>
      <w:r w:rsidRPr="003C44C7">
        <w:t xml:space="preserve">Records of data validation activities undertaken during the 12-month period January–December 2014 revealed that 2493 individual data entries were manually checked. The number of errors detected was 64 (2.56%). Types of errors detected and corrected include: </w:t>
      </w:r>
    </w:p>
    <w:p w14:paraId="6E927F71" w14:textId="77777777" w:rsidR="00F14851" w:rsidRPr="003C44C7" w:rsidRDefault="00F14851">
      <w:pPr>
        <w:pStyle w:val="Bullet"/>
      </w:pPr>
      <w:r w:rsidRPr="003C44C7">
        <w:t>inadvertent inclusion of antimicrobials issued to excluded wards</w:t>
      </w:r>
    </w:p>
    <w:p w14:paraId="0530145B" w14:textId="77777777" w:rsidR="00F14851" w:rsidRPr="003C44C7" w:rsidRDefault="00F14851">
      <w:pPr>
        <w:pStyle w:val="Bullet"/>
      </w:pPr>
      <w:r w:rsidRPr="003C44C7">
        <w:t>duplication of the numerator (i.e. multiple months with identical data), as supplied by contributors</w:t>
      </w:r>
    </w:p>
    <w:p w14:paraId="208995BE" w14:textId="77777777" w:rsidR="00F14851" w:rsidRPr="003C44C7" w:rsidRDefault="00F14851">
      <w:pPr>
        <w:pStyle w:val="Bullet"/>
      </w:pPr>
      <w:r w:rsidRPr="003C44C7">
        <w:t>antimicrobials assigned an incorrect alias by NAUSP during data loading</w:t>
      </w:r>
    </w:p>
    <w:p w14:paraId="594253B8" w14:textId="77777777" w:rsidR="00F14851" w:rsidRPr="003C44C7" w:rsidRDefault="00F14851">
      <w:pPr>
        <w:pStyle w:val="Bullet"/>
      </w:pPr>
      <w:r w:rsidRPr="003C44C7">
        <w:t>incorrect parameter settings for automated usage and OBD reports generated by contributors</w:t>
      </w:r>
    </w:p>
    <w:p w14:paraId="60928E70" w14:textId="77777777" w:rsidR="00F14851" w:rsidRPr="003C44C7" w:rsidRDefault="00F14851">
      <w:pPr>
        <w:pStyle w:val="BulletLast"/>
      </w:pPr>
      <w:r w:rsidRPr="003C44C7">
        <w:t>incomplete or inaccurate data as a result of changes in contributors’ data download methods.</w:t>
      </w:r>
    </w:p>
    <w:p w14:paraId="716F3B4C" w14:textId="77777777" w:rsidR="00F14851" w:rsidRPr="003C44C7" w:rsidRDefault="00F14851">
      <w:r w:rsidRPr="003C44C7">
        <w:t>Although NAUSP will alert contributors if data are suspected to be erroneous, each contributing site is responsible for the accuracy of its data.</w:t>
      </w:r>
    </w:p>
    <w:p w14:paraId="42C9E7E6" w14:textId="77777777" w:rsidR="00F14851" w:rsidRPr="003C44C7" w:rsidRDefault="00F14851">
      <w:pPr>
        <w:pStyle w:val="Heading2"/>
      </w:pPr>
      <w:bookmarkStart w:id="8" w:name="_Toc429391528"/>
      <w:r w:rsidRPr="003C44C7">
        <w:t>Data exclusions</w:t>
      </w:r>
      <w:bookmarkEnd w:id="8"/>
    </w:p>
    <w:p w14:paraId="56D2459C" w14:textId="77777777" w:rsidR="00F14851" w:rsidRPr="003C44C7" w:rsidRDefault="00F14851">
      <w:pPr>
        <w:pStyle w:val="NormalBeforeBullet"/>
      </w:pPr>
      <w:r w:rsidRPr="003C44C7">
        <w:t xml:space="preserve">NAUSP reports exclude: </w:t>
      </w:r>
    </w:p>
    <w:p w14:paraId="5BC55074" w14:textId="77777777" w:rsidR="00F14851" w:rsidRPr="003C44C7" w:rsidRDefault="00F14851">
      <w:pPr>
        <w:pStyle w:val="Bullet"/>
      </w:pPr>
      <w:r w:rsidRPr="003C44C7">
        <w:t>most topical antimicrobial formulations (except some inhalation ones), antimycobacterials (except rifampicin), antifungals, antivirals, antiparasitics, and infuser packs of antibacterials</w:t>
      </w:r>
    </w:p>
    <w:p w14:paraId="3BAC69BA" w14:textId="77777777" w:rsidR="00F14851" w:rsidRPr="003C44C7" w:rsidRDefault="00F14851">
      <w:pPr>
        <w:pStyle w:val="Bullet"/>
      </w:pPr>
      <w:r w:rsidRPr="003C44C7">
        <w:t xml:space="preserve">antimicrobial use in paediatric hospitals and paediatric wards within general hospitals, as use in this population cannot easily be translated into a standard usage density rate based on the WHO definition of DDDs </w:t>
      </w:r>
    </w:p>
    <w:p w14:paraId="6060DA83" w14:textId="77777777" w:rsidR="00F14851" w:rsidRPr="003C44C7" w:rsidRDefault="00F14851">
      <w:pPr>
        <w:pStyle w:val="Bullet"/>
      </w:pPr>
      <w:r w:rsidRPr="003C44C7">
        <w:t>antimicrobial usage data for outpatient areas, discharge prescriptions and external services (e.g. hospital in the home), to ensure that data reflect in-hospital use of antimicrobials</w:t>
      </w:r>
    </w:p>
    <w:p w14:paraId="7EABBA8A" w14:textId="77777777" w:rsidR="00F14851" w:rsidRPr="003C44C7" w:rsidRDefault="00F14851">
      <w:pPr>
        <w:pStyle w:val="BulletLast"/>
      </w:pPr>
      <w:r w:rsidRPr="003C44C7">
        <w:t>pharmacy issues of antimicrobials to individuals and wards classified as specialty areas, such as psychiatric, rehabilitation, dialysis and day-surgery units.</w:t>
      </w:r>
    </w:p>
    <w:p w14:paraId="76DE512E" w14:textId="77777777" w:rsidR="00F14851" w:rsidRPr="003C44C7" w:rsidRDefault="00F14851">
      <w:pPr>
        <w:pStyle w:val="Heading2"/>
      </w:pPr>
      <w:bookmarkStart w:id="9" w:name="_Toc429391529"/>
      <w:r w:rsidRPr="003C44C7">
        <w:t>Data classification, restrictions and limitations</w:t>
      </w:r>
      <w:bookmarkEnd w:id="9"/>
      <w:r w:rsidRPr="003C44C7">
        <w:t xml:space="preserve"> </w:t>
      </w:r>
    </w:p>
    <w:p w14:paraId="49DD421A" w14:textId="77777777" w:rsidR="00F14851" w:rsidRPr="003C44C7" w:rsidRDefault="00F14851">
      <w:r w:rsidRPr="003C44C7">
        <w:t>Data provided to NAUSP do not include the indication for which antimicrobials are used, or any patient-specific data. Although some contributing hospitals provide data on ward-by-ward antimicrobial consumption, specialist area reporting is currently outside the scope of NAUSP reporting.</w:t>
      </w:r>
    </w:p>
    <w:p w14:paraId="483DCAF8" w14:textId="77777777" w:rsidR="00F14851" w:rsidRPr="003C44C7" w:rsidRDefault="00F14851">
      <w:r w:rsidRPr="003C44C7">
        <w:t>This report presents usage rates for the most commonly used antibacterial classes and agents. A comprehensive list of antibacterials available in Australia, along with the WHO Anatomical Therapeutic Classification and the DDD for each route of administration, is provided in Appendix 3.</w:t>
      </w:r>
    </w:p>
    <w:p w14:paraId="05A058AD" w14:textId="77777777" w:rsidR="00F14851" w:rsidRPr="003C44C7" w:rsidRDefault="00F14851">
      <w:r w:rsidRPr="003C44C7">
        <w:t xml:space="preserve">Under the new AIHW peer grouping classifications, NAUSP representation is heavily weighted toward principal referral and large public hospitals, where AMS activities may already be established. This report reflects usage in Australian hospitals with 50 beds or more, and this should be taken into account when inferences are made from the data. </w:t>
      </w:r>
    </w:p>
    <w:p w14:paraId="73768A62" w14:textId="77777777" w:rsidR="00F14851" w:rsidRPr="003C44C7" w:rsidRDefault="00F14851">
      <w:r w:rsidRPr="003C44C7">
        <w:t>It is anticipated and hoped that the number of smaller public acute hospitals contributing to NAUSP will increase, to provide a more accurate representation of national antimicrobial use. The Antimicrobial Use and Resistance in Australia (AURA) project will be working with NAUSP to target specific hospital groups, which should increase the overall data collection of NAUSP. This will also provide meaningful feedback on antimicrobial use to smaller sites that may not have access to specialist infectious disease or AMS resources.</w:t>
      </w:r>
    </w:p>
    <w:p w14:paraId="322B7D61" w14:textId="77777777" w:rsidR="00F14851" w:rsidRPr="003C44C7" w:rsidRDefault="00F14851" w:rsidP="00EF5A92">
      <w:pPr>
        <w:pStyle w:val="BoxText"/>
      </w:pPr>
      <w:r w:rsidRPr="003C44C7">
        <w:t>From a medium-sized regional hospital:</w:t>
      </w:r>
    </w:p>
    <w:p w14:paraId="4975C782" w14:textId="77777777" w:rsidR="00F14851" w:rsidRPr="003C44C7" w:rsidRDefault="00F14851" w:rsidP="00EF5A92">
      <w:pPr>
        <w:pStyle w:val="BoxText"/>
        <w:rPr>
          <w:rStyle w:val="Emphasis"/>
          <w:i w:val="0"/>
          <w:iCs w:val="0"/>
        </w:rPr>
      </w:pPr>
      <w:r w:rsidRPr="003C44C7">
        <w:rPr>
          <w:i/>
        </w:rPr>
        <w:t>‘</w:t>
      </w:r>
      <w:r w:rsidRPr="003C44C7">
        <w:rPr>
          <w:rStyle w:val="Emphasis"/>
          <w:i w:val="0"/>
        </w:rPr>
        <w:t>We really appreciate the information you provide, and now we actually have an AMS committee and executive commitment to the concept.’</w:t>
      </w:r>
    </w:p>
    <w:p w14:paraId="467394D4" w14:textId="77777777" w:rsidR="00F14851" w:rsidRPr="003C44C7" w:rsidRDefault="00F14851">
      <w:pPr>
        <w:pStyle w:val="Heading1"/>
      </w:pPr>
      <w:bookmarkStart w:id="10" w:name="_Toc429391530"/>
      <w:r w:rsidRPr="003C44C7">
        <w:t>Overview of antimicrobial usage rates, 2014</w:t>
      </w:r>
      <w:bookmarkEnd w:id="10"/>
    </w:p>
    <w:p w14:paraId="5B21513F" w14:textId="77777777" w:rsidR="00F14851" w:rsidRPr="003C44C7" w:rsidRDefault="00F14851">
      <w:r w:rsidRPr="003C44C7">
        <w:t xml:space="preserve">Differences in antimicrobial usage rates within and between hospital services are complex and multifactorial, and may reflect differences in casemix; differences in microbial resistance rates; implementation of AMS programs; and changes in hospital formularies, policies and regulation. </w:t>
      </w:r>
    </w:p>
    <w:p w14:paraId="56C8A584" w14:textId="77777777" w:rsidR="00F14851" w:rsidRPr="003C44C7" w:rsidRDefault="00F14851">
      <w:pPr>
        <w:pStyle w:val="Heading2"/>
      </w:pPr>
      <w:bookmarkStart w:id="11" w:name="_Toc429391531"/>
      <w:r w:rsidRPr="003C44C7">
        <w:t>Total-hospital annual antimicrobial usage rates</w:t>
      </w:r>
      <w:bookmarkEnd w:id="11"/>
    </w:p>
    <w:p w14:paraId="6A82A23A" w14:textId="77777777" w:rsidR="00F14851" w:rsidRPr="003C44C7" w:rsidRDefault="00F14851">
      <w:r w:rsidRPr="003C44C7">
        <w:t>During the period January–December 2014, the average total-hospital antibacterial usage rate for all contributors (</w:t>
      </w:r>
      <w:r w:rsidRPr="003C44C7">
        <w:rPr>
          <w:rStyle w:val="Emphasis"/>
        </w:rPr>
        <w:t>n</w:t>
      </w:r>
      <w:r w:rsidRPr="003C44C7">
        <w:t> = 129) was 936 DDDs per 1000 OBDs (Figure 2). This is a 2.6% decrease from 2013, when the rate was 961 DDD per 1000 OBDs (</w:t>
      </w:r>
      <w:r w:rsidRPr="003C44C7">
        <w:rPr>
          <w:rStyle w:val="Emphasis"/>
        </w:rPr>
        <w:t>n</w:t>
      </w:r>
      <w:r w:rsidRPr="003C44C7">
        <w:t> = 113). This decrease was influenced by the increased number of contributors to NAUSP – the majority of new contributors were from the large public acute category, and the remainder were medium public acute or private hospitals. When these new contributors are not included, the decrease is 1.6%.</w:t>
      </w:r>
    </w:p>
    <w:p w14:paraId="30966CC7" w14:textId="77777777" w:rsidR="00F14851" w:rsidRPr="003C44C7" w:rsidRDefault="00F14851">
      <w:r w:rsidRPr="003C44C7">
        <w:t xml:space="preserve">Annual average usage rates for individual hospitals in 2014 ranged from 330 to 2040 DDDs per 1000 OBDs. The median annual usage rate for individual hospitals was 907 DDDs per 1000 OBDs. </w:t>
      </w:r>
    </w:p>
    <w:p w14:paraId="15D7E2BD" w14:textId="77777777" w:rsidR="00F14851" w:rsidRPr="003C44C7" w:rsidRDefault="00F14851">
      <w:r w:rsidRPr="003C44C7">
        <w:t>Australia’s peak antimicrobial use occurred in 2010, after which a gradual decline can be observed (Figure 2). Figures 3–5 show the trends in usage rates for three of the updated AIHW peer groups over the past decade (2005–14). For this analysis, data from the small public acute and specialist women’s peer groups were not included because of the low number of contributors (four and two, respectively). Table 2 shows the total number of contributors in these peer groups over the decade.</w:t>
      </w:r>
    </w:p>
    <w:p w14:paraId="511D33CE" w14:textId="77777777" w:rsidR="005C387B" w:rsidRPr="003C44C7" w:rsidRDefault="005C387B" w:rsidP="005C387B">
      <w:pPr>
        <w:pStyle w:val="FigureName"/>
      </w:pPr>
      <w:r w:rsidRPr="003C44C7">
        <w:t>Figure 2</w:t>
      </w:r>
      <w:r w:rsidRPr="003C44C7">
        <w:tab/>
        <w:t xml:space="preserve">Total-hospital annual antimicrobial use in hospitals participating in NAUSP, 2005–14 </w:t>
      </w:r>
    </w:p>
    <w:p w14:paraId="3A4B2171" w14:textId="77777777" w:rsidR="00F14851" w:rsidRPr="003C44C7" w:rsidRDefault="00A829B3">
      <w:pPr>
        <w:pStyle w:val="FigureNameSpan"/>
      </w:pPr>
      <w:r w:rsidRPr="003C44C7">
        <w:rPr>
          <w:noProof/>
        </w:rPr>
        <w:drawing>
          <wp:inline distT="0" distB="0" distL="0" distR="0" wp14:anchorId="4573B28E" wp14:editId="0A10269E">
            <wp:extent cx="6062345" cy="8373745"/>
            <wp:effectExtent l="0" t="0" r="0" b="0"/>
            <wp:docPr id="5" name="Picture 5" descr="Line graphs showing the total-hospital antimicrobial use in hospitals participating in NAUSP from 2005 to 2014. Three graphs are shown. The first shows the total antimicrobial usage rate, as DDDs per 1000 OBDs. The level started at 900 in 2005, increased to 1000 by 2010 and then decreased to 936 by 2014. The second graph shows the usage rates for the five highest-usage agents: β-lactamase inhibitor combinations, first-generation cephalosporins, extended-spectrum penicillins, β-lactamase-resistant penicillins and macrolides. The highest usage for the whole period was for β-lactamase inhibitor combinations, with an increase from 130 DDDs per 1000 OBDs in 2005 to 186 DDDs per 1000 OBDs in 2014. The other four antimicrobials showed less dramatic changes in usage. The third graph shows the usage rates for the remaining antimicobials: tetracylines, third-generation cephalosporins, nitroimidazoles, fluoroquinolones, aminoglycosides, β-lactamase-sensitive penicillins, glycopeptides, carbapenems, trimethoprim, sulfonamide/trimethoprim, lincosamides, fourth-generation cephalosporins, and ‘other’ agents. Among other trends, the graph shows an increase in the usage rate of tetracyclines from 20 DDDs per 1000 OBDs in 2005 to 55 DDDs per 1000 OBDs in 2014, and a decrease in the usage rate of aminoglycosides from 62 DDDs per 1000 OBDs in 2005 to 39 DDDs per 1000 OBDs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2-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2345" cy="8373745"/>
                    </a:xfrm>
                    <a:prstGeom prst="rect">
                      <a:avLst/>
                    </a:prstGeom>
                    <a:noFill/>
                    <a:ln>
                      <a:noFill/>
                    </a:ln>
                  </pic:spPr>
                </pic:pic>
              </a:graphicData>
            </a:graphic>
          </wp:inline>
        </w:drawing>
      </w:r>
    </w:p>
    <w:p w14:paraId="425CE7FC" w14:textId="77777777" w:rsidR="005C387B" w:rsidRPr="003C44C7" w:rsidRDefault="005C387B" w:rsidP="005C387B">
      <w:pPr>
        <w:pStyle w:val="FigureName"/>
      </w:pPr>
      <w:r w:rsidRPr="003C44C7">
        <w:t>Figure 3</w:t>
      </w:r>
      <w:r w:rsidRPr="003C44C7">
        <w:tab/>
        <w:t>Total-hospital annual antimicrobial use in principal referral hospitals participating in NAUSP, 2005–14</w:t>
      </w:r>
    </w:p>
    <w:p w14:paraId="3C01EDE3" w14:textId="51B1712C" w:rsidR="00F14851" w:rsidRPr="003C44C7" w:rsidRDefault="00B55A65">
      <w:pPr>
        <w:pStyle w:val="FigureNameSpan"/>
      </w:pPr>
      <w:r w:rsidRPr="003C44C7">
        <w:rPr>
          <w:noProof/>
        </w:rPr>
        <w:drawing>
          <wp:inline distT="0" distB="0" distL="0" distR="0" wp14:anchorId="1F4F990D" wp14:editId="536891B7">
            <wp:extent cx="5731510" cy="8092440"/>
            <wp:effectExtent l="0" t="0" r="2540" b="3810"/>
            <wp:docPr id="39" name="Picture 39" descr="Line graphs showing the total-hospital antimicrobial use in principal referral hospitals participating in NAUSP from 2005 to 2014. Three graphs are shown. The first shows the total antimicrobial usage rate, as DDDs per 1000 OBDs. The level was 927 in both 2005 and  2014, with a slight rise (to a maximum of 1005) in the years between. The second graph shows the usage rates for the five highest-usage agents: β-lactamase inhibitor combinations, first-generation cephalosporins, extended-spectrum penicillins, β-lactamase-resistant penicillins and macrolides. The highest usage for the whole period was for β-lactamase inhibitor combinations, with an increase from 135 DDDs per 1000 OBDs in 2005 to 181 DDDs per 1000 OBDs in 2014. The other four antimicrobials showed less dramatic changes in usage. The third graph shows the usage rates for the remaining antimicobials: tetracylines, third-generation cephalosporins, nitroimidazoles, fluoroquinolones, aminoglycosides, β-lactamase-sensitive penicillins, glycopeptides, carbapenems, trimethoprim, sulfonamide/trimethoprim, lincosamides, fourth-generation cephalosporins, and ‘other’ agents. Among other trends, the graph shows a decrease in the usage rate of fluoroquinolones from 56 DDDs per 1000 OBDs in 2005 to 42 DDDs per 1000 OBDs in 2014 (with a peak of 67 in 2008), a decrease in the usage rate of aminoglycosides from 67 DDDs per 1000 OBDs in 2005 to 37 DDDs per 1000 OBDs in 2014, and an increase in the usage rate of tetracyclines from 22 DDDs per 1000 OBDs in 2005 to 47 DDDs per 1000 OBDs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08-01.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8092440"/>
                    </a:xfrm>
                    <a:prstGeom prst="rect">
                      <a:avLst/>
                    </a:prstGeom>
                  </pic:spPr>
                </pic:pic>
              </a:graphicData>
            </a:graphic>
          </wp:inline>
        </w:drawing>
      </w:r>
    </w:p>
    <w:p w14:paraId="2D08DC05" w14:textId="77777777" w:rsidR="005C387B" w:rsidRPr="003C44C7" w:rsidRDefault="005C387B" w:rsidP="005C387B">
      <w:pPr>
        <w:pStyle w:val="FigureName"/>
      </w:pPr>
      <w:r w:rsidRPr="003C44C7">
        <w:t>Figure 4</w:t>
      </w:r>
      <w:r w:rsidRPr="003C44C7">
        <w:tab/>
        <w:t>Total-hospital annual antimicrobial use in large public acute hospitals participating in NAUSP, 2005–14</w:t>
      </w:r>
    </w:p>
    <w:p w14:paraId="4E5B2851" w14:textId="77777777" w:rsidR="00F14851" w:rsidRPr="003C44C7" w:rsidRDefault="00A829B3">
      <w:pPr>
        <w:pStyle w:val="FigureNameSpan"/>
      </w:pPr>
      <w:r w:rsidRPr="003C44C7">
        <w:rPr>
          <w:noProof/>
        </w:rPr>
        <w:drawing>
          <wp:inline distT="0" distB="0" distL="0" distR="0" wp14:anchorId="684F8F45" wp14:editId="10A2CF70">
            <wp:extent cx="5977255" cy="8195945"/>
            <wp:effectExtent l="0" t="0" r="0" b="0"/>
            <wp:docPr id="7" name="Picture 7" descr="Line graphs showing the total-hospital antimicrobial use in large public acute hospitals participating in NAUSP from 2005 to 2014. Three graphs are shown. The first shows the total antimicrobial usage rate, as DDDs per 1000 OBDs. The level started at 862 in 2005, increased to 1046 by 2010 and then decreased to 985 by 2014. The second graph shows the usage rates for the five highest-usage agents: β-lactamase inhibitor combinations, first-generation cephalosporins, extended-spectrum penicillins, β-lactamase-resistant penicillins and macrolides. The highest usage for most of the period was for β-lactamase inhibitor combinations, with an increase from 125 DDDs per 1000 OBDs in 2005 to 198 DDDs per 1000 OBDs in 2014. The other four antimicrobials showed less dramatic changes in usage. The third graph shows the usage rates for the remaining antimicobials: tetracylines, third-generation cephalosporins, nitroimidazoles, fluoroquinolones, aminoglycosides, β-lactamase-sensitive penicillins, glycopeptides, carbapenems, trimethoprim, sulfonamide/trimethoprim, lincosamides, fourth-generation cephalosporins, and ‘other’ agents. Among other trends, the graph shows an increase in the usage rate of tetracyclines from 19 DDDs per 1000 OBDs in 2005 to 70 DDDs per 1000 OBDs in 2014, with the most rapid rate of change from 2009 t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4-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7255" cy="8195945"/>
                    </a:xfrm>
                    <a:prstGeom prst="rect">
                      <a:avLst/>
                    </a:prstGeom>
                    <a:noFill/>
                    <a:ln>
                      <a:noFill/>
                    </a:ln>
                  </pic:spPr>
                </pic:pic>
              </a:graphicData>
            </a:graphic>
          </wp:inline>
        </w:drawing>
      </w:r>
    </w:p>
    <w:p w14:paraId="7D475A0C" w14:textId="77777777" w:rsidR="005C387B" w:rsidRPr="003C44C7" w:rsidRDefault="005C387B" w:rsidP="005C387B">
      <w:pPr>
        <w:pStyle w:val="FigureName"/>
      </w:pPr>
      <w:r w:rsidRPr="003C44C7">
        <w:t>Figure 5</w:t>
      </w:r>
      <w:r w:rsidRPr="003C44C7">
        <w:tab/>
        <w:t>Total-hospital annual antimicrobial use in medium public acute hospitals participating in NAUSP, 2005–14</w:t>
      </w:r>
    </w:p>
    <w:p w14:paraId="51AE2091" w14:textId="77777777" w:rsidR="00F14851" w:rsidRPr="003C44C7" w:rsidRDefault="00A829B3">
      <w:pPr>
        <w:pStyle w:val="FigureNameSpan"/>
      </w:pPr>
      <w:r w:rsidRPr="003C44C7">
        <w:rPr>
          <w:noProof/>
        </w:rPr>
        <w:drawing>
          <wp:inline distT="0" distB="0" distL="0" distR="0" wp14:anchorId="3A2A9168" wp14:editId="74975B1F">
            <wp:extent cx="6002655" cy="8237855"/>
            <wp:effectExtent l="0" t="0" r="0" b="0"/>
            <wp:docPr id="8" name="Picture 8" descr="Line graphs showing the total-hospital antimicrobial use in medium public acute hospitals participating in NAUSP from 2005 to 2014. Three graphs are shown. The first shows the total antimicrobial usage rate, as DDDs per 1000 OBDs. The second graph shows the usage rates for the five highest-usage agents: β-lactamase inhibitor combinations, first-generation cephalosporins, extended-spectrum penicillins, β-lactamase-resistant penicillins and macrolides. The third graph shows the usage rates for the remaining antimicobials: tetracylines, third-generation cephalosporins, nitroimidazoles, fluoroquinolones, aminoglycosides, β-lactamase-sensitive penicillins, glycopeptides, carbapenems, trimethoprim, sulfonamide/trimethoprim, lincosamides, fourth-generation cephalosporins, and ‘other’ a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5-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2655" cy="8237855"/>
                    </a:xfrm>
                    <a:prstGeom prst="rect">
                      <a:avLst/>
                    </a:prstGeom>
                    <a:noFill/>
                    <a:ln>
                      <a:noFill/>
                    </a:ln>
                  </pic:spPr>
                </pic:pic>
              </a:graphicData>
            </a:graphic>
          </wp:inline>
        </w:drawing>
      </w:r>
    </w:p>
    <w:p w14:paraId="2024326B" w14:textId="77777777" w:rsidR="00F14851" w:rsidRPr="003C44C7" w:rsidRDefault="00F14851" w:rsidP="00A85AE3">
      <w:pPr>
        <w:pStyle w:val="TableName"/>
      </w:pPr>
      <w:r w:rsidRPr="003C44C7">
        <w:t>Table 2</w:t>
      </w:r>
      <w:r w:rsidRPr="003C44C7">
        <w:tab/>
        <w:t>Number of contributing hospitals, by year of joining NAUSP and peer group</w:t>
      </w:r>
    </w:p>
    <w:tbl>
      <w:tblPr>
        <w:tblW w:w="0" w:type="auto"/>
        <w:tblInd w:w="85" w:type="dxa"/>
        <w:tblLayout w:type="fixed"/>
        <w:tblCellMar>
          <w:left w:w="0" w:type="dxa"/>
          <w:right w:w="0" w:type="dxa"/>
        </w:tblCellMar>
        <w:tblLook w:val="0000" w:firstRow="0" w:lastRow="0" w:firstColumn="0" w:lastColumn="0" w:noHBand="0" w:noVBand="0"/>
      </w:tblPr>
      <w:tblGrid>
        <w:gridCol w:w="2211"/>
        <w:gridCol w:w="2476"/>
        <w:gridCol w:w="2475"/>
        <w:gridCol w:w="2476"/>
      </w:tblGrid>
      <w:tr w:rsidR="00F14851" w:rsidRPr="003C44C7" w14:paraId="5C5C9C80" w14:textId="77777777" w:rsidTr="003C44C7">
        <w:trPr>
          <w:trHeight w:val="60"/>
          <w:tblHeader/>
        </w:trPr>
        <w:tc>
          <w:tcPr>
            <w:tcW w:w="2211" w:type="dxa"/>
            <w:vMerge w:val="restart"/>
            <w:tcBorders>
              <w:top w:val="single" w:sz="4" w:space="0" w:color="auto"/>
            </w:tcBorders>
            <w:shd w:val="clear" w:color="auto" w:fill="auto"/>
            <w:tcMar>
              <w:top w:w="113" w:type="dxa"/>
              <w:left w:w="85" w:type="dxa"/>
              <w:bottom w:w="113" w:type="dxa"/>
              <w:right w:w="85" w:type="dxa"/>
            </w:tcMar>
            <w:vAlign w:val="bottom"/>
          </w:tcPr>
          <w:p w14:paraId="27AF013F" w14:textId="77777777" w:rsidR="00F14851" w:rsidRPr="003C44C7" w:rsidRDefault="00F14851" w:rsidP="00A85AE3">
            <w:pPr>
              <w:pStyle w:val="TableHeading"/>
            </w:pPr>
            <w:r w:rsidRPr="003C44C7">
              <w:t>Year of joining</w:t>
            </w:r>
          </w:p>
        </w:tc>
        <w:tc>
          <w:tcPr>
            <w:tcW w:w="7427" w:type="dxa"/>
            <w:gridSpan w:val="3"/>
            <w:tcBorders>
              <w:top w:val="single" w:sz="4" w:space="0" w:color="auto"/>
            </w:tcBorders>
            <w:shd w:val="clear" w:color="auto" w:fill="auto"/>
            <w:tcMar>
              <w:top w:w="113" w:type="dxa"/>
              <w:left w:w="85" w:type="dxa"/>
              <w:bottom w:w="113" w:type="dxa"/>
              <w:right w:w="85" w:type="dxa"/>
            </w:tcMar>
            <w:vAlign w:val="bottom"/>
          </w:tcPr>
          <w:p w14:paraId="7FCFA793" w14:textId="77777777" w:rsidR="00F14851" w:rsidRPr="003C44C7" w:rsidRDefault="00F14851" w:rsidP="00A85AE3">
            <w:pPr>
              <w:pStyle w:val="TableHeading"/>
              <w:jc w:val="center"/>
            </w:pPr>
            <w:r w:rsidRPr="003C44C7">
              <w:t>Peer group</w:t>
            </w:r>
          </w:p>
        </w:tc>
      </w:tr>
      <w:tr w:rsidR="00F14851" w:rsidRPr="003C44C7" w14:paraId="44DCE8F9" w14:textId="77777777" w:rsidTr="003C44C7">
        <w:trPr>
          <w:trHeight w:val="60"/>
          <w:tblHeader/>
        </w:trPr>
        <w:tc>
          <w:tcPr>
            <w:tcW w:w="2211" w:type="dxa"/>
            <w:vMerge/>
            <w:tcBorders>
              <w:bottom w:val="single" w:sz="4" w:space="0" w:color="auto"/>
            </w:tcBorders>
            <w:shd w:val="clear" w:color="auto" w:fill="auto"/>
          </w:tcPr>
          <w:p w14:paraId="67ECBC21" w14:textId="77777777" w:rsidR="00F14851" w:rsidRPr="003C44C7" w:rsidRDefault="00F14851" w:rsidP="00A85AE3">
            <w:pPr>
              <w:pStyle w:val="TableHeading"/>
              <w:rPr>
                <w:rFonts w:ascii="Helvetica-Light" w:hAnsi="Helvetica-Light"/>
                <w:color w:val="auto"/>
              </w:rPr>
            </w:pPr>
          </w:p>
        </w:tc>
        <w:tc>
          <w:tcPr>
            <w:tcW w:w="2476" w:type="dxa"/>
            <w:tcBorders>
              <w:bottom w:val="single" w:sz="4" w:space="0" w:color="auto"/>
            </w:tcBorders>
            <w:shd w:val="clear" w:color="auto" w:fill="auto"/>
            <w:tcMar>
              <w:top w:w="113" w:type="dxa"/>
              <w:left w:w="85" w:type="dxa"/>
              <w:bottom w:w="113" w:type="dxa"/>
              <w:right w:w="85" w:type="dxa"/>
            </w:tcMar>
            <w:vAlign w:val="bottom"/>
          </w:tcPr>
          <w:p w14:paraId="7FFA31D3" w14:textId="77777777" w:rsidR="00F14851" w:rsidRPr="003C44C7" w:rsidRDefault="00F14851" w:rsidP="00A85AE3">
            <w:pPr>
              <w:pStyle w:val="TableHeading"/>
              <w:jc w:val="center"/>
            </w:pPr>
            <w:r w:rsidRPr="003C44C7">
              <w:t>Principal referral</w:t>
            </w:r>
          </w:p>
        </w:tc>
        <w:tc>
          <w:tcPr>
            <w:tcW w:w="2475" w:type="dxa"/>
            <w:tcBorders>
              <w:bottom w:val="single" w:sz="4" w:space="0" w:color="auto"/>
            </w:tcBorders>
            <w:shd w:val="clear" w:color="auto" w:fill="auto"/>
            <w:tcMar>
              <w:top w:w="113" w:type="dxa"/>
              <w:left w:w="85" w:type="dxa"/>
              <w:bottom w:w="113" w:type="dxa"/>
              <w:right w:w="85" w:type="dxa"/>
            </w:tcMar>
            <w:vAlign w:val="bottom"/>
          </w:tcPr>
          <w:p w14:paraId="3C5664D0" w14:textId="77777777" w:rsidR="00F14851" w:rsidRPr="003C44C7" w:rsidRDefault="00F14851" w:rsidP="00A85AE3">
            <w:pPr>
              <w:pStyle w:val="TableHeading"/>
              <w:jc w:val="center"/>
            </w:pPr>
            <w:r w:rsidRPr="003C44C7">
              <w:t>Large public acute</w:t>
            </w:r>
          </w:p>
        </w:tc>
        <w:tc>
          <w:tcPr>
            <w:tcW w:w="2476" w:type="dxa"/>
            <w:tcBorders>
              <w:bottom w:val="single" w:sz="4" w:space="0" w:color="auto"/>
            </w:tcBorders>
            <w:shd w:val="clear" w:color="auto" w:fill="auto"/>
            <w:tcMar>
              <w:top w:w="113" w:type="dxa"/>
              <w:left w:w="85" w:type="dxa"/>
              <w:bottom w:w="113" w:type="dxa"/>
              <w:right w:w="85" w:type="dxa"/>
            </w:tcMar>
            <w:vAlign w:val="bottom"/>
          </w:tcPr>
          <w:p w14:paraId="59664E76" w14:textId="77777777" w:rsidR="00F14851" w:rsidRPr="003C44C7" w:rsidRDefault="00F14851" w:rsidP="00A85AE3">
            <w:pPr>
              <w:pStyle w:val="TableHeading"/>
              <w:jc w:val="center"/>
            </w:pPr>
            <w:r w:rsidRPr="003C44C7">
              <w:t>Medium public acute</w:t>
            </w:r>
          </w:p>
        </w:tc>
      </w:tr>
      <w:tr w:rsidR="00F14851" w:rsidRPr="003C44C7" w14:paraId="6422DCC0" w14:textId="77777777" w:rsidTr="00A85AE3">
        <w:trPr>
          <w:trHeight w:val="60"/>
        </w:trPr>
        <w:tc>
          <w:tcPr>
            <w:tcW w:w="2211" w:type="dxa"/>
            <w:tcBorders>
              <w:top w:val="single" w:sz="4" w:space="0" w:color="auto"/>
            </w:tcBorders>
            <w:shd w:val="clear" w:color="auto" w:fill="auto"/>
            <w:tcMar>
              <w:top w:w="113" w:type="dxa"/>
              <w:left w:w="85" w:type="dxa"/>
              <w:bottom w:w="113" w:type="dxa"/>
              <w:right w:w="85" w:type="dxa"/>
            </w:tcMar>
            <w:vAlign w:val="bottom"/>
          </w:tcPr>
          <w:p w14:paraId="69E265B5" w14:textId="77777777" w:rsidR="00F14851" w:rsidRPr="003C44C7" w:rsidRDefault="00F14851" w:rsidP="00A85AE3">
            <w:pPr>
              <w:pStyle w:val="TableText"/>
            </w:pPr>
            <w:r w:rsidRPr="003C44C7">
              <w:t>2005</w:t>
            </w:r>
          </w:p>
        </w:tc>
        <w:tc>
          <w:tcPr>
            <w:tcW w:w="2476" w:type="dxa"/>
            <w:tcBorders>
              <w:top w:val="single" w:sz="4" w:space="0" w:color="auto"/>
            </w:tcBorders>
            <w:shd w:val="clear" w:color="auto" w:fill="auto"/>
            <w:tcMar>
              <w:top w:w="113" w:type="dxa"/>
              <w:left w:w="113" w:type="dxa"/>
              <w:bottom w:w="113" w:type="dxa"/>
              <w:right w:w="850" w:type="dxa"/>
            </w:tcMar>
            <w:vAlign w:val="bottom"/>
          </w:tcPr>
          <w:p w14:paraId="2D64B502" w14:textId="77777777" w:rsidR="00F14851" w:rsidRPr="003C44C7" w:rsidRDefault="00F14851" w:rsidP="00A85AE3">
            <w:pPr>
              <w:pStyle w:val="TableText"/>
              <w:jc w:val="right"/>
            </w:pPr>
            <w:r w:rsidRPr="003C44C7">
              <w:t>13</w:t>
            </w:r>
          </w:p>
        </w:tc>
        <w:tc>
          <w:tcPr>
            <w:tcW w:w="2475" w:type="dxa"/>
            <w:tcBorders>
              <w:top w:val="single" w:sz="4" w:space="0" w:color="auto"/>
            </w:tcBorders>
            <w:shd w:val="clear" w:color="auto" w:fill="auto"/>
            <w:tcMar>
              <w:top w:w="113" w:type="dxa"/>
              <w:left w:w="113" w:type="dxa"/>
              <w:bottom w:w="113" w:type="dxa"/>
              <w:right w:w="850" w:type="dxa"/>
            </w:tcMar>
            <w:vAlign w:val="bottom"/>
          </w:tcPr>
          <w:p w14:paraId="0B80E8EB" w14:textId="77777777" w:rsidR="00F14851" w:rsidRPr="003C44C7" w:rsidRDefault="00F14851" w:rsidP="00A85AE3">
            <w:pPr>
              <w:pStyle w:val="TableText"/>
              <w:jc w:val="right"/>
            </w:pPr>
            <w:r w:rsidRPr="003C44C7">
              <w:t>8</w:t>
            </w:r>
          </w:p>
        </w:tc>
        <w:tc>
          <w:tcPr>
            <w:tcW w:w="2476" w:type="dxa"/>
            <w:tcBorders>
              <w:top w:val="single" w:sz="4" w:space="0" w:color="auto"/>
            </w:tcBorders>
            <w:shd w:val="clear" w:color="auto" w:fill="auto"/>
            <w:tcMar>
              <w:top w:w="113" w:type="dxa"/>
              <w:left w:w="113" w:type="dxa"/>
              <w:bottom w:w="113" w:type="dxa"/>
              <w:right w:w="1474" w:type="dxa"/>
            </w:tcMar>
            <w:vAlign w:val="bottom"/>
          </w:tcPr>
          <w:p w14:paraId="6B743504" w14:textId="77777777" w:rsidR="00F14851" w:rsidRPr="003C44C7" w:rsidRDefault="00F14851" w:rsidP="00A85AE3">
            <w:pPr>
              <w:pStyle w:val="TableText"/>
              <w:jc w:val="right"/>
            </w:pPr>
            <w:r w:rsidRPr="003C44C7">
              <w:t>4</w:t>
            </w:r>
          </w:p>
        </w:tc>
      </w:tr>
      <w:tr w:rsidR="00F14851" w:rsidRPr="003C44C7" w14:paraId="6233EB49" w14:textId="77777777" w:rsidTr="00A85AE3">
        <w:trPr>
          <w:trHeight w:val="393"/>
        </w:trPr>
        <w:tc>
          <w:tcPr>
            <w:tcW w:w="2211" w:type="dxa"/>
            <w:shd w:val="clear" w:color="auto" w:fill="auto"/>
            <w:tcMar>
              <w:top w:w="113" w:type="dxa"/>
              <w:left w:w="85" w:type="dxa"/>
              <w:bottom w:w="113" w:type="dxa"/>
              <w:right w:w="85" w:type="dxa"/>
            </w:tcMar>
            <w:vAlign w:val="bottom"/>
          </w:tcPr>
          <w:p w14:paraId="287BAD29" w14:textId="77777777" w:rsidR="00F14851" w:rsidRPr="003C44C7" w:rsidRDefault="00F14851" w:rsidP="00A85AE3">
            <w:pPr>
              <w:pStyle w:val="TableText"/>
            </w:pPr>
            <w:r w:rsidRPr="003C44C7">
              <w:t>2006</w:t>
            </w:r>
          </w:p>
        </w:tc>
        <w:tc>
          <w:tcPr>
            <w:tcW w:w="2476" w:type="dxa"/>
            <w:shd w:val="clear" w:color="auto" w:fill="auto"/>
            <w:tcMar>
              <w:top w:w="113" w:type="dxa"/>
              <w:left w:w="113" w:type="dxa"/>
              <w:bottom w:w="113" w:type="dxa"/>
              <w:right w:w="850" w:type="dxa"/>
            </w:tcMar>
            <w:vAlign w:val="bottom"/>
          </w:tcPr>
          <w:p w14:paraId="2BAEB797" w14:textId="77777777" w:rsidR="00F14851" w:rsidRPr="003C44C7" w:rsidRDefault="00F14851" w:rsidP="00A85AE3">
            <w:pPr>
              <w:pStyle w:val="TableText"/>
              <w:jc w:val="right"/>
            </w:pPr>
            <w:r w:rsidRPr="003C44C7">
              <w:t>15</w:t>
            </w:r>
          </w:p>
        </w:tc>
        <w:tc>
          <w:tcPr>
            <w:tcW w:w="2475" w:type="dxa"/>
            <w:shd w:val="clear" w:color="auto" w:fill="auto"/>
            <w:tcMar>
              <w:top w:w="113" w:type="dxa"/>
              <w:left w:w="113" w:type="dxa"/>
              <w:bottom w:w="113" w:type="dxa"/>
              <w:right w:w="850" w:type="dxa"/>
            </w:tcMar>
            <w:vAlign w:val="bottom"/>
          </w:tcPr>
          <w:p w14:paraId="68C5F073" w14:textId="77777777" w:rsidR="00F14851" w:rsidRPr="003C44C7" w:rsidRDefault="00F14851" w:rsidP="00A85AE3">
            <w:pPr>
              <w:pStyle w:val="TableText"/>
              <w:jc w:val="right"/>
            </w:pPr>
            <w:r w:rsidRPr="003C44C7">
              <w:t>9</w:t>
            </w:r>
          </w:p>
        </w:tc>
        <w:tc>
          <w:tcPr>
            <w:tcW w:w="2476" w:type="dxa"/>
            <w:shd w:val="clear" w:color="auto" w:fill="auto"/>
            <w:tcMar>
              <w:top w:w="113" w:type="dxa"/>
              <w:left w:w="113" w:type="dxa"/>
              <w:bottom w:w="113" w:type="dxa"/>
              <w:right w:w="1474" w:type="dxa"/>
            </w:tcMar>
            <w:vAlign w:val="bottom"/>
          </w:tcPr>
          <w:p w14:paraId="0CA64864" w14:textId="77777777" w:rsidR="00F14851" w:rsidRPr="003C44C7" w:rsidRDefault="00F14851" w:rsidP="00A85AE3">
            <w:pPr>
              <w:pStyle w:val="TableText"/>
              <w:jc w:val="right"/>
            </w:pPr>
            <w:r w:rsidRPr="003C44C7">
              <w:t>4</w:t>
            </w:r>
          </w:p>
        </w:tc>
      </w:tr>
      <w:tr w:rsidR="00F14851" w:rsidRPr="003C44C7" w14:paraId="4BFC6448" w14:textId="77777777" w:rsidTr="00A85AE3">
        <w:trPr>
          <w:trHeight w:val="60"/>
        </w:trPr>
        <w:tc>
          <w:tcPr>
            <w:tcW w:w="2211" w:type="dxa"/>
            <w:shd w:val="clear" w:color="auto" w:fill="auto"/>
            <w:tcMar>
              <w:top w:w="113" w:type="dxa"/>
              <w:left w:w="85" w:type="dxa"/>
              <w:bottom w:w="113" w:type="dxa"/>
              <w:right w:w="85" w:type="dxa"/>
            </w:tcMar>
            <w:vAlign w:val="bottom"/>
          </w:tcPr>
          <w:p w14:paraId="7CD629E1" w14:textId="77777777" w:rsidR="00F14851" w:rsidRPr="003C44C7" w:rsidRDefault="00F14851" w:rsidP="00A85AE3">
            <w:pPr>
              <w:pStyle w:val="TableText"/>
            </w:pPr>
            <w:r w:rsidRPr="003C44C7">
              <w:t>2007</w:t>
            </w:r>
          </w:p>
        </w:tc>
        <w:tc>
          <w:tcPr>
            <w:tcW w:w="2476" w:type="dxa"/>
            <w:shd w:val="clear" w:color="auto" w:fill="auto"/>
            <w:tcMar>
              <w:top w:w="113" w:type="dxa"/>
              <w:left w:w="113" w:type="dxa"/>
              <w:bottom w:w="113" w:type="dxa"/>
              <w:right w:w="850" w:type="dxa"/>
            </w:tcMar>
            <w:vAlign w:val="bottom"/>
          </w:tcPr>
          <w:p w14:paraId="3F119F30" w14:textId="77777777" w:rsidR="00F14851" w:rsidRPr="003C44C7" w:rsidRDefault="00F14851" w:rsidP="00A85AE3">
            <w:pPr>
              <w:pStyle w:val="TableText"/>
              <w:jc w:val="right"/>
            </w:pPr>
            <w:r w:rsidRPr="003C44C7">
              <w:t>16</w:t>
            </w:r>
          </w:p>
        </w:tc>
        <w:tc>
          <w:tcPr>
            <w:tcW w:w="2475" w:type="dxa"/>
            <w:shd w:val="clear" w:color="auto" w:fill="auto"/>
            <w:tcMar>
              <w:top w:w="113" w:type="dxa"/>
              <w:left w:w="113" w:type="dxa"/>
              <w:bottom w:w="113" w:type="dxa"/>
              <w:right w:w="850" w:type="dxa"/>
            </w:tcMar>
            <w:vAlign w:val="bottom"/>
          </w:tcPr>
          <w:p w14:paraId="2214D76C" w14:textId="77777777" w:rsidR="00F14851" w:rsidRPr="003C44C7" w:rsidRDefault="00F14851" w:rsidP="00A85AE3">
            <w:pPr>
              <w:pStyle w:val="TableText"/>
              <w:jc w:val="right"/>
            </w:pPr>
            <w:r w:rsidRPr="003C44C7">
              <w:t>9</w:t>
            </w:r>
          </w:p>
        </w:tc>
        <w:tc>
          <w:tcPr>
            <w:tcW w:w="2476" w:type="dxa"/>
            <w:shd w:val="clear" w:color="auto" w:fill="auto"/>
            <w:tcMar>
              <w:top w:w="113" w:type="dxa"/>
              <w:left w:w="113" w:type="dxa"/>
              <w:bottom w:w="113" w:type="dxa"/>
              <w:right w:w="1474" w:type="dxa"/>
            </w:tcMar>
            <w:vAlign w:val="bottom"/>
          </w:tcPr>
          <w:p w14:paraId="1498FBB1" w14:textId="77777777" w:rsidR="00F14851" w:rsidRPr="003C44C7" w:rsidRDefault="00F14851" w:rsidP="00A85AE3">
            <w:pPr>
              <w:pStyle w:val="TableText"/>
              <w:jc w:val="right"/>
            </w:pPr>
            <w:r w:rsidRPr="003C44C7">
              <w:t>5</w:t>
            </w:r>
          </w:p>
        </w:tc>
      </w:tr>
      <w:tr w:rsidR="00F14851" w:rsidRPr="003C44C7" w14:paraId="59456AEC" w14:textId="77777777" w:rsidTr="00A85AE3">
        <w:trPr>
          <w:trHeight w:val="60"/>
        </w:trPr>
        <w:tc>
          <w:tcPr>
            <w:tcW w:w="2211" w:type="dxa"/>
            <w:shd w:val="clear" w:color="auto" w:fill="auto"/>
            <w:tcMar>
              <w:top w:w="113" w:type="dxa"/>
              <w:left w:w="85" w:type="dxa"/>
              <w:bottom w:w="113" w:type="dxa"/>
              <w:right w:w="85" w:type="dxa"/>
            </w:tcMar>
            <w:vAlign w:val="bottom"/>
          </w:tcPr>
          <w:p w14:paraId="2C9FF3BA" w14:textId="77777777" w:rsidR="00F14851" w:rsidRPr="003C44C7" w:rsidRDefault="00F14851" w:rsidP="00A85AE3">
            <w:pPr>
              <w:pStyle w:val="TableText"/>
            </w:pPr>
            <w:r w:rsidRPr="003C44C7">
              <w:t>2008</w:t>
            </w:r>
          </w:p>
        </w:tc>
        <w:tc>
          <w:tcPr>
            <w:tcW w:w="2476" w:type="dxa"/>
            <w:shd w:val="clear" w:color="auto" w:fill="auto"/>
            <w:tcMar>
              <w:top w:w="113" w:type="dxa"/>
              <w:left w:w="113" w:type="dxa"/>
              <w:bottom w:w="113" w:type="dxa"/>
              <w:right w:w="850" w:type="dxa"/>
            </w:tcMar>
            <w:vAlign w:val="bottom"/>
          </w:tcPr>
          <w:p w14:paraId="0F55EAAF" w14:textId="77777777" w:rsidR="00F14851" w:rsidRPr="003C44C7" w:rsidRDefault="00F14851" w:rsidP="00A85AE3">
            <w:pPr>
              <w:pStyle w:val="TableText"/>
              <w:jc w:val="right"/>
            </w:pPr>
            <w:r w:rsidRPr="003C44C7">
              <w:t>18</w:t>
            </w:r>
          </w:p>
        </w:tc>
        <w:tc>
          <w:tcPr>
            <w:tcW w:w="2475" w:type="dxa"/>
            <w:shd w:val="clear" w:color="auto" w:fill="auto"/>
            <w:tcMar>
              <w:top w:w="113" w:type="dxa"/>
              <w:left w:w="113" w:type="dxa"/>
              <w:bottom w:w="113" w:type="dxa"/>
              <w:right w:w="850" w:type="dxa"/>
            </w:tcMar>
            <w:vAlign w:val="bottom"/>
          </w:tcPr>
          <w:p w14:paraId="6E18F352" w14:textId="77777777" w:rsidR="00F14851" w:rsidRPr="003C44C7" w:rsidRDefault="00F14851" w:rsidP="00A85AE3">
            <w:pPr>
              <w:pStyle w:val="TableText"/>
              <w:jc w:val="right"/>
            </w:pPr>
            <w:r w:rsidRPr="003C44C7">
              <w:t>12</w:t>
            </w:r>
          </w:p>
        </w:tc>
        <w:tc>
          <w:tcPr>
            <w:tcW w:w="2476" w:type="dxa"/>
            <w:shd w:val="clear" w:color="auto" w:fill="auto"/>
            <w:tcMar>
              <w:top w:w="113" w:type="dxa"/>
              <w:left w:w="113" w:type="dxa"/>
              <w:bottom w:w="113" w:type="dxa"/>
              <w:right w:w="1474" w:type="dxa"/>
            </w:tcMar>
            <w:vAlign w:val="bottom"/>
          </w:tcPr>
          <w:p w14:paraId="4E3B7006" w14:textId="77777777" w:rsidR="00F14851" w:rsidRPr="003C44C7" w:rsidRDefault="00F14851" w:rsidP="00A85AE3">
            <w:pPr>
              <w:pStyle w:val="TableText"/>
              <w:jc w:val="right"/>
            </w:pPr>
            <w:r w:rsidRPr="003C44C7">
              <w:t>7</w:t>
            </w:r>
          </w:p>
        </w:tc>
      </w:tr>
      <w:tr w:rsidR="00F14851" w:rsidRPr="003C44C7" w14:paraId="2E248FFF" w14:textId="77777777" w:rsidTr="00A85AE3">
        <w:trPr>
          <w:trHeight w:val="60"/>
        </w:trPr>
        <w:tc>
          <w:tcPr>
            <w:tcW w:w="2211" w:type="dxa"/>
            <w:shd w:val="clear" w:color="auto" w:fill="auto"/>
            <w:tcMar>
              <w:top w:w="113" w:type="dxa"/>
              <w:left w:w="85" w:type="dxa"/>
              <w:bottom w:w="113" w:type="dxa"/>
              <w:right w:w="85" w:type="dxa"/>
            </w:tcMar>
            <w:vAlign w:val="bottom"/>
          </w:tcPr>
          <w:p w14:paraId="5723CA48" w14:textId="77777777" w:rsidR="00F14851" w:rsidRPr="003C44C7" w:rsidRDefault="00F14851" w:rsidP="00A85AE3">
            <w:pPr>
              <w:pStyle w:val="TableText"/>
            </w:pPr>
            <w:r w:rsidRPr="003C44C7">
              <w:t>2009</w:t>
            </w:r>
          </w:p>
        </w:tc>
        <w:tc>
          <w:tcPr>
            <w:tcW w:w="2476" w:type="dxa"/>
            <w:shd w:val="clear" w:color="auto" w:fill="auto"/>
            <w:tcMar>
              <w:top w:w="113" w:type="dxa"/>
              <w:left w:w="113" w:type="dxa"/>
              <w:bottom w:w="113" w:type="dxa"/>
              <w:right w:w="850" w:type="dxa"/>
            </w:tcMar>
            <w:vAlign w:val="bottom"/>
          </w:tcPr>
          <w:p w14:paraId="1314113D" w14:textId="77777777" w:rsidR="00F14851" w:rsidRPr="003C44C7" w:rsidRDefault="00F14851" w:rsidP="00A85AE3">
            <w:pPr>
              <w:pStyle w:val="TableText"/>
              <w:jc w:val="right"/>
            </w:pPr>
            <w:r w:rsidRPr="003C44C7">
              <w:t>18</w:t>
            </w:r>
          </w:p>
        </w:tc>
        <w:tc>
          <w:tcPr>
            <w:tcW w:w="2475" w:type="dxa"/>
            <w:shd w:val="clear" w:color="auto" w:fill="auto"/>
            <w:tcMar>
              <w:top w:w="113" w:type="dxa"/>
              <w:left w:w="113" w:type="dxa"/>
              <w:bottom w:w="113" w:type="dxa"/>
              <w:right w:w="850" w:type="dxa"/>
            </w:tcMar>
            <w:vAlign w:val="bottom"/>
          </w:tcPr>
          <w:p w14:paraId="03E605EA" w14:textId="77777777" w:rsidR="00F14851" w:rsidRPr="003C44C7" w:rsidRDefault="00F14851" w:rsidP="00A85AE3">
            <w:pPr>
              <w:pStyle w:val="TableText"/>
              <w:jc w:val="right"/>
            </w:pPr>
            <w:r w:rsidRPr="003C44C7">
              <w:t>16</w:t>
            </w:r>
          </w:p>
        </w:tc>
        <w:tc>
          <w:tcPr>
            <w:tcW w:w="2476" w:type="dxa"/>
            <w:shd w:val="clear" w:color="auto" w:fill="auto"/>
            <w:tcMar>
              <w:top w:w="113" w:type="dxa"/>
              <w:left w:w="113" w:type="dxa"/>
              <w:bottom w:w="113" w:type="dxa"/>
              <w:right w:w="1474" w:type="dxa"/>
            </w:tcMar>
            <w:vAlign w:val="bottom"/>
          </w:tcPr>
          <w:p w14:paraId="2A7D90B1" w14:textId="77777777" w:rsidR="00F14851" w:rsidRPr="003C44C7" w:rsidRDefault="00F14851" w:rsidP="00A85AE3">
            <w:pPr>
              <w:pStyle w:val="TableText"/>
              <w:jc w:val="right"/>
            </w:pPr>
            <w:r w:rsidRPr="003C44C7">
              <w:t>9</w:t>
            </w:r>
          </w:p>
        </w:tc>
      </w:tr>
      <w:tr w:rsidR="00F14851" w:rsidRPr="003C44C7" w14:paraId="0FCA3758" w14:textId="77777777" w:rsidTr="00A85AE3">
        <w:trPr>
          <w:trHeight w:val="60"/>
        </w:trPr>
        <w:tc>
          <w:tcPr>
            <w:tcW w:w="2211" w:type="dxa"/>
            <w:shd w:val="clear" w:color="auto" w:fill="auto"/>
            <w:tcMar>
              <w:top w:w="113" w:type="dxa"/>
              <w:left w:w="85" w:type="dxa"/>
              <w:bottom w:w="113" w:type="dxa"/>
              <w:right w:w="85" w:type="dxa"/>
            </w:tcMar>
            <w:vAlign w:val="bottom"/>
          </w:tcPr>
          <w:p w14:paraId="4BB4FE3B" w14:textId="77777777" w:rsidR="00F14851" w:rsidRPr="003C44C7" w:rsidRDefault="00F14851" w:rsidP="00A85AE3">
            <w:pPr>
              <w:pStyle w:val="TableText"/>
            </w:pPr>
            <w:r w:rsidRPr="003C44C7">
              <w:t>2010</w:t>
            </w:r>
          </w:p>
        </w:tc>
        <w:tc>
          <w:tcPr>
            <w:tcW w:w="2476" w:type="dxa"/>
            <w:shd w:val="clear" w:color="auto" w:fill="auto"/>
            <w:tcMar>
              <w:top w:w="113" w:type="dxa"/>
              <w:left w:w="113" w:type="dxa"/>
              <w:bottom w:w="113" w:type="dxa"/>
              <w:right w:w="850" w:type="dxa"/>
            </w:tcMar>
            <w:vAlign w:val="bottom"/>
          </w:tcPr>
          <w:p w14:paraId="7989FA0B" w14:textId="77777777" w:rsidR="00F14851" w:rsidRPr="003C44C7" w:rsidRDefault="00F14851" w:rsidP="00A85AE3">
            <w:pPr>
              <w:pStyle w:val="TableText"/>
              <w:jc w:val="right"/>
            </w:pPr>
            <w:r w:rsidRPr="003C44C7">
              <w:t>18</w:t>
            </w:r>
          </w:p>
        </w:tc>
        <w:tc>
          <w:tcPr>
            <w:tcW w:w="2475" w:type="dxa"/>
            <w:shd w:val="clear" w:color="auto" w:fill="auto"/>
            <w:tcMar>
              <w:top w:w="113" w:type="dxa"/>
              <w:left w:w="113" w:type="dxa"/>
              <w:bottom w:w="113" w:type="dxa"/>
              <w:right w:w="850" w:type="dxa"/>
            </w:tcMar>
            <w:vAlign w:val="bottom"/>
          </w:tcPr>
          <w:p w14:paraId="3D4A6551" w14:textId="77777777" w:rsidR="00F14851" w:rsidRPr="003C44C7" w:rsidRDefault="00F14851" w:rsidP="00A85AE3">
            <w:pPr>
              <w:pStyle w:val="TableText"/>
              <w:jc w:val="right"/>
            </w:pPr>
            <w:r w:rsidRPr="003C44C7">
              <w:t>18</w:t>
            </w:r>
          </w:p>
        </w:tc>
        <w:tc>
          <w:tcPr>
            <w:tcW w:w="2476" w:type="dxa"/>
            <w:shd w:val="clear" w:color="auto" w:fill="auto"/>
            <w:tcMar>
              <w:top w:w="113" w:type="dxa"/>
              <w:left w:w="113" w:type="dxa"/>
              <w:bottom w:w="113" w:type="dxa"/>
              <w:right w:w="1474" w:type="dxa"/>
            </w:tcMar>
            <w:vAlign w:val="bottom"/>
          </w:tcPr>
          <w:p w14:paraId="6A1DAEDD" w14:textId="77777777" w:rsidR="00F14851" w:rsidRPr="003C44C7" w:rsidRDefault="00F14851" w:rsidP="00A85AE3">
            <w:pPr>
              <w:pStyle w:val="TableText"/>
              <w:jc w:val="right"/>
            </w:pPr>
            <w:r w:rsidRPr="003C44C7">
              <w:t>9</w:t>
            </w:r>
          </w:p>
        </w:tc>
      </w:tr>
      <w:tr w:rsidR="00F14851" w:rsidRPr="003C44C7" w14:paraId="384A4E1F" w14:textId="77777777" w:rsidTr="00A85AE3">
        <w:trPr>
          <w:trHeight w:val="60"/>
        </w:trPr>
        <w:tc>
          <w:tcPr>
            <w:tcW w:w="2211" w:type="dxa"/>
            <w:shd w:val="clear" w:color="auto" w:fill="auto"/>
            <w:tcMar>
              <w:top w:w="113" w:type="dxa"/>
              <w:left w:w="85" w:type="dxa"/>
              <w:bottom w:w="113" w:type="dxa"/>
              <w:right w:w="85" w:type="dxa"/>
            </w:tcMar>
            <w:vAlign w:val="bottom"/>
          </w:tcPr>
          <w:p w14:paraId="5BB9E363" w14:textId="77777777" w:rsidR="00F14851" w:rsidRPr="003C44C7" w:rsidRDefault="00F14851" w:rsidP="00A85AE3">
            <w:pPr>
              <w:pStyle w:val="TableText"/>
            </w:pPr>
            <w:r w:rsidRPr="003C44C7">
              <w:t>2011</w:t>
            </w:r>
          </w:p>
        </w:tc>
        <w:tc>
          <w:tcPr>
            <w:tcW w:w="2476" w:type="dxa"/>
            <w:shd w:val="clear" w:color="auto" w:fill="auto"/>
            <w:tcMar>
              <w:top w:w="113" w:type="dxa"/>
              <w:left w:w="113" w:type="dxa"/>
              <w:bottom w:w="113" w:type="dxa"/>
              <w:right w:w="850" w:type="dxa"/>
            </w:tcMar>
            <w:vAlign w:val="bottom"/>
          </w:tcPr>
          <w:p w14:paraId="0555448E" w14:textId="77777777" w:rsidR="00F14851" w:rsidRPr="003C44C7" w:rsidRDefault="00F14851" w:rsidP="00A85AE3">
            <w:pPr>
              <w:pStyle w:val="TableText"/>
              <w:jc w:val="right"/>
            </w:pPr>
            <w:r w:rsidRPr="003C44C7">
              <w:t>20</w:t>
            </w:r>
          </w:p>
        </w:tc>
        <w:tc>
          <w:tcPr>
            <w:tcW w:w="2475" w:type="dxa"/>
            <w:shd w:val="clear" w:color="auto" w:fill="auto"/>
            <w:tcMar>
              <w:top w:w="113" w:type="dxa"/>
              <w:left w:w="113" w:type="dxa"/>
              <w:bottom w:w="113" w:type="dxa"/>
              <w:right w:w="850" w:type="dxa"/>
            </w:tcMar>
            <w:vAlign w:val="bottom"/>
          </w:tcPr>
          <w:p w14:paraId="3333AB2B" w14:textId="77777777" w:rsidR="00F14851" w:rsidRPr="003C44C7" w:rsidRDefault="00F14851" w:rsidP="00A85AE3">
            <w:pPr>
              <w:pStyle w:val="TableText"/>
              <w:jc w:val="right"/>
            </w:pPr>
            <w:r w:rsidRPr="003C44C7">
              <w:t>22</w:t>
            </w:r>
          </w:p>
        </w:tc>
        <w:tc>
          <w:tcPr>
            <w:tcW w:w="2476" w:type="dxa"/>
            <w:shd w:val="clear" w:color="auto" w:fill="auto"/>
            <w:tcMar>
              <w:top w:w="113" w:type="dxa"/>
              <w:left w:w="113" w:type="dxa"/>
              <w:bottom w:w="113" w:type="dxa"/>
              <w:right w:w="1474" w:type="dxa"/>
            </w:tcMar>
            <w:vAlign w:val="bottom"/>
          </w:tcPr>
          <w:p w14:paraId="603A5135" w14:textId="77777777" w:rsidR="00F14851" w:rsidRPr="003C44C7" w:rsidRDefault="00F14851" w:rsidP="00A85AE3">
            <w:pPr>
              <w:pStyle w:val="TableText"/>
              <w:jc w:val="right"/>
            </w:pPr>
            <w:r w:rsidRPr="003C44C7">
              <w:t>10</w:t>
            </w:r>
          </w:p>
        </w:tc>
      </w:tr>
      <w:tr w:rsidR="00F14851" w:rsidRPr="003C44C7" w14:paraId="590459B7" w14:textId="77777777" w:rsidTr="00A85AE3">
        <w:trPr>
          <w:trHeight w:val="60"/>
        </w:trPr>
        <w:tc>
          <w:tcPr>
            <w:tcW w:w="2211" w:type="dxa"/>
            <w:shd w:val="clear" w:color="auto" w:fill="auto"/>
            <w:tcMar>
              <w:top w:w="113" w:type="dxa"/>
              <w:left w:w="85" w:type="dxa"/>
              <w:bottom w:w="113" w:type="dxa"/>
              <w:right w:w="85" w:type="dxa"/>
            </w:tcMar>
            <w:vAlign w:val="bottom"/>
          </w:tcPr>
          <w:p w14:paraId="15A3DC5F" w14:textId="77777777" w:rsidR="00F14851" w:rsidRPr="003C44C7" w:rsidRDefault="00F14851" w:rsidP="00A85AE3">
            <w:pPr>
              <w:pStyle w:val="TableText"/>
            </w:pPr>
            <w:r w:rsidRPr="003C44C7">
              <w:t>2012</w:t>
            </w:r>
          </w:p>
        </w:tc>
        <w:tc>
          <w:tcPr>
            <w:tcW w:w="2476" w:type="dxa"/>
            <w:shd w:val="clear" w:color="auto" w:fill="auto"/>
            <w:tcMar>
              <w:top w:w="113" w:type="dxa"/>
              <w:left w:w="113" w:type="dxa"/>
              <w:bottom w:w="113" w:type="dxa"/>
              <w:right w:w="850" w:type="dxa"/>
            </w:tcMar>
            <w:vAlign w:val="bottom"/>
          </w:tcPr>
          <w:p w14:paraId="4A49EB92" w14:textId="77777777" w:rsidR="00F14851" w:rsidRPr="003C44C7" w:rsidRDefault="00F14851" w:rsidP="00A85AE3">
            <w:pPr>
              <w:pStyle w:val="TableText"/>
              <w:jc w:val="right"/>
            </w:pPr>
            <w:r w:rsidRPr="003C44C7">
              <w:t>25</w:t>
            </w:r>
          </w:p>
        </w:tc>
        <w:tc>
          <w:tcPr>
            <w:tcW w:w="2475" w:type="dxa"/>
            <w:shd w:val="clear" w:color="auto" w:fill="auto"/>
            <w:tcMar>
              <w:top w:w="113" w:type="dxa"/>
              <w:left w:w="113" w:type="dxa"/>
              <w:bottom w:w="113" w:type="dxa"/>
              <w:right w:w="850" w:type="dxa"/>
            </w:tcMar>
            <w:vAlign w:val="bottom"/>
          </w:tcPr>
          <w:p w14:paraId="10DF2FAF" w14:textId="77777777" w:rsidR="00F14851" w:rsidRPr="003C44C7" w:rsidRDefault="00F14851" w:rsidP="00A85AE3">
            <w:pPr>
              <w:pStyle w:val="TableText"/>
              <w:jc w:val="right"/>
            </w:pPr>
            <w:r w:rsidRPr="003C44C7">
              <w:t>32</w:t>
            </w:r>
          </w:p>
        </w:tc>
        <w:tc>
          <w:tcPr>
            <w:tcW w:w="2476" w:type="dxa"/>
            <w:shd w:val="clear" w:color="auto" w:fill="auto"/>
            <w:tcMar>
              <w:top w:w="113" w:type="dxa"/>
              <w:left w:w="113" w:type="dxa"/>
              <w:bottom w:w="113" w:type="dxa"/>
              <w:right w:w="1474" w:type="dxa"/>
            </w:tcMar>
            <w:vAlign w:val="bottom"/>
          </w:tcPr>
          <w:p w14:paraId="5D3518C6" w14:textId="77777777" w:rsidR="00F14851" w:rsidRPr="003C44C7" w:rsidRDefault="00F14851" w:rsidP="00A85AE3">
            <w:pPr>
              <w:pStyle w:val="TableText"/>
              <w:jc w:val="right"/>
            </w:pPr>
            <w:r w:rsidRPr="003C44C7">
              <w:t>13</w:t>
            </w:r>
          </w:p>
        </w:tc>
      </w:tr>
      <w:tr w:rsidR="00F14851" w:rsidRPr="003C44C7" w14:paraId="618E2C5B" w14:textId="77777777" w:rsidTr="00A85AE3">
        <w:trPr>
          <w:trHeight w:val="60"/>
        </w:trPr>
        <w:tc>
          <w:tcPr>
            <w:tcW w:w="2211" w:type="dxa"/>
            <w:shd w:val="clear" w:color="auto" w:fill="auto"/>
            <w:tcMar>
              <w:top w:w="113" w:type="dxa"/>
              <w:left w:w="85" w:type="dxa"/>
              <w:bottom w:w="113" w:type="dxa"/>
              <w:right w:w="85" w:type="dxa"/>
            </w:tcMar>
            <w:vAlign w:val="bottom"/>
          </w:tcPr>
          <w:p w14:paraId="16F2B001" w14:textId="77777777" w:rsidR="00F14851" w:rsidRPr="003C44C7" w:rsidRDefault="00F14851" w:rsidP="00A85AE3">
            <w:pPr>
              <w:pStyle w:val="TableText"/>
            </w:pPr>
            <w:r w:rsidRPr="003C44C7">
              <w:t>2013</w:t>
            </w:r>
          </w:p>
        </w:tc>
        <w:tc>
          <w:tcPr>
            <w:tcW w:w="2476" w:type="dxa"/>
            <w:shd w:val="clear" w:color="auto" w:fill="auto"/>
            <w:tcMar>
              <w:top w:w="113" w:type="dxa"/>
              <w:left w:w="113" w:type="dxa"/>
              <w:bottom w:w="113" w:type="dxa"/>
              <w:right w:w="850" w:type="dxa"/>
            </w:tcMar>
            <w:vAlign w:val="bottom"/>
          </w:tcPr>
          <w:p w14:paraId="7756C6C4" w14:textId="77777777" w:rsidR="00F14851" w:rsidRPr="003C44C7" w:rsidRDefault="00F14851" w:rsidP="00A85AE3">
            <w:pPr>
              <w:pStyle w:val="TableText"/>
              <w:jc w:val="right"/>
            </w:pPr>
            <w:r w:rsidRPr="003C44C7">
              <w:t>28</w:t>
            </w:r>
          </w:p>
        </w:tc>
        <w:tc>
          <w:tcPr>
            <w:tcW w:w="2475" w:type="dxa"/>
            <w:shd w:val="clear" w:color="auto" w:fill="auto"/>
            <w:tcMar>
              <w:top w:w="113" w:type="dxa"/>
              <w:left w:w="113" w:type="dxa"/>
              <w:bottom w:w="113" w:type="dxa"/>
              <w:right w:w="850" w:type="dxa"/>
            </w:tcMar>
            <w:vAlign w:val="bottom"/>
          </w:tcPr>
          <w:p w14:paraId="57143414" w14:textId="77777777" w:rsidR="00F14851" w:rsidRPr="003C44C7" w:rsidRDefault="00F14851" w:rsidP="00A85AE3">
            <w:pPr>
              <w:pStyle w:val="TableText"/>
              <w:jc w:val="right"/>
            </w:pPr>
            <w:r w:rsidRPr="003C44C7">
              <w:t>42</w:t>
            </w:r>
          </w:p>
        </w:tc>
        <w:tc>
          <w:tcPr>
            <w:tcW w:w="2476" w:type="dxa"/>
            <w:shd w:val="clear" w:color="auto" w:fill="auto"/>
            <w:tcMar>
              <w:top w:w="113" w:type="dxa"/>
              <w:left w:w="113" w:type="dxa"/>
              <w:bottom w:w="113" w:type="dxa"/>
              <w:right w:w="1474" w:type="dxa"/>
            </w:tcMar>
            <w:vAlign w:val="bottom"/>
          </w:tcPr>
          <w:p w14:paraId="3D1ECC3E" w14:textId="77777777" w:rsidR="00F14851" w:rsidRPr="003C44C7" w:rsidRDefault="00F14851" w:rsidP="00A85AE3">
            <w:pPr>
              <w:pStyle w:val="TableText"/>
              <w:jc w:val="right"/>
            </w:pPr>
            <w:r w:rsidRPr="003C44C7">
              <w:t>24</w:t>
            </w:r>
          </w:p>
        </w:tc>
      </w:tr>
      <w:tr w:rsidR="00F14851" w:rsidRPr="003C44C7" w14:paraId="7EE00F14" w14:textId="77777777" w:rsidTr="00A85AE3">
        <w:trPr>
          <w:trHeight w:val="60"/>
        </w:trPr>
        <w:tc>
          <w:tcPr>
            <w:tcW w:w="2211" w:type="dxa"/>
            <w:tcBorders>
              <w:bottom w:val="single" w:sz="4" w:space="0" w:color="auto"/>
            </w:tcBorders>
            <w:shd w:val="clear" w:color="auto" w:fill="auto"/>
            <w:tcMar>
              <w:top w:w="113" w:type="dxa"/>
              <w:left w:w="85" w:type="dxa"/>
              <w:bottom w:w="113" w:type="dxa"/>
              <w:right w:w="85" w:type="dxa"/>
            </w:tcMar>
            <w:vAlign w:val="bottom"/>
          </w:tcPr>
          <w:p w14:paraId="264883FD" w14:textId="77777777" w:rsidR="00F14851" w:rsidRPr="003C44C7" w:rsidRDefault="00F14851" w:rsidP="00A85AE3">
            <w:pPr>
              <w:pStyle w:val="TableText"/>
            </w:pPr>
            <w:r w:rsidRPr="003C44C7">
              <w:t>2014</w:t>
            </w:r>
          </w:p>
        </w:tc>
        <w:tc>
          <w:tcPr>
            <w:tcW w:w="2476" w:type="dxa"/>
            <w:tcBorders>
              <w:bottom w:val="single" w:sz="4" w:space="0" w:color="auto"/>
            </w:tcBorders>
            <w:shd w:val="clear" w:color="auto" w:fill="auto"/>
            <w:tcMar>
              <w:top w:w="113" w:type="dxa"/>
              <w:left w:w="113" w:type="dxa"/>
              <w:bottom w:w="113" w:type="dxa"/>
              <w:right w:w="850" w:type="dxa"/>
            </w:tcMar>
            <w:vAlign w:val="bottom"/>
          </w:tcPr>
          <w:p w14:paraId="46FC4E16" w14:textId="77777777" w:rsidR="00F14851" w:rsidRPr="003C44C7" w:rsidRDefault="00F14851" w:rsidP="00A85AE3">
            <w:pPr>
              <w:pStyle w:val="TableText"/>
              <w:jc w:val="right"/>
            </w:pPr>
            <w:r w:rsidRPr="003C44C7">
              <w:t>28</w:t>
            </w:r>
          </w:p>
        </w:tc>
        <w:tc>
          <w:tcPr>
            <w:tcW w:w="2475" w:type="dxa"/>
            <w:tcBorders>
              <w:bottom w:val="single" w:sz="4" w:space="0" w:color="auto"/>
            </w:tcBorders>
            <w:shd w:val="clear" w:color="auto" w:fill="auto"/>
            <w:tcMar>
              <w:top w:w="113" w:type="dxa"/>
              <w:left w:w="113" w:type="dxa"/>
              <w:bottom w:w="113" w:type="dxa"/>
              <w:right w:w="850" w:type="dxa"/>
            </w:tcMar>
            <w:vAlign w:val="bottom"/>
          </w:tcPr>
          <w:p w14:paraId="584C7F47" w14:textId="77777777" w:rsidR="00F14851" w:rsidRPr="003C44C7" w:rsidRDefault="00F14851" w:rsidP="00A85AE3">
            <w:pPr>
              <w:pStyle w:val="TableText"/>
              <w:jc w:val="right"/>
            </w:pPr>
            <w:r w:rsidRPr="003C44C7">
              <w:t>51</w:t>
            </w:r>
          </w:p>
        </w:tc>
        <w:tc>
          <w:tcPr>
            <w:tcW w:w="2476" w:type="dxa"/>
            <w:tcBorders>
              <w:bottom w:val="single" w:sz="4" w:space="0" w:color="auto"/>
            </w:tcBorders>
            <w:shd w:val="clear" w:color="auto" w:fill="auto"/>
            <w:tcMar>
              <w:top w:w="113" w:type="dxa"/>
              <w:left w:w="113" w:type="dxa"/>
              <w:bottom w:w="113" w:type="dxa"/>
              <w:right w:w="1474" w:type="dxa"/>
            </w:tcMar>
            <w:vAlign w:val="bottom"/>
          </w:tcPr>
          <w:p w14:paraId="09BBA61B" w14:textId="77777777" w:rsidR="00F14851" w:rsidRPr="003C44C7" w:rsidRDefault="00F14851" w:rsidP="00A85AE3">
            <w:pPr>
              <w:pStyle w:val="TableText"/>
              <w:jc w:val="right"/>
            </w:pPr>
            <w:r w:rsidRPr="003C44C7">
              <w:t>26</w:t>
            </w:r>
          </w:p>
        </w:tc>
      </w:tr>
    </w:tbl>
    <w:p w14:paraId="74AF7816" w14:textId="77777777" w:rsidR="00F14851" w:rsidRPr="003C44C7" w:rsidRDefault="00F14851">
      <w:pPr>
        <w:pStyle w:val="TFIHolder"/>
      </w:pPr>
    </w:p>
    <w:p w14:paraId="7BDB6ACD" w14:textId="77777777" w:rsidR="00F14851" w:rsidRPr="003C44C7" w:rsidRDefault="00F14851">
      <w:pPr>
        <w:pStyle w:val="Heading2"/>
      </w:pPr>
      <w:bookmarkStart w:id="12" w:name="_Toc429391532"/>
      <w:r w:rsidRPr="003C44C7">
        <w:t>Top 20 antibacterials</w:t>
      </w:r>
      <w:bookmarkEnd w:id="12"/>
    </w:p>
    <w:p w14:paraId="2B9D2DA4" w14:textId="77777777" w:rsidR="00F14851" w:rsidRPr="003C44C7" w:rsidRDefault="00F14851">
      <w:r w:rsidRPr="003C44C7">
        <w:t>Twenty agents accounted for 92% of all antibacterials used in Australian hospitals, on a DDDs per 1000 OBDs basis (Figure 6). Six antibacterials – amoxycillin with clavulanic acid, flucloxacillin, cephazolin, amoxycillin, doxycycline and cephalexin – represented more than 50% of antibacterials.</w:t>
      </w:r>
    </w:p>
    <w:p w14:paraId="47ECA719" w14:textId="77777777" w:rsidR="00F14851" w:rsidRPr="003C44C7" w:rsidRDefault="00F14851">
      <w:r w:rsidRPr="003C44C7">
        <w:t>Highly reserved antibacterials accounted for very small percentages of total antibacterial usage – for example, linezolid (0.13%), daptomycin (0.12%) and colistin (0.08%).</w:t>
      </w:r>
    </w:p>
    <w:p w14:paraId="5CD33E9A" w14:textId="77777777" w:rsidR="00F14851" w:rsidRPr="003C44C7" w:rsidRDefault="00F14851">
      <w:r w:rsidRPr="003C44C7">
        <w:t>These findings are consistent with those from the National Antimicrobial Prescribing Survey (NAPS), which found that ceftriaxone, cephazolin, metronidazole, amoxycillin with clavulanic acid, and piperacillin with tazobactam were the most commonly prescribed antimicrobials. Differences may be due to the timing of surveys under NAPS. Often these surveys occur in October so that the results can be presented during Antibiotic Awareness Week in November (i.e. not during the winter months). In contrast, NAUSP is a continuous data collection program.</w:t>
      </w:r>
    </w:p>
    <w:p w14:paraId="2C828B70" w14:textId="77777777" w:rsidR="00B55A65" w:rsidRPr="003C44C7" w:rsidRDefault="00B55A65" w:rsidP="00B55A65">
      <w:pPr>
        <w:pStyle w:val="FigureName"/>
      </w:pPr>
      <w:r w:rsidRPr="003C44C7">
        <w:t>Figure 6</w:t>
      </w:r>
      <w:r w:rsidRPr="003C44C7">
        <w:tab/>
        <w:t>Top 20 antibacterials used in Australian hospitals in 2014</w:t>
      </w:r>
    </w:p>
    <w:p w14:paraId="6466BEEF" w14:textId="77777777" w:rsidR="00F14851" w:rsidRPr="003C44C7" w:rsidRDefault="00A829B3">
      <w:pPr>
        <w:pStyle w:val="FigureNameSpan"/>
      </w:pPr>
      <w:r w:rsidRPr="003C44C7">
        <w:rPr>
          <w:noProof/>
        </w:rPr>
        <w:drawing>
          <wp:inline distT="0" distB="0" distL="0" distR="0" wp14:anchorId="7509EA51" wp14:editId="0C58A11E">
            <wp:extent cx="6121400" cy="4986655"/>
            <wp:effectExtent l="0" t="0" r="0" b="4445"/>
            <wp:docPr id="9" name="Picture 9" descr="Bar chart showing the top 20 antibacterials used in Australian hospitals in 2014, by percentage of use. They are amoxycillin with clavulanic acid (14.3%), flucloxacillin (9.1%), cephazolin (8.5%), amoxycillin (8.1%), doxycycline (5.7%), cephalexin (5.3%), piperacillin with tazobactam (4.7%), ceftriaxone (4.5%), metronidazole (4.3%), azithromycin (4.1%), gentamicin (3.5%), ciprofloxacin (3.1%), ampicillin (3.0%), benzylpenicillin (2.8%), vancomycin (2.6%), trimethoprim (1.9%), meropenem (1.8%), sulfamethoxazole and trimethoprim (1.7%), roxithromycin (1.6%) and clindamyci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_06-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400" cy="4986655"/>
                    </a:xfrm>
                    <a:prstGeom prst="rect">
                      <a:avLst/>
                    </a:prstGeom>
                    <a:noFill/>
                    <a:ln>
                      <a:noFill/>
                    </a:ln>
                  </pic:spPr>
                </pic:pic>
              </a:graphicData>
            </a:graphic>
          </wp:inline>
        </w:drawing>
      </w:r>
    </w:p>
    <w:p w14:paraId="74DE9821" w14:textId="77777777" w:rsidR="00F14851" w:rsidRPr="003C44C7" w:rsidRDefault="00F14851">
      <w:pPr>
        <w:pStyle w:val="Heading2"/>
      </w:pPr>
      <w:bookmarkStart w:id="13" w:name="_Toc429391533"/>
      <w:r w:rsidRPr="003C44C7">
        <w:t>Comparison of usage rates by state</w:t>
      </w:r>
      <w:bookmarkEnd w:id="13"/>
    </w:p>
    <w:p w14:paraId="1A7F1F54" w14:textId="77777777" w:rsidR="00F14851" w:rsidRPr="003C44C7" w:rsidRDefault="00F14851">
      <w:r w:rsidRPr="003C44C7">
        <w:t xml:space="preserve">Aggregated annual total-hospital antibacterial usage rates for NAUSP contributors for 2014 are shown by state in Figure 7. </w:t>
      </w:r>
    </w:p>
    <w:p w14:paraId="19E19E61" w14:textId="77777777" w:rsidR="00F14851" w:rsidRPr="003C44C7" w:rsidRDefault="00F14851">
      <w:r w:rsidRPr="003C44C7">
        <w:t>Table 3 shows annual antibacterial usage rates for 2014 by state and AIHW peer group. These data should be viewed with caution for states in which the number of contributing hospitals is low, meaning that the data are not truly representative.</w:t>
      </w:r>
    </w:p>
    <w:p w14:paraId="6023AB57" w14:textId="77777777" w:rsidR="00B55A65" w:rsidRPr="003C44C7" w:rsidRDefault="00B55A65" w:rsidP="00B55A65">
      <w:pPr>
        <w:pStyle w:val="FigureName"/>
      </w:pPr>
      <w:r w:rsidRPr="003C44C7">
        <w:t>Figure 7</w:t>
      </w:r>
      <w:r w:rsidRPr="003C44C7">
        <w:tab/>
        <w:t xml:space="preserve">Overall antimicrobial usage rates, 2014 </w:t>
      </w:r>
    </w:p>
    <w:p w14:paraId="283E1BAE" w14:textId="77777777" w:rsidR="00F14851" w:rsidRPr="003C44C7" w:rsidRDefault="00A829B3">
      <w:pPr>
        <w:pStyle w:val="TFIHolderSpan"/>
      </w:pPr>
      <w:r w:rsidRPr="003C44C7">
        <w:rPr>
          <w:noProof/>
        </w:rPr>
        <w:drawing>
          <wp:inline distT="0" distB="0" distL="0" distR="0" wp14:anchorId="7B793DDB" wp14:editId="7A5BA53A">
            <wp:extent cx="6062345" cy="3869055"/>
            <wp:effectExtent l="0" t="0" r="0" b="0"/>
            <wp:docPr id="10" name="Picture 10" descr="Stacked bar chart showing microbial usage rates in 2014 for Australia and the states (Tasmania, New South Wales and ACT, South Australia, Victoria, Western Australia and Queensland), as DDDs per 1000 OBDs. The antimicrobials shown in each bar are aminoglycosides, β-lactamase inhibitor combinations, β-lactamase-resistant penicillins, β-lactamase-sensitive penicillins, carbapenems, extended-spectrum penicillins, first-generation cephalosporins, fluoroquinolones, fourth-generation cephalosporins, glycopeptides, lincosamides, macrolides, nitroimidazoles, sulfonamide/trimethoprim, tetracylines, third-generation cephalosporins, trimethoprim and ‘other’ agents. The overall rate was highest in Tasmania (1228) and lowest in Queensland (820). The national rate was 936 DDDs per 1000 OB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_07-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2345" cy="3869055"/>
                    </a:xfrm>
                    <a:prstGeom prst="rect">
                      <a:avLst/>
                    </a:prstGeom>
                    <a:noFill/>
                    <a:ln>
                      <a:noFill/>
                    </a:ln>
                  </pic:spPr>
                </pic:pic>
              </a:graphicData>
            </a:graphic>
          </wp:inline>
        </w:drawing>
      </w:r>
    </w:p>
    <w:p w14:paraId="71B8A98A" w14:textId="77777777" w:rsidR="00F14851" w:rsidRPr="003C44C7" w:rsidRDefault="00F14851" w:rsidP="00E30E24">
      <w:pPr>
        <w:pStyle w:val="TableName"/>
      </w:pPr>
      <w:r w:rsidRPr="003C44C7">
        <w:t>Table 3</w:t>
      </w:r>
      <w:r w:rsidRPr="003C44C7">
        <w:tab/>
        <w:t>Aggregate antibacterial usage rates (DDDs per 1000 OBDs) by jurisdiction and AIHW peer group, 2014</w:t>
      </w:r>
    </w:p>
    <w:tbl>
      <w:tblPr>
        <w:tblW w:w="0" w:type="auto"/>
        <w:tblInd w:w="85" w:type="dxa"/>
        <w:tblLayout w:type="fixed"/>
        <w:tblCellMar>
          <w:left w:w="0" w:type="dxa"/>
          <w:right w:w="0" w:type="dxa"/>
        </w:tblCellMar>
        <w:tblLook w:val="0000" w:firstRow="0" w:lastRow="0" w:firstColumn="0" w:lastColumn="0" w:noHBand="0" w:noVBand="0"/>
      </w:tblPr>
      <w:tblGrid>
        <w:gridCol w:w="1493"/>
        <w:gridCol w:w="1757"/>
        <w:gridCol w:w="1966"/>
        <w:gridCol w:w="2400"/>
        <w:gridCol w:w="2022"/>
      </w:tblGrid>
      <w:tr w:rsidR="00F14851" w:rsidRPr="003C44C7" w14:paraId="4DCB8DA4" w14:textId="77777777" w:rsidTr="003C44C7">
        <w:trPr>
          <w:trHeight w:val="315"/>
          <w:tblHeader/>
        </w:trPr>
        <w:tc>
          <w:tcPr>
            <w:tcW w:w="1493" w:type="dxa"/>
            <w:vMerge w:val="restart"/>
            <w:tcBorders>
              <w:top w:val="single" w:sz="4" w:space="0" w:color="auto"/>
            </w:tcBorders>
            <w:shd w:val="clear" w:color="auto" w:fill="auto"/>
            <w:tcMar>
              <w:top w:w="113" w:type="dxa"/>
              <w:left w:w="85" w:type="dxa"/>
              <w:bottom w:w="113" w:type="dxa"/>
              <w:right w:w="85" w:type="dxa"/>
            </w:tcMar>
            <w:vAlign w:val="bottom"/>
          </w:tcPr>
          <w:p w14:paraId="544D1056" w14:textId="77777777" w:rsidR="00F14851" w:rsidRPr="003C44C7" w:rsidRDefault="00F14851" w:rsidP="00E30E24">
            <w:pPr>
              <w:pStyle w:val="TableHeading"/>
            </w:pPr>
            <w:r w:rsidRPr="003C44C7">
              <w:t>State or territory</w:t>
            </w:r>
          </w:p>
        </w:tc>
        <w:tc>
          <w:tcPr>
            <w:tcW w:w="8145" w:type="dxa"/>
            <w:gridSpan w:val="4"/>
            <w:tcBorders>
              <w:top w:val="single" w:sz="4" w:space="0" w:color="auto"/>
            </w:tcBorders>
            <w:shd w:val="clear" w:color="auto" w:fill="auto"/>
            <w:tcMar>
              <w:top w:w="113" w:type="dxa"/>
              <w:left w:w="85" w:type="dxa"/>
              <w:bottom w:w="113" w:type="dxa"/>
              <w:right w:w="85" w:type="dxa"/>
            </w:tcMar>
            <w:vAlign w:val="bottom"/>
          </w:tcPr>
          <w:p w14:paraId="2B78A12A" w14:textId="77777777" w:rsidR="00F14851" w:rsidRPr="003C44C7" w:rsidRDefault="00F14851" w:rsidP="00E30E24">
            <w:pPr>
              <w:pStyle w:val="TableHeading"/>
              <w:jc w:val="center"/>
            </w:pPr>
            <w:r w:rsidRPr="003C44C7">
              <w:t>Peer group</w:t>
            </w:r>
          </w:p>
        </w:tc>
      </w:tr>
      <w:tr w:rsidR="00F14851" w:rsidRPr="003C44C7" w14:paraId="1A464286" w14:textId="77777777" w:rsidTr="003C44C7">
        <w:trPr>
          <w:trHeight w:val="315"/>
          <w:tblHeader/>
        </w:trPr>
        <w:tc>
          <w:tcPr>
            <w:tcW w:w="1493" w:type="dxa"/>
            <w:vMerge/>
            <w:tcBorders>
              <w:bottom w:val="single" w:sz="4" w:space="0" w:color="auto"/>
            </w:tcBorders>
            <w:shd w:val="clear" w:color="auto" w:fill="auto"/>
          </w:tcPr>
          <w:p w14:paraId="1505AE10" w14:textId="77777777" w:rsidR="00F14851" w:rsidRPr="003C44C7" w:rsidRDefault="00F14851" w:rsidP="00E30E24">
            <w:pPr>
              <w:pStyle w:val="TableHeading"/>
              <w:rPr>
                <w:rFonts w:ascii="Helvetica-Light" w:hAnsi="Helvetica-Light"/>
                <w:color w:val="auto"/>
              </w:rPr>
            </w:pPr>
          </w:p>
        </w:tc>
        <w:tc>
          <w:tcPr>
            <w:tcW w:w="1757" w:type="dxa"/>
            <w:tcBorders>
              <w:bottom w:val="single" w:sz="4" w:space="0" w:color="auto"/>
            </w:tcBorders>
            <w:shd w:val="clear" w:color="auto" w:fill="auto"/>
            <w:tcMar>
              <w:top w:w="113" w:type="dxa"/>
              <w:left w:w="85" w:type="dxa"/>
              <w:bottom w:w="113" w:type="dxa"/>
              <w:right w:w="85" w:type="dxa"/>
            </w:tcMar>
            <w:vAlign w:val="bottom"/>
          </w:tcPr>
          <w:p w14:paraId="15F35B5B" w14:textId="77777777" w:rsidR="00F14851" w:rsidRPr="003C44C7" w:rsidRDefault="00F14851" w:rsidP="00E30E24">
            <w:pPr>
              <w:pStyle w:val="TableHeading"/>
            </w:pPr>
            <w:r w:rsidRPr="003C44C7">
              <w:t>Principal referral</w:t>
            </w:r>
          </w:p>
        </w:tc>
        <w:tc>
          <w:tcPr>
            <w:tcW w:w="1966" w:type="dxa"/>
            <w:tcBorders>
              <w:bottom w:val="single" w:sz="4" w:space="0" w:color="auto"/>
            </w:tcBorders>
            <w:shd w:val="clear" w:color="auto" w:fill="auto"/>
            <w:tcMar>
              <w:top w:w="113" w:type="dxa"/>
              <w:left w:w="85" w:type="dxa"/>
              <w:bottom w:w="113" w:type="dxa"/>
              <w:right w:w="85" w:type="dxa"/>
            </w:tcMar>
            <w:vAlign w:val="bottom"/>
          </w:tcPr>
          <w:p w14:paraId="340466BC" w14:textId="77777777" w:rsidR="00F14851" w:rsidRPr="003C44C7" w:rsidRDefault="00F14851" w:rsidP="00E30E24">
            <w:pPr>
              <w:pStyle w:val="TableHeading"/>
            </w:pPr>
            <w:r w:rsidRPr="003C44C7">
              <w:t>Large public acute</w:t>
            </w:r>
          </w:p>
        </w:tc>
        <w:tc>
          <w:tcPr>
            <w:tcW w:w="2400" w:type="dxa"/>
            <w:tcBorders>
              <w:bottom w:val="single" w:sz="4" w:space="0" w:color="auto"/>
            </w:tcBorders>
            <w:shd w:val="clear" w:color="auto" w:fill="auto"/>
            <w:tcMar>
              <w:top w:w="113" w:type="dxa"/>
              <w:left w:w="85" w:type="dxa"/>
              <w:bottom w:w="113" w:type="dxa"/>
              <w:right w:w="85" w:type="dxa"/>
            </w:tcMar>
            <w:vAlign w:val="bottom"/>
          </w:tcPr>
          <w:p w14:paraId="27E60860" w14:textId="77777777" w:rsidR="00F14851" w:rsidRPr="003C44C7" w:rsidRDefault="00F14851" w:rsidP="00E30E24">
            <w:pPr>
              <w:pStyle w:val="TableHeading"/>
            </w:pPr>
            <w:r w:rsidRPr="003C44C7">
              <w:t>Medium public acute</w:t>
            </w:r>
          </w:p>
        </w:tc>
        <w:tc>
          <w:tcPr>
            <w:tcW w:w="2022" w:type="dxa"/>
            <w:tcBorders>
              <w:bottom w:val="single" w:sz="4" w:space="0" w:color="auto"/>
            </w:tcBorders>
            <w:shd w:val="clear" w:color="auto" w:fill="auto"/>
            <w:tcMar>
              <w:top w:w="113" w:type="dxa"/>
              <w:left w:w="85" w:type="dxa"/>
              <w:bottom w:w="113" w:type="dxa"/>
              <w:right w:w="85" w:type="dxa"/>
            </w:tcMar>
            <w:vAlign w:val="bottom"/>
          </w:tcPr>
          <w:p w14:paraId="3EDC08B1" w14:textId="77777777" w:rsidR="00F14851" w:rsidRPr="003C44C7" w:rsidRDefault="00F14851" w:rsidP="00E30E24">
            <w:pPr>
              <w:pStyle w:val="TableHeading"/>
              <w:jc w:val="center"/>
            </w:pPr>
            <w:r w:rsidRPr="003C44C7">
              <w:t>Small public acute</w:t>
            </w:r>
          </w:p>
        </w:tc>
      </w:tr>
      <w:tr w:rsidR="00F14851" w:rsidRPr="003C44C7" w14:paraId="72ED082D" w14:textId="77777777" w:rsidTr="00E30E24">
        <w:trPr>
          <w:trHeight w:val="300"/>
        </w:trPr>
        <w:tc>
          <w:tcPr>
            <w:tcW w:w="1493" w:type="dxa"/>
            <w:tcBorders>
              <w:top w:val="single" w:sz="4" w:space="0" w:color="auto"/>
            </w:tcBorders>
            <w:shd w:val="clear" w:color="auto" w:fill="auto"/>
            <w:tcMar>
              <w:top w:w="113" w:type="dxa"/>
              <w:left w:w="85" w:type="dxa"/>
              <w:bottom w:w="113" w:type="dxa"/>
              <w:right w:w="85" w:type="dxa"/>
            </w:tcMar>
            <w:vAlign w:val="bottom"/>
          </w:tcPr>
          <w:p w14:paraId="1472C874" w14:textId="77777777" w:rsidR="00F14851" w:rsidRPr="003C44C7" w:rsidRDefault="00F14851" w:rsidP="00E30E24">
            <w:pPr>
              <w:pStyle w:val="TableText"/>
            </w:pPr>
            <w:r w:rsidRPr="003C44C7">
              <w:t>NSW and ACT</w:t>
            </w:r>
          </w:p>
        </w:tc>
        <w:tc>
          <w:tcPr>
            <w:tcW w:w="1757" w:type="dxa"/>
            <w:tcBorders>
              <w:top w:val="single" w:sz="4" w:space="0" w:color="auto"/>
            </w:tcBorders>
            <w:shd w:val="clear" w:color="auto" w:fill="auto"/>
            <w:tcMar>
              <w:top w:w="113" w:type="dxa"/>
              <w:left w:w="113" w:type="dxa"/>
              <w:bottom w:w="113" w:type="dxa"/>
              <w:right w:w="680" w:type="dxa"/>
            </w:tcMar>
            <w:vAlign w:val="bottom"/>
          </w:tcPr>
          <w:p w14:paraId="1280BF58" w14:textId="77777777" w:rsidR="00F14851" w:rsidRPr="003C44C7" w:rsidRDefault="00F14851" w:rsidP="00E30E24">
            <w:pPr>
              <w:pStyle w:val="TableText"/>
              <w:jc w:val="right"/>
            </w:pPr>
            <w:r w:rsidRPr="003C44C7">
              <w:t>979.8</w:t>
            </w:r>
          </w:p>
        </w:tc>
        <w:tc>
          <w:tcPr>
            <w:tcW w:w="1966" w:type="dxa"/>
            <w:tcBorders>
              <w:top w:val="single" w:sz="4" w:space="0" w:color="auto"/>
            </w:tcBorders>
            <w:shd w:val="clear" w:color="auto" w:fill="auto"/>
            <w:tcMar>
              <w:top w:w="113" w:type="dxa"/>
              <w:left w:w="113" w:type="dxa"/>
              <w:bottom w:w="113" w:type="dxa"/>
              <w:right w:w="680" w:type="dxa"/>
            </w:tcMar>
            <w:vAlign w:val="bottom"/>
          </w:tcPr>
          <w:p w14:paraId="70394518" w14:textId="77777777" w:rsidR="00F14851" w:rsidRPr="003C44C7" w:rsidRDefault="00F14851" w:rsidP="00E30E24">
            <w:pPr>
              <w:pStyle w:val="TableText"/>
              <w:jc w:val="right"/>
            </w:pPr>
            <w:r w:rsidRPr="003C44C7">
              <w:t>1150.1</w:t>
            </w:r>
          </w:p>
        </w:tc>
        <w:tc>
          <w:tcPr>
            <w:tcW w:w="2400" w:type="dxa"/>
            <w:tcBorders>
              <w:top w:val="single" w:sz="4" w:space="0" w:color="auto"/>
            </w:tcBorders>
            <w:shd w:val="clear" w:color="auto" w:fill="auto"/>
            <w:tcMar>
              <w:top w:w="113" w:type="dxa"/>
              <w:left w:w="113" w:type="dxa"/>
              <w:bottom w:w="113" w:type="dxa"/>
              <w:right w:w="680" w:type="dxa"/>
            </w:tcMar>
            <w:vAlign w:val="bottom"/>
          </w:tcPr>
          <w:p w14:paraId="601C976A" w14:textId="77777777" w:rsidR="00F14851" w:rsidRPr="003C44C7" w:rsidRDefault="00F14851" w:rsidP="00E30E24">
            <w:pPr>
              <w:pStyle w:val="TableText"/>
              <w:jc w:val="right"/>
            </w:pPr>
            <w:r w:rsidRPr="003C44C7">
              <w:t>1078.8</w:t>
            </w:r>
          </w:p>
        </w:tc>
        <w:tc>
          <w:tcPr>
            <w:tcW w:w="2022" w:type="dxa"/>
            <w:tcBorders>
              <w:top w:val="single" w:sz="4" w:space="0" w:color="auto"/>
            </w:tcBorders>
            <w:shd w:val="clear" w:color="auto" w:fill="auto"/>
            <w:tcMar>
              <w:top w:w="113" w:type="dxa"/>
              <w:left w:w="113" w:type="dxa"/>
              <w:bottom w:w="113" w:type="dxa"/>
              <w:right w:w="680" w:type="dxa"/>
            </w:tcMar>
            <w:vAlign w:val="bottom"/>
          </w:tcPr>
          <w:p w14:paraId="43E9945A" w14:textId="77777777" w:rsidR="00F14851" w:rsidRPr="003C44C7" w:rsidRDefault="00F14851" w:rsidP="00E30E24">
            <w:pPr>
              <w:pStyle w:val="TableText"/>
              <w:jc w:val="right"/>
            </w:pPr>
            <w:r w:rsidRPr="003C44C7">
              <w:t>na</w:t>
            </w:r>
          </w:p>
        </w:tc>
      </w:tr>
      <w:tr w:rsidR="00F14851" w:rsidRPr="003C44C7" w14:paraId="3B7EC106" w14:textId="77777777" w:rsidTr="00E30E24">
        <w:trPr>
          <w:trHeight w:val="300"/>
        </w:trPr>
        <w:tc>
          <w:tcPr>
            <w:tcW w:w="1493" w:type="dxa"/>
            <w:shd w:val="clear" w:color="auto" w:fill="auto"/>
            <w:tcMar>
              <w:top w:w="113" w:type="dxa"/>
              <w:left w:w="85" w:type="dxa"/>
              <w:bottom w:w="113" w:type="dxa"/>
              <w:right w:w="85" w:type="dxa"/>
            </w:tcMar>
            <w:vAlign w:val="bottom"/>
          </w:tcPr>
          <w:p w14:paraId="0A5F8B21" w14:textId="77777777" w:rsidR="00F14851" w:rsidRPr="003C44C7" w:rsidRDefault="00F14851" w:rsidP="00E30E24">
            <w:pPr>
              <w:pStyle w:val="TableText"/>
            </w:pPr>
            <w:r w:rsidRPr="003C44C7">
              <w:t>Qld</w:t>
            </w:r>
          </w:p>
        </w:tc>
        <w:tc>
          <w:tcPr>
            <w:tcW w:w="1757" w:type="dxa"/>
            <w:shd w:val="clear" w:color="auto" w:fill="auto"/>
            <w:tcMar>
              <w:top w:w="113" w:type="dxa"/>
              <w:left w:w="113" w:type="dxa"/>
              <w:bottom w:w="113" w:type="dxa"/>
              <w:right w:w="680" w:type="dxa"/>
            </w:tcMar>
            <w:vAlign w:val="bottom"/>
          </w:tcPr>
          <w:p w14:paraId="0E69304E" w14:textId="77777777" w:rsidR="00F14851" w:rsidRPr="003C44C7" w:rsidRDefault="00F14851" w:rsidP="00E30E24">
            <w:pPr>
              <w:pStyle w:val="TableText"/>
              <w:jc w:val="right"/>
            </w:pPr>
            <w:r w:rsidRPr="003C44C7">
              <w:t>768.4</w:t>
            </w:r>
          </w:p>
        </w:tc>
        <w:tc>
          <w:tcPr>
            <w:tcW w:w="1966" w:type="dxa"/>
            <w:shd w:val="clear" w:color="auto" w:fill="auto"/>
            <w:tcMar>
              <w:top w:w="113" w:type="dxa"/>
              <w:left w:w="113" w:type="dxa"/>
              <w:bottom w:w="113" w:type="dxa"/>
              <w:right w:w="680" w:type="dxa"/>
            </w:tcMar>
            <w:vAlign w:val="bottom"/>
          </w:tcPr>
          <w:p w14:paraId="746EE677" w14:textId="77777777" w:rsidR="00F14851" w:rsidRPr="003C44C7" w:rsidRDefault="00F14851" w:rsidP="00E30E24">
            <w:pPr>
              <w:pStyle w:val="TableText"/>
              <w:jc w:val="right"/>
            </w:pPr>
            <w:r w:rsidRPr="003C44C7">
              <w:t>869</w:t>
            </w:r>
          </w:p>
        </w:tc>
        <w:tc>
          <w:tcPr>
            <w:tcW w:w="2400" w:type="dxa"/>
            <w:shd w:val="clear" w:color="auto" w:fill="auto"/>
            <w:tcMar>
              <w:top w:w="113" w:type="dxa"/>
              <w:left w:w="113" w:type="dxa"/>
              <w:bottom w:w="113" w:type="dxa"/>
              <w:right w:w="680" w:type="dxa"/>
            </w:tcMar>
            <w:vAlign w:val="bottom"/>
          </w:tcPr>
          <w:p w14:paraId="5D8C6408" w14:textId="77777777" w:rsidR="00F14851" w:rsidRPr="003C44C7" w:rsidRDefault="00F14851" w:rsidP="00E30E24">
            <w:pPr>
              <w:pStyle w:val="TableText"/>
              <w:jc w:val="right"/>
            </w:pPr>
            <w:r w:rsidRPr="003C44C7">
              <w:t>693.4</w:t>
            </w:r>
          </w:p>
        </w:tc>
        <w:tc>
          <w:tcPr>
            <w:tcW w:w="2022" w:type="dxa"/>
            <w:shd w:val="clear" w:color="auto" w:fill="auto"/>
            <w:tcMar>
              <w:top w:w="113" w:type="dxa"/>
              <w:left w:w="113" w:type="dxa"/>
              <w:bottom w:w="113" w:type="dxa"/>
              <w:right w:w="680" w:type="dxa"/>
            </w:tcMar>
            <w:vAlign w:val="bottom"/>
          </w:tcPr>
          <w:p w14:paraId="6DE66A09" w14:textId="77777777" w:rsidR="00F14851" w:rsidRPr="003C44C7" w:rsidRDefault="00F14851" w:rsidP="00E30E24">
            <w:pPr>
              <w:pStyle w:val="TableText"/>
              <w:jc w:val="right"/>
            </w:pPr>
            <w:r w:rsidRPr="003C44C7">
              <w:t>na</w:t>
            </w:r>
          </w:p>
        </w:tc>
      </w:tr>
      <w:tr w:rsidR="00F14851" w:rsidRPr="003C44C7" w14:paraId="5895565A" w14:textId="77777777" w:rsidTr="00E30E24">
        <w:trPr>
          <w:trHeight w:val="300"/>
        </w:trPr>
        <w:tc>
          <w:tcPr>
            <w:tcW w:w="1493" w:type="dxa"/>
            <w:shd w:val="clear" w:color="auto" w:fill="auto"/>
            <w:tcMar>
              <w:top w:w="113" w:type="dxa"/>
              <w:left w:w="85" w:type="dxa"/>
              <w:bottom w:w="113" w:type="dxa"/>
              <w:right w:w="85" w:type="dxa"/>
            </w:tcMar>
            <w:vAlign w:val="bottom"/>
          </w:tcPr>
          <w:p w14:paraId="08BFD06F" w14:textId="77777777" w:rsidR="00F14851" w:rsidRPr="003C44C7" w:rsidRDefault="00F14851" w:rsidP="00E30E24">
            <w:pPr>
              <w:pStyle w:val="TableText"/>
            </w:pPr>
            <w:r w:rsidRPr="003C44C7">
              <w:t>SA</w:t>
            </w:r>
          </w:p>
        </w:tc>
        <w:tc>
          <w:tcPr>
            <w:tcW w:w="1757" w:type="dxa"/>
            <w:shd w:val="clear" w:color="auto" w:fill="auto"/>
            <w:tcMar>
              <w:top w:w="113" w:type="dxa"/>
              <w:left w:w="113" w:type="dxa"/>
              <w:bottom w:w="113" w:type="dxa"/>
              <w:right w:w="680" w:type="dxa"/>
            </w:tcMar>
            <w:vAlign w:val="bottom"/>
          </w:tcPr>
          <w:p w14:paraId="41ABF037" w14:textId="77777777" w:rsidR="00F14851" w:rsidRPr="003C44C7" w:rsidRDefault="00F14851" w:rsidP="00E30E24">
            <w:pPr>
              <w:pStyle w:val="TableText"/>
              <w:jc w:val="right"/>
            </w:pPr>
            <w:r w:rsidRPr="003C44C7">
              <w:t>1050.6</w:t>
            </w:r>
          </w:p>
        </w:tc>
        <w:tc>
          <w:tcPr>
            <w:tcW w:w="1966" w:type="dxa"/>
            <w:shd w:val="clear" w:color="auto" w:fill="auto"/>
            <w:tcMar>
              <w:top w:w="113" w:type="dxa"/>
              <w:left w:w="113" w:type="dxa"/>
              <w:bottom w:w="113" w:type="dxa"/>
              <w:right w:w="680" w:type="dxa"/>
            </w:tcMar>
            <w:vAlign w:val="bottom"/>
          </w:tcPr>
          <w:p w14:paraId="7C2B492A" w14:textId="77777777" w:rsidR="00F14851" w:rsidRPr="003C44C7" w:rsidRDefault="00F14851" w:rsidP="00E30E24">
            <w:pPr>
              <w:pStyle w:val="TableText"/>
              <w:jc w:val="right"/>
            </w:pPr>
            <w:r w:rsidRPr="003C44C7">
              <w:t>975.5</w:t>
            </w:r>
          </w:p>
        </w:tc>
        <w:tc>
          <w:tcPr>
            <w:tcW w:w="2400" w:type="dxa"/>
            <w:shd w:val="clear" w:color="auto" w:fill="auto"/>
            <w:tcMar>
              <w:top w:w="113" w:type="dxa"/>
              <w:left w:w="113" w:type="dxa"/>
              <w:bottom w:w="113" w:type="dxa"/>
              <w:right w:w="680" w:type="dxa"/>
            </w:tcMar>
            <w:vAlign w:val="bottom"/>
          </w:tcPr>
          <w:p w14:paraId="23A2D2A3" w14:textId="77777777" w:rsidR="00F14851" w:rsidRPr="003C44C7" w:rsidRDefault="00F14851" w:rsidP="00E30E24">
            <w:pPr>
              <w:pStyle w:val="TableText"/>
              <w:jc w:val="right"/>
            </w:pPr>
            <w:r w:rsidRPr="003C44C7">
              <w:t>894.1</w:t>
            </w:r>
          </w:p>
        </w:tc>
        <w:tc>
          <w:tcPr>
            <w:tcW w:w="2022" w:type="dxa"/>
            <w:shd w:val="clear" w:color="auto" w:fill="auto"/>
            <w:tcMar>
              <w:top w:w="113" w:type="dxa"/>
              <w:left w:w="113" w:type="dxa"/>
              <w:bottom w:w="113" w:type="dxa"/>
              <w:right w:w="680" w:type="dxa"/>
            </w:tcMar>
            <w:vAlign w:val="bottom"/>
          </w:tcPr>
          <w:p w14:paraId="38776CCA" w14:textId="77777777" w:rsidR="00F14851" w:rsidRPr="003C44C7" w:rsidRDefault="00F14851" w:rsidP="00E30E24">
            <w:pPr>
              <w:pStyle w:val="TableText"/>
              <w:jc w:val="right"/>
            </w:pPr>
            <w:r w:rsidRPr="003C44C7">
              <w:t>819.1</w:t>
            </w:r>
          </w:p>
        </w:tc>
      </w:tr>
      <w:tr w:rsidR="00F14851" w:rsidRPr="003C44C7" w14:paraId="3CDF76C6" w14:textId="77777777" w:rsidTr="00E30E24">
        <w:trPr>
          <w:trHeight w:val="300"/>
        </w:trPr>
        <w:tc>
          <w:tcPr>
            <w:tcW w:w="1493" w:type="dxa"/>
            <w:shd w:val="clear" w:color="auto" w:fill="auto"/>
            <w:tcMar>
              <w:top w:w="113" w:type="dxa"/>
              <w:left w:w="85" w:type="dxa"/>
              <w:bottom w:w="113" w:type="dxa"/>
              <w:right w:w="85" w:type="dxa"/>
            </w:tcMar>
            <w:vAlign w:val="bottom"/>
          </w:tcPr>
          <w:p w14:paraId="741E93C8" w14:textId="77777777" w:rsidR="00F14851" w:rsidRPr="003C44C7" w:rsidRDefault="00F14851" w:rsidP="00E30E24">
            <w:pPr>
              <w:pStyle w:val="TableText"/>
            </w:pPr>
            <w:r w:rsidRPr="003C44C7">
              <w:t>Tas</w:t>
            </w:r>
          </w:p>
        </w:tc>
        <w:tc>
          <w:tcPr>
            <w:tcW w:w="1757" w:type="dxa"/>
            <w:shd w:val="clear" w:color="auto" w:fill="auto"/>
            <w:tcMar>
              <w:top w:w="113" w:type="dxa"/>
              <w:left w:w="113" w:type="dxa"/>
              <w:bottom w:w="113" w:type="dxa"/>
              <w:right w:w="680" w:type="dxa"/>
            </w:tcMar>
            <w:vAlign w:val="bottom"/>
          </w:tcPr>
          <w:p w14:paraId="54185EBC" w14:textId="77777777" w:rsidR="00F14851" w:rsidRPr="003C44C7" w:rsidRDefault="00F14851" w:rsidP="00E30E24">
            <w:pPr>
              <w:pStyle w:val="TableText"/>
              <w:jc w:val="right"/>
            </w:pPr>
            <w:r w:rsidRPr="003C44C7">
              <w:t>1182.4</w:t>
            </w:r>
          </w:p>
        </w:tc>
        <w:tc>
          <w:tcPr>
            <w:tcW w:w="1966" w:type="dxa"/>
            <w:shd w:val="clear" w:color="auto" w:fill="auto"/>
            <w:tcMar>
              <w:top w:w="113" w:type="dxa"/>
              <w:left w:w="113" w:type="dxa"/>
              <w:bottom w:w="113" w:type="dxa"/>
              <w:right w:w="680" w:type="dxa"/>
            </w:tcMar>
            <w:vAlign w:val="bottom"/>
          </w:tcPr>
          <w:p w14:paraId="45F72E89" w14:textId="77777777" w:rsidR="00F14851" w:rsidRPr="003C44C7" w:rsidRDefault="00F14851" w:rsidP="00E30E24">
            <w:pPr>
              <w:pStyle w:val="TableText"/>
              <w:jc w:val="right"/>
            </w:pPr>
            <w:r w:rsidRPr="003C44C7">
              <w:t>1382.2</w:t>
            </w:r>
          </w:p>
        </w:tc>
        <w:tc>
          <w:tcPr>
            <w:tcW w:w="2400" w:type="dxa"/>
            <w:shd w:val="clear" w:color="auto" w:fill="auto"/>
            <w:tcMar>
              <w:top w:w="113" w:type="dxa"/>
              <w:left w:w="113" w:type="dxa"/>
              <w:bottom w:w="113" w:type="dxa"/>
              <w:right w:w="680" w:type="dxa"/>
            </w:tcMar>
            <w:vAlign w:val="bottom"/>
          </w:tcPr>
          <w:p w14:paraId="36C10840" w14:textId="77777777" w:rsidR="00F14851" w:rsidRPr="003C44C7" w:rsidRDefault="00F14851" w:rsidP="00E30E24">
            <w:pPr>
              <w:pStyle w:val="TableText"/>
              <w:jc w:val="right"/>
            </w:pPr>
            <w:r w:rsidRPr="003C44C7">
              <w:t>1345.1</w:t>
            </w:r>
          </w:p>
        </w:tc>
        <w:tc>
          <w:tcPr>
            <w:tcW w:w="2022" w:type="dxa"/>
            <w:shd w:val="clear" w:color="auto" w:fill="auto"/>
            <w:tcMar>
              <w:top w:w="113" w:type="dxa"/>
              <w:left w:w="113" w:type="dxa"/>
              <w:bottom w:w="113" w:type="dxa"/>
              <w:right w:w="680" w:type="dxa"/>
            </w:tcMar>
            <w:vAlign w:val="bottom"/>
          </w:tcPr>
          <w:p w14:paraId="266647DB" w14:textId="77777777" w:rsidR="00F14851" w:rsidRPr="003C44C7" w:rsidRDefault="00F14851" w:rsidP="00E30E24">
            <w:pPr>
              <w:pStyle w:val="TableText"/>
              <w:jc w:val="right"/>
            </w:pPr>
            <w:r w:rsidRPr="003C44C7">
              <w:t>na</w:t>
            </w:r>
          </w:p>
        </w:tc>
      </w:tr>
      <w:tr w:rsidR="00F14851" w:rsidRPr="003C44C7" w14:paraId="603E390D" w14:textId="77777777" w:rsidTr="00E30E24">
        <w:trPr>
          <w:trHeight w:val="300"/>
        </w:trPr>
        <w:tc>
          <w:tcPr>
            <w:tcW w:w="1493" w:type="dxa"/>
            <w:shd w:val="clear" w:color="auto" w:fill="auto"/>
            <w:tcMar>
              <w:top w:w="113" w:type="dxa"/>
              <w:left w:w="85" w:type="dxa"/>
              <w:bottom w:w="113" w:type="dxa"/>
              <w:right w:w="85" w:type="dxa"/>
            </w:tcMar>
            <w:vAlign w:val="bottom"/>
          </w:tcPr>
          <w:p w14:paraId="63DC5814" w14:textId="77777777" w:rsidR="00F14851" w:rsidRPr="003C44C7" w:rsidRDefault="00F14851" w:rsidP="00E30E24">
            <w:pPr>
              <w:pStyle w:val="TableText"/>
            </w:pPr>
            <w:r w:rsidRPr="003C44C7">
              <w:t>Vic</w:t>
            </w:r>
          </w:p>
        </w:tc>
        <w:tc>
          <w:tcPr>
            <w:tcW w:w="1757" w:type="dxa"/>
            <w:shd w:val="clear" w:color="auto" w:fill="auto"/>
            <w:tcMar>
              <w:top w:w="113" w:type="dxa"/>
              <w:left w:w="113" w:type="dxa"/>
              <w:bottom w:w="113" w:type="dxa"/>
              <w:right w:w="680" w:type="dxa"/>
            </w:tcMar>
            <w:vAlign w:val="bottom"/>
          </w:tcPr>
          <w:p w14:paraId="172BE26A" w14:textId="77777777" w:rsidR="00F14851" w:rsidRPr="003C44C7" w:rsidRDefault="00F14851" w:rsidP="00E30E24">
            <w:pPr>
              <w:pStyle w:val="TableText"/>
              <w:jc w:val="right"/>
            </w:pPr>
            <w:r w:rsidRPr="003C44C7">
              <w:t>939.2</w:t>
            </w:r>
          </w:p>
        </w:tc>
        <w:tc>
          <w:tcPr>
            <w:tcW w:w="1966" w:type="dxa"/>
            <w:shd w:val="clear" w:color="auto" w:fill="auto"/>
            <w:tcMar>
              <w:top w:w="113" w:type="dxa"/>
              <w:left w:w="113" w:type="dxa"/>
              <w:bottom w:w="113" w:type="dxa"/>
              <w:right w:w="680" w:type="dxa"/>
            </w:tcMar>
            <w:vAlign w:val="bottom"/>
          </w:tcPr>
          <w:p w14:paraId="0999CC9C" w14:textId="77777777" w:rsidR="00F14851" w:rsidRPr="003C44C7" w:rsidRDefault="00F14851" w:rsidP="00E30E24">
            <w:pPr>
              <w:pStyle w:val="TableText"/>
              <w:jc w:val="right"/>
            </w:pPr>
            <w:r w:rsidRPr="003C44C7">
              <w:t>1004.2</w:t>
            </w:r>
          </w:p>
        </w:tc>
        <w:tc>
          <w:tcPr>
            <w:tcW w:w="2400" w:type="dxa"/>
            <w:shd w:val="clear" w:color="auto" w:fill="auto"/>
            <w:tcMar>
              <w:top w:w="113" w:type="dxa"/>
              <w:left w:w="113" w:type="dxa"/>
              <w:bottom w:w="113" w:type="dxa"/>
              <w:right w:w="680" w:type="dxa"/>
            </w:tcMar>
            <w:vAlign w:val="bottom"/>
          </w:tcPr>
          <w:p w14:paraId="6C4B36D0" w14:textId="77777777" w:rsidR="00F14851" w:rsidRPr="003C44C7" w:rsidRDefault="00F14851" w:rsidP="00E30E24">
            <w:pPr>
              <w:pStyle w:val="TableText"/>
              <w:jc w:val="right"/>
            </w:pPr>
            <w:r w:rsidRPr="003C44C7">
              <w:t>779.1</w:t>
            </w:r>
          </w:p>
        </w:tc>
        <w:tc>
          <w:tcPr>
            <w:tcW w:w="2022" w:type="dxa"/>
            <w:shd w:val="clear" w:color="auto" w:fill="auto"/>
            <w:tcMar>
              <w:top w:w="113" w:type="dxa"/>
              <w:left w:w="113" w:type="dxa"/>
              <w:bottom w:w="113" w:type="dxa"/>
              <w:right w:w="680" w:type="dxa"/>
            </w:tcMar>
            <w:vAlign w:val="bottom"/>
          </w:tcPr>
          <w:p w14:paraId="1C82C7F8" w14:textId="77777777" w:rsidR="00F14851" w:rsidRPr="003C44C7" w:rsidRDefault="00F14851" w:rsidP="00E30E24">
            <w:pPr>
              <w:pStyle w:val="TableText"/>
              <w:jc w:val="right"/>
            </w:pPr>
            <w:r w:rsidRPr="003C44C7">
              <w:t>na</w:t>
            </w:r>
          </w:p>
        </w:tc>
      </w:tr>
      <w:tr w:rsidR="00F14851" w:rsidRPr="003C44C7" w14:paraId="448AC0A2" w14:textId="77777777" w:rsidTr="00E30E24">
        <w:trPr>
          <w:trHeight w:val="315"/>
        </w:trPr>
        <w:tc>
          <w:tcPr>
            <w:tcW w:w="1493" w:type="dxa"/>
            <w:tcBorders>
              <w:bottom w:val="single" w:sz="4" w:space="0" w:color="auto"/>
            </w:tcBorders>
            <w:shd w:val="clear" w:color="auto" w:fill="auto"/>
            <w:tcMar>
              <w:top w:w="113" w:type="dxa"/>
              <w:left w:w="85" w:type="dxa"/>
              <w:bottom w:w="113" w:type="dxa"/>
              <w:right w:w="85" w:type="dxa"/>
            </w:tcMar>
            <w:vAlign w:val="bottom"/>
          </w:tcPr>
          <w:p w14:paraId="4E1F9E42" w14:textId="77777777" w:rsidR="00F14851" w:rsidRPr="003C44C7" w:rsidRDefault="00F14851" w:rsidP="00E30E24">
            <w:pPr>
              <w:pStyle w:val="TableText"/>
            </w:pPr>
            <w:r w:rsidRPr="003C44C7">
              <w:t>WA</w:t>
            </w:r>
          </w:p>
        </w:tc>
        <w:tc>
          <w:tcPr>
            <w:tcW w:w="1757" w:type="dxa"/>
            <w:tcBorders>
              <w:bottom w:val="single" w:sz="4" w:space="0" w:color="auto"/>
            </w:tcBorders>
            <w:shd w:val="clear" w:color="auto" w:fill="auto"/>
            <w:tcMar>
              <w:top w:w="113" w:type="dxa"/>
              <w:left w:w="113" w:type="dxa"/>
              <w:bottom w:w="113" w:type="dxa"/>
              <w:right w:w="680" w:type="dxa"/>
            </w:tcMar>
            <w:vAlign w:val="bottom"/>
          </w:tcPr>
          <w:p w14:paraId="2E073174" w14:textId="77777777" w:rsidR="00F14851" w:rsidRPr="003C44C7" w:rsidRDefault="00F14851" w:rsidP="00E30E24">
            <w:pPr>
              <w:pStyle w:val="TableText"/>
              <w:jc w:val="right"/>
            </w:pPr>
            <w:r w:rsidRPr="003C44C7">
              <w:t>971.6</w:t>
            </w:r>
          </w:p>
        </w:tc>
        <w:tc>
          <w:tcPr>
            <w:tcW w:w="1966" w:type="dxa"/>
            <w:tcBorders>
              <w:bottom w:val="single" w:sz="4" w:space="0" w:color="auto"/>
            </w:tcBorders>
            <w:shd w:val="clear" w:color="auto" w:fill="auto"/>
            <w:tcMar>
              <w:top w:w="113" w:type="dxa"/>
              <w:left w:w="113" w:type="dxa"/>
              <w:bottom w:w="113" w:type="dxa"/>
              <w:right w:w="680" w:type="dxa"/>
            </w:tcMar>
            <w:vAlign w:val="bottom"/>
          </w:tcPr>
          <w:p w14:paraId="6501030F" w14:textId="77777777" w:rsidR="00F14851" w:rsidRPr="003C44C7" w:rsidRDefault="00F14851" w:rsidP="00E30E24">
            <w:pPr>
              <w:pStyle w:val="TableText"/>
              <w:jc w:val="right"/>
            </w:pPr>
            <w:r w:rsidRPr="003C44C7">
              <w:t>712.2</w:t>
            </w:r>
          </w:p>
        </w:tc>
        <w:tc>
          <w:tcPr>
            <w:tcW w:w="2400" w:type="dxa"/>
            <w:tcBorders>
              <w:bottom w:val="single" w:sz="4" w:space="0" w:color="auto"/>
            </w:tcBorders>
            <w:shd w:val="clear" w:color="auto" w:fill="auto"/>
            <w:tcMar>
              <w:top w:w="113" w:type="dxa"/>
              <w:left w:w="113" w:type="dxa"/>
              <w:bottom w:w="113" w:type="dxa"/>
              <w:right w:w="680" w:type="dxa"/>
            </w:tcMar>
            <w:vAlign w:val="bottom"/>
          </w:tcPr>
          <w:p w14:paraId="72DF4112" w14:textId="77777777" w:rsidR="00F14851" w:rsidRPr="003C44C7" w:rsidRDefault="00F14851" w:rsidP="00E30E24">
            <w:pPr>
              <w:pStyle w:val="TableText"/>
              <w:jc w:val="right"/>
            </w:pPr>
            <w:r w:rsidRPr="003C44C7">
              <w:t>873.6</w:t>
            </w:r>
          </w:p>
        </w:tc>
        <w:tc>
          <w:tcPr>
            <w:tcW w:w="2022" w:type="dxa"/>
            <w:tcBorders>
              <w:bottom w:val="single" w:sz="4" w:space="0" w:color="auto"/>
            </w:tcBorders>
            <w:shd w:val="clear" w:color="auto" w:fill="auto"/>
            <w:tcMar>
              <w:top w:w="113" w:type="dxa"/>
              <w:left w:w="113" w:type="dxa"/>
              <w:bottom w:w="113" w:type="dxa"/>
              <w:right w:w="680" w:type="dxa"/>
            </w:tcMar>
            <w:vAlign w:val="bottom"/>
          </w:tcPr>
          <w:p w14:paraId="79D03B95" w14:textId="77777777" w:rsidR="00F14851" w:rsidRPr="003C44C7" w:rsidRDefault="00F14851" w:rsidP="00E30E24">
            <w:pPr>
              <w:pStyle w:val="TableText"/>
              <w:jc w:val="right"/>
            </w:pPr>
            <w:r w:rsidRPr="003C44C7">
              <w:t>373.4</w:t>
            </w:r>
          </w:p>
        </w:tc>
      </w:tr>
    </w:tbl>
    <w:p w14:paraId="7C84A76A" w14:textId="77777777" w:rsidR="00F14851" w:rsidRPr="003C44C7" w:rsidRDefault="00F14851" w:rsidP="00E30E24">
      <w:pPr>
        <w:pStyle w:val="TFListNotes"/>
      </w:pPr>
      <w:r w:rsidRPr="003C44C7">
        <w:t>na = not available</w:t>
      </w:r>
    </w:p>
    <w:p w14:paraId="081796DB" w14:textId="77777777" w:rsidR="00F14851" w:rsidRPr="003C44C7" w:rsidRDefault="00F14851" w:rsidP="00E30E24">
      <w:pPr>
        <w:pStyle w:val="TFListNotesSpace"/>
      </w:pPr>
      <w:r w:rsidRPr="003C44C7">
        <w:t>Note:</w:t>
      </w:r>
      <w:r w:rsidRPr="003C44C7">
        <w:tab/>
        <w:t>Private hospitals and specialist women’s hospitals are not included.</w:t>
      </w:r>
    </w:p>
    <w:p w14:paraId="0C030117" w14:textId="77777777" w:rsidR="00F14851" w:rsidRPr="003C44C7" w:rsidRDefault="00F14851">
      <w:pPr>
        <w:pStyle w:val="Heading2"/>
      </w:pPr>
      <w:bookmarkStart w:id="14" w:name="_Toc429391534"/>
      <w:r w:rsidRPr="003C44C7">
        <w:t>Intrastate usage rates</w:t>
      </w:r>
      <w:bookmarkEnd w:id="14"/>
    </w:p>
    <w:p w14:paraId="6A4D854D" w14:textId="77777777" w:rsidR="00F14851" w:rsidRPr="003C44C7" w:rsidRDefault="00F14851">
      <w:r w:rsidRPr="003C44C7">
        <w:t xml:space="preserve">For the purposes of this report, individual hospitals are not identifiable; each NAUSP contributor has been allocated an alphanumeric code. The following sections illustrate comparative usage rates at individual hospitals by state. </w:t>
      </w:r>
    </w:p>
    <w:p w14:paraId="03462D82" w14:textId="77777777" w:rsidR="00F14851" w:rsidRPr="003C44C7" w:rsidRDefault="00F14851" w:rsidP="00E30E24">
      <w:pPr>
        <w:pStyle w:val="Heading3"/>
      </w:pPr>
      <w:r w:rsidRPr="003C44C7">
        <w:t>New South Wales and Australian Capital Territory</w:t>
      </w:r>
    </w:p>
    <w:p w14:paraId="364C8874" w14:textId="77777777" w:rsidR="00F14851" w:rsidRPr="003C44C7" w:rsidRDefault="00F14851">
      <w:r w:rsidRPr="003C44C7">
        <w:t>New South Wales has the greatest number of contributors to NAUSP, with 11 principal referral, 21 large public acute and 10 medium acute hospitals. One hospital in the Australian Capital Territory is included in the New South Wales cohort.</w:t>
      </w:r>
    </w:p>
    <w:p w14:paraId="311B94C6" w14:textId="77777777" w:rsidR="00F14851" w:rsidRPr="003C44C7" w:rsidRDefault="00F14851">
      <w:r w:rsidRPr="003C44C7">
        <w:t>During 2014, the mean New South Wales and Australian Capital Territory total-hospital antimicrobial usage rate was 1092 DDDs per 1000 OBDs (range 566–2040; median 1005) (Figure 8).</w:t>
      </w:r>
    </w:p>
    <w:p w14:paraId="3DDE42F9" w14:textId="77777777" w:rsidR="00B55A65" w:rsidRPr="003C44C7" w:rsidRDefault="00B55A65" w:rsidP="00B55A65">
      <w:pPr>
        <w:pStyle w:val="FigureName"/>
      </w:pPr>
      <w:r w:rsidRPr="003C44C7">
        <w:t>Figure 8</w:t>
      </w:r>
      <w:r w:rsidRPr="003C44C7">
        <w:tab/>
        <w:t>Total-hospital antimicrobial use, New South Wales and Australian Capital Territory, 2014</w:t>
      </w:r>
    </w:p>
    <w:p w14:paraId="1D7A1C71" w14:textId="77777777" w:rsidR="00F14851" w:rsidRPr="003C44C7" w:rsidRDefault="00A829B3">
      <w:pPr>
        <w:pStyle w:val="TFIHolderSpan"/>
      </w:pPr>
      <w:r w:rsidRPr="003C44C7">
        <w:rPr>
          <w:noProof/>
        </w:rPr>
        <w:drawing>
          <wp:inline distT="0" distB="0" distL="0" distR="0" wp14:anchorId="3CAA9835" wp14:editId="69190EBC">
            <wp:extent cx="6104255" cy="4157345"/>
            <wp:effectExtent l="0" t="0" r="0" b="0"/>
            <wp:docPr id="11" name="Picture 11" descr="Stacked bar chart showing total-hospital microbial usage rates in 2014, as DDDs per 1000 OBDs, for New South Wales and the Australian Capital Territory, by contributor (identified by a code). The antimicrobials shown in each bar are aminoglycosides, β-lactamase inhibitor combinations, β-lactamase-resistant penicillins, β-lactamase-sensitive penicillins, carbapenems, extended-spectrum penicillins, first-generation cephalosporins, fluoroquinolones, fourth-generation cephalosporins, glycopeptides, lincosamides, macrolides, nitroimidazoles, sulfonamide/trimethoprim, tetracylines, third-generation cephalosporins, trimethoprim and ‘other’ agents. The rates ranged from 566 to 2040 DDDs per 1000 OB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_08-NSW-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4255" cy="4157345"/>
                    </a:xfrm>
                    <a:prstGeom prst="rect">
                      <a:avLst/>
                    </a:prstGeom>
                    <a:noFill/>
                    <a:ln>
                      <a:noFill/>
                    </a:ln>
                  </pic:spPr>
                </pic:pic>
              </a:graphicData>
            </a:graphic>
          </wp:inline>
        </w:drawing>
      </w:r>
    </w:p>
    <w:p w14:paraId="5B59B88D" w14:textId="77777777" w:rsidR="00F14851" w:rsidRPr="003C44C7" w:rsidRDefault="00F14851">
      <w:pPr>
        <w:pStyle w:val="Heading3"/>
      </w:pPr>
      <w:r w:rsidRPr="003C44C7">
        <w:t>Queensland</w:t>
      </w:r>
    </w:p>
    <w:p w14:paraId="1C09CFEB" w14:textId="77777777" w:rsidR="00F14851" w:rsidRPr="003C44C7" w:rsidRDefault="00F14851">
      <w:r w:rsidRPr="003C44C7">
        <w:t>Queensland’s 29 hospitals contributing to NAUSP comprise 5 principal referral, 1 specialist women’s, 12 large public acute, 5 medium acute and 6 private facilities. During 2014, the mean Queensland total-hospital antimicrobial usage rate was 848 DDDs per 1000 OBDs (range 330–1412; median 822) (Figure 9).</w:t>
      </w:r>
    </w:p>
    <w:p w14:paraId="557BF679" w14:textId="77777777" w:rsidR="00B55A65" w:rsidRPr="003C44C7" w:rsidRDefault="00B55A65" w:rsidP="00B55A65">
      <w:pPr>
        <w:pStyle w:val="FigureName"/>
      </w:pPr>
      <w:r w:rsidRPr="003C44C7">
        <w:t>Figure 9</w:t>
      </w:r>
      <w:r w:rsidRPr="003C44C7">
        <w:tab/>
        <w:t>Total-hospital antimicrobial use, Queensland, 2014</w:t>
      </w:r>
    </w:p>
    <w:p w14:paraId="3AEDB266" w14:textId="77777777" w:rsidR="00F14851" w:rsidRPr="003C44C7" w:rsidRDefault="00A829B3">
      <w:pPr>
        <w:pStyle w:val="TFIHolderSpan"/>
      </w:pPr>
      <w:r w:rsidRPr="003C44C7">
        <w:rPr>
          <w:noProof/>
        </w:rPr>
        <w:drawing>
          <wp:inline distT="0" distB="0" distL="0" distR="0" wp14:anchorId="054271E0" wp14:editId="0B9D8A47">
            <wp:extent cx="6104255" cy="4208145"/>
            <wp:effectExtent l="0" t="0" r="0" b="0"/>
            <wp:docPr id="12" name="Picture 12" descr="Stacked bar chart showing total-hospital microbial usage rates in 2014, as DDDs per 1000 OBDs, for Queensland, by contributor (identified by a code). The antimicrobials shown in each bar are aminoglycosides, β-lactamase inhibitor combinations, β-lactamase-resistant penicillins, β-lactamase-sensitive penicillins, carbapenems, extended-spectrum penicillins, first-generation cephalosporins, fluoroquinolones, fourth-generation cephalosporins, glycopeptides, lincosamides, macrolides, nitroimidazoles, sulfonamide/trimethoprim, tetracylines, third-generation cephalosporins, trimethoprim and ‘other’ agents. The rates ranged from 330 to 1412 DDDs per 1000 OB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_09-Qld-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4255" cy="4208145"/>
                    </a:xfrm>
                    <a:prstGeom prst="rect">
                      <a:avLst/>
                    </a:prstGeom>
                    <a:noFill/>
                    <a:ln>
                      <a:noFill/>
                    </a:ln>
                  </pic:spPr>
                </pic:pic>
              </a:graphicData>
            </a:graphic>
          </wp:inline>
        </w:drawing>
      </w:r>
    </w:p>
    <w:p w14:paraId="764E0EF2" w14:textId="77777777" w:rsidR="00F14851" w:rsidRPr="003C44C7" w:rsidRDefault="00F14851">
      <w:pPr>
        <w:pStyle w:val="Heading3"/>
      </w:pPr>
      <w:r w:rsidRPr="003C44C7">
        <w:t>South Australia</w:t>
      </w:r>
    </w:p>
    <w:p w14:paraId="2BA04DFB" w14:textId="77777777" w:rsidR="00F14851" w:rsidRPr="003C44C7" w:rsidRDefault="00F14851">
      <w:r w:rsidRPr="003C44C7">
        <w:t>Hospitals contributing to NAUSP in South Australia comprise 2 principal referral, 4 large public acute, 4 medium public acute, 3 small public acute and 6 private facilities. During 2014, the mean South Australian total-hospital antimicrobial usage rate was 892 DDDs per 1000 OBDs (range 458–1300; median 880) (Figure 10).</w:t>
      </w:r>
    </w:p>
    <w:p w14:paraId="3C642FFD" w14:textId="77777777" w:rsidR="00B55A65" w:rsidRPr="003C44C7" w:rsidRDefault="00B55A65" w:rsidP="00B55A65">
      <w:pPr>
        <w:pStyle w:val="FigureName"/>
      </w:pPr>
      <w:r w:rsidRPr="003C44C7">
        <w:t>Figure 10</w:t>
      </w:r>
      <w:r w:rsidRPr="003C44C7">
        <w:tab/>
        <w:t>Total-hospital antimicrobial use, South Australia, 2014</w:t>
      </w:r>
    </w:p>
    <w:p w14:paraId="7D6C173A" w14:textId="77777777" w:rsidR="00F14851" w:rsidRPr="003C44C7" w:rsidRDefault="00A829B3">
      <w:pPr>
        <w:pStyle w:val="TFIHolderSpan"/>
      </w:pPr>
      <w:r w:rsidRPr="003C44C7">
        <w:rPr>
          <w:noProof/>
        </w:rPr>
        <w:drawing>
          <wp:inline distT="0" distB="0" distL="0" distR="0" wp14:anchorId="57416324" wp14:editId="4DD2A072">
            <wp:extent cx="6104255" cy="4165600"/>
            <wp:effectExtent l="0" t="0" r="0" b="0"/>
            <wp:docPr id="13" name="Picture 13" descr="Stacked bar chart showing total-hospital microbial usage rates in 2014, as DDDs per 1000 OBDs, for South Australia, by contributor (identified by a code). The antimicrobials shown in each bar are aminoglycosides, β-lactamase inhibitor combinations, β-lactamase-resistant penicillins, β-lactamase-sensitive penicillins, carbapenems, extended-spectrum penicillins, first-generation cephalosporins, fluoroquinolones, fourth-generation cephalosporins, glycopeptides, lincosamides, macrolides, nitroimidazoles, sulfonamide/trimethoprim, tetracylines, third-generation cephalosporins, trimethoprim and ‘other’ agents. The rates ranged from 458 to 1300 DDDs per 1000 OB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_10-SA-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4255" cy="4165600"/>
                    </a:xfrm>
                    <a:prstGeom prst="rect">
                      <a:avLst/>
                    </a:prstGeom>
                    <a:noFill/>
                    <a:ln>
                      <a:noFill/>
                    </a:ln>
                  </pic:spPr>
                </pic:pic>
              </a:graphicData>
            </a:graphic>
          </wp:inline>
        </w:drawing>
      </w:r>
    </w:p>
    <w:p w14:paraId="5A04373A" w14:textId="77777777" w:rsidR="00F14851" w:rsidRPr="003C44C7" w:rsidRDefault="00F14851">
      <w:pPr>
        <w:pStyle w:val="Heading3"/>
      </w:pPr>
      <w:r w:rsidRPr="003C44C7">
        <w:t>Tasmania</w:t>
      </w:r>
    </w:p>
    <w:p w14:paraId="6EC78CCD" w14:textId="77777777" w:rsidR="00F14851" w:rsidRPr="003C44C7" w:rsidRDefault="00F14851">
      <w:r w:rsidRPr="003C44C7">
        <w:t>In Tasmania, 1 principal referral, 2 large public acute, 1 medium public acute and 1 private hospitals contribute to NAUSP. During 2014, the mean total-hospital antimicrobial usage rate was 1242 DDDs per 1000 OBDs (range 792–1552; median 1336) (Figure 11).</w:t>
      </w:r>
    </w:p>
    <w:p w14:paraId="7616AA5F" w14:textId="77777777" w:rsidR="00B55A65" w:rsidRPr="003C44C7" w:rsidRDefault="00B55A65" w:rsidP="00B55A65">
      <w:pPr>
        <w:pStyle w:val="FigureName"/>
      </w:pPr>
      <w:r w:rsidRPr="003C44C7">
        <w:t>Figure 11</w:t>
      </w:r>
      <w:r w:rsidRPr="003C44C7">
        <w:tab/>
        <w:t>Total-hospital antimicrobial use, Tasmania, 2014</w:t>
      </w:r>
    </w:p>
    <w:p w14:paraId="5B2E739F" w14:textId="77777777" w:rsidR="00F14851" w:rsidRPr="003C44C7" w:rsidRDefault="00A829B3">
      <w:r w:rsidRPr="003C44C7">
        <w:rPr>
          <w:noProof/>
        </w:rPr>
        <w:drawing>
          <wp:inline distT="0" distB="0" distL="0" distR="0" wp14:anchorId="4DC26F67" wp14:editId="6151BDE3">
            <wp:extent cx="6104255" cy="4097655"/>
            <wp:effectExtent l="0" t="0" r="0" b="0"/>
            <wp:docPr id="14" name="Picture 14" descr="Stacked bar chart showing total-hospital microbial usage rates in 2014, as DDDs per 1000 OBDs, for Tasmania, by contributor (identified by a code). The antimicrobials shown in each bar are aminoglycosides, β-lactamase inhibitor combinations, β-lactamase-resistant penicillins, β-lactamase-sensitive penicillins, carbapenems, extended-spectrum penicillins, first-generation cephalosporins, fluoroquinolones, fourth-generation cephalosporins, glycopeptides, lincosamides, macrolides, nitroimidazoles, sulfonamide/trimethoprim, tetracylines, third-generation cephalosporins, trimethoprim and ‘other’ agents. The rates ranged from 792 to 1552 DDDs per 1000 OB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_11-Tas-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4255" cy="4097655"/>
                    </a:xfrm>
                    <a:prstGeom prst="rect">
                      <a:avLst/>
                    </a:prstGeom>
                    <a:noFill/>
                    <a:ln>
                      <a:noFill/>
                    </a:ln>
                  </pic:spPr>
                </pic:pic>
              </a:graphicData>
            </a:graphic>
          </wp:inline>
        </w:drawing>
      </w:r>
    </w:p>
    <w:p w14:paraId="593092A0" w14:textId="77777777" w:rsidR="00F14851" w:rsidRPr="003C44C7" w:rsidRDefault="00F14851">
      <w:pPr>
        <w:pStyle w:val="Heading3"/>
      </w:pPr>
      <w:r w:rsidRPr="003C44C7">
        <w:t>Victoria</w:t>
      </w:r>
    </w:p>
    <w:p w14:paraId="3775EC93" w14:textId="77777777" w:rsidR="00F14851" w:rsidRPr="003C44C7" w:rsidRDefault="00F14851">
      <w:r w:rsidRPr="003C44C7">
        <w:t>In Victoria, 6 principal referral, 8 large public acute, 5 medium public acute and 4 private hospitals contribute to NAUSP. During 2014, the mean total-hospital antimicrobial usage rate was 940 DDDs per 1000 OBDs (range 544–1552; median 887) (Figure 12).</w:t>
      </w:r>
    </w:p>
    <w:p w14:paraId="44C1AC94" w14:textId="77777777" w:rsidR="00B55A65" w:rsidRPr="003C44C7" w:rsidRDefault="00B55A65" w:rsidP="00B55A65">
      <w:pPr>
        <w:pStyle w:val="FigureName"/>
      </w:pPr>
      <w:r w:rsidRPr="003C44C7">
        <w:t>Figure 12</w:t>
      </w:r>
      <w:r w:rsidRPr="003C44C7">
        <w:tab/>
        <w:t>Total-hospital antimicrobial use, Victoria, 2014</w:t>
      </w:r>
    </w:p>
    <w:p w14:paraId="0A99A0F8" w14:textId="77777777" w:rsidR="00F14851" w:rsidRPr="003C44C7" w:rsidRDefault="00A829B3">
      <w:r w:rsidRPr="003C44C7">
        <w:rPr>
          <w:noProof/>
        </w:rPr>
        <w:drawing>
          <wp:inline distT="0" distB="0" distL="0" distR="0" wp14:anchorId="110081F7" wp14:editId="36B7F6C4">
            <wp:extent cx="6104255" cy="4072255"/>
            <wp:effectExtent l="0" t="0" r="0" b="0"/>
            <wp:docPr id="15" name="Picture 15" descr="Stacked bar chart showing total-hospital microbial usage rates in 2014, as DDDs per 1000 OBDs, for Victoria, by contributor (identified by a code). The antimicrobials shown in each bar are aminoglycosides, β-lactamase inhibitor combinations, β-lactamase-resistant penicillins, β-lactamase-sensitive penicillins, carbapenems, extended-spectrum penicillins, first-generation cephalosporins, fluoroquinolones, fourth-generation cephalosporins, glycopeptides, lincosamides, macrolides, nitroimidazoles, sulfonamide/trimethoprim, tetracylines, third-generation cephalosporins, trimethoprim and ‘other’ agents. The rates ranged from 544 to 1552 DDDs per 1000 OB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_12-Vic-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4255" cy="4072255"/>
                    </a:xfrm>
                    <a:prstGeom prst="rect">
                      <a:avLst/>
                    </a:prstGeom>
                    <a:noFill/>
                    <a:ln>
                      <a:noFill/>
                    </a:ln>
                  </pic:spPr>
                </pic:pic>
              </a:graphicData>
            </a:graphic>
          </wp:inline>
        </w:drawing>
      </w:r>
    </w:p>
    <w:p w14:paraId="40CFC37C" w14:textId="77777777" w:rsidR="00F14851" w:rsidRPr="003C44C7" w:rsidRDefault="00F14851">
      <w:pPr>
        <w:pStyle w:val="Heading3"/>
      </w:pPr>
      <w:r w:rsidRPr="003C44C7">
        <w:t>Western Australia</w:t>
      </w:r>
    </w:p>
    <w:p w14:paraId="7D8B53AB" w14:textId="77777777" w:rsidR="00F14851" w:rsidRPr="003C44C7" w:rsidRDefault="00F14851">
      <w:r w:rsidRPr="003C44C7">
        <w:t>Western Australia has 10 hospitals contributing to NAUSP, comprising 2 principal referral, 1 specialist women’s, 4 large public acute, 1 medium public acute, 1 small public acute and 1 private facility. During 2014, the mean Western Australian total-hospital usage rate was 812 DDDs per 1000 OBDs (range 373–1168; median 812) (Figure 13).</w:t>
      </w:r>
    </w:p>
    <w:p w14:paraId="7424D7CD" w14:textId="77777777" w:rsidR="00B55A65" w:rsidRPr="003C44C7" w:rsidRDefault="00B55A65" w:rsidP="00B55A65">
      <w:pPr>
        <w:pStyle w:val="FigureName"/>
      </w:pPr>
      <w:r w:rsidRPr="003C44C7">
        <w:t>Figure 13</w:t>
      </w:r>
      <w:r w:rsidRPr="003C44C7">
        <w:tab/>
        <w:t>Total-hospital antimicrobial use, Western Australia, 2014</w:t>
      </w:r>
    </w:p>
    <w:p w14:paraId="35775616" w14:textId="77777777" w:rsidR="00F14851" w:rsidRPr="003C44C7" w:rsidRDefault="00A829B3">
      <w:pPr>
        <w:pStyle w:val="TFIHolderSpan"/>
      </w:pPr>
      <w:r w:rsidRPr="003C44C7">
        <w:rPr>
          <w:noProof/>
        </w:rPr>
        <w:drawing>
          <wp:inline distT="0" distB="0" distL="0" distR="0" wp14:anchorId="57BC46B9" wp14:editId="7FCA8793">
            <wp:extent cx="6104255" cy="4081145"/>
            <wp:effectExtent l="0" t="0" r="0" b="0"/>
            <wp:docPr id="16" name="Picture 16" descr="Stacked bar chart showing total-hospital microbial usage rates in 2014, as DDDs per 1000 OBDs, for Western Australia, by contributor (identified by a code). The antimicrobials shown in each bar are aminoglycosides, β-lactamase inhibitor combinations, β-lactamase-resistant penicillins, β-lactamase-sensitive penicillins, carbapenems, extended-spectrum penicillins, first-generation cephalosporins, fluoroquinolones, fourth-generation cephalosporins, glycopeptides, lincosamides, macrolides, nitroimidazoles, sulfonamide/trimethoprim, tetracylines, third-generation cephalosporins, trimethoprim and ‘other’ agents. The rates ranged from 373 to 1168 DDDs per 1000 OB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_13-WA-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4255" cy="4081145"/>
                    </a:xfrm>
                    <a:prstGeom prst="rect">
                      <a:avLst/>
                    </a:prstGeom>
                    <a:noFill/>
                    <a:ln>
                      <a:noFill/>
                    </a:ln>
                  </pic:spPr>
                </pic:pic>
              </a:graphicData>
            </a:graphic>
          </wp:inline>
        </w:drawing>
      </w:r>
    </w:p>
    <w:p w14:paraId="1201135A" w14:textId="77777777" w:rsidR="00F14851" w:rsidRPr="003C44C7" w:rsidRDefault="00F14851">
      <w:pPr>
        <w:pStyle w:val="Heading1"/>
      </w:pPr>
      <w:bookmarkStart w:id="15" w:name="_Toc429391535"/>
      <w:r w:rsidRPr="003C44C7">
        <w:t>Annual usage rates by antimicrobial class, 2010–14</w:t>
      </w:r>
      <w:bookmarkEnd w:id="15"/>
    </w:p>
    <w:p w14:paraId="4E501692" w14:textId="77777777" w:rsidR="00F14851" w:rsidRPr="003C44C7" w:rsidRDefault="00F14851">
      <w:r w:rsidRPr="003C44C7">
        <w:t xml:space="preserve">Antimicrobial classes are categorised in Table 4 and Figures 14–20 into therapeutic groups using the WHO Anatomical Therapeutic Classification system (Appendix 3). </w:t>
      </w:r>
    </w:p>
    <w:p w14:paraId="717EC5B0" w14:textId="77777777" w:rsidR="00F14851" w:rsidRPr="003C44C7" w:rsidRDefault="00F14851">
      <w:pPr>
        <w:pStyle w:val="NormalBeforeBullet"/>
      </w:pPr>
      <w:r w:rsidRPr="003C44C7">
        <w:t>Aggregation of NAUSP data into therapeutic groups allows:</w:t>
      </w:r>
    </w:p>
    <w:p w14:paraId="2772EB4C" w14:textId="77777777" w:rsidR="00F14851" w:rsidRPr="003C44C7" w:rsidRDefault="00F14851">
      <w:pPr>
        <w:pStyle w:val="Bullet"/>
      </w:pPr>
      <w:r w:rsidRPr="003C44C7">
        <w:t>assessment of the relative use of particular classes of antimicrobials</w:t>
      </w:r>
    </w:p>
    <w:p w14:paraId="7EB98DE9" w14:textId="77777777" w:rsidR="00F14851" w:rsidRPr="003C44C7" w:rsidRDefault="00F14851">
      <w:pPr>
        <w:pStyle w:val="Bullet"/>
      </w:pPr>
      <w:r w:rsidRPr="003C44C7">
        <w:t>comparisons between contributing hospitals of pooled class-specific antimicrobial usage rates</w:t>
      </w:r>
    </w:p>
    <w:p w14:paraId="2F86128A" w14:textId="77777777" w:rsidR="00F14851" w:rsidRPr="003C44C7" w:rsidRDefault="00F14851">
      <w:pPr>
        <w:pStyle w:val="BulletLast"/>
      </w:pPr>
      <w:r w:rsidRPr="003C44C7">
        <w:t>benchmarking with usage data from similar studies.</w:t>
      </w:r>
    </w:p>
    <w:p w14:paraId="45820B61" w14:textId="77777777" w:rsidR="00F14851" w:rsidRPr="003C44C7" w:rsidRDefault="00F14851">
      <w:r w:rsidRPr="003C44C7">
        <w:t xml:space="preserve">Changes in antimicrobial usage rates with time may occur as a result of several factors. Modifications in prescribing practice with evolving clinical practice and establishment of AMS practices will be responsible for most of the change. Another factor, which may not directly affect the ‘antibiotic burden’, is the change in length of inpatient stay, particularly for acute hospital admissions, where shorter inpatient stays are becoming more common. Changes may also reflect simple variations in WHO-defined DDDs and the doses currently used in clinical practice. </w:t>
      </w:r>
    </w:p>
    <w:p w14:paraId="4DCC1800" w14:textId="77777777" w:rsidR="00F14851" w:rsidRPr="003C44C7" w:rsidRDefault="00F14851">
      <w:pPr>
        <w:pStyle w:val="Heading2"/>
      </w:pPr>
      <w:bookmarkStart w:id="16" w:name="_Toc429391536"/>
      <w:r w:rsidRPr="003C44C7">
        <w:t>Total-hospital usage rates for antibacterial classes</w:t>
      </w:r>
      <w:bookmarkEnd w:id="16"/>
    </w:p>
    <w:p w14:paraId="29C18B9F" w14:textId="77777777" w:rsidR="00F14851" w:rsidRPr="003C44C7" w:rsidRDefault="00F14851">
      <w:r w:rsidRPr="003C44C7">
        <w:t xml:space="preserve">Annual usage rate data from NAUSP contributors, aggregated by year and therapeutic group, for the five years to December 2014 demonstrate continuing decreases in usage rates for aminoglycosides, fluoroquinolones, macrolides, nitroimidazoles (metronidazole) and fusidic acid. In contrast, consistent (although often small) increases in aggregated annual usage rates were observed for ‘other antibacterials’ (daptomycin and linezolid), sulfamethoxazole with trimethoprim, and tetracyclines (Table 4). </w:t>
      </w:r>
    </w:p>
    <w:p w14:paraId="491074C2" w14:textId="77777777" w:rsidR="00F14851" w:rsidRPr="003C44C7" w:rsidRDefault="00F14851" w:rsidP="00E30E24">
      <w:pPr>
        <w:pStyle w:val="TableName"/>
      </w:pPr>
      <w:r w:rsidRPr="003C44C7">
        <w:t>Table 4</w:t>
      </w:r>
      <w:r w:rsidRPr="003C44C7">
        <w:tab/>
        <w:t>Total-hospital antibacterial usage rates (DDDs per 1000 OBDs) by antibacterial group, 2010–14</w:t>
      </w:r>
    </w:p>
    <w:tbl>
      <w:tblPr>
        <w:tblW w:w="0" w:type="auto"/>
        <w:tblInd w:w="85" w:type="dxa"/>
        <w:tblLayout w:type="fixed"/>
        <w:tblCellMar>
          <w:left w:w="0" w:type="dxa"/>
          <w:right w:w="0" w:type="dxa"/>
        </w:tblCellMar>
        <w:tblLook w:val="0000" w:firstRow="0" w:lastRow="0" w:firstColumn="0" w:lastColumn="0" w:noHBand="0" w:noVBand="0"/>
      </w:tblPr>
      <w:tblGrid>
        <w:gridCol w:w="4677"/>
        <w:gridCol w:w="1001"/>
        <w:gridCol w:w="956"/>
        <w:gridCol w:w="956"/>
        <w:gridCol w:w="1025"/>
        <w:gridCol w:w="1059"/>
      </w:tblGrid>
      <w:tr w:rsidR="00F14851" w:rsidRPr="003C44C7" w14:paraId="17D84DED" w14:textId="77777777" w:rsidTr="003C44C7">
        <w:trPr>
          <w:trHeight w:val="525"/>
          <w:tblHeader/>
        </w:trPr>
        <w:tc>
          <w:tcPr>
            <w:tcW w:w="4677"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175C0BF9" w14:textId="77777777" w:rsidR="00F14851" w:rsidRPr="003C44C7" w:rsidRDefault="00F14851" w:rsidP="00E30E24">
            <w:pPr>
              <w:pStyle w:val="TableHeading"/>
            </w:pPr>
            <w:r w:rsidRPr="003C44C7">
              <w:t>Antibiotic class</w:t>
            </w:r>
          </w:p>
        </w:tc>
        <w:tc>
          <w:tcPr>
            <w:tcW w:w="1001"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41441810" w14:textId="77777777" w:rsidR="00F14851" w:rsidRPr="003C44C7" w:rsidRDefault="00F14851" w:rsidP="00E30E24">
            <w:pPr>
              <w:pStyle w:val="TableHeading"/>
              <w:jc w:val="center"/>
            </w:pPr>
            <w:r w:rsidRPr="003C44C7">
              <w:t>2010 (</w:t>
            </w:r>
            <w:r w:rsidRPr="003C44C7">
              <w:rPr>
                <w:rStyle w:val="Boldoblique"/>
                <w:b/>
                <w:bCs/>
              </w:rPr>
              <w:t>n</w:t>
            </w:r>
            <w:r w:rsidRPr="003C44C7">
              <w:t> = 53)</w:t>
            </w:r>
          </w:p>
        </w:tc>
        <w:tc>
          <w:tcPr>
            <w:tcW w:w="956"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6C5BF806" w14:textId="77777777" w:rsidR="00F14851" w:rsidRPr="003C44C7" w:rsidRDefault="00F14851" w:rsidP="00E30E24">
            <w:pPr>
              <w:pStyle w:val="TableHeading"/>
              <w:jc w:val="center"/>
            </w:pPr>
            <w:r w:rsidRPr="003C44C7">
              <w:t>2011 (</w:t>
            </w:r>
            <w:r w:rsidRPr="003C44C7">
              <w:rPr>
                <w:rStyle w:val="Boldoblique"/>
                <w:b/>
                <w:bCs/>
              </w:rPr>
              <w:t>n</w:t>
            </w:r>
            <w:r w:rsidRPr="003C44C7">
              <w:t> = 61)</w:t>
            </w:r>
          </w:p>
        </w:tc>
        <w:tc>
          <w:tcPr>
            <w:tcW w:w="956"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1F46F2B2" w14:textId="77777777" w:rsidR="00F14851" w:rsidRPr="003C44C7" w:rsidRDefault="00F14851" w:rsidP="00E30E24">
            <w:pPr>
              <w:pStyle w:val="TableHeading"/>
              <w:jc w:val="center"/>
            </w:pPr>
            <w:r w:rsidRPr="003C44C7">
              <w:t>2012 (</w:t>
            </w:r>
            <w:r w:rsidRPr="003C44C7">
              <w:rPr>
                <w:rStyle w:val="Boldoblique"/>
                <w:b/>
                <w:bCs/>
              </w:rPr>
              <w:t>n</w:t>
            </w:r>
            <w:r w:rsidRPr="003C44C7">
              <w:t> = 79)</w:t>
            </w:r>
          </w:p>
        </w:tc>
        <w:tc>
          <w:tcPr>
            <w:tcW w:w="1025"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7FD95B85" w14:textId="77777777" w:rsidR="00F14851" w:rsidRPr="003C44C7" w:rsidRDefault="00F14851" w:rsidP="00E30E24">
            <w:pPr>
              <w:pStyle w:val="TableHeading"/>
              <w:jc w:val="center"/>
            </w:pPr>
            <w:r w:rsidRPr="003C44C7">
              <w:t>2013 (</w:t>
            </w:r>
            <w:r w:rsidRPr="003C44C7">
              <w:rPr>
                <w:rStyle w:val="Boldoblique"/>
                <w:b/>
                <w:bCs/>
              </w:rPr>
              <w:t>n</w:t>
            </w:r>
            <w:r w:rsidRPr="003C44C7">
              <w:t> = 114)</w:t>
            </w:r>
          </w:p>
        </w:tc>
        <w:tc>
          <w:tcPr>
            <w:tcW w:w="105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5098FABF" w14:textId="77777777" w:rsidR="00F14851" w:rsidRPr="003C44C7" w:rsidRDefault="00F14851" w:rsidP="00E30E24">
            <w:pPr>
              <w:pStyle w:val="TableHeading"/>
              <w:jc w:val="center"/>
            </w:pPr>
            <w:r w:rsidRPr="003C44C7">
              <w:t>2014 (</w:t>
            </w:r>
            <w:r w:rsidRPr="003C44C7">
              <w:rPr>
                <w:rStyle w:val="Boldoblique"/>
                <w:b/>
                <w:bCs/>
              </w:rPr>
              <w:t>n</w:t>
            </w:r>
            <w:r w:rsidRPr="003C44C7">
              <w:t> = 129)</w:t>
            </w:r>
          </w:p>
        </w:tc>
      </w:tr>
      <w:tr w:rsidR="00F14851" w:rsidRPr="003C44C7" w14:paraId="418A984B" w14:textId="77777777" w:rsidTr="00E30E24">
        <w:trPr>
          <w:trHeight w:val="255"/>
        </w:trPr>
        <w:tc>
          <w:tcPr>
            <w:tcW w:w="4677" w:type="dxa"/>
            <w:tcBorders>
              <w:top w:val="single" w:sz="4" w:space="0" w:color="auto"/>
            </w:tcBorders>
            <w:shd w:val="clear" w:color="auto" w:fill="auto"/>
            <w:tcMar>
              <w:top w:w="113" w:type="dxa"/>
              <w:left w:w="85" w:type="dxa"/>
              <w:bottom w:w="113" w:type="dxa"/>
              <w:right w:w="85" w:type="dxa"/>
            </w:tcMar>
            <w:vAlign w:val="bottom"/>
          </w:tcPr>
          <w:p w14:paraId="60323D16" w14:textId="77777777" w:rsidR="00F14851" w:rsidRPr="003C44C7" w:rsidRDefault="00F14851" w:rsidP="00E30E24">
            <w:pPr>
              <w:pStyle w:val="TableText"/>
            </w:pPr>
            <w:r w:rsidRPr="003C44C7">
              <w:t xml:space="preserve">Aminoglycosides </w:t>
            </w:r>
          </w:p>
        </w:tc>
        <w:tc>
          <w:tcPr>
            <w:tcW w:w="1001" w:type="dxa"/>
            <w:tcBorders>
              <w:top w:val="single" w:sz="4" w:space="0" w:color="auto"/>
            </w:tcBorders>
            <w:shd w:val="clear" w:color="auto" w:fill="auto"/>
            <w:tcMar>
              <w:top w:w="113" w:type="dxa"/>
              <w:left w:w="57" w:type="dxa"/>
              <w:bottom w:w="113" w:type="dxa"/>
              <w:right w:w="170" w:type="dxa"/>
            </w:tcMar>
            <w:vAlign w:val="bottom"/>
          </w:tcPr>
          <w:p w14:paraId="025E537B" w14:textId="77777777" w:rsidR="00F14851" w:rsidRPr="003C44C7" w:rsidRDefault="00F14851" w:rsidP="00E30E24">
            <w:pPr>
              <w:pStyle w:val="TableText"/>
              <w:jc w:val="right"/>
            </w:pPr>
            <w:r w:rsidRPr="003C44C7">
              <w:t>50.87</w:t>
            </w:r>
          </w:p>
        </w:tc>
        <w:tc>
          <w:tcPr>
            <w:tcW w:w="956" w:type="dxa"/>
            <w:tcBorders>
              <w:top w:val="single" w:sz="4" w:space="0" w:color="auto"/>
            </w:tcBorders>
            <w:shd w:val="clear" w:color="auto" w:fill="auto"/>
            <w:tcMar>
              <w:top w:w="113" w:type="dxa"/>
              <w:left w:w="113" w:type="dxa"/>
              <w:bottom w:w="113" w:type="dxa"/>
              <w:right w:w="170" w:type="dxa"/>
            </w:tcMar>
            <w:vAlign w:val="bottom"/>
          </w:tcPr>
          <w:p w14:paraId="77B54B08" w14:textId="77777777" w:rsidR="00F14851" w:rsidRPr="003C44C7" w:rsidRDefault="00F14851" w:rsidP="00E30E24">
            <w:pPr>
              <w:pStyle w:val="TableText"/>
              <w:jc w:val="right"/>
            </w:pPr>
            <w:r w:rsidRPr="003C44C7">
              <w:t>46.50</w:t>
            </w:r>
          </w:p>
        </w:tc>
        <w:tc>
          <w:tcPr>
            <w:tcW w:w="956" w:type="dxa"/>
            <w:tcBorders>
              <w:top w:val="single" w:sz="4" w:space="0" w:color="auto"/>
            </w:tcBorders>
            <w:shd w:val="clear" w:color="auto" w:fill="auto"/>
            <w:tcMar>
              <w:top w:w="113" w:type="dxa"/>
              <w:left w:w="113" w:type="dxa"/>
              <w:bottom w:w="113" w:type="dxa"/>
              <w:right w:w="170" w:type="dxa"/>
            </w:tcMar>
            <w:vAlign w:val="bottom"/>
          </w:tcPr>
          <w:p w14:paraId="010C5857" w14:textId="77777777" w:rsidR="00F14851" w:rsidRPr="003C44C7" w:rsidRDefault="00F14851" w:rsidP="00E30E24">
            <w:pPr>
              <w:pStyle w:val="TableText"/>
              <w:jc w:val="right"/>
            </w:pPr>
            <w:r w:rsidRPr="003C44C7">
              <w:t>44.49</w:t>
            </w:r>
          </w:p>
        </w:tc>
        <w:tc>
          <w:tcPr>
            <w:tcW w:w="1025" w:type="dxa"/>
            <w:tcBorders>
              <w:top w:val="single" w:sz="4" w:space="0" w:color="auto"/>
            </w:tcBorders>
            <w:shd w:val="clear" w:color="auto" w:fill="auto"/>
            <w:tcMar>
              <w:top w:w="113" w:type="dxa"/>
              <w:left w:w="113" w:type="dxa"/>
              <w:bottom w:w="113" w:type="dxa"/>
              <w:right w:w="283" w:type="dxa"/>
            </w:tcMar>
            <w:vAlign w:val="bottom"/>
          </w:tcPr>
          <w:p w14:paraId="51A5B156" w14:textId="77777777" w:rsidR="00F14851" w:rsidRPr="003C44C7" w:rsidRDefault="00F14851" w:rsidP="00E30E24">
            <w:pPr>
              <w:pStyle w:val="TableText"/>
              <w:jc w:val="right"/>
            </w:pPr>
            <w:r w:rsidRPr="003C44C7">
              <w:t>41.52</w:t>
            </w:r>
          </w:p>
        </w:tc>
        <w:tc>
          <w:tcPr>
            <w:tcW w:w="1059" w:type="dxa"/>
            <w:tcBorders>
              <w:top w:val="single" w:sz="4" w:space="0" w:color="auto"/>
            </w:tcBorders>
            <w:shd w:val="clear" w:color="auto" w:fill="auto"/>
            <w:tcMar>
              <w:top w:w="113" w:type="dxa"/>
              <w:left w:w="113" w:type="dxa"/>
              <w:bottom w:w="113" w:type="dxa"/>
              <w:right w:w="283" w:type="dxa"/>
            </w:tcMar>
            <w:vAlign w:val="bottom"/>
          </w:tcPr>
          <w:p w14:paraId="5C90FEC4" w14:textId="77777777" w:rsidR="00F14851" w:rsidRPr="003C44C7" w:rsidRDefault="00F14851" w:rsidP="00E30E24">
            <w:pPr>
              <w:pStyle w:val="TableText"/>
              <w:jc w:val="right"/>
            </w:pPr>
            <w:r w:rsidRPr="003C44C7">
              <w:t>38.45</w:t>
            </w:r>
          </w:p>
        </w:tc>
      </w:tr>
      <w:tr w:rsidR="00F14851" w:rsidRPr="003C44C7" w14:paraId="1CE55022" w14:textId="77777777" w:rsidTr="00E30E24">
        <w:trPr>
          <w:trHeight w:val="255"/>
        </w:trPr>
        <w:tc>
          <w:tcPr>
            <w:tcW w:w="4677" w:type="dxa"/>
            <w:shd w:val="clear" w:color="auto" w:fill="auto"/>
            <w:tcMar>
              <w:top w:w="113" w:type="dxa"/>
              <w:left w:w="85" w:type="dxa"/>
              <w:bottom w:w="113" w:type="dxa"/>
              <w:right w:w="85" w:type="dxa"/>
            </w:tcMar>
            <w:vAlign w:val="bottom"/>
          </w:tcPr>
          <w:p w14:paraId="7D014F15" w14:textId="77777777" w:rsidR="00F14851" w:rsidRPr="003C44C7" w:rsidRDefault="00F14851" w:rsidP="00E30E24">
            <w:pPr>
              <w:pStyle w:val="TableText"/>
            </w:pPr>
            <w:r w:rsidRPr="003C44C7">
              <w:t>Amphenicols</w:t>
            </w:r>
          </w:p>
        </w:tc>
        <w:tc>
          <w:tcPr>
            <w:tcW w:w="1001" w:type="dxa"/>
            <w:shd w:val="clear" w:color="auto" w:fill="auto"/>
            <w:tcMar>
              <w:top w:w="113" w:type="dxa"/>
              <w:left w:w="57" w:type="dxa"/>
              <w:bottom w:w="113" w:type="dxa"/>
              <w:right w:w="170" w:type="dxa"/>
            </w:tcMar>
            <w:vAlign w:val="bottom"/>
          </w:tcPr>
          <w:p w14:paraId="3643D0AA" w14:textId="77777777" w:rsidR="00F14851" w:rsidRPr="003C44C7" w:rsidRDefault="00F14851" w:rsidP="00E30E24">
            <w:pPr>
              <w:pStyle w:val="TableText"/>
              <w:jc w:val="right"/>
            </w:pPr>
            <w:r w:rsidRPr="003C44C7">
              <w:t>0.01</w:t>
            </w:r>
          </w:p>
        </w:tc>
        <w:tc>
          <w:tcPr>
            <w:tcW w:w="956" w:type="dxa"/>
            <w:shd w:val="clear" w:color="auto" w:fill="auto"/>
            <w:tcMar>
              <w:top w:w="113" w:type="dxa"/>
              <w:left w:w="113" w:type="dxa"/>
              <w:bottom w:w="113" w:type="dxa"/>
              <w:right w:w="170" w:type="dxa"/>
            </w:tcMar>
            <w:vAlign w:val="bottom"/>
          </w:tcPr>
          <w:p w14:paraId="62A8E34C" w14:textId="77777777" w:rsidR="00F14851" w:rsidRPr="003C44C7" w:rsidRDefault="00F14851" w:rsidP="00E30E24">
            <w:pPr>
              <w:pStyle w:val="TableText"/>
              <w:jc w:val="right"/>
            </w:pPr>
            <w:r w:rsidRPr="003C44C7">
              <w:t>0.00</w:t>
            </w:r>
          </w:p>
        </w:tc>
        <w:tc>
          <w:tcPr>
            <w:tcW w:w="956" w:type="dxa"/>
            <w:shd w:val="clear" w:color="auto" w:fill="auto"/>
            <w:tcMar>
              <w:top w:w="113" w:type="dxa"/>
              <w:left w:w="113" w:type="dxa"/>
              <w:bottom w:w="113" w:type="dxa"/>
              <w:right w:w="170" w:type="dxa"/>
            </w:tcMar>
            <w:vAlign w:val="bottom"/>
          </w:tcPr>
          <w:p w14:paraId="0424B6C6" w14:textId="77777777" w:rsidR="00F14851" w:rsidRPr="003C44C7" w:rsidRDefault="00F14851" w:rsidP="00E30E24">
            <w:pPr>
              <w:pStyle w:val="TableText"/>
              <w:jc w:val="right"/>
            </w:pPr>
            <w:r w:rsidRPr="003C44C7">
              <w:t>0.00</w:t>
            </w:r>
          </w:p>
        </w:tc>
        <w:tc>
          <w:tcPr>
            <w:tcW w:w="1025" w:type="dxa"/>
            <w:shd w:val="clear" w:color="auto" w:fill="auto"/>
            <w:tcMar>
              <w:top w:w="113" w:type="dxa"/>
              <w:left w:w="113" w:type="dxa"/>
              <w:bottom w:w="113" w:type="dxa"/>
              <w:right w:w="283" w:type="dxa"/>
            </w:tcMar>
            <w:vAlign w:val="bottom"/>
          </w:tcPr>
          <w:p w14:paraId="0F848D72" w14:textId="77777777" w:rsidR="00F14851" w:rsidRPr="003C44C7" w:rsidRDefault="00F14851" w:rsidP="00E30E24">
            <w:pPr>
              <w:pStyle w:val="TableText"/>
              <w:jc w:val="right"/>
            </w:pPr>
            <w:r w:rsidRPr="003C44C7">
              <w:t>0.00</w:t>
            </w:r>
          </w:p>
        </w:tc>
        <w:tc>
          <w:tcPr>
            <w:tcW w:w="1059" w:type="dxa"/>
            <w:shd w:val="clear" w:color="auto" w:fill="auto"/>
            <w:tcMar>
              <w:top w:w="113" w:type="dxa"/>
              <w:left w:w="113" w:type="dxa"/>
              <w:bottom w:w="113" w:type="dxa"/>
              <w:right w:w="283" w:type="dxa"/>
            </w:tcMar>
            <w:vAlign w:val="bottom"/>
          </w:tcPr>
          <w:p w14:paraId="6B32F4C6" w14:textId="77777777" w:rsidR="00F14851" w:rsidRPr="003C44C7" w:rsidRDefault="00F14851" w:rsidP="00E30E24">
            <w:pPr>
              <w:pStyle w:val="TableText"/>
              <w:jc w:val="right"/>
            </w:pPr>
            <w:r w:rsidRPr="003C44C7">
              <w:t>0.00</w:t>
            </w:r>
          </w:p>
        </w:tc>
      </w:tr>
      <w:tr w:rsidR="00F14851" w:rsidRPr="003C44C7" w14:paraId="7A8EFE59" w14:textId="77777777" w:rsidTr="00E30E24">
        <w:trPr>
          <w:trHeight w:val="255"/>
        </w:trPr>
        <w:tc>
          <w:tcPr>
            <w:tcW w:w="4677" w:type="dxa"/>
            <w:shd w:val="clear" w:color="auto" w:fill="auto"/>
            <w:tcMar>
              <w:top w:w="113" w:type="dxa"/>
              <w:left w:w="85" w:type="dxa"/>
              <w:bottom w:w="113" w:type="dxa"/>
              <w:right w:w="85" w:type="dxa"/>
            </w:tcMar>
            <w:vAlign w:val="bottom"/>
          </w:tcPr>
          <w:p w14:paraId="243FFA1A" w14:textId="77777777" w:rsidR="00F14851" w:rsidRPr="003C44C7" w:rsidRDefault="00F14851" w:rsidP="00E30E24">
            <w:pPr>
              <w:pStyle w:val="TableText"/>
            </w:pPr>
            <w:r w:rsidRPr="003C44C7">
              <w:t>β-lactamase inhibitor combinations</w:t>
            </w:r>
          </w:p>
        </w:tc>
        <w:tc>
          <w:tcPr>
            <w:tcW w:w="1001" w:type="dxa"/>
            <w:shd w:val="clear" w:color="auto" w:fill="auto"/>
            <w:tcMar>
              <w:top w:w="113" w:type="dxa"/>
              <w:left w:w="57" w:type="dxa"/>
              <w:bottom w:w="113" w:type="dxa"/>
              <w:right w:w="170" w:type="dxa"/>
            </w:tcMar>
            <w:vAlign w:val="bottom"/>
          </w:tcPr>
          <w:p w14:paraId="456A7171" w14:textId="77777777" w:rsidR="00F14851" w:rsidRPr="003C44C7" w:rsidRDefault="00F14851" w:rsidP="00E30E24">
            <w:pPr>
              <w:pStyle w:val="TableText"/>
              <w:jc w:val="right"/>
            </w:pPr>
            <w:r w:rsidRPr="003C44C7">
              <w:t>185.15</w:t>
            </w:r>
          </w:p>
        </w:tc>
        <w:tc>
          <w:tcPr>
            <w:tcW w:w="956" w:type="dxa"/>
            <w:shd w:val="clear" w:color="auto" w:fill="auto"/>
            <w:tcMar>
              <w:top w:w="113" w:type="dxa"/>
              <w:left w:w="113" w:type="dxa"/>
              <w:bottom w:w="113" w:type="dxa"/>
              <w:right w:w="170" w:type="dxa"/>
            </w:tcMar>
            <w:vAlign w:val="bottom"/>
          </w:tcPr>
          <w:p w14:paraId="1F8EC628" w14:textId="77777777" w:rsidR="00F14851" w:rsidRPr="003C44C7" w:rsidRDefault="00F14851" w:rsidP="00E30E24">
            <w:pPr>
              <w:pStyle w:val="TableText"/>
              <w:jc w:val="right"/>
            </w:pPr>
            <w:r w:rsidRPr="003C44C7">
              <w:t>186.99</w:t>
            </w:r>
          </w:p>
        </w:tc>
        <w:tc>
          <w:tcPr>
            <w:tcW w:w="956" w:type="dxa"/>
            <w:shd w:val="clear" w:color="auto" w:fill="auto"/>
            <w:tcMar>
              <w:top w:w="113" w:type="dxa"/>
              <w:left w:w="113" w:type="dxa"/>
              <w:bottom w:w="113" w:type="dxa"/>
              <w:right w:w="170" w:type="dxa"/>
            </w:tcMar>
            <w:vAlign w:val="bottom"/>
          </w:tcPr>
          <w:p w14:paraId="4354B8A9" w14:textId="77777777" w:rsidR="00F14851" w:rsidRPr="003C44C7" w:rsidRDefault="00F14851" w:rsidP="00E30E24">
            <w:pPr>
              <w:pStyle w:val="TableText"/>
              <w:jc w:val="right"/>
            </w:pPr>
            <w:r w:rsidRPr="003C44C7">
              <w:t>187.57</w:t>
            </w:r>
          </w:p>
        </w:tc>
        <w:tc>
          <w:tcPr>
            <w:tcW w:w="1025" w:type="dxa"/>
            <w:shd w:val="clear" w:color="auto" w:fill="auto"/>
            <w:tcMar>
              <w:top w:w="113" w:type="dxa"/>
              <w:left w:w="113" w:type="dxa"/>
              <w:bottom w:w="113" w:type="dxa"/>
              <w:right w:w="283" w:type="dxa"/>
            </w:tcMar>
            <w:vAlign w:val="bottom"/>
          </w:tcPr>
          <w:p w14:paraId="243CF3DA" w14:textId="77777777" w:rsidR="00F14851" w:rsidRPr="003C44C7" w:rsidRDefault="00F14851" w:rsidP="00E30E24">
            <w:pPr>
              <w:pStyle w:val="TableText"/>
              <w:jc w:val="right"/>
            </w:pPr>
            <w:r w:rsidRPr="003C44C7">
              <w:t>186.82</w:t>
            </w:r>
          </w:p>
        </w:tc>
        <w:tc>
          <w:tcPr>
            <w:tcW w:w="1059" w:type="dxa"/>
            <w:shd w:val="clear" w:color="auto" w:fill="auto"/>
            <w:tcMar>
              <w:top w:w="113" w:type="dxa"/>
              <w:left w:w="113" w:type="dxa"/>
              <w:bottom w:w="113" w:type="dxa"/>
              <w:right w:w="283" w:type="dxa"/>
            </w:tcMar>
            <w:vAlign w:val="bottom"/>
          </w:tcPr>
          <w:p w14:paraId="5163BE79" w14:textId="77777777" w:rsidR="00F14851" w:rsidRPr="003C44C7" w:rsidRDefault="00F14851" w:rsidP="00E30E24">
            <w:pPr>
              <w:pStyle w:val="TableText"/>
              <w:jc w:val="right"/>
            </w:pPr>
            <w:r w:rsidRPr="003C44C7">
              <w:t>180.70</w:t>
            </w:r>
          </w:p>
        </w:tc>
      </w:tr>
      <w:tr w:rsidR="00F14851" w:rsidRPr="003C44C7" w14:paraId="1E6834AE" w14:textId="77777777" w:rsidTr="00E30E24">
        <w:trPr>
          <w:trHeight w:val="255"/>
        </w:trPr>
        <w:tc>
          <w:tcPr>
            <w:tcW w:w="4677" w:type="dxa"/>
            <w:shd w:val="clear" w:color="auto" w:fill="auto"/>
            <w:tcMar>
              <w:top w:w="113" w:type="dxa"/>
              <w:left w:w="85" w:type="dxa"/>
              <w:bottom w:w="113" w:type="dxa"/>
              <w:right w:w="85" w:type="dxa"/>
            </w:tcMar>
            <w:vAlign w:val="bottom"/>
          </w:tcPr>
          <w:p w14:paraId="5AC086BB" w14:textId="77777777" w:rsidR="00F14851" w:rsidRPr="003C44C7" w:rsidRDefault="00F14851" w:rsidP="00E30E24">
            <w:pPr>
              <w:pStyle w:val="TableText"/>
            </w:pPr>
            <w:r w:rsidRPr="003C44C7">
              <w:t>β-lactamase-resistant penicillins</w:t>
            </w:r>
          </w:p>
        </w:tc>
        <w:tc>
          <w:tcPr>
            <w:tcW w:w="1001" w:type="dxa"/>
            <w:shd w:val="clear" w:color="auto" w:fill="auto"/>
            <w:tcMar>
              <w:top w:w="113" w:type="dxa"/>
              <w:left w:w="57" w:type="dxa"/>
              <w:bottom w:w="113" w:type="dxa"/>
              <w:right w:w="170" w:type="dxa"/>
            </w:tcMar>
            <w:vAlign w:val="bottom"/>
          </w:tcPr>
          <w:p w14:paraId="26FD8B14" w14:textId="77777777" w:rsidR="00F14851" w:rsidRPr="003C44C7" w:rsidRDefault="00F14851" w:rsidP="00E30E24">
            <w:pPr>
              <w:pStyle w:val="TableText"/>
              <w:jc w:val="right"/>
            </w:pPr>
            <w:r w:rsidRPr="003C44C7">
              <w:t>87.35</w:t>
            </w:r>
          </w:p>
        </w:tc>
        <w:tc>
          <w:tcPr>
            <w:tcW w:w="956" w:type="dxa"/>
            <w:shd w:val="clear" w:color="auto" w:fill="auto"/>
            <w:tcMar>
              <w:top w:w="113" w:type="dxa"/>
              <w:left w:w="113" w:type="dxa"/>
              <w:bottom w:w="113" w:type="dxa"/>
              <w:right w:w="170" w:type="dxa"/>
            </w:tcMar>
            <w:vAlign w:val="bottom"/>
          </w:tcPr>
          <w:p w14:paraId="67CD3B41" w14:textId="77777777" w:rsidR="00F14851" w:rsidRPr="003C44C7" w:rsidRDefault="00F14851" w:rsidP="00E30E24">
            <w:pPr>
              <w:pStyle w:val="TableText"/>
              <w:jc w:val="right"/>
            </w:pPr>
            <w:r w:rsidRPr="003C44C7">
              <w:t>84.27</w:t>
            </w:r>
          </w:p>
        </w:tc>
        <w:tc>
          <w:tcPr>
            <w:tcW w:w="956" w:type="dxa"/>
            <w:shd w:val="clear" w:color="auto" w:fill="auto"/>
            <w:tcMar>
              <w:top w:w="113" w:type="dxa"/>
              <w:left w:w="113" w:type="dxa"/>
              <w:bottom w:w="113" w:type="dxa"/>
              <w:right w:w="170" w:type="dxa"/>
            </w:tcMar>
            <w:vAlign w:val="bottom"/>
          </w:tcPr>
          <w:p w14:paraId="47672745" w14:textId="77777777" w:rsidR="00F14851" w:rsidRPr="003C44C7" w:rsidRDefault="00F14851" w:rsidP="00E30E24">
            <w:pPr>
              <w:pStyle w:val="TableText"/>
              <w:jc w:val="right"/>
            </w:pPr>
            <w:r w:rsidRPr="003C44C7">
              <w:t>85.30</w:t>
            </w:r>
          </w:p>
        </w:tc>
        <w:tc>
          <w:tcPr>
            <w:tcW w:w="1025" w:type="dxa"/>
            <w:shd w:val="clear" w:color="auto" w:fill="auto"/>
            <w:tcMar>
              <w:top w:w="113" w:type="dxa"/>
              <w:left w:w="113" w:type="dxa"/>
              <w:bottom w:w="113" w:type="dxa"/>
              <w:right w:w="283" w:type="dxa"/>
            </w:tcMar>
            <w:vAlign w:val="bottom"/>
          </w:tcPr>
          <w:p w14:paraId="5B5A692B" w14:textId="77777777" w:rsidR="00F14851" w:rsidRPr="003C44C7" w:rsidRDefault="00F14851" w:rsidP="00E30E24">
            <w:pPr>
              <w:pStyle w:val="TableText"/>
              <w:jc w:val="right"/>
            </w:pPr>
            <w:r w:rsidRPr="003C44C7">
              <w:t>91.29</w:t>
            </w:r>
          </w:p>
        </w:tc>
        <w:tc>
          <w:tcPr>
            <w:tcW w:w="1059" w:type="dxa"/>
            <w:shd w:val="clear" w:color="auto" w:fill="auto"/>
            <w:tcMar>
              <w:top w:w="113" w:type="dxa"/>
              <w:left w:w="113" w:type="dxa"/>
              <w:bottom w:w="113" w:type="dxa"/>
              <w:right w:w="283" w:type="dxa"/>
            </w:tcMar>
            <w:vAlign w:val="bottom"/>
          </w:tcPr>
          <w:p w14:paraId="36816E10" w14:textId="77777777" w:rsidR="00F14851" w:rsidRPr="003C44C7" w:rsidRDefault="00F14851" w:rsidP="00E30E24">
            <w:pPr>
              <w:pStyle w:val="TableText"/>
              <w:jc w:val="right"/>
            </w:pPr>
            <w:r w:rsidRPr="003C44C7">
              <w:t>91.03</w:t>
            </w:r>
          </w:p>
        </w:tc>
      </w:tr>
      <w:tr w:rsidR="00F14851" w:rsidRPr="003C44C7" w14:paraId="43BF551B" w14:textId="77777777" w:rsidTr="00E30E24">
        <w:trPr>
          <w:trHeight w:val="255"/>
        </w:trPr>
        <w:tc>
          <w:tcPr>
            <w:tcW w:w="4677" w:type="dxa"/>
            <w:shd w:val="clear" w:color="auto" w:fill="auto"/>
            <w:tcMar>
              <w:top w:w="113" w:type="dxa"/>
              <w:left w:w="85" w:type="dxa"/>
              <w:bottom w:w="113" w:type="dxa"/>
              <w:right w:w="85" w:type="dxa"/>
            </w:tcMar>
            <w:vAlign w:val="bottom"/>
          </w:tcPr>
          <w:p w14:paraId="1EB9BB06" w14:textId="77777777" w:rsidR="00F14851" w:rsidRPr="003C44C7" w:rsidRDefault="00F14851" w:rsidP="00E30E24">
            <w:pPr>
              <w:pStyle w:val="TableText"/>
            </w:pPr>
            <w:r w:rsidRPr="003C44C7">
              <w:t>β-lactamase-sensitive penicillins</w:t>
            </w:r>
          </w:p>
        </w:tc>
        <w:tc>
          <w:tcPr>
            <w:tcW w:w="1001" w:type="dxa"/>
            <w:shd w:val="clear" w:color="auto" w:fill="auto"/>
            <w:tcMar>
              <w:top w:w="113" w:type="dxa"/>
              <w:left w:w="57" w:type="dxa"/>
              <w:bottom w:w="113" w:type="dxa"/>
              <w:right w:w="170" w:type="dxa"/>
            </w:tcMar>
            <w:vAlign w:val="bottom"/>
          </w:tcPr>
          <w:p w14:paraId="5648976A" w14:textId="77777777" w:rsidR="00F14851" w:rsidRPr="003C44C7" w:rsidRDefault="00F14851" w:rsidP="00E30E24">
            <w:pPr>
              <w:pStyle w:val="TableText"/>
              <w:jc w:val="right"/>
            </w:pPr>
            <w:r w:rsidRPr="003C44C7">
              <w:t>27.78</w:t>
            </w:r>
          </w:p>
        </w:tc>
        <w:tc>
          <w:tcPr>
            <w:tcW w:w="956" w:type="dxa"/>
            <w:shd w:val="clear" w:color="auto" w:fill="auto"/>
            <w:tcMar>
              <w:top w:w="113" w:type="dxa"/>
              <w:left w:w="113" w:type="dxa"/>
              <w:bottom w:w="113" w:type="dxa"/>
              <w:right w:w="170" w:type="dxa"/>
            </w:tcMar>
            <w:vAlign w:val="bottom"/>
          </w:tcPr>
          <w:p w14:paraId="39E5AD3A" w14:textId="77777777" w:rsidR="00F14851" w:rsidRPr="003C44C7" w:rsidRDefault="00F14851" w:rsidP="00E30E24">
            <w:pPr>
              <w:pStyle w:val="TableText"/>
              <w:jc w:val="right"/>
            </w:pPr>
            <w:r w:rsidRPr="003C44C7">
              <w:t>23.68</w:t>
            </w:r>
          </w:p>
        </w:tc>
        <w:tc>
          <w:tcPr>
            <w:tcW w:w="956" w:type="dxa"/>
            <w:shd w:val="clear" w:color="auto" w:fill="auto"/>
            <w:tcMar>
              <w:top w:w="113" w:type="dxa"/>
              <w:left w:w="113" w:type="dxa"/>
              <w:bottom w:w="113" w:type="dxa"/>
              <w:right w:w="170" w:type="dxa"/>
            </w:tcMar>
            <w:vAlign w:val="bottom"/>
          </w:tcPr>
          <w:p w14:paraId="3B335D3E" w14:textId="77777777" w:rsidR="00F14851" w:rsidRPr="003C44C7" w:rsidRDefault="00F14851" w:rsidP="00E30E24">
            <w:pPr>
              <w:pStyle w:val="TableText"/>
              <w:jc w:val="right"/>
            </w:pPr>
            <w:r w:rsidRPr="003C44C7">
              <w:t>25.58</w:t>
            </w:r>
          </w:p>
        </w:tc>
        <w:tc>
          <w:tcPr>
            <w:tcW w:w="1025" w:type="dxa"/>
            <w:shd w:val="clear" w:color="auto" w:fill="auto"/>
            <w:tcMar>
              <w:top w:w="113" w:type="dxa"/>
              <w:left w:w="113" w:type="dxa"/>
              <w:bottom w:w="113" w:type="dxa"/>
              <w:right w:w="283" w:type="dxa"/>
            </w:tcMar>
            <w:vAlign w:val="bottom"/>
          </w:tcPr>
          <w:p w14:paraId="3C8CDED4" w14:textId="77777777" w:rsidR="00F14851" w:rsidRPr="003C44C7" w:rsidRDefault="00F14851" w:rsidP="00E30E24">
            <w:pPr>
              <w:pStyle w:val="TableText"/>
              <w:jc w:val="right"/>
            </w:pPr>
            <w:r w:rsidRPr="003C44C7">
              <w:t>26.74</w:t>
            </w:r>
          </w:p>
        </w:tc>
        <w:tc>
          <w:tcPr>
            <w:tcW w:w="1059" w:type="dxa"/>
            <w:shd w:val="clear" w:color="auto" w:fill="auto"/>
            <w:tcMar>
              <w:top w:w="113" w:type="dxa"/>
              <w:left w:w="113" w:type="dxa"/>
              <w:bottom w:w="113" w:type="dxa"/>
              <w:right w:w="283" w:type="dxa"/>
            </w:tcMar>
            <w:vAlign w:val="bottom"/>
          </w:tcPr>
          <w:p w14:paraId="034D338D" w14:textId="77777777" w:rsidR="00F14851" w:rsidRPr="003C44C7" w:rsidRDefault="00F14851" w:rsidP="00E30E24">
            <w:pPr>
              <w:pStyle w:val="TableText"/>
              <w:jc w:val="right"/>
            </w:pPr>
            <w:r w:rsidRPr="003C44C7">
              <w:t>28.66</w:t>
            </w:r>
          </w:p>
        </w:tc>
      </w:tr>
      <w:tr w:rsidR="00F14851" w:rsidRPr="003C44C7" w14:paraId="03203382" w14:textId="77777777" w:rsidTr="00E30E24">
        <w:trPr>
          <w:trHeight w:val="255"/>
        </w:trPr>
        <w:tc>
          <w:tcPr>
            <w:tcW w:w="4677" w:type="dxa"/>
            <w:shd w:val="clear" w:color="auto" w:fill="auto"/>
            <w:tcMar>
              <w:top w:w="113" w:type="dxa"/>
              <w:left w:w="85" w:type="dxa"/>
              <w:bottom w:w="113" w:type="dxa"/>
              <w:right w:w="85" w:type="dxa"/>
            </w:tcMar>
            <w:vAlign w:val="bottom"/>
          </w:tcPr>
          <w:p w14:paraId="1E30BF16" w14:textId="77777777" w:rsidR="00F14851" w:rsidRPr="003C44C7" w:rsidRDefault="00F14851" w:rsidP="00E30E24">
            <w:pPr>
              <w:pStyle w:val="TableText"/>
            </w:pPr>
            <w:r w:rsidRPr="003C44C7">
              <w:t>Carbapenems</w:t>
            </w:r>
          </w:p>
        </w:tc>
        <w:tc>
          <w:tcPr>
            <w:tcW w:w="1001" w:type="dxa"/>
            <w:shd w:val="clear" w:color="auto" w:fill="auto"/>
            <w:tcMar>
              <w:top w:w="113" w:type="dxa"/>
              <w:left w:w="57" w:type="dxa"/>
              <w:bottom w:w="113" w:type="dxa"/>
              <w:right w:w="170" w:type="dxa"/>
            </w:tcMar>
            <w:vAlign w:val="bottom"/>
          </w:tcPr>
          <w:p w14:paraId="4F1F640A" w14:textId="77777777" w:rsidR="00F14851" w:rsidRPr="003C44C7" w:rsidRDefault="00F14851" w:rsidP="00E30E24">
            <w:pPr>
              <w:pStyle w:val="TableText"/>
              <w:jc w:val="right"/>
            </w:pPr>
            <w:r w:rsidRPr="003C44C7">
              <w:t>19.02</w:t>
            </w:r>
          </w:p>
        </w:tc>
        <w:tc>
          <w:tcPr>
            <w:tcW w:w="956" w:type="dxa"/>
            <w:shd w:val="clear" w:color="auto" w:fill="auto"/>
            <w:tcMar>
              <w:top w:w="113" w:type="dxa"/>
              <w:left w:w="113" w:type="dxa"/>
              <w:bottom w:w="113" w:type="dxa"/>
              <w:right w:w="170" w:type="dxa"/>
            </w:tcMar>
            <w:vAlign w:val="bottom"/>
          </w:tcPr>
          <w:p w14:paraId="024DC48E" w14:textId="77777777" w:rsidR="00F14851" w:rsidRPr="003C44C7" w:rsidRDefault="00F14851" w:rsidP="00E30E24">
            <w:pPr>
              <w:pStyle w:val="TableText"/>
              <w:jc w:val="right"/>
            </w:pPr>
            <w:r w:rsidRPr="003C44C7">
              <w:t>18.27</w:t>
            </w:r>
          </w:p>
        </w:tc>
        <w:tc>
          <w:tcPr>
            <w:tcW w:w="956" w:type="dxa"/>
            <w:shd w:val="clear" w:color="auto" w:fill="auto"/>
            <w:tcMar>
              <w:top w:w="113" w:type="dxa"/>
              <w:left w:w="113" w:type="dxa"/>
              <w:bottom w:w="113" w:type="dxa"/>
              <w:right w:w="170" w:type="dxa"/>
            </w:tcMar>
            <w:vAlign w:val="bottom"/>
          </w:tcPr>
          <w:p w14:paraId="7C7A24CB" w14:textId="77777777" w:rsidR="00F14851" w:rsidRPr="003C44C7" w:rsidRDefault="00F14851" w:rsidP="00E30E24">
            <w:pPr>
              <w:pStyle w:val="TableText"/>
              <w:jc w:val="right"/>
            </w:pPr>
            <w:r w:rsidRPr="003C44C7">
              <w:t>18.88</w:t>
            </w:r>
          </w:p>
        </w:tc>
        <w:tc>
          <w:tcPr>
            <w:tcW w:w="1025" w:type="dxa"/>
            <w:shd w:val="clear" w:color="auto" w:fill="auto"/>
            <w:tcMar>
              <w:top w:w="113" w:type="dxa"/>
              <w:left w:w="113" w:type="dxa"/>
              <w:bottom w:w="113" w:type="dxa"/>
              <w:right w:w="283" w:type="dxa"/>
            </w:tcMar>
            <w:vAlign w:val="bottom"/>
          </w:tcPr>
          <w:p w14:paraId="74E27C34" w14:textId="77777777" w:rsidR="00F14851" w:rsidRPr="003C44C7" w:rsidRDefault="00F14851" w:rsidP="00E30E24">
            <w:pPr>
              <w:pStyle w:val="TableText"/>
              <w:jc w:val="right"/>
            </w:pPr>
            <w:r w:rsidRPr="003C44C7">
              <w:t>19.49</w:t>
            </w:r>
          </w:p>
        </w:tc>
        <w:tc>
          <w:tcPr>
            <w:tcW w:w="1059" w:type="dxa"/>
            <w:shd w:val="clear" w:color="auto" w:fill="auto"/>
            <w:tcMar>
              <w:top w:w="113" w:type="dxa"/>
              <w:left w:w="113" w:type="dxa"/>
              <w:bottom w:w="113" w:type="dxa"/>
              <w:right w:w="283" w:type="dxa"/>
            </w:tcMar>
            <w:vAlign w:val="bottom"/>
          </w:tcPr>
          <w:p w14:paraId="2FC3BC6B" w14:textId="77777777" w:rsidR="00F14851" w:rsidRPr="003C44C7" w:rsidRDefault="00F14851" w:rsidP="00E30E24">
            <w:pPr>
              <w:pStyle w:val="TableText"/>
              <w:jc w:val="right"/>
            </w:pPr>
            <w:r w:rsidRPr="003C44C7">
              <w:t>17.79</w:t>
            </w:r>
          </w:p>
        </w:tc>
      </w:tr>
      <w:tr w:rsidR="00F14851" w:rsidRPr="003C44C7" w14:paraId="6EC06002" w14:textId="77777777" w:rsidTr="00E30E24">
        <w:trPr>
          <w:trHeight w:val="255"/>
        </w:trPr>
        <w:tc>
          <w:tcPr>
            <w:tcW w:w="4677" w:type="dxa"/>
            <w:shd w:val="clear" w:color="auto" w:fill="auto"/>
            <w:tcMar>
              <w:top w:w="113" w:type="dxa"/>
              <w:left w:w="85" w:type="dxa"/>
              <w:bottom w:w="113" w:type="dxa"/>
              <w:right w:w="85" w:type="dxa"/>
            </w:tcMar>
            <w:vAlign w:val="bottom"/>
          </w:tcPr>
          <w:p w14:paraId="0564C584" w14:textId="77777777" w:rsidR="00F14851" w:rsidRPr="003C44C7" w:rsidRDefault="00F14851" w:rsidP="00E30E24">
            <w:pPr>
              <w:pStyle w:val="TableText"/>
            </w:pPr>
            <w:r w:rsidRPr="003C44C7">
              <w:t>Extended-spectrum penicillins</w:t>
            </w:r>
          </w:p>
        </w:tc>
        <w:tc>
          <w:tcPr>
            <w:tcW w:w="1001" w:type="dxa"/>
            <w:shd w:val="clear" w:color="auto" w:fill="auto"/>
            <w:tcMar>
              <w:top w:w="113" w:type="dxa"/>
              <w:left w:w="57" w:type="dxa"/>
              <w:bottom w:w="113" w:type="dxa"/>
              <w:right w:w="170" w:type="dxa"/>
            </w:tcMar>
            <w:vAlign w:val="bottom"/>
          </w:tcPr>
          <w:p w14:paraId="05FA10C8" w14:textId="77777777" w:rsidR="00F14851" w:rsidRPr="003C44C7" w:rsidRDefault="00F14851" w:rsidP="00E30E24">
            <w:pPr>
              <w:pStyle w:val="TableText"/>
              <w:jc w:val="right"/>
            </w:pPr>
            <w:r w:rsidRPr="003C44C7">
              <w:t>117.04</w:t>
            </w:r>
          </w:p>
        </w:tc>
        <w:tc>
          <w:tcPr>
            <w:tcW w:w="956" w:type="dxa"/>
            <w:shd w:val="clear" w:color="auto" w:fill="auto"/>
            <w:tcMar>
              <w:top w:w="113" w:type="dxa"/>
              <w:left w:w="113" w:type="dxa"/>
              <w:bottom w:w="113" w:type="dxa"/>
              <w:right w:w="170" w:type="dxa"/>
            </w:tcMar>
            <w:vAlign w:val="bottom"/>
          </w:tcPr>
          <w:p w14:paraId="65627920" w14:textId="77777777" w:rsidR="00F14851" w:rsidRPr="003C44C7" w:rsidRDefault="00F14851" w:rsidP="00E30E24">
            <w:pPr>
              <w:pStyle w:val="TableText"/>
              <w:jc w:val="right"/>
            </w:pPr>
            <w:r w:rsidRPr="003C44C7">
              <w:t>112.10</w:t>
            </w:r>
          </w:p>
        </w:tc>
        <w:tc>
          <w:tcPr>
            <w:tcW w:w="956" w:type="dxa"/>
            <w:shd w:val="clear" w:color="auto" w:fill="auto"/>
            <w:tcMar>
              <w:top w:w="113" w:type="dxa"/>
              <w:left w:w="113" w:type="dxa"/>
              <w:bottom w:w="113" w:type="dxa"/>
              <w:right w:w="170" w:type="dxa"/>
            </w:tcMar>
            <w:vAlign w:val="bottom"/>
          </w:tcPr>
          <w:p w14:paraId="0DCD9F37" w14:textId="77777777" w:rsidR="00F14851" w:rsidRPr="003C44C7" w:rsidRDefault="00F14851" w:rsidP="00E30E24">
            <w:pPr>
              <w:pStyle w:val="TableText"/>
              <w:jc w:val="right"/>
            </w:pPr>
            <w:r w:rsidRPr="003C44C7">
              <w:t>107.52</w:t>
            </w:r>
          </w:p>
        </w:tc>
        <w:tc>
          <w:tcPr>
            <w:tcW w:w="1025" w:type="dxa"/>
            <w:shd w:val="clear" w:color="auto" w:fill="auto"/>
            <w:tcMar>
              <w:top w:w="113" w:type="dxa"/>
              <w:left w:w="113" w:type="dxa"/>
              <w:bottom w:w="113" w:type="dxa"/>
              <w:right w:w="283" w:type="dxa"/>
            </w:tcMar>
            <w:vAlign w:val="bottom"/>
          </w:tcPr>
          <w:p w14:paraId="2461C4B8" w14:textId="77777777" w:rsidR="00F14851" w:rsidRPr="003C44C7" w:rsidRDefault="00F14851" w:rsidP="00E30E24">
            <w:pPr>
              <w:pStyle w:val="TableText"/>
              <w:jc w:val="right"/>
            </w:pPr>
            <w:r w:rsidRPr="003C44C7">
              <w:t>104.83</w:t>
            </w:r>
          </w:p>
        </w:tc>
        <w:tc>
          <w:tcPr>
            <w:tcW w:w="1059" w:type="dxa"/>
            <w:shd w:val="clear" w:color="auto" w:fill="auto"/>
            <w:tcMar>
              <w:top w:w="113" w:type="dxa"/>
              <w:left w:w="113" w:type="dxa"/>
              <w:bottom w:w="113" w:type="dxa"/>
              <w:right w:w="283" w:type="dxa"/>
            </w:tcMar>
            <w:vAlign w:val="bottom"/>
          </w:tcPr>
          <w:p w14:paraId="55C4821C" w14:textId="77777777" w:rsidR="00F14851" w:rsidRPr="003C44C7" w:rsidRDefault="00F14851" w:rsidP="00E30E24">
            <w:pPr>
              <w:pStyle w:val="TableText"/>
              <w:jc w:val="right"/>
            </w:pPr>
            <w:r w:rsidRPr="003C44C7">
              <w:t>103.39</w:t>
            </w:r>
          </w:p>
        </w:tc>
      </w:tr>
      <w:tr w:rsidR="00F14851" w:rsidRPr="003C44C7" w14:paraId="791D9B1E" w14:textId="77777777" w:rsidTr="00E30E24">
        <w:trPr>
          <w:trHeight w:val="255"/>
        </w:trPr>
        <w:tc>
          <w:tcPr>
            <w:tcW w:w="4677" w:type="dxa"/>
            <w:shd w:val="clear" w:color="auto" w:fill="auto"/>
            <w:tcMar>
              <w:top w:w="113" w:type="dxa"/>
              <w:left w:w="85" w:type="dxa"/>
              <w:bottom w:w="113" w:type="dxa"/>
              <w:right w:w="85" w:type="dxa"/>
            </w:tcMar>
            <w:vAlign w:val="bottom"/>
          </w:tcPr>
          <w:p w14:paraId="653025E2" w14:textId="77777777" w:rsidR="00F14851" w:rsidRPr="003C44C7" w:rsidRDefault="00F14851" w:rsidP="00E30E24">
            <w:pPr>
              <w:pStyle w:val="TableText"/>
            </w:pPr>
            <w:r w:rsidRPr="003C44C7">
              <w:t>First-generation cephalosporins</w:t>
            </w:r>
          </w:p>
        </w:tc>
        <w:tc>
          <w:tcPr>
            <w:tcW w:w="1001" w:type="dxa"/>
            <w:shd w:val="clear" w:color="auto" w:fill="auto"/>
            <w:tcMar>
              <w:top w:w="113" w:type="dxa"/>
              <w:left w:w="57" w:type="dxa"/>
              <w:bottom w:w="113" w:type="dxa"/>
              <w:right w:w="170" w:type="dxa"/>
            </w:tcMar>
            <w:vAlign w:val="bottom"/>
          </w:tcPr>
          <w:p w14:paraId="032A445E" w14:textId="77777777" w:rsidR="00F14851" w:rsidRPr="003C44C7" w:rsidRDefault="00F14851" w:rsidP="00E30E24">
            <w:pPr>
              <w:pStyle w:val="TableText"/>
              <w:jc w:val="right"/>
            </w:pPr>
            <w:r w:rsidRPr="003C44C7">
              <w:t>139.04</w:t>
            </w:r>
          </w:p>
        </w:tc>
        <w:tc>
          <w:tcPr>
            <w:tcW w:w="956" w:type="dxa"/>
            <w:shd w:val="clear" w:color="auto" w:fill="auto"/>
            <w:tcMar>
              <w:top w:w="113" w:type="dxa"/>
              <w:left w:w="113" w:type="dxa"/>
              <w:bottom w:w="113" w:type="dxa"/>
              <w:right w:w="170" w:type="dxa"/>
            </w:tcMar>
            <w:vAlign w:val="bottom"/>
          </w:tcPr>
          <w:p w14:paraId="078D87E5" w14:textId="77777777" w:rsidR="00F14851" w:rsidRPr="003C44C7" w:rsidRDefault="00F14851" w:rsidP="00E30E24">
            <w:pPr>
              <w:pStyle w:val="TableText"/>
              <w:jc w:val="right"/>
            </w:pPr>
            <w:r w:rsidRPr="003C44C7">
              <w:t>142.48</w:t>
            </w:r>
          </w:p>
        </w:tc>
        <w:tc>
          <w:tcPr>
            <w:tcW w:w="956" w:type="dxa"/>
            <w:shd w:val="clear" w:color="auto" w:fill="auto"/>
            <w:tcMar>
              <w:top w:w="113" w:type="dxa"/>
              <w:left w:w="113" w:type="dxa"/>
              <w:bottom w:w="113" w:type="dxa"/>
              <w:right w:w="170" w:type="dxa"/>
            </w:tcMar>
            <w:vAlign w:val="bottom"/>
          </w:tcPr>
          <w:p w14:paraId="5BA30315" w14:textId="77777777" w:rsidR="00F14851" w:rsidRPr="003C44C7" w:rsidRDefault="00F14851" w:rsidP="00E30E24">
            <w:pPr>
              <w:pStyle w:val="TableText"/>
              <w:jc w:val="right"/>
            </w:pPr>
            <w:r w:rsidRPr="003C44C7">
              <w:t>132.39</w:t>
            </w:r>
          </w:p>
        </w:tc>
        <w:tc>
          <w:tcPr>
            <w:tcW w:w="1025" w:type="dxa"/>
            <w:shd w:val="clear" w:color="auto" w:fill="auto"/>
            <w:tcMar>
              <w:top w:w="113" w:type="dxa"/>
              <w:left w:w="113" w:type="dxa"/>
              <w:bottom w:w="113" w:type="dxa"/>
              <w:right w:w="283" w:type="dxa"/>
            </w:tcMar>
            <w:vAlign w:val="bottom"/>
          </w:tcPr>
          <w:p w14:paraId="17BA1184" w14:textId="77777777" w:rsidR="00F14851" w:rsidRPr="003C44C7" w:rsidRDefault="00F14851" w:rsidP="00E30E24">
            <w:pPr>
              <w:pStyle w:val="TableText"/>
              <w:jc w:val="right"/>
            </w:pPr>
            <w:r w:rsidRPr="003C44C7">
              <w:t>133.66</w:t>
            </w:r>
          </w:p>
        </w:tc>
        <w:tc>
          <w:tcPr>
            <w:tcW w:w="1059" w:type="dxa"/>
            <w:shd w:val="clear" w:color="auto" w:fill="auto"/>
            <w:tcMar>
              <w:top w:w="113" w:type="dxa"/>
              <w:left w:w="113" w:type="dxa"/>
              <w:bottom w:w="113" w:type="dxa"/>
              <w:right w:w="283" w:type="dxa"/>
            </w:tcMar>
            <w:vAlign w:val="bottom"/>
          </w:tcPr>
          <w:p w14:paraId="583EB7CA" w14:textId="77777777" w:rsidR="00F14851" w:rsidRPr="003C44C7" w:rsidRDefault="00F14851" w:rsidP="00E30E24">
            <w:pPr>
              <w:pStyle w:val="TableText"/>
              <w:jc w:val="right"/>
            </w:pPr>
            <w:r w:rsidRPr="003C44C7">
              <w:t>130.90</w:t>
            </w:r>
          </w:p>
        </w:tc>
      </w:tr>
      <w:tr w:rsidR="00F14851" w:rsidRPr="003C44C7" w14:paraId="459EE357" w14:textId="77777777" w:rsidTr="00E30E24">
        <w:trPr>
          <w:trHeight w:val="255"/>
        </w:trPr>
        <w:tc>
          <w:tcPr>
            <w:tcW w:w="4677" w:type="dxa"/>
            <w:shd w:val="clear" w:color="auto" w:fill="auto"/>
            <w:tcMar>
              <w:top w:w="113" w:type="dxa"/>
              <w:left w:w="85" w:type="dxa"/>
              <w:bottom w:w="113" w:type="dxa"/>
              <w:right w:w="85" w:type="dxa"/>
            </w:tcMar>
            <w:vAlign w:val="bottom"/>
          </w:tcPr>
          <w:p w14:paraId="7FD4CCD3" w14:textId="77777777" w:rsidR="00F14851" w:rsidRPr="003C44C7" w:rsidRDefault="00F14851" w:rsidP="00E30E24">
            <w:pPr>
              <w:pStyle w:val="TableText"/>
            </w:pPr>
            <w:r w:rsidRPr="003C44C7">
              <w:t>Fluoroquinolones</w:t>
            </w:r>
          </w:p>
        </w:tc>
        <w:tc>
          <w:tcPr>
            <w:tcW w:w="1001" w:type="dxa"/>
            <w:shd w:val="clear" w:color="auto" w:fill="auto"/>
            <w:tcMar>
              <w:top w:w="113" w:type="dxa"/>
              <w:left w:w="57" w:type="dxa"/>
              <w:bottom w:w="113" w:type="dxa"/>
              <w:right w:w="170" w:type="dxa"/>
            </w:tcMar>
            <w:vAlign w:val="bottom"/>
          </w:tcPr>
          <w:p w14:paraId="21C2AF78" w14:textId="77777777" w:rsidR="00F14851" w:rsidRPr="003C44C7" w:rsidRDefault="00F14851" w:rsidP="00E30E24">
            <w:pPr>
              <w:pStyle w:val="TableText"/>
              <w:jc w:val="right"/>
            </w:pPr>
            <w:r w:rsidRPr="003C44C7">
              <w:t>53.37</w:t>
            </w:r>
          </w:p>
        </w:tc>
        <w:tc>
          <w:tcPr>
            <w:tcW w:w="956" w:type="dxa"/>
            <w:shd w:val="clear" w:color="auto" w:fill="auto"/>
            <w:tcMar>
              <w:top w:w="113" w:type="dxa"/>
              <w:left w:w="113" w:type="dxa"/>
              <w:bottom w:w="113" w:type="dxa"/>
              <w:right w:w="170" w:type="dxa"/>
            </w:tcMar>
            <w:vAlign w:val="bottom"/>
          </w:tcPr>
          <w:p w14:paraId="44D248F7" w14:textId="77777777" w:rsidR="00F14851" w:rsidRPr="003C44C7" w:rsidRDefault="00F14851" w:rsidP="00E30E24">
            <w:pPr>
              <w:pStyle w:val="TableText"/>
              <w:jc w:val="right"/>
            </w:pPr>
            <w:r w:rsidRPr="003C44C7">
              <w:t>51.06</w:t>
            </w:r>
          </w:p>
        </w:tc>
        <w:tc>
          <w:tcPr>
            <w:tcW w:w="956" w:type="dxa"/>
            <w:shd w:val="clear" w:color="auto" w:fill="auto"/>
            <w:tcMar>
              <w:top w:w="113" w:type="dxa"/>
              <w:left w:w="113" w:type="dxa"/>
              <w:bottom w:w="113" w:type="dxa"/>
              <w:right w:w="170" w:type="dxa"/>
            </w:tcMar>
            <w:vAlign w:val="bottom"/>
          </w:tcPr>
          <w:p w14:paraId="5245F250" w14:textId="77777777" w:rsidR="00F14851" w:rsidRPr="003C44C7" w:rsidRDefault="00F14851" w:rsidP="00E30E24">
            <w:pPr>
              <w:pStyle w:val="TableText"/>
              <w:jc w:val="right"/>
            </w:pPr>
            <w:r w:rsidRPr="003C44C7">
              <w:t>43.53</w:t>
            </w:r>
          </w:p>
        </w:tc>
        <w:tc>
          <w:tcPr>
            <w:tcW w:w="1025" w:type="dxa"/>
            <w:shd w:val="clear" w:color="auto" w:fill="auto"/>
            <w:tcMar>
              <w:top w:w="113" w:type="dxa"/>
              <w:left w:w="113" w:type="dxa"/>
              <w:bottom w:w="113" w:type="dxa"/>
              <w:right w:w="283" w:type="dxa"/>
            </w:tcMar>
            <w:vAlign w:val="bottom"/>
          </w:tcPr>
          <w:p w14:paraId="606DC4F2" w14:textId="77777777" w:rsidR="00F14851" w:rsidRPr="003C44C7" w:rsidRDefault="00F14851" w:rsidP="00E30E24">
            <w:pPr>
              <w:pStyle w:val="TableText"/>
              <w:jc w:val="right"/>
            </w:pPr>
            <w:r w:rsidRPr="003C44C7">
              <w:t>42.90</w:t>
            </w:r>
          </w:p>
        </w:tc>
        <w:tc>
          <w:tcPr>
            <w:tcW w:w="1059" w:type="dxa"/>
            <w:shd w:val="clear" w:color="auto" w:fill="auto"/>
            <w:tcMar>
              <w:top w:w="113" w:type="dxa"/>
              <w:left w:w="113" w:type="dxa"/>
              <w:bottom w:w="113" w:type="dxa"/>
              <w:right w:w="283" w:type="dxa"/>
            </w:tcMar>
            <w:vAlign w:val="bottom"/>
          </w:tcPr>
          <w:p w14:paraId="6E29689B" w14:textId="77777777" w:rsidR="00F14851" w:rsidRPr="003C44C7" w:rsidRDefault="00F14851" w:rsidP="00E30E24">
            <w:pPr>
              <w:pStyle w:val="TableText"/>
              <w:jc w:val="right"/>
            </w:pPr>
            <w:r w:rsidRPr="003C44C7">
              <w:t>39.21</w:t>
            </w:r>
          </w:p>
        </w:tc>
      </w:tr>
      <w:tr w:rsidR="00F14851" w:rsidRPr="003C44C7" w14:paraId="6D1F3E08" w14:textId="77777777" w:rsidTr="00E30E24">
        <w:trPr>
          <w:trHeight w:val="255"/>
        </w:trPr>
        <w:tc>
          <w:tcPr>
            <w:tcW w:w="4677" w:type="dxa"/>
            <w:shd w:val="clear" w:color="auto" w:fill="auto"/>
            <w:tcMar>
              <w:top w:w="113" w:type="dxa"/>
              <w:left w:w="85" w:type="dxa"/>
              <w:bottom w:w="113" w:type="dxa"/>
              <w:right w:w="85" w:type="dxa"/>
            </w:tcMar>
            <w:vAlign w:val="bottom"/>
          </w:tcPr>
          <w:p w14:paraId="7B846322" w14:textId="77777777" w:rsidR="00F14851" w:rsidRPr="003C44C7" w:rsidRDefault="00F14851" w:rsidP="00E30E24">
            <w:pPr>
              <w:pStyle w:val="TableText"/>
            </w:pPr>
            <w:r w:rsidRPr="003C44C7">
              <w:t>Fourth-generation cephalosporins</w:t>
            </w:r>
          </w:p>
        </w:tc>
        <w:tc>
          <w:tcPr>
            <w:tcW w:w="1001" w:type="dxa"/>
            <w:shd w:val="clear" w:color="auto" w:fill="auto"/>
            <w:tcMar>
              <w:top w:w="113" w:type="dxa"/>
              <w:left w:w="57" w:type="dxa"/>
              <w:bottom w:w="113" w:type="dxa"/>
              <w:right w:w="170" w:type="dxa"/>
            </w:tcMar>
            <w:vAlign w:val="bottom"/>
          </w:tcPr>
          <w:p w14:paraId="20DC0A16" w14:textId="77777777" w:rsidR="00F14851" w:rsidRPr="003C44C7" w:rsidRDefault="00F14851" w:rsidP="00E30E24">
            <w:pPr>
              <w:pStyle w:val="TableText"/>
              <w:jc w:val="right"/>
            </w:pPr>
            <w:r w:rsidRPr="003C44C7">
              <w:t>6.03</w:t>
            </w:r>
          </w:p>
        </w:tc>
        <w:tc>
          <w:tcPr>
            <w:tcW w:w="956" w:type="dxa"/>
            <w:shd w:val="clear" w:color="auto" w:fill="auto"/>
            <w:tcMar>
              <w:top w:w="113" w:type="dxa"/>
              <w:left w:w="113" w:type="dxa"/>
              <w:bottom w:w="113" w:type="dxa"/>
              <w:right w:w="170" w:type="dxa"/>
            </w:tcMar>
            <w:vAlign w:val="bottom"/>
          </w:tcPr>
          <w:p w14:paraId="347BB5D9" w14:textId="77777777" w:rsidR="00F14851" w:rsidRPr="003C44C7" w:rsidRDefault="00F14851" w:rsidP="00E30E24">
            <w:pPr>
              <w:pStyle w:val="TableText"/>
              <w:jc w:val="right"/>
            </w:pPr>
            <w:r w:rsidRPr="003C44C7">
              <w:t>5.49</w:t>
            </w:r>
          </w:p>
        </w:tc>
        <w:tc>
          <w:tcPr>
            <w:tcW w:w="956" w:type="dxa"/>
            <w:shd w:val="clear" w:color="auto" w:fill="auto"/>
            <w:tcMar>
              <w:top w:w="113" w:type="dxa"/>
              <w:left w:w="113" w:type="dxa"/>
              <w:bottom w:w="113" w:type="dxa"/>
              <w:right w:w="170" w:type="dxa"/>
            </w:tcMar>
            <w:vAlign w:val="bottom"/>
          </w:tcPr>
          <w:p w14:paraId="08FC2718" w14:textId="77777777" w:rsidR="00F14851" w:rsidRPr="003C44C7" w:rsidRDefault="00F14851" w:rsidP="00E30E24">
            <w:pPr>
              <w:pStyle w:val="TableText"/>
              <w:jc w:val="right"/>
            </w:pPr>
            <w:r w:rsidRPr="003C44C7">
              <w:t>5.21</w:t>
            </w:r>
          </w:p>
        </w:tc>
        <w:tc>
          <w:tcPr>
            <w:tcW w:w="1025" w:type="dxa"/>
            <w:shd w:val="clear" w:color="auto" w:fill="auto"/>
            <w:tcMar>
              <w:top w:w="113" w:type="dxa"/>
              <w:left w:w="113" w:type="dxa"/>
              <w:bottom w:w="113" w:type="dxa"/>
              <w:right w:w="283" w:type="dxa"/>
            </w:tcMar>
            <w:vAlign w:val="bottom"/>
          </w:tcPr>
          <w:p w14:paraId="4C746E5A" w14:textId="77777777" w:rsidR="00F14851" w:rsidRPr="003C44C7" w:rsidRDefault="00F14851" w:rsidP="00E30E24">
            <w:pPr>
              <w:pStyle w:val="TableText"/>
              <w:jc w:val="right"/>
            </w:pPr>
            <w:r w:rsidRPr="003C44C7">
              <w:t>5.24</w:t>
            </w:r>
          </w:p>
        </w:tc>
        <w:tc>
          <w:tcPr>
            <w:tcW w:w="1059" w:type="dxa"/>
            <w:shd w:val="clear" w:color="auto" w:fill="auto"/>
            <w:tcMar>
              <w:top w:w="113" w:type="dxa"/>
              <w:left w:w="113" w:type="dxa"/>
              <w:bottom w:w="113" w:type="dxa"/>
              <w:right w:w="283" w:type="dxa"/>
            </w:tcMar>
            <w:vAlign w:val="bottom"/>
          </w:tcPr>
          <w:p w14:paraId="29BA5A19" w14:textId="77777777" w:rsidR="00F14851" w:rsidRPr="003C44C7" w:rsidRDefault="00F14851" w:rsidP="00E30E24">
            <w:pPr>
              <w:pStyle w:val="TableText"/>
              <w:jc w:val="right"/>
            </w:pPr>
            <w:r w:rsidRPr="003C44C7">
              <w:t>5.50</w:t>
            </w:r>
          </w:p>
        </w:tc>
      </w:tr>
      <w:tr w:rsidR="00F14851" w:rsidRPr="003C44C7" w14:paraId="59E47DCE" w14:textId="77777777" w:rsidTr="00E30E24">
        <w:trPr>
          <w:trHeight w:val="255"/>
        </w:trPr>
        <w:tc>
          <w:tcPr>
            <w:tcW w:w="4677" w:type="dxa"/>
            <w:shd w:val="clear" w:color="auto" w:fill="auto"/>
            <w:tcMar>
              <w:top w:w="113" w:type="dxa"/>
              <w:left w:w="85" w:type="dxa"/>
              <w:bottom w:w="113" w:type="dxa"/>
              <w:right w:w="85" w:type="dxa"/>
            </w:tcMar>
            <w:vAlign w:val="bottom"/>
          </w:tcPr>
          <w:p w14:paraId="629BA7A6" w14:textId="77777777" w:rsidR="00F14851" w:rsidRPr="003C44C7" w:rsidRDefault="00F14851" w:rsidP="00E30E24">
            <w:pPr>
              <w:pStyle w:val="TableText"/>
            </w:pPr>
            <w:r w:rsidRPr="003C44C7">
              <w:t>Glycopeptides</w:t>
            </w:r>
          </w:p>
        </w:tc>
        <w:tc>
          <w:tcPr>
            <w:tcW w:w="1001" w:type="dxa"/>
            <w:shd w:val="clear" w:color="auto" w:fill="auto"/>
            <w:tcMar>
              <w:top w:w="113" w:type="dxa"/>
              <w:left w:w="57" w:type="dxa"/>
              <w:bottom w:w="113" w:type="dxa"/>
              <w:right w:w="170" w:type="dxa"/>
            </w:tcMar>
            <w:vAlign w:val="bottom"/>
          </w:tcPr>
          <w:p w14:paraId="087B7721" w14:textId="77777777" w:rsidR="00F14851" w:rsidRPr="003C44C7" w:rsidRDefault="00F14851" w:rsidP="00E30E24">
            <w:pPr>
              <w:pStyle w:val="TableText"/>
              <w:jc w:val="right"/>
            </w:pPr>
            <w:r w:rsidRPr="003C44C7">
              <w:t>31.34</w:t>
            </w:r>
          </w:p>
        </w:tc>
        <w:tc>
          <w:tcPr>
            <w:tcW w:w="956" w:type="dxa"/>
            <w:shd w:val="clear" w:color="auto" w:fill="auto"/>
            <w:tcMar>
              <w:top w:w="113" w:type="dxa"/>
              <w:left w:w="113" w:type="dxa"/>
              <w:bottom w:w="113" w:type="dxa"/>
              <w:right w:w="170" w:type="dxa"/>
            </w:tcMar>
            <w:vAlign w:val="bottom"/>
          </w:tcPr>
          <w:p w14:paraId="0395EF14" w14:textId="77777777" w:rsidR="00F14851" w:rsidRPr="003C44C7" w:rsidRDefault="00F14851" w:rsidP="00E30E24">
            <w:pPr>
              <w:pStyle w:val="TableText"/>
              <w:jc w:val="right"/>
            </w:pPr>
            <w:r w:rsidRPr="003C44C7">
              <w:t>32.05</w:t>
            </w:r>
          </w:p>
        </w:tc>
        <w:tc>
          <w:tcPr>
            <w:tcW w:w="956" w:type="dxa"/>
            <w:shd w:val="clear" w:color="auto" w:fill="auto"/>
            <w:tcMar>
              <w:top w:w="113" w:type="dxa"/>
              <w:left w:w="113" w:type="dxa"/>
              <w:bottom w:w="113" w:type="dxa"/>
              <w:right w:w="170" w:type="dxa"/>
            </w:tcMar>
            <w:vAlign w:val="bottom"/>
          </w:tcPr>
          <w:p w14:paraId="2A018DAF" w14:textId="77777777" w:rsidR="00F14851" w:rsidRPr="003C44C7" w:rsidRDefault="00F14851" w:rsidP="00E30E24">
            <w:pPr>
              <w:pStyle w:val="TableText"/>
              <w:jc w:val="right"/>
            </w:pPr>
            <w:r w:rsidRPr="003C44C7">
              <w:t>29.65</w:t>
            </w:r>
          </w:p>
        </w:tc>
        <w:tc>
          <w:tcPr>
            <w:tcW w:w="1025" w:type="dxa"/>
            <w:shd w:val="clear" w:color="auto" w:fill="auto"/>
            <w:tcMar>
              <w:top w:w="113" w:type="dxa"/>
              <w:left w:w="113" w:type="dxa"/>
              <w:bottom w:w="113" w:type="dxa"/>
              <w:right w:w="283" w:type="dxa"/>
            </w:tcMar>
            <w:vAlign w:val="bottom"/>
          </w:tcPr>
          <w:p w14:paraId="18A54DFD" w14:textId="77777777" w:rsidR="00F14851" w:rsidRPr="003C44C7" w:rsidRDefault="00F14851" w:rsidP="00E30E24">
            <w:pPr>
              <w:pStyle w:val="TableText"/>
              <w:jc w:val="right"/>
            </w:pPr>
            <w:r w:rsidRPr="003C44C7">
              <w:t>28.95</w:t>
            </w:r>
          </w:p>
        </w:tc>
        <w:tc>
          <w:tcPr>
            <w:tcW w:w="1059" w:type="dxa"/>
            <w:shd w:val="clear" w:color="auto" w:fill="auto"/>
            <w:tcMar>
              <w:top w:w="113" w:type="dxa"/>
              <w:left w:w="113" w:type="dxa"/>
              <w:bottom w:w="113" w:type="dxa"/>
              <w:right w:w="283" w:type="dxa"/>
            </w:tcMar>
            <w:vAlign w:val="bottom"/>
          </w:tcPr>
          <w:p w14:paraId="18ADAD77" w14:textId="77777777" w:rsidR="00F14851" w:rsidRPr="003C44C7" w:rsidRDefault="00F14851" w:rsidP="00E30E24">
            <w:pPr>
              <w:pStyle w:val="TableText"/>
              <w:jc w:val="right"/>
            </w:pPr>
            <w:r w:rsidRPr="003C44C7">
              <w:t>26.01</w:t>
            </w:r>
          </w:p>
        </w:tc>
      </w:tr>
      <w:tr w:rsidR="00F14851" w:rsidRPr="003C44C7" w14:paraId="0295AAA0" w14:textId="77777777" w:rsidTr="00E30E24">
        <w:trPr>
          <w:trHeight w:val="255"/>
        </w:trPr>
        <w:tc>
          <w:tcPr>
            <w:tcW w:w="4677" w:type="dxa"/>
            <w:shd w:val="clear" w:color="auto" w:fill="auto"/>
            <w:tcMar>
              <w:top w:w="113" w:type="dxa"/>
              <w:left w:w="85" w:type="dxa"/>
              <w:bottom w:w="113" w:type="dxa"/>
              <w:right w:w="85" w:type="dxa"/>
            </w:tcMar>
            <w:vAlign w:val="bottom"/>
          </w:tcPr>
          <w:p w14:paraId="2DBB1DEE" w14:textId="77777777" w:rsidR="00F14851" w:rsidRPr="003C44C7" w:rsidRDefault="00F14851" w:rsidP="00E30E24">
            <w:pPr>
              <w:pStyle w:val="TableText"/>
            </w:pPr>
            <w:r w:rsidRPr="003C44C7">
              <w:t>Lincosamides</w:t>
            </w:r>
          </w:p>
        </w:tc>
        <w:tc>
          <w:tcPr>
            <w:tcW w:w="1001" w:type="dxa"/>
            <w:shd w:val="clear" w:color="auto" w:fill="auto"/>
            <w:tcMar>
              <w:top w:w="113" w:type="dxa"/>
              <w:left w:w="57" w:type="dxa"/>
              <w:bottom w:w="113" w:type="dxa"/>
              <w:right w:w="170" w:type="dxa"/>
            </w:tcMar>
            <w:vAlign w:val="bottom"/>
          </w:tcPr>
          <w:p w14:paraId="7E7801FB" w14:textId="77777777" w:rsidR="00F14851" w:rsidRPr="003C44C7" w:rsidRDefault="00F14851" w:rsidP="00E30E24">
            <w:pPr>
              <w:pStyle w:val="TableText"/>
              <w:jc w:val="right"/>
            </w:pPr>
            <w:r w:rsidRPr="003C44C7">
              <w:t>12.96</w:t>
            </w:r>
          </w:p>
        </w:tc>
        <w:tc>
          <w:tcPr>
            <w:tcW w:w="956" w:type="dxa"/>
            <w:shd w:val="clear" w:color="auto" w:fill="auto"/>
            <w:tcMar>
              <w:top w:w="113" w:type="dxa"/>
              <w:left w:w="113" w:type="dxa"/>
              <w:bottom w:w="113" w:type="dxa"/>
              <w:right w:w="170" w:type="dxa"/>
            </w:tcMar>
            <w:vAlign w:val="bottom"/>
          </w:tcPr>
          <w:p w14:paraId="5CF1082C" w14:textId="77777777" w:rsidR="00F14851" w:rsidRPr="003C44C7" w:rsidRDefault="00F14851" w:rsidP="00E30E24">
            <w:pPr>
              <w:pStyle w:val="TableText"/>
              <w:jc w:val="right"/>
            </w:pPr>
            <w:r w:rsidRPr="003C44C7">
              <w:t>13.93</w:t>
            </w:r>
          </w:p>
        </w:tc>
        <w:tc>
          <w:tcPr>
            <w:tcW w:w="956" w:type="dxa"/>
            <w:shd w:val="clear" w:color="auto" w:fill="auto"/>
            <w:tcMar>
              <w:top w:w="113" w:type="dxa"/>
              <w:left w:w="113" w:type="dxa"/>
              <w:bottom w:w="113" w:type="dxa"/>
              <w:right w:w="170" w:type="dxa"/>
            </w:tcMar>
            <w:vAlign w:val="bottom"/>
          </w:tcPr>
          <w:p w14:paraId="25D361EB" w14:textId="77777777" w:rsidR="00F14851" w:rsidRPr="003C44C7" w:rsidRDefault="00F14851" w:rsidP="00E30E24">
            <w:pPr>
              <w:pStyle w:val="TableText"/>
              <w:jc w:val="right"/>
            </w:pPr>
            <w:r w:rsidRPr="003C44C7">
              <w:t>14.06</w:t>
            </w:r>
          </w:p>
        </w:tc>
        <w:tc>
          <w:tcPr>
            <w:tcW w:w="1025" w:type="dxa"/>
            <w:shd w:val="clear" w:color="auto" w:fill="auto"/>
            <w:tcMar>
              <w:top w:w="113" w:type="dxa"/>
              <w:left w:w="113" w:type="dxa"/>
              <w:bottom w:w="113" w:type="dxa"/>
              <w:right w:w="283" w:type="dxa"/>
            </w:tcMar>
            <w:vAlign w:val="bottom"/>
          </w:tcPr>
          <w:p w14:paraId="3960375C" w14:textId="77777777" w:rsidR="00F14851" w:rsidRPr="003C44C7" w:rsidRDefault="00F14851" w:rsidP="00E30E24">
            <w:pPr>
              <w:pStyle w:val="TableText"/>
              <w:jc w:val="right"/>
            </w:pPr>
            <w:r w:rsidRPr="003C44C7">
              <w:t>15.59</w:t>
            </w:r>
          </w:p>
        </w:tc>
        <w:tc>
          <w:tcPr>
            <w:tcW w:w="1059" w:type="dxa"/>
            <w:shd w:val="clear" w:color="auto" w:fill="auto"/>
            <w:tcMar>
              <w:top w:w="113" w:type="dxa"/>
              <w:left w:w="113" w:type="dxa"/>
              <w:bottom w:w="113" w:type="dxa"/>
              <w:right w:w="283" w:type="dxa"/>
            </w:tcMar>
            <w:vAlign w:val="bottom"/>
          </w:tcPr>
          <w:p w14:paraId="3B3886BC" w14:textId="77777777" w:rsidR="00F14851" w:rsidRPr="003C44C7" w:rsidRDefault="00F14851" w:rsidP="00E30E24">
            <w:pPr>
              <w:pStyle w:val="TableText"/>
              <w:jc w:val="right"/>
            </w:pPr>
            <w:r w:rsidRPr="003C44C7">
              <w:t>14.93</w:t>
            </w:r>
          </w:p>
        </w:tc>
      </w:tr>
      <w:tr w:rsidR="00F14851" w:rsidRPr="003C44C7" w14:paraId="256A3E54" w14:textId="77777777" w:rsidTr="00E30E24">
        <w:trPr>
          <w:trHeight w:val="255"/>
        </w:trPr>
        <w:tc>
          <w:tcPr>
            <w:tcW w:w="4677" w:type="dxa"/>
            <w:shd w:val="clear" w:color="auto" w:fill="auto"/>
            <w:tcMar>
              <w:top w:w="113" w:type="dxa"/>
              <w:left w:w="85" w:type="dxa"/>
              <w:bottom w:w="113" w:type="dxa"/>
              <w:right w:w="85" w:type="dxa"/>
            </w:tcMar>
            <w:vAlign w:val="bottom"/>
          </w:tcPr>
          <w:p w14:paraId="42BF64D0" w14:textId="77777777" w:rsidR="00F14851" w:rsidRPr="003C44C7" w:rsidRDefault="00F14851" w:rsidP="00E30E24">
            <w:pPr>
              <w:pStyle w:val="TableText"/>
            </w:pPr>
            <w:r w:rsidRPr="003C44C7">
              <w:t>Macrolides</w:t>
            </w:r>
          </w:p>
        </w:tc>
        <w:tc>
          <w:tcPr>
            <w:tcW w:w="1001" w:type="dxa"/>
            <w:shd w:val="clear" w:color="auto" w:fill="auto"/>
            <w:tcMar>
              <w:top w:w="113" w:type="dxa"/>
              <w:left w:w="57" w:type="dxa"/>
              <w:bottom w:w="113" w:type="dxa"/>
              <w:right w:w="170" w:type="dxa"/>
            </w:tcMar>
            <w:vAlign w:val="bottom"/>
          </w:tcPr>
          <w:p w14:paraId="438B4B3E" w14:textId="77777777" w:rsidR="00F14851" w:rsidRPr="003C44C7" w:rsidRDefault="00F14851" w:rsidP="00E30E24">
            <w:pPr>
              <w:pStyle w:val="TableText"/>
              <w:jc w:val="right"/>
            </w:pPr>
            <w:r w:rsidRPr="003C44C7">
              <w:t>86.17</w:t>
            </w:r>
          </w:p>
        </w:tc>
        <w:tc>
          <w:tcPr>
            <w:tcW w:w="956" w:type="dxa"/>
            <w:shd w:val="clear" w:color="auto" w:fill="auto"/>
            <w:tcMar>
              <w:top w:w="113" w:type="dxa"/>
              <w:left w:w="113" w:type="dxa"/>
              <w:bottom w:w="113" w:type="dxa"/>
              <w:right w:w="170" w:type="dxa"/>
            </w:tcMar>
            <w:vAlign w:val="bottom"/>
          </w:tcPr>
          <w:p w14:paraId="51D26589" w14:textId="77777777" w:rsidR="00F14851" w:rsidRPr="003C44C7" w:rsidRDefault="00F14851" w:rsidP="00E30E24">
            <w:pPr>
              <w:pStyle w:val="TableText"/>
              <w:jc w:val="right"/>
            </w:pPr>
            <w:r w:rsidRPr="003C44C7">
              <w:t>85.38</w:t>
            </w:r>
          </w:p>
        </w:tc>
        <w:tc>
          <w:tcPr>
            <w:tcW w:w="956" w:type="dxa"/>
            <w:shd w:val="clear" w:color="auto" w:fill="auto"/>
            <w:tcMar>
              <w:top w:w="113" w:type="dxa"/>
              <w:left w:w="113" w:type="dxa"/>
              <w:bottom w:w="113" w:type="dxa"/>
              <w:right w:w="170" w:type="dxa"/>
            </w:tcMar>
            <w:vAlign w:val="bottom"/>
          </w:tcPr>
          <w:p w14:paraId="0F8E14B6" w14:textId="77777777" w:rsidR="00F14851" w:rsidRPr="003C44C7" w:rsidRDefault="00F14851" w:rsidP="00E30E24">
            <w:pPr>
              <w:pStyle w:val="TableText"/>
              <w:jc w:val="right"/>
            </w:pPr>
            <w:r w:rsidRPr="003C44C7">
              <w:t>80.49</w:t>
            </w:r>
          </w:p>
        </w:tc>
        <w:tc>
          <w:tcPr>
            <w:tcW w:w="1025" w:type="dxa"/>
            <w:shd w:val="clear" w:color="auto" w:fill="auto"/>
            <w:tcMar>
              <w:top w:w="113" w:type="dxa"/>
              <w:left w:w="113" w:type="dxa"/>
              <w:bottom w:w="113" w:type="dxa"/>
              <w:right w:w="283" w:type="dxa"/>
            </w:tcMar>
            <w:vAlign w:val="bottom"/>
          </w:tcPr>
          <w:p w14:paraId="58BD38B9" w14:textId="77777777" w:rsidR="00F14851" w:rsidRPr="003C44C7" w:rsidRDefault="00F14851" w:rsidP="00E30E24">
            <w:pPr>
              <w:pStyle w:val="TableText"/>
              <w:jc w:val="right"/>
            </w:pPr>
            <w:r w:rsidRPr="003C44C7">
              <w:t>71.81</w:t>
            </w:r>
          </w:p>
        </w:tc>
        <w:tc>
          <w:tcPr>
            <w:tcW w:w="1059" w:type="dxa"/>
            <w:shd w:val="clear" w:color="auto" w:fill="auto"/>
            <w:tcMar>
              <w:top w:w="113" w:type="dxa"/>
              <w:left w:w="113" w:type="dxa"/>
              <w:bottom w:w="113" w:type="dxa"/>
              <w:right w:w="283" w:type="dxa"/>
            </w:tcMar>
            <w:vAlign w:val="bottom"/>
          </w:tcPr>
          <w:p w14:paraId="6E35EA4B" w14:textId="77777777" w:rsidR="00F14851" w:rsidRPr="003C44C7" w:rsidRDefault="00F14851" w:rsidP="00E30E24">
            <w:pPr>
              <w:pStyle w:val="TableText"/>
              <w:jc w:val="right"/>
            </w:pPr>
            <w:r w:rsidRPr="003C44C7">
              <w:t>67.13</w:t>
            </w:r>
          </w:p>
        </w:tc>
      </w:tr>
      <w:tr w:rsidR="00F14851" w:rsidRPr="003C44C7" w14:paraId="01154BAE" w14:textId="77777777" w:rsidTr="00E30E24">
        <w:trPr>
          <w:trHeight w:val="255"/>
        </w:trPr>
        <w:tc>
          <w:tcPr>
            <w:tcW w:w="4677" w:type="dxa"/>
            <w:shd w:val="clear" w:color="auto" w:fill="auto"/>
            <w:tcMar>
              <w:top w:w="113" w:type="dxa"/>
              <w:left w:w="85" w:type="dxa"/>
              <w:bottom w:w="113" w:type="dxa"/>
              <w:right w:w="85" w:type="dxa"/>
            </w:tcMar>
            <w:vAlign w:val="bottom"/>
          </w:tcPr>
          <w:p w14:paraId="77E5D263" w14:textId="77777777" w:rsidR="00F14851" w:rsidRPr="003C44C7" w:rsidRDefault="00F14851" w:rsidP="00E30E24">
            <w:pPr>
              <w:pStyle w:val="TableText"/>
            </w:pPr>
            <w:r w:rsidRPr="003C44C7">
              <w:t>Monobactams</w:t>
            </w:r>
          </w:p>
        </w:tc>
        <w:tc>
          <w:tcPr>
            <w:tcW w:w="1001" w:type="dxa"/>
            <w:shd w:val="clear" w:color="auto" w:fill="auto"/>
            <w:tcMar>
              <w:top w:w="113" w:type="dxa"/>
              <w:left w:w="57" w:type="dxa"/>
              <w:bottom w:w="113" w:type="dxa"/>
              <w:right w:w="170" w:type="dxa"/>
            </w:tcMar>
            <w:vAlign w:val="bottom"/>
          </w:tcPr>
          <w:p w14:paraId="46C510CF" w14:textId="77777777" w:rsidR="00F14851" w:rsidRPr="003C44C7" w:rsidRDefault="00F14851" w:rsidP="00E30E24">
            <w:pPr>
              <w:pStyle w:val="TableText"/>
              <w:jc w:val="right"/>
            </w:pPr>
            <w:r w:rsidRPr="003C44C7">
              <w:t>0.20</w:t>
            </w:r>
          </w:p>
        </w:tc>
        <w:tc>
          <w:tcPr>
            <w:tcW w:w="956" w:type="dxa"/>
            <w:shd w:val="clear" w:color="auto" w:fill="auto"/>
            <w:tcMar>
              <w:top w:w="113" w:type="dxa"/>
              <w:left w:w="113" w:type="dxa"/>
              <w:bottom w:w="113" w:type="dxa"/>
              <w:right w:w="170" w:type="dxa"/>
            </w:tcMar>
            <w:vAlign w:val="bottom"/>
          </w:tcPr>
          <w:p w14:paraId="11229DF5" w14:textId="77777777" w:rsidR="00F14851" w:rsidRPr="003C44C7" w:rsidRDefault="00F14851" w:rsidP="00E30E24">
            <w:pPr>
              <w:pStyle w:val="TableText"/>
              <w:jc w:val="right"/>
            </w:pPr>
            <w:r w:rsidRPr="003C44C7">
              <w:t>0.18</w:t>
            </w:r>
          </w:p>
        </w:tc>
        <w:tc>
          <w:tcPr>
            <w:tcW w:w="956" w:type="dxa"/>
            <w:shd w:val="clear" w:color="auto" w:fill="auto"/>
            <w:tcMar>
              <w:top w:w="113" w:type="dxa"/>
              <w:left w:w="113" w:type="dxa"/>
              <w:bottom w:w="113" w:type="dxa"/>
              <w:right w:w="170" w:type="dxa"/>
            </w:tcMar>
            <w:vAlign w:val="bottom"/>
          </w:tcPr>
          <w:p w14:paraId="781281CA" w14:textId="77777777" w:rsidR="00F14851" w:rsidRPr="003C44C7" w:rsidRDefault="00F14851" w:rsidP="00E30E24">
            <w:pPr>
              <w:pStyle w:val="TableText"/>
              <w:jc w:val="right"/>
            </w:pPr>
            <w:r w:rsidRPr="003C44C7">
              <w:t>0.36</w:t>
            </w:r>
          </w:p>
        </w:tc>
        <w:tc>
          <w:tcPr>
            <w:tcW w:w="1025" w:type="dxa"/>
            <w:shd w:val="clear" w:color="auto" w:fill="auto"/>
            <w:tcMar>
              <w:top w:w="113" w:type="dxa"/>
              <w:left w:w="113" w:type="dxa"/>
              <w:bottom w:w="113" w:type="dxa"/>
              <w:right w:w="283" w:type="dxa"/>
            </w:tcMar>
            <w:vAlign w:val="bottom"/>
          </w:tcPr>
          <w:p w14:paraId="790A0EA7" w14:textId="77777777" w:rsidR="00F14851" w:rsidRPr="003C44C7" w:rsidRDefault="00F14851" w:rsidP="00E30E24">
            <w:pPr>
              <w:pStyle w:val="TableText"/>
              <w:jc w:val="right"/>
            </w:pPr>
            <w:r w:rsidRPr="003C44C7">
              <w:t>0.42</w:t>
            </w:r>
          </w:p>
        </w:tc>
        <w:tc>
          <w:tcPr>
            <w:tcW w:w="1059" w:type="dxa"/>
            <w:shd w:val="clear" w:color="auto" w:fill="auto"/>
            <w:tcMar>
              <w:top w:w="113" w:type="dxa"/>
              <w:left w:w="113" w:type="dxa"/>
              <w:bottom w:w="113" w:type="dxa"/>
              <w:right w:w="283" w:type="dxa"/>
            </w:tcMar>
            <w:vAlign w:val="bottom"/>
          </w:tcPr>
          <w:p w14:paraId="11E108A5" w14:textId="77777777" w:rsidR="00F14851" w:rsidRPr="003C44C7" w:rsidRDefault="00F14851" w:rsidP="00E30E24">
            <w:pPr>
              <w:pStyle w:val="TableText"/>
              <w:jc w:val="right"/>
            </w:pPr>
            <w:r w:rsidRPr="003C44C7">
              <w:t>0.45</w:t>
            </w:r>
          </w:p>
        </w:tc>
      </w:tr>
      <w:tr w:rsidR="00F14851" w:rsidRPr="003C44C7" w14:paraId="78615F37" w14:textId="77777777" w:rsidTr="00E30E24">
        <w:trPr>
          <w:trHeight w:val="255"/>
        </w:trPr>
        <w:tc>
          <w:tcPr>
            <w:tcW w:w="4677" w:type="dxa"/>
            <w:shd w:val="clear" w:color="auto" w:fill="auto"/>
            <w:tcMar>
              <w:top w:w="113" w:type="dxa"/>
              <w:left w:w="85" w:type="dxa"/>
              <w:bottom w:w="113" w:type="dxa"/>
              <w:right w:w="85" w:type="dxa"/>
            </w:tcMar>
            <w:vAlign w:val="bottom"/>
          </w:tcPr>
          <w:p w14:paraId="29050C5B" w14:textId="77777777" w:rsidR="00F14851" w:rsidRPr="003C44C7" w:rsidRDefault="00F14851" w:rsidP="00E30E24">
            <w:pPr>
              <w:pStyle w:val="TableText"/>
            </w:pPr>
            <w:r w:rsidRPr="003C44C7">
              <w:t>Nitrofurans</w:t>
            </w:r>
          </w:p>
        </w:tc>
        <w:tc>
          <w:tcPr>
            <w:tcW w:w="1001" w:type="dxa"/>
            <w:shd w:val="clear" w:color="auto" w:fill="auto"/>
            <w:tcMar>
              <w:top w:w="113" w:type="dxa"/>
              <w:left w:w="57" w:type="dxa"/>
              <w:bottom w:w="113" w:type="dxa"/>
              <w:right w:w="170" w:type="dxa"/>
            </w:tcMar>
            <w:vAlign w:val="bottom"/>
          </w:tcPr>
          <w:p w14:paraId="41B7D71A" w14:textId="77777777" w:rsidR="00F14851" w:rsidRPr="003C44C7" w:rsidRDefault="00F14851" w:rsidP="00E30E24">
            <w:pPr>
              <w:pStyle w:val="TableText"/>
              <w:jc w:val="right"/>
            </w:pPr>
            <w:r w:rsidRPr="003C44C7">
              <w:t>1.23</w:t>
            </w:r>
          </w:p>
        </w:tc>
        <w:tc>
          <w:tcPr>
            <w:tcW w:w="956" w:type="dxa"/>
            <w:shd w:val="clear" w:color="auto" w:fill="auto"/>
            <w:tcMar>
              <w:top w:w="113" w:type="dxa"/>
              <w:left w:w="113" w:type="dxa"/>
              <w:bottom w:w="113" w:type="dxa"/>
              <w:right w:w="170" w:type="dxa"/>
            </w:tcMar>
            <w:vAlign w:val="bottom"/>
          </w:tcPr>
          <w:p w14:paraId="44C3CFD5" w14:textId="77777777" w:rsidR="00F14851" w:rsidRPr="003C44C7" w:rsidRDefault="00F14851" w:rsidP="00E30E24">
            <w:pPr>
              <w:pStyle w:val="TableText"/>
              <w:jc w:val="right"/>
            </w:pPr>
            <w:r w:rsidRPr="003C44C7">
              <w:t>1.11</w:t>
            </w:r>
          </w:p>
        </w:tc>
        <w:tc>
          <w:tcPr>
            <w:tcW w:w="956" w:type="dxa"/>
            <w:shd w:val="clear" w:color="auto" w:fill="auto"/>
            <w:tcMar>
              <w:top w:w="113" w:type="dxa"/>
              <w:left w:w="113" w:type="dxa"/>
              <w:bottom w:w="113" w:type="dxa"/>
              <w:right w:w="170" w:type="dxa"/>
            </w:tcMar>
            <w:vAlign w:val="bottom"/>
          </w:tcPr>
          <w:p w14:paraId="2708F632" w14:textId="77777777" w:rsidR="00F14851" w:rsidRPr="003C44C7" w:rsidRDefault="00F14851" w:rsidP="00E30E24">
            <w:pPr>
              <w:pStyle w:val="TableText"/>
              <w:jc w:val="right"/>
            </w:pPr>
            <w:r w:rsidRPr="003C44C7">
              <w:t>0.87</w:t>
            </w:r>
          </w:p>
        </w:tc>
        <w:tc>
          <w:tcPr>
            <w:tcW w:w="1025" w:type="dxa"/>
            <w:shd w:val="clear" w:color="auto" w:fill="auto"/>
            <w:tcMar>
              <w:top w:w="113" w:type="dxa"/>
              <w:left w:w="113" w:type="dxa"/>
              <w:bottom w:w="113" w:type="dxa"/>
              <w:right w:w="283" w:type="dxa"/>
            </w:tcMar>
            <w:vAlign w:val="bottom"/>
          </w:tcPr>
          <w:p w14:paraId="1DD9B183" w14:textId="77777777" w:rsidR="00F14851" w:rsidRPr="003C44C7" w:rsidRDefault="00F14851" w:rsidP="00E30E24">
            <w:pPr>
              <w:pStyle w:val="TableText"/>
              <w:jc w:val="right"/>
            </w:pPr>
            <w:r w:rsidRPr="003C44C7">
              <w:t>0.88</w:t>
            </w:r>
          </w:p>
        </w:tc>
        <w:tc>
          <w:tcPr>
            <w:tcW w:w="1059" w:type="dxa"/>
            <w:shd w:val="clear" w:color="auto" w:fill="auto"/>
            <w:tcMar>
              <w:top w:w="113" w:type="dxa"/>
              <w:left w:w="113" w:type="dxa"/>
              <w:bottom w:w="113" w:type="dxa"/>
              <w:right w:w="283" w:type="dxa"/>
            </w:tcMar>
            <w:vAlign w:val="bottom"/>
          </w:tcPr>
          <w:p w14:paraId="437B9DCB" w14:textId="77777777" w:rsidR="00F14851" w:rsidRPr="003C44C7" w:rsidRDefault="00F14851" w:rsidP="00E30E24">
            <w:pPr>
              <w:pStyle w:val="TableText"/>
              <w:jc w:val="right"/>
            </w:pPr>
            <w:r w:rsidRPr="003C44C7">
              <w:t>0.81</w:t>
            </w:r>
          </w:p>
        </w:tc>
      </w:tr>
      <w:tr w:rsidR="00F14851" w:rsidRPr="003C44C7" w14:paraId="29C3DEA4" w14:textId="77777777" w:rsidTr="00E30E24">
        <w:trPr>
          <w:trHeight w:val="255"/>
        </w:trPr>
        <w:tc>
          <w:tcPr>
            <w:tcW w:w="4677" w:type="dxa"/>
            <w:shd w:val="clear" w:color="auto" w:fill="auto"/>
            <w:tcMar>
              <w:top w:w="113" w:type="dxa"/>
              <w:left w:w="85" w:type="dxa"/>
              <w:bottom w:w="113" w:type="dxa"/>
              <w:right w:w="85" w:type="dxa"/>
            </w:tcMar>
            <w:vAlign w:val="bottom"/>
          </w:tcPr>
          <w:p w14:paraId="4A8EC574" w14:textId="77777777" w:rsidR="00F14851" w:rsidRPr="003C44C7" w:rsidRDefault="00F14851" w:rsidP="00E30E24">
            <w:pPr>
              <w:pStyle w:val="TableText"/>
            </w:pPr>
            <w:r w:rsidRPr="003C44C7">
              <w:t>Nitroimidazoles</w:t>
            </w:r>
          </w:p>
        </w:tc>
        <w:tc>
          <w:tcPr>
            <w:tcW w:w="1001" w:type="dxa"/>
            <w:shd w:val="clear" w:color="auto" w:fill="auto"/>
            <w:tcMar>
              <w:top w:w="113" w:type="dxa"/>
              <w:left w:w="57" w:type="dxa"/>
              <w:bottom w:w="113" w:type="dxa"/>
              <w:right w:w="170" w:type="dxa"/>
            </w:tcMar>
            <w:vAlign w:val="bottom"/>
          </w:tcPr>
          <w:p w14:paraId="6239D25F" w14:textId="77777777" w:rsidR="00F14851" w:rsidRPr="003C44C7" w:rsidRDefault="00F14851" w:rsidP="00E30E24">
            <w:pPr>
              <w:pStyle w:val="TableText"/>
              <w:jc w:val="right"/>
            </w:pPr>
            <w:r w:rsidRPr="003C44C7">
              <w:t>51.65</w:t>
            </w:r>
          </w:p>
        </w:tc>
        <w:tc>
          <w:tcPr>
            <w:tcW w:w="956" w:type="dxa"/>
            <w:shd w:val="clear" w:color="auto" w:fill="auto"/>
            <w:tcMar>
              <w:top w:w="113" w:type="dxa"/>
              <w:left w:w="113" w:type="dxa"/>
              <w:bottom w:w="113" w:type="dxa"/>
              <w:right w:w="170" w:type="dxa"/>
            </w:tcMar>
            <w:vAlign w:val="bottom"/>
          </w:tcPr>
          <w:p w14:paraId="5F48818B" w14:textId="77777777" w:rsidR="00F14851" w:rsidRPr="003C44C7" w:rsidRDefault="00F14851" w:rsidP="00E30E24">
            <w:pPr>
              <w:pStyle w:val="TableText"/>
              <w:jc w:val="right"/>
            </w:pPr>
            <w:r w:rsidRPr="003C44C7">
              <w:t>52.77</w:t>
            </w:r>
          </w:p>
        </w:tc>
        <w:tc>
          <w:tcPr>
            <w:tcW w:w="956" w:type="dxa"/>
            <w:shd w:val="clear" w:color="auto" w:fill="auto"/>
            <w:tcMar>
              <w:top w:w="113" w:type="dxa"/>
              <w:left w:w="113" w:type="dxa"/>
              <w:bottom w:w="113" w:type="dxa"/>
              <w:right w:w="170" w:type="dxa"/>
            </w:tcMar>
            <w:vAlign w:val="bottom"/>
          </w:tcPr>
          <w:p w14:paraId="7B9E9513" w14:textId="77777777" w:rsidR="00F14851" w:rsidRPr="003C44C7" w:rsidRDefault="00F14851" w:rsidP="00E30E24">
            <w:pPr>
              <w:pStyle w:val="TableText"/>
              <w:jc w:val="right"/>
            </w:pPr>
            <w:r w:rsidRPr="003C44C7">
              <w:t>47.71</w:t>
            </w:r>
          </w:p>
        </w:tc>
        <w:tc>
          <w:tcPr>
            <w:tcW w:w="1025" w:type="dxa"/>
            <w:shd w:val="clear" w:color="auto" w:fill="auto"/>
            <w:tcMar>
              <w:top w:w="113" w:type="dxa"/>
              <w:left w:w="113" w:type="dxa"/>
              <w:bottom w:w="113" w:type="dxa"/>
              <w:right w:w="283" w:type="dxa"/>
            </w:tcMar>
            <w:vAlign w:val="bottom"/>
          </w:tcPr>
          <w:p w14:paraId="0DC9E31B" w14:textId="77777777" w:rsidR="00F14851" w:rsidRPr="003C44C7" w:rsidRDefault="00F14851" w:rsidP="00E30E24">
            <w:pPr>
              <w:pStyle w:val="TableText"/>
              <w:jc w:val="right"/>
            </w:pPr>
            <w:r w:rsidRPr="003C44C7">
              <w:t>44.76</w:t>
            </w:r>
          </w:p>
        </w:tc>
        <w:tc>
          <w:tcPr>
            <w:tcW w:w="1059" w:type="dxa"/>
            <w:shd w:val="clear" w:color="auto" w:fill="auto"/>
            <w:tcMar>
              <w:top w:w="113" w:type="dxa"/>
              <w:left w:w="113" w:type="dxa"/>
              <w:bottom w:w="113" w:type="dxa"/>
              <w:right w:w="283" w:type="dxa"/>
            </w:tcMar>
            <w:vAlign w:val="bottom"/>
          </w:tcPr>
          <w:p w14:paraId="151A3730" w14:textId="77777777" w:rsidR="00F14851" w:rsidRPr="003C44C7" w:rsidRDefault="00F14851" w:rsidP="00E30E24">
            <w:pPr>
              <w:pStyle w:val="TableText"/>
              <w:jc w:val="right"/>
            </w:pPr>
            <w:r w:rsidRPr="003C44C7">
              <w:t>40.80</w:t>
            </w:r>
          </w:p>
        </w:tc>
      </w:tr>
      <w:tr w:rsidR="00F14851" w:rsidRPr="003C44C7" w14:paraId="089FF990" w14:textId="77777777" w:rsidTr="00E30E24">
        <w:trPr>
          <w:trHeight w:val="255"/>
        </w:trPr>
        <w:tc>
          <w:tcPr>
            <w:tcW w:w="4677" w:type="dxa"/>
            <w:shd w:val="clear" w:color="auto" w:fill="auto"/>
            <w:tcMar>
              <w:top w:w="113" w:type="dxa"/>
              <w:left w:w="85" w:type="dxa"/>
              <w:bottom w:w="113" w:type="dxa"/>
              <w:right w:w="85" w:type="dxa"/>
            </w:tcMar>
            <w:vAlign w:val="bottom"/>
          </w:tcPr>
          <w:p w14:paraId="5A4107E0" w14:textId="77777777" w:rsidR="00F14851" w:rsidRPr="003C44C7" w:rsidRDefault="00F14851" w:rsidP="00E30E24">
            <w:pPr>
              <w:pStyle w:val="TableText"/>
            </w:pPr>
            <w:r w:rsidRPr="003C44C7">
              <w:t>Other antibacterials (daptomycin + linezolid)</w:t>
            </w:r>
          </w:p>
        </w:tc>
        <w:tc>
          <w:tcPr>
            <w:tcW w:w="1001" w:type="dxa"/>
            <w:shd w:val="clear" w:color="auto" w:fill="auto"/>
            <w:tcMar>
              <w:top w:w="113" w:type="dxa"/>
              <w:left w:w="57" w:type="dxa"/>
              <w:bottom w:w="113" w:type="dxa"/>
              <w:right w:w="170" w:type="dxa"/>
            </w:tcMar>
            <w:vAlign w:val="bottom"/>
          </w:tcPr>
          <w:p w14:paraId="0BD81576" w14:textId="77777777" w:rsidR="00F14851" w:rsidRPr="003C44C7" w:rsidRDefault="00F14851" w:rsidP="00E30E24">
            <w:pPr>
              <w:pStyle w:val="TableText"/>
              <w:jc w:val="right"/>
            </w:pPr>
            <w:r w:rsidRPr="003C44C7">
              <w:t>1.56</w:t>
            </w:r>
          </w:p>
        </w:tc>
        <w:tc>
          <w:tcPr>
            <w:tcW w:w="956" w:type="dxa"/>
            <w:shd w:val="clear" w:color="auto" w:fill="auto"/>
            <w:tcMar>
              <w:top w:w="113" w:type="dxa"/>
              <w:left w:w="113" w:type="dxa"/>
              <w:bottom w:w="113" w:type="dxa"/>
              <w:right w:w="170" w:type="dxa"/>
            </w:tcMar>
            <w:vAlign w:val="bottom"/>
          </w:tcPr>
          <w:p w14:paraId="7BBC17B8" w14:textId="77777777" w:rsidR="00F14851" w:rsidRPr="003C44C7" w:rsidRDefault="00F14851" w:rsidP="00E30E24">
            <w:pPr>
              <w:pStyle w:val="TableText"/>
              <w:jc w:val="right"/>
            </w:pPr>
            <w:r w:rsidRPr="003C44C7">
              <w:t>1.16</w:t>
            </w:r>
          </w:p>
        </w:tc>
        <w:tc>
          <w:tcPr>
            <w:tcW w:w="956" w:type="dxa"/>
            <w:shd w:val="clear" w:color="auto" w:fill="auto"/>
            <w:tcMar>
              <w:top w:w="113" w:type="dxa"/>
              <w:left w:w="113" w:type="dxa"/>
              <w:bottom w:w="113" w:type="dxa"/>
              <w:right w:w="170" w:type="dxa"/>
            </w:tcMar>
            <w:vAlign w:val="bottom"/>
          </w:tcPr>
          <w:p w14:paraId="79E6F576" w14:textId="77777777" w:rsidR="00F14851" w:rsidRPr="003C44C7" w:rsidRDefault="00F14851" w:rsidP="00E30E24">
            <w:pPr>
              <w:pStyle w:val="TableText"/>
              <w:jc w:val="right"/>
            </w:pPr>
            <w:r w:rsidRPr="003C44C7">
              <w:t>2.18</w:t>
            </w:r>
          </w:p>
        </w:tc>
        <w:tc>
          <w:tcPr>
            <w:tcW w:w="1025" w:type="dxa"/>
            <w:shd w:val="clear" w:color="auto" w:fill="auto"/>
            <w:tcMar>
              <w:top w:w="113" w:type="dxa"/>
              <w:left w:w="113" w:type="dxa"/>
              <w:bottom w:w="113" w:type="dxa"/>
              <w:right w:w="283" w:type="dxa"/>
            </w:tcMar>
            <w:vAlign w:val="bottom"/>
          </w:tcPr>
          <w:p w14:paraId="2C63A761" w14:textId="77777777" w:rsidR="00F14851" w:rsidRPr="003C44C7" w:rsidRDefault="00F14851" w:rsidP="00E30E24">
            <w:pPr>
              <w:pStyle w:val="TableText"/>
              <w:jc w:val="right"/>
            </w:pPr>
            <w:r w:rsidRPr="003C44C7">
              <w:t>2.40</w:t>
            </w:r>
          </w:p>
        </w:tc>
        <w:tc>
          <w:tcPr>
            <w:tcW w:w="1059" w:type="dxa"/>
            <w:shd w:val="clear" w:color="auto" w:fill="auto"/>
            <w:tcMar>
              <w:top w:w="113" w:type="dxa"/>
              <w:left w:w="113" w:type="dxa"/>
              <w:bottom w:w="113" w:type="dxa"/>
              <w:right w:w="283" w:type="dxa"/>
            </w:tcMar>
            <w:vAlign w:val="bottom"/>
          </w:tcPr>
          <w:p w14:paraId="0619034B" w14:textId="77777777" w:rsidR="00F14851" w:rsidRPr="003C44C7" w:rsidRDefault="00F14851" w:rsidP="00E30E24">
            <w:pPr>
              <w:pStyle w:val="TableText"/>
              <w:jc w:val="right"/>
            </w:pPr>
            <w:r w:rsidRPr="003C44C7">
              <w:t>2.38</w:t>
            </w:r>
          </w:p>
        </w:tc>
      </w:tr>
      <w:tr w:rsidR="00F14851" w:rsidRPr="003C44C7" w14:paraId="04603C1E" w14:textId="77777777" w:rsidTr="00E30E24">
        <w:trPr>
          <w:trHeight w:val="255"/>
        </w:trPr>
        <w:tc>
          <w:tcPr>
            <w:tcW w:w="4677" w:type="dxa"/>
            <w:shd w:val="clear" w:color="auto" w:fill="auto"/>
            <w:tcMar>
              <w:top w:w="113" w:type="dxa"/>
              <w:left w:w="85" w:type="dxa"/>
              <w:bottom w:w="113" w:type="dxa"/>
              <w:right w:w="85" w:type="dxa"/>
            </w:tcMar>
            <w:vAlign w:val="bottom"/>
          </w:tcPr>
          <w:p w14:paraId="7C35CE51" w14:textId="77777777" w:rsidR="00F14851" w:rsidRPr="003C44C7" w:rsidRDefault="00F14851" w:rsidP="00E30E24">
            <w:pPr>
              <w:pStyle w:val="TableText"/>
            </w:pPr>
            <w:r w:rsidRPr="003C44C7">
              <w:t>Other cephalosporins and penems (ceftaroline)</w:t>
            </w:r>
          </w:p>
        </w:tc>
        <w:tc>
          <w:tcPr>
            <w:tcW w:w="1001" w:type="dxa"/>
            <w:shd w:val="clear" w:color="auto" w:fill="auto"/>
            <w:tcMar>
              <w:top w:w="113" w:type="dxa"/>
              <w:left w:w="57" w:type="dxa"/>
              <w:bottom w:w="113" w:type="dxa"/>
              <w:right w:w="170" w:type="dxa"/>
            </w:tcMar>
            <w:vAlign w:val="bottom"/>
          </w:tcPr>
          <w:p w14:paraId="373904CB" w14:textId="77777777" w:rsidR="00F14851" w:rsidRPr="003C44C7" w:rsidRDefault="00F14851" w:rsidP="00E30E24">
            <w:pPr>
              <w:pStyle w:val="TableText"/>
              <w:jc w:val="right"/>
            </w:pPr>
            <w:r w:rsidRPr="003C44C7">
              <w:t>0.00</w:t>
            </w:r>
          </w:p>
        </w:tc>
        <w:tc>
          <w:tcPr>
            <w:tcW w:w="956" w:type="dxa"/>
            <w:shd w:val="clear" w:color="auto" w:fill="auto"/>
            <w:tcMar>
              <w:top w:w="113" w:type="dxa"/>
              <w:left w:w="113" w:type="dxa"/>
              <w:bottom w:w="113" w:type="dxa"/>
              <w:right w:w="170" w:type="dxa"/>
            </w:tcMar>
            <w:vAlign w:val="bottom"/>
          </w:tcPr>
          <w:p w14:paraId="2179B3E5" w14:textId="77777777" w:rsidR="00F14851" w:rsidRPr="003C44C7" w:rsidRDefault="00F14851" w:rsidP="00E30E24">
            <w:pPr>
              <w:pStyle w:val="TableText"/>
              <w:jc w:val="right"/>
            </w:pPr>
            <w:r w:rsidRPr="003C44C7">
              <w:t>0.00</w:t>
            </w:r>
          </w:p>
        </w:tc>
        <w:tc>
          <w:tcPr>
            <w:tcW w:w="956" w:type="dxa"/>
            <w:shd w:val="clear" w:color="auto" w:fill="auto"/>
            <w:tcMar>
              <w:top w:w="113" w:type="dxa"/>
              <w:left w:w="113" w:type="dxa"/>
              <w:bottom w:w="113" w:type="dxa"/>
              <w:right w:w="170" w:type="dxa"/>
            </w:tcMar>
            <w:vAlign w:val="bottom"/>
          </w:tcPr>
          <w:p w14:paraId="54F70AFE" w14:textId="77777777" w:rsidR="00F14851" w:rsidRPr="003C44C7" w:rsidRDefault="00F14851" w:rsidP="00E30E24">
            <w:pPr>
              <w:pStyle w:val="TableText"/>
              <w:jc w:val="right"/>
            </w:pPr>
            <w:r w:rsidRPr="003C44C7">
              <w:t>0.00</w:t>
            </w:r>
          </w:p>
        </w:tc>
        <w:tc>
          <w:tcPr>
            <w:tcW w:w="1025" w:type="dxa"/>
            <w:shd w:val="clear" w:color="auto" w:fill="auto"/>
            <w:tcMar>
              <w:top w:w="113" w:type="dxa"/>
              <w:left w:w="113" w:type="dxa"/>
              <w:bottom w:w="113" w:type="dxa"/>
              <w:right w:w="283" w:type="dxa"/>
            </w:tcMar>
            <w:vAlign w:val="bottom"/>
          </w:tcPr>
          <w:p w14:paraId="246D91F5" w14:textId="77777777" w:rsidR="00F14851" w:rsidRPr="003C44C7" w:rsidRDefault="00F14851" w:rsidP="00E30E24">
            <w:pPr>
              <w:pStyle w:val="TableText"/>
              <w:jc w:val="right"/>
            </w:pPr>
            <w:r w:rsidRPr="003C44C7">
              <w:t>0.04</w:t>
            </w:r>
          </w:p>
        </w:tc>
        <w:tc>
          <w:tcPr>
            <w:tcW w:w="1059" w:type="dxa"/>
            <w:shd w:val="clear" w:color="auto" w:fill="auto"/>
            <w:tcMar>
              <w:top w:w="113" w:type="dxa"/>
              <w:left w:w="113" w:type="dxa"/>
              <w:bottom w:w="113" w:type="dxa"/>
              <w:right w:w="283" w:type="dxa"/>
            </w:tcMar>
            <w:vAlign w:val="bottom"/>
          </w:tcPr>
          <w:p w14:paraId="1A853C1F" w14:textId="77777777" w:rsidR="00F14851" w:rsidRPr="003C44C7" w:rsidRDefault="00F14851" w:rsidP="00E30E24">
            <w:pPr>
              <w:pStyle w:val="TableText"/>
              <w:jc w:val="right"/>
            </w:pPr>
            <w:r w:rsidRPr="003C44C7">
              <w:t>0.05</w:t>
            </w:r>
          </w:p>
        </w:tc>
      </w:tr>
      <w:tr w:rsidR="00F14851" w:rsidRPr="003C44C7" w14:paraId="06651B4A" w14:textId="77777777" w:rsidTr="00E30E24">
        <w:trPr>
          <w:trHeight w:val="255"/>
        </w:trPr>
        <w:tc>
          <w:tcPr>
            <w:tcW w:w="4677" w:type="dxa"/>
            <w:shd w:val="clear" w:color="auto" w:fill="auto"/>
            <w:tcMar>
              <w:top w:w="113" w:type="dxa"/>
              <w:left w:w="85" w:type="dxa"/>
              <w:bottom w:w="113" w:type="dxa"/>
              <w:right w:w="85" w:type="dxa"/>
            </w:tcMar>
            <w:vAlign w:val="bottom"/>
          </w:tcPr>
          <w:p w14:paraId="7AEF0FFB" w14:textId="77777777" w:rsidR="00F14851" w:rsidRPr="003C44C7" w:rsidRDefault="00F14851" w:rsidP="00E30E24">
            <w:pPr>
              <w:pStyle w:val="TableText"/>
            </w:pPr>
            <w:r w:rsidRPr="003C44C7">
              <w:t>Polymyxins</w:t>
            </w:r>
          </w:p>
        </w:tc>
        <w:tc>
          <w:tcPr>
            <w:tcW w:w="1001" w:type="dxa"/>
            <w:shd w:val="clear" w:color="auto" w:fill="auto"/>
            <w:tcMar>
              <w:top w:w="113" w:type="dxa"/>
              <w:left w:w="57" w:type="dxa"/>
              <w:bottom w:w="113" w:type="dxa"/>
              <w:right w:w="170" w:type="dxa"/>
            </w:tcMar>
            <w:vAlign w:val="bottom"/>
          </w:tcPr>
          <w:p w14:paraId="4044FC28" w14:textId="77777777" w:rsidR="00F14851" w:rsidRPr="003C44C7" w:rsidRDefault="00F14851" w:rsidP="00E30E24">
            <w:pPr>
              <w:pStyle w:val="TableText"/>
              <w:jc w:val="right"/>
            </w:pPr>
            <w:r w:rsidRPr="003C44C7">
              <w:t>0.43</w:t>
            </w:r>
          </w:p>
        </w:tc>
        <w:tc>
          <w:tcPr>
            <w:tcW w:w="956" w:type="dxa"/>
            <w:shd w:val="clear" w:color="auto" w:fill="auto"/>
            <w:tcMar>
              <w:top w:w="113" w:type="dxa"/>
              <w:left w:w="113" w:type="dxa"/>
              <w:bottom w:w="113" w:type="dxa"/>
              <w:right w:w="170" w:type="dxa"/>
            </w:tcMar>
            <w:vAlign w:val="bottom"/>
          </w:tcPr>
          <w:p w14:paraId="318A5AA1" w14:textId="77777777" w:rsidR="00F14851" w:rsidRPr="003C44C7" w:rsidRDefault="00F14851" w:rsidP="00E30E24">
            <w:pPr>
              <w:pStyle w:val="TableText"/>
              <w:jc w:val="right"/>
            </w:pPr>
            <w:r w:rsidRPr="003C44C7">
              <w:t>0.58</w:t>
            </w:r>
          </w:p>
        </w:tc>
        <w:tc>
          <w:tcPr>
            <w:tcW w:w="956" w:type="dxa"/>
            <w:shd w:val="clear" w:color="auto" w:fill="auto"/>
            <w:tcMar>
              <w:top w:w="113" w:type="dxa"/>
              <w:left w:w="113" w:type="dxa"/>
              <w:bottom w:w="113" w:type="dxa"/>
              <w:right w:w="170" w:type="dxa"/>
            </w:tcMar>
            <w:vAlign w:val="bottom"/>
          </w:tcPr>
          <w:p w14:paraId="23C3B2FF" w14:textId="77777777" w:rsidR="00F14851" w:rsidRPr="003C44C7" w:rsidRDefault="00F14851" w:rsidP="00E30E24">
            <w:pPr>
              <w:pStyle w:val="TableText"/>
              <w:jc w:val="right"/>
            </w:pPr>
            <w:r w:rsidRPr="003C44C7">
              <w:t>0.63</w:t>
            </w:r>
          </w:p>
        </w:tc>
        <w:tc>
          <w:tcPr>
            <w:tcW w:w="1025" w:type="dxa"/>
            <w:shd w:val="clear" w:color="auto" w:fill="auto"/>
            <w:tcMar>
              <w:top w:w="113" w:type="dxa"/>
              <w:left w:w="113" w:type="dxa"/>
              <w:bottom w:w="113" w:type="dxa"/>
              <w:right w:w="283" w:type="dxa"/>
            </w:tcMar>
            <w:vAlign w:val="bottom"/>
          </w:tcPr>
          <w:p w14:paraId="25B6B8AE" w14:textId="77777777" w:rsidR="00F14851" w:rsidRPr="003C44C7" w:rsidRDefault="00F14851" w:rsidP="00E30E24">
            <w:pPr>
              <w:pStyle w:val="TableText"/>
              <w:jc w:val="right"/>
            </w:pPr>
            <w:r w:rsidRPr="003C44C7">
              <w:t>0.81</w:t>
            </w:r>
          </w:p>
        </w:tc>
        <w:tc>
          <w:tcPr>
            <w:tcW w:w="1059" w:type="dxa"/>
            <w:shd w:val="clear" w:color="auto" w:fill="auto"/>
            <w:tcMar>
              <w:top w:w="113" w:type="dxa"/>
              <w:left w:w="113" w:type="dxa"/>
              <w:bottom w:w="113" w:type="dxa"/>
              <w:right w:w="283" w:type="dxa"/>
            </w:tcMar>
            <w:vAlign w:val="bottom"/>
          </w:tcPr>
          <w:p w14:paraId="6DD7AF18" w14:textId="77777777" w:rsidR="00F14851" w:rsidRPr="003C44C7" w:rsidRDefault="00F14851" w:rsidP="00E30E24">
            <w:pPr>
              <w:pStyle w:val="TableText"/>
              <w:jc w:val="right"/>
            </w:pPr>
            <w:r w:rsidRPr="003C44C7">
              <w:t>0.77</w:t>
            </w:r>
          </w:p>
        </w:tc>
      </w:tr>
      <w:tr w:rsidR="00F14851" w:rsidRPr="003C44C7" w14:paraId="3E4766FE" w14:textId="77777777" w:rsidTr="00E30E24">
        <w:trPr>
          <w:trHeight w:val="255"/>
        </w:trPr>
        <w:tc>
          <w:tcPr>
            <w:tcW w:w="4677" w:type="dxa"/>
            <w:shd w:val="clear" w:color="auto" w:fill="auto"/>
            <w:tcMar>
              <w:top w:w="113" w:type="dxa"/>
              <w:left w:w="85" w:type="dxa"/>
              <w:bottom w:w="113" w:type="dxa"/>
              <w:right w:w="85" w:type="dxa"/>
            </w:tcMar>
            <w:vAlign w:val="bottom"/>
          </w:tcPr>
          <w:p w14:paraId="6FD4AB30" w14:textId="77777777" w:rsidR="00F14851" w:rsidRPr="003C44C7" w:rsidRDefault="00F14851" w:rsidP="00E30E24">
            <w:pPr>
              <w:pStyle w:val="TableText"/>
            </w:pPr>
            <w:r w:rsidRPr="003C44C7">
              <w:t>Rifamycins</w:t>
            </w:r>
          </w:p>
        </w:tc>
        <w:tc>
          <w:tcPr>
            <w:tcW w:w="1001" w:type="dxa"/>
            <w:shd w:val="clear" w:color="auto" w:fill="auto"/>
            <w:tcMar>
              <w:top w:w="113" w:type="dxa"/>
              <w:left w:w="57" w:type="dxa"/>
              <w:bottom w:w="113" w:type="dxa"/>
              <w:right w:w="170" w:type="dxa"/>
            </w:tcMar>
            <w:vAlign w:val="bottom"/>
          </w:tcPr>
          <w:p w14:paraId="4CB85150" w14:textId="77777777" w:rsidR="00F14851" w:rsidRPr="003C44C7" w:rsidRDefault="00F14851" w:rsidP="00E30E24">
            <w:pPr>
              <w:pStyle w:val="TableText"/>
              <w:jc w:val="right"/>
            </w:pPr>
            <w:r w:rsidRPr="003C44C7">
              <w:t>7.74</w:t>
            </w:r>
          </w:p>
        </w:tc>
        <w:tc>
          <w:tcPr>
            <w:tcW w:w="956" w:type="dxa"/>
            <w:shd w:val="clear" w:color="auto" w:fill="auto"/>
            <w:tcMar>
              <w:top w:w="113" w:type="dxa"/>
              <w:left w:w="113" w:type="dxa"/>
              <w:bottom w:w="113" w:type="dxa"/>
              <w:right w:w="170" w:type="dxa"/>
            </w:tcMar>
            <w:vAlign w:val="bottom"/>
          </w:tcPr>
          <w:p w14:paraId="56145416" w14:textId="77777777" w:rsidR="00F14851" w:rsidRPr="003C44C7" w:rsidRDefault="00F14851" w:rsidP="00E30E24">
            <w:pPr>
              <w:pStyle w:val="TableText"/>
              <w:jc w:val="right"/>
            </w:pPr>
            <w:r w:rsidRPr="003C44C7">
              <w:t>7.84</w:t>
            </w:r>
          </w:p>
        </w:tc>
        <w:tc>
          <w:tcPr>
            <w:tcW w:w="956" w:type="dxa"/>
            <w:shd w:val="clear" w:color="auto" w:fill="auto"/>
            <w:tcMar>
              <w:top w:w="113" w:type="dxa"/>
              <w:left w:w="113" w:type="dxa"/>
              <w:bottom w:w="113" w:type="dxa"/>
              <w:right w:w="170" w:type="dxa"/>
            </w:tcMar>
            <w:vAlign w:val="bottom"/>
          </w:tcPr>
          <w:p w14:paraId="64EAAAA7" w14:textId="77777777" w:rsidR="00F14851" w:rsidRPr="003C44C7" w:rsidRDefault="00F14851" w:rsidP="00E30E24">
            <w:pPr>
              <w:pStyle w:val="TableText"/>
              <w:jc w:val="right"/>
            </w:pPr>
            <w:r w:rsidRPr="003C44C7">
              <w:t>6.38</w:t>
            </w:r>
          </w:p>
        </w:tc>
        <w:tc>
          <w:tcPr>
            <w:tcW w:w="1025" w:type="dxa"/>
            <w:shd w:val="clear" w:color="auto" w:fill="auto"/>
            <w:tcMar>
              <w:top w:w="113" w:type="dxa"/>
              <w:left w:w="113" w:type="dxa"/>
              <w:bottom w:w="113" w:type="dxa"/>
              <w:right w:w="283" w:type="dxa"/>
            </w:tcMar>
            <w:vAlign w:val="bottom"/>
          </w:tcPr>
          <w:p w14:paraId="19A1C0A1" w14:textId="77777777" w:rsidR="00F14851" w:rsidRPr="003C44C7" w:rsidRDefault="00F14851" w:rsidP="00E30E24">
            <w:pPr>
              <w:pStyle w:val="TableText"/>
              <w:jc w:val="right"/>
            </w:pPr>
            <w:r w:rsidRPr="003C44C7">
              <w:t>5.99</w:t>
            </w:r>
          </w:p>
        </w:tc>
        <w:tc>
          <w:tcPr>
            <w:tcW w:w="1059" w:type="dxa"/>
            <w:shd w:val="clear" w:color="auto" w:fill="auto"/>
            <w:tcMar>
              <w:top w:w="113" w:type="dxa"/>
              <w:left w:w="113" w:type="dxa"/>
              <w:bottom w:w="113" w:type="dxa"/>
              <w:right w:w="283" w:type="dxa"/>
            </w:tcMar>
            <w:vAlign w:val="bottom"/>
          </w:tcPr>
          <w:p w14:paraId="6D67B2E8" w14:textId="77777777" w:rsidR="00F14851" w:rsidRPr="003C44C7" w:rsidRDefault="00F14851" w:rsidP="00E30E24">
            <w:pPr>
              <w:pStyle w:val="TableText"/>
              <w:jc w:val="right"/>
            </w:pPr>
            <w:r w:rsidRPr="003C44C7">
              <w:t>5.06</w:t>
            </w:r>
          </w:p>
        </w:tc>
      </w:tr>
      <w:tr w:rsidR="00F14851" w:rsidRPr="003C44C7" w14:paraId="43D9B56C" w14:textId="77777777" w:rsidTr="00E30E24">
        <w:trPr>
          <w:trHeight w:val="255"/>
        </w:trPr>
        <w:tc>
          <w:tcPr>
            <w:tcW w:w="4677" w:type="dxa"/>
            <w:shd w:val="clear" w:color="auto" w:fill="auto"/>
            <w:tcMar>
              <w:top w:w="113" w:type="dxa"/>
              <w:left w:w="85" w:type="dxa"/>
              <w:bottom w:w="113" w:type="dxa"/>
              <w:right w:w="85" w:type="dxa"/>
            </w:tcMar>
            <w:vAlign w:val="bottom"/>
          </w:tcPr>
          <w:p w14:paraId="5446E9BA" w14:textId="77777777" w:rsidR="00F14851" w:rsidRPr="003C44C7" w:rsidRDefault="00F14851" w:rsidP="00E30E24">
            <w:pPr>
              <w:pStyle w:val="TableText"/>
            </w:pPr>
            <w:r w:rsidRPr="003C44C7">
              <w:t>Second-generation cephalosporins</w:t>
            </w:r>
          </w:p>
        </w:tc>
        <w:tc>
          <w:tcPr>
            <w:tcW w:w="1001" w:type="dxa"/>
            <w:shd w:val="clear" w:color="auto" w:fill="auto"/>
            <w:tcMar>
              <w:top w:w="113" w:type="dxa"/>
              <w:left w:w="57" w:type="dxa"/>
              <w:bottom w:w="113" w:type="dxa"/>
              <w:right w:w="170" w:type="dxa"/>
            </w:tcMar>
            <w:vAlign w:val="bottom"/>
          </w:tcPr>
          <w:p w14:paraId="3F815B0A" w14:textId="77777777" w:rsidR="00F14851" w:rsidRPr="003C44C7" w:rsidRDefault="00F14851" w:rsidP="00E30E24">
            <w:pPr>
              <w:pStyle w:val="TableText"/>
              <w:jc w:val="right"/>
            </w:pPr>
            <w:r w:rsidRPr="003C44C7">
              <w:t>5.39</w:t>
            </w:r>
          </w:p>
        </w:tc>
        <w:tc>
          <w:tcPr>
            <w:tcW w:w="956" w:type="dxa"/>
            <w:shd w:val="clear" w:color="auto" w:fill="auto"/>
            <w:tcMar>
              <w:top w:w="113" w:type="dxa"/>
              <w:left w:w="113" w:type="dxa"/>
              <w:bottom w:w="113" w:type="dxa"/>
              <w:right w:w="170" w:type="dxa"/>
            </w:tcMar>
            <w:vAlign w:val="bottom"/>
          </w:tcPr>
          <w:p w14:paraId="608E59A2" w14:textId="77777777" w:rsidR="00F14851" w:rsidRPr="003C44C7" w:rsidRDefault="00F14851" w:rsidP="00E30E24">
            <w:pPr>
              <w:pStyle w:val="TableText"/>
              <w:jc w:val="right"/>
            </w:pPr>
            <w:r w:rsidRPr="003C44C7">
              <w:t>5.83</w:t>
            </w:r>
          </w:p>
        </w:tc>
        <w:tc>
          <w:tcPr>
            <w:tcW w:w="956" w:type="dxa"/>
            <w:shd w:val="clear" w:color="auto" w:fill="auto"/>
            <w:tcMar>
              <w:top w:w="113" w:type="dxa"/>
              <w:left w:w="113" w:type="dxa"/>
              <w:bottom w:w="113" w:type="dxa"/>
              <w:right w:w="170" w:type="dxa"/>
            </w:tcMar>
            <w:vAlign w:val="bottom"/>
          </w:tcPr>
          <w:p w14:paraId="5011953C" w14:textId="77777777" w:rsidR="00F14851" w:rsidRPr="003C44C7" w:rsidRDefault="00F14851" w:rsidP="00E30E24">
            <w:pPr>
              <w:pStyle w:val="TableText"/>
              <w:jc w:val="right"/>
            </w:pPr>
            <w:r w:rsidRPr="003C44C7">
              <w:t>5.41</w:t>
            </w:r>
          </w:p>
        </w:tc>
        <w:tc>
          <w:tcPr>
            <w:tcW w:w="1025" w:type="dxa"/>
            <w:shd w:val="clear" w:color="auto" w:fill="auto"/>
            <w:tcMar>
              <w:top w:w="113" w:type="dxa"/>
              <w:left w:w="113" w:type="dxa"/>
              <w:bottom w:w="113" w:type="dxa"/>
              <w:right w:w="283" w:type="dxa"/>
            </w:tcMar>
            <w:vAlign w:val="bottom"/>
          </w:tcPr>
          <w:p w14:paraId="4D970287" w14:textId="77777777" w:rsidR="00F14851" w:rsidRPr="003C44C7" w:rsidRDefault="00F14851" w:rsidP="00E30E24">
            <w:pPr>
              <w:pStyle w:val="TableText"/>
              <w:jc w:val="right"/>
            </w:pPr>
            <w:r w:rsidRPr="003C44C7">
              <w:t>5.55</w:t>
            </w:r>
          </w:p>
        </w:tc>
        <w:tc>
          <w:tcPr>
            <w:tcW w:w="1059" w:type="dxa"/>
            <w:shd w:val="clear" w:color="auto" w:fill="auto"/>
            <w:tcMar>
              <w:top w:w="113" w:type="dxa"/>
              <w:left w:w="113" w:type="dxa"/>
              <w:bottom w:w="113" w:type="dxa"/>
              <w:right w:w="283" w:type="dxa"/>
            </w:tcMar>
            <w:vAlign w:val="bottom"/>
          </w:tcPr>
          <w:p w14:paraId="3548C5D1" w14:textId="77777777" w:rsidR="00F14851" w:rsidRPr="003C44C7" w:rsidRDefault="00F14851" w:rsidP="00E30E24">
            <w:pPr>
              <w:pStyle w:val="TableText"/>
              <w:jc w:val="right"/>
            </w:pPr>
            <w:r w:rsidRPr="003C44C7">
              <w:t>5.75</w:t>
            </w:r>
          </w:p>
        </w:tc>
      </w:tr>
      <w:tr w:rsidR="00F14851" w:rsidRPr="003C44C7" w14:paraId="260CF319" w14:textId="77777777" w:rsidTr="00E30E24">
        <w:trPr>
          <w:trHeight w:val="255"/>
        </w:trPr>
        <w:tc>
          <w:tcPr>
            <w:tcW w:w="4677" w:type="dxa"/>
            <w:shd w:val="clear" w:color="auto" w:fill="auto"/>
            <w:tcMar>
              <w:top w:w="113" w:type="dxa"/>
              <w:left w:w="85" w:type="dxa"/>
              <w:bottom w:w="113" w:type="dxa"/>
              <w:right w:w="85" w:type="dxa"/>
            </w:tcMar>
            <w:vAlign w:val="bottom"/>
          </w:tcPr>
          <w:p w14:paraId="1211C98D" w14:textId="77777777" w:rsidR="00F14851" w:rsidRPr="003C44C7" w:rsidRDefault="00F14851" w:rsidP="00E30E24">
            <w:pPr>
              <w:pStyle w:val="TableText"/>
            </w:pPr>
            <w:r w:rsidRPr="003C44C7">
              <w:t>Steroids</w:t>
            </w:r>
          </w:p>
        </w:tc>
        <w:tc>
          <w:tcPr>
            <w:tcW w:w="1001" w:type="dxa"/>
            <w:shd w:val="clear" w:color="auto" w:fill="auto"/>
            <w:tcMar>
              <w:top w:w="113" w:type="dxa"/>
              <w:left w:w="57" w:type="dxa"/>
              <w:bottom w:w="113" w:type="dxa"/>
              <w:right w:w="170" w:type="dxa"/>
            </w:tcMar>
            <w:vAlign w:val="bottom"/>
          </w:tcPr>
          <w:p w14:paraId="4F6DED7B" w14:textId="77777777" w:rsidR="00F14851" w:rsidRPr="003C44C7" w:rsidRDefault="00F14851" w:rsidP="00E30E24">
            <w:pPr>
              <w:pStyle w:val="TableText"/>
              <w:jc w:val="right"/>
            </w:pPr>
            <w:r w:rsidRPr="003C44C7">
              <w:t>2.42</w:t>
            </w:r>
          </w:p>
        </w:tc>
        <w:tc>
          <w:tcPr>
            <w:tcW w:w="956" w:type="dxa"/>
            <w:shd w:val="clear" w:color="auto" w:fill="auto"/>
            <w:tcMar>
              <w:top w:w="113" w:type="dxa"/>
              <w:left w:w="113" w:type="dxa"/>
              <w:bottom w:w="113" w:type="dxa"/>
              <w:right w:w="170" w:type="dxa"/>
            </w:tcMar>
            <w:vAlign w:val="bottom"/>
          </w:tcPr>
          <w:p w14:paraId="473C578F" w14:textId="77777777" w:rsidR="00F14851" w:rsidRPr="003C44C7" w:rsidRDefault="00F14851" w:rsidP="00E30E24">
            <w:pPr>
              <w:pStyle w:val="TableText"/>
              <w:jc w:val="right"/>
            </w:pPr>
            <w:r w:rsidRPr="003C44C7">
              <w:t>2.33</w:t>
            </w:r>
          </w:p>
        </w:tc>
        <w:tc>
          <w:tcPr>
            <w:tcW w:w="956" w:type="dxa"/>
            <w:shd w:val="clear" w:color="auto" w:fill="auto"/>
            <w:tcMar>
              <w:top w:w="113" w:type="dxa"/>
              <w:left w:w="113" w:type="dxa"/>
              <w:bottom w:w="113" w:type="dxa"/>
              <w:right w:w="170" w:type="dxa"/>
            </w:tcMar>
            <w:vAlign w:val="bottom"/>
          </w:tcPr>
          <w:p w14:paraId="70F7D48D" w14:textId="77777777" w:rsidR="00F14851" w:rsidRPr="003C44C7" w:rsidRDefault="00F14851" w:rsidP="00E30E24">
            <w:pPr>
              <w:pStyle w:val="TableText"/>
              <w:jc w:val="right"/>
            </w:pPr>
            <w:r w:rsidRPr="003C44C7">
              <w:t>1.93</w:t>
            </w:r>
          </w:p>
        </w:tc>
        <w:tc>
          <w:tcPr>
            <w:tcW w:w="1025" w:type="dxa"/>
            <w:shd w:val="clear" w:color="auto" w:fill="auto"/>
            <w:tcMar>
              <w:top w:w="113" w:type="dxa"/>
              <w:left w:w="113" w:type="dxa"/>
              <w:bottom w:w="113" w:type="dxa"/>
              <w:right w:w="283" w:type="dxa"/>
            </w:tcMar>
            <w:vAlign w:val="bottom"/>
          </w:tcPr>
          <w:p w14:paraId="6EA209A0" w14:textId="77777777" w:rsidR="00F14851" w:rsidRPr="003C44C7" w:rsidRDefault="00F14851" w:rsidP="00E30E24">
            <w:pPr>
              <w:pStyle w:val="TableText"/>
              <w:jc w:val="right"/>
            </w:pPr>
            <w:r w:rsidRPr="003C44C7">
              <w:t>1.61</w:t>
            </w:r>
          </w:p>
        </w:tc>
        <w:tc>
          <w:tcPr>
            <w:tcW w:w="1059" w:type="dxa"/>
            <w:shd w:val="clear" w:color="auto" w:fill="auto"/>
            <w:tcMar>
              <w:top w:w="113" w:type="dxa"/>
              <w:left w:w="113" w:type="dxa"/>
              <w:bottom w:w="113" w:type="dxa"/>
              <w:right w:w="283" w:type="dxa"/>
            </w:tcMar>
            <w:vAlign w:val="bottom"/>
          </w:tcPr>
          <w:p w14:paraId="59582840" w14:textId="77777777" w:rsidR="00F14851" w:rsidRPr="003C44C7" w:rsidRDefault="00F14851" w:rsidP="00E30E24">
            <w:pPr>
              <w:pStyle w:val="TableText"/>
              <w:jc w:val="right"/>
            </w:pPr>
            <w:r w:rsidRPr="003C44C7">
              <w:t>1.34</w:t>
            </w:r>
          </w:p>
        </w:tc>
      </w:tr>
      <w:tr w:rsidR="00F14851" w:rsidRPr="003C44C7" w14:paraId="3F78AB72" w14:textId="77777777" w:rsidTr="00E30E24">
        <w:trPr>
          <w:trHeight w:val="255"/>
        </w:trPr>
        <w:tc>
          <w:tcPr>
            <w:tcW w:w="4677" w:type="dxa"/>
            <w:shd w:val="clear" w:color="auto" w:fill="auto"/>
            <w:tcMar>
              <w:top w:w="113" w:type="dxa"/>
              <w:left w:w="85" w:type="dxa"/>
              <w:bottom w:w="113" w:type="dxa"/>
              <w:right w:w="85" w:type="dxa"/>
            </w:tcMar>
            <w:vAlign w:val="bottom"/>
          </w:tcPr>
          <w:p w14:paraId="59D6C35F" w14:textId="77777777" w:rsidR="00F14851" w:rsidRPr="003C44C7" w:rsidRDefault="00F14851" w:rsidP="00E30E24">
            <w:pPr>
              <w:pStyle w:val="TableText"/>
            </w:pPr>
            <w:r w:rsidRPr="003C44C7">
              <w:t>Streptogramins</w:t>
            </w:r>
          </w:p>
        </w:tc>
        <w:tc>
          <w:tcPr>
            <w:tcW w:w="1001" w:type="dxa"/>
            <w:shd w:val="clear" w:color="auto" w:fill="auto"/>
            <w:tcMar>
              <w:top w:w="113" w:type="dxa"/>
              <w:left w:w="57" w:type="dxa"/>
              <w:bottom w:w="113" w:type="dxa"/>
              <w:right w:w="170" w:type="dxa"/>
            </w:tcMar>
            <w:vAlign w:val="bottom"/>
          </w:tcPr>
          <w:p w14:paraId="1F1203AF" w14:textId="77777777" w:rsidR="00F14851" w:rsidRPr="003C44C7" w:rsidRDefault="00F14851" w:rsidP="00E30E24">
            <w:pPr>
              <w:pStyle w:val="TableText"/>
              <w:jc w:val="right"/>
            </w:pPr>
            <w:r w:rsidRPr="003C44C7">
              <w:t>0.13</w:t>
            </w:r>
          </w:p>
        </w:tc>
        <w:tc>
          <w:tcPr>
            <w:tcW w:w="956" w:type="dxa"/>
            <w:shd w:val="clear" w:color="auto" w:fill="auto"/>
            <w:tcMar>
              <w:top w:w="113" w:type="dxa"/>
              <w:left w:w="113" w:type="dxa"/>
              <w:bottom w:w="113" w:type="dxa"/>
              <w:right w:w="170" w:type="dxa"/>
            </w:tcMar>
            <w:vAlign w:val="bottom"/>
          </w:tcPr>
          <w:p w14:paraId="112400D5" w14:textId="77777777" w:rsidR="00F14851" w:rsidRPr="003C44C7" w:rsidRDefault="00F14851" w:rsidP="00E30E24">
            <w:pPr>
              <w:pStyle w:val="TableText"/>
              <w:jc w:val="right"/>
            </w:pPr>
            <w:r w:rsidRPr="003C44C7">
              <w:t>0.42</w:t>
            </w:r>
          </w:p>
        </w:tc>
        <w:tc>
          <w:tcPr>
            <w:tcW w:w="956" w:type="dxa"/>
            <w:shd w:val="clear" w:color="auto" w:fill="auto"/>
            <w:tcMar>
              <w:top w:w="113" w:type="dxa"/>
              <w:left w:w="113" w:type="dxa"/>
              <w:bottom w:w="113" w:type="dxa"/>
              <w:right w:w="170" w:type="dxa"/>
            </w:tcMar>
            <w:vAlign w:val="bottom"/>
          </w:tcPr>
          <w:p w14:paraId="2D409DF5" w14:textId="77777777" w:rsidR="00F14851" w:rsidRPr="003C44C7" w:rsidRDefault="00F14851" w:rsidP="00E30E24">
            <w:pPr>
              <w:pStyle w:val="TableText"/>
              <w:jc w:val="right"/>
            </w:pPr>
            <w:r w:rsidRPr="003C44C7">
              <w:t>0.54</w:t>
            </w:r>
          </w:p>
        </w:tc>
        <w:tc>
          <w:tcPr>
            <w:tcW w:w="1025" w:type="dxa"/>
            <w:shd w:val="clear" w:color="auto" w:fill="auto"/>
            <w:tcMar>
              <w:top w:w="113" w:type="dxa"/>
              <w:left w:w="113" w:type="dxa"/>
              <w:bottom w:w="113" w:type="dxa"/>
              <w:right w:w="283" w:type="dxa"/>
            </w:tcMar>
            <w:vAlign w:val="bottom"/>
          </w:tcPr>
          <w:p w14:paraId="22F88AC9" w14:textId="77777777" w:rsidR="00F14851" w:rsidRPr="003C44C7" w:rsidRDefault="00F14851" w:rsidP="00E30E24">
            <w:pPr>
              <w:pStyle w:val="TableText"/>
              <w:jc w:val="right"/>
            </w:pPr>
            <w:r w:rsidRPr="003C44C7">
              <w:t>0.51</w:t>
            </w:r>
          </w:p>
        </w:tc>
        <w:tc>
          <w:tcPr>
            <w:tcW w:w="1059" w:type="dxa"/>
            <w:shd w:val="clear" w:color="auto" w:fill="auto"/>
            <w:tcMar>
              <w:top w:w="113" w:type="dxa"/>
              <w:left w:w="113" w:type="dxa"/>
              <w:bottom w:w="113" w:type="dxa"/>
              <w:right w:w="283" w:type="dxa"/>
            </w:tcMar>
            <w:vAlign w:val="bottom"/>
          </w:tcPr>
          <w:p w14:paraId="33F0FF23" w14:textId="77777777" w:rsidR="00F14851" w:rsidRPr="003C44C7" w:rsidRDefault="00F14851" w:rsidP="00E30E24">
            <w:pPr>
              <w:pStyle w:val="TableText"/>
              <w:jc w:val="right"/>
            </w:pPr>
            <w:r w:rsidRPr="003C44C7">
              <w:t>0.51</w:t>
            </w:r>
          </w:p>
        </w:tc>
      </w:tr>
      <w:tr w:rsidR="00F14851" w:rsidRPr="003C44C7" w14:paraId="4B910775" w14:textId="77777777" w:rsidTr="00E30E24">
        <w:trPr>
          <w:trHeight w:val="255"/>
        </w:trPr>
        <w:tc>
          <w:tcPr>
            <w:tcW w:w="4677" w:type="dxa"/>
            <w:shd w:val="clear" w:color="auto" w:fill="auto"/>
            <w:tcMar>
              <w:top w:w="113" w:type="dxa"/>
              <w:left w:w="85" w:type="dxa"/>
              <w:bottom w:w="113" w:type="dxa"/>
              <w:right w:w="85" w:type="dxa"/>
            </w:tcMar>
            <w:vAlign w:val="bottom"/>
          </w:tcPr>
          <w:p w14:paraId="13560411" w14:textId="77777777" w:rsidR="00F14851" w:rsidRPr="003C44C7" w:rsidRDefault="00F14851" w:rsidP="00E30E24">
            <w:pPr>
              <w:pStyle w:val="TableText"/>
            </w:pPr>
            <w:r w:rsidRPr="003C44C7">
              <w:t>Streptomycins</w:t>
            </w:r>
          </w:p>
        </w:tc>
        <w:tc>
          <w:tcPr>
            <w:tcW w:w="1001" w:type="dxa"/>
            <w:shd w:val="clear" w:color="auto" w:fill="auto"/>
            <w:tcMar>
              <w:top w:w="113" w:type="dxa"/>
              <w:left w:w="57" w:type="dxa"/>
              <w:bottom w:w="113" w:type="dxa"/>
              <w:right w:w="170" w:type="dxa"/>
            </w:tcMar>
            <w:vAlign w:val="bottom"/>
          </w:tcPr>
          <w:p w14:paraId="65E6B6DF" w14:textId="77777777" w:rsidR="00F14851" w:rsidRPr="003C44C7" w:rsidRDefault="00F14851" w:rsidP="00E30E24">
            <w:pPr>
              <w:pStyle w:val="TableText"/>
              <w:jc w:val="right"/>
            </w:pPr>
            <w:r w:rsidRPr="003C44C7">
              <w:t>0.03</w:t>
            </w:r>
          </w:p>
        </w:tc>
        <w:tc>
          <w:tcPr>
            <w:tcW w:w="956" w:type="dxa"/>
            <w:shd w:val="clear" w:color="auto" w:fill="auto"/>
            <w:tcMar>
              <w:top w:w="113" w:type="dxa"/>
              <w:left w:w="113" w:type="dxa"/>
              <w:bottom w:w="113" w:type="dxa"/>
              <w:right w:w="170" w:type="dxa"/>
            </w:tcMar>
            <w:vAlign w:val="bottom"/>
          </w:tcPr>
          <w:p w14:paraId="5F0279C7" w14:textId="77777777" w:rsidR="00F14851" w:rsidRPr="003C44C7" w:rsidRDefault="00F14851" w:rsidP="00E30E24">
            <w:pPr>
              <w:pStyle w:val="TableText"/>
              <w:jc w:val="right"/>
            </w:pPr>
            <w:r w:rsidRPr="003C44C7">
              <w:t>0.05</w:t>
            </w:r>
          </w:p>
        </w:tc>
        <w:tc>
          <w:tcPr>
            <w:tcW w:w="956" w:type="dxa"/>
            <w:shd w:val="clear" w:color="auto" w:fill="auto"/>
            <w:tcMar>
              <w:top w:w="113" w:type="dxa"/>
              <w:left w:w="113" w:type="dxa"/>
              <w:bottom w:w="113" w:type="dxa"/>
              <w:right w:w="170" w:type="dxa"/>
            </w:tcMar>
            <w:vAlign w:val="bottom"/>
          </w:tcPr>
          <w:p w14:paraId="7D06AF4A" w14:textId="77777777" w:rsidR="00F14851" w:rsidRPr="003C44C7" w:rsidRDefault="00F14851" w:rsidP="00E30E24">
            <w:pPr>
              <w:pStyle w:val="TableText"/>
              <w:jc w:val="right"/>
            </w:pPr>
            <w:r w:rsidRPr="003C44C7">
              <w:t>0.01</w:t>
            </w:r>
          </w:p>
        </w:tc>
        <w:tc>
          <w:tcPr>
            <w:tcW w:w="1025" w:type="dxa"/>
            <w:shd w:val="clear" w:color="auto" w:fill="auto"/>
            <w:tcMar>
              <w:top w:w="113" w:type="dxa"/>
              <w:left w:w="113" w:type="dxa"/>
              <w:bottom w:w="113" w:type="dxa"/>
              <w:right w:w="283" w:type="dxa"/>
            </w:tcMar>
            <w:vAlign w:val="bottom"/>
          </w:tcPr>
          <w:p w14:paraId="047FAE96" w14:textId="77777777" w:rsidR="00F14851" w:rsidRPr="003C44C7" w:rsidRDefault="00F14851" w:rsidP="00E30E24">
            <w:pPr>
              <w:pStyle w:val="TableText"/>
              <w:jc w:val="right"/>
            </w:pPr>
            <w:r w:rsidRPr="003C44C7">
              <w:t>0.01</w:t>
            </w:r>
          </w:p>
        </w:tc>
        <w:tc>
          <w:tcPr>
            <w:tcW w:w="1059" w:type="dxa"/>
            <w:shd w:val="clear" w:color="auto" w:fill="auto"/>
            <w:tcMar>
              <w:top w:w="113" w:type="dxa"/>
              <w:left w:w="113" w:type="dxa"/>
              <w:bottom w:w="113" w:type="dxa"/>
              <w:right w:w="283" w:type="dxa"/>
            </w:tcMar>
            <w:vAlign w:val="bottom"/>
          </w:tcPr>
          <w:p w14:paraId="315957FB" w14:textId="77777777" w:rsidR="00F14851" w:rsidRPr="003C44C7" w:rsidRDefault="00F14851" w:rsidP="00E30E24">
            <w:pPr>
              <w:pStyle w:val="TableText"/>
              <w:jc w:val="right"/>
            </w:pPr>
            <w:r w:rsidRPr="003C44C7">
              <w:t>0.00</w:t>
            </w:r>
          </w:p>
        </w:tc>
      </w:tr>
      <w:tr w:rsidR="00F14851" w:rsidRPr="003C44C7" w14:paraId="4F511785" w14:textId="77777777" w:rsidTr="00E30E24">
        <w:trPr>
          <w:trHeight w:val="255"/>
        </w:trPr>
        <w:tc>
          <w:tcPr>
            <w:tcW w:w="4677" w:type="dxa"/>
            <w:shd w:val="clear" w:color="auto" w:fill="auto"/>
            <w:tcMar>
              <w:top w:w="113" w:type="dxa"/>
              <w:left w:w="85" w:type="dxa"/>
              <w:bottom w:w="113" w:type="dxa"/>
              <w:right w:w="85" w:type="dxa"/>
            </w:tcMar>
            <w:vAlign w:val="bottom"/>
          </w:tcPr>
          <w:p w14:paraId="15D7F417" w14:textId="77777777" w:rsidR="00F14851" w:rsidRPr="003C44C7" w:rsidRDefault="00F14851" w:rsidP="00E30E24">
            <w:pPr>
              <w:pStyle w:val="TableText"/>
            </w:pPr>
            <w:r w:rsidRPr="003C44C7">
              <w:t>Sulfonamide/trimethoprim combinations</w:t>
            </w:r>
          </w:p>
        </w:tc>
        <w:tc>
          <w:tcPr>
            <w:tcW w:w="1001" w:type="dxa"/>
            <w:shd w:val="clear" w:color="auto" w:fill="auto"/>
            <w:tcMar>
              <w:top w:w="113" w:type="dxa"/>
              <w:left w:w="57" w:type="dxa"/>
              <w:bottom w:w="113" w:type="dxa"/>
              <w:right w:w="170" w:type="dxa"/>
            </w:tcMar>
            <w:vAlign w:val="bottom"/>
          </w:tcPr>
          <w:p w14:paraId="18BBCF01" w14:textId="77777777" w:rsidR="00F14851" w:rsidRPr="003C44C7" w:rsidRDefault="00F14851" w:rsidP="00E30E24">
            <w:pPr>
              <w:pStyle w:val="TableText"/>
              <w:jc w:val="right"/>
            </w:pPr>
            <w:r w:rsidRPr="003C44C7">
              <w:t>13.90</w:t>
            </w:r>
          </w:p>
        </w:tc>
        <w:tc>
          <w:tcPr>
            <w:tcW w:w="956" w:type="dxa"/>
            <w:shd w:val="clear" w:color="auto" w:fill="auto"/>
            <w:tcMar>
              <w:top w:w="113" w:type="dxa"/>
              <w:left w:w="113" w:type="dxa"/>
              <w:bottom w:w="113" w:type="dxa"/>
              <w:right w:w="170" w:type="dxa"/>
            </w:tcMar>
            <w:vAlign w:val="bottom"/>
          </w:tcPr>
          <w:p w14:paraId="78011920" w14:textId="77777777" w:rsidR="00F14851" w:rsidRPr="003C44C7" w:rsidRDefault="00F14851" w:rsidP="00E30E24">
            <w:pPr>
              <w:pStyle w:val="TableText"/>
              <w:jc w:val="right"/>
            </w:pPr>
            <w:r w:rsidRPr="003C44C7">
              <w:t>13.56</w:t>
            </w:r>
          </w:p>
        </w:tc>
        <w:tc>
          <w:tcPr>
            <w:tcW w:w="956" w:type="dxa"/>
            <w:shd w:val="clear" w:color="auto" w:fill="auto"/>
            <w:tcMar>
              <w:top w:w="113" w:type="dxa"/>
              <w:left w:w="113" w:type="dxa"/>
              <w:bottom w:w="113" w:type="dxa"/>
              <w:right w:w="170" w:type="dxa"/>
            </w:tcMar>
            <w:vAlign w:val="bottom"/>
          </w:tcPr>
          <w:p w14:paraId="5D2DD091" w14:textId="77777777" w:rsidR="00F14851" w:rsidRPr="003C44C7" w:rsidRDefault="00F14851" w:rsidP="00E30E24">
            <w:pPr>
              <w:pStyle w:val="TableText"/>
              <w:jc w:val="right"/>
            </w:pPr>
            <w:r w:rsidRPr="003C44C7">
              <w:t>14.95</w:t>
            </w:r>
          </w:p>
        </w:tc>
        <w:tc>
          <w:tcPr>
            <w:tcW w:w="1025" w:type="dxa"/>
            <w:shd w:val="clear" w:color="auto" w:fill="auto"/>
            <w:tcMar>
              <w:top w:w="113" w:type="dxa"/>
              <w:left w:w="113" w:type="dxa"/>
              <w:bottom w:w="113" w:type="dxa"/>
              <w:right w:w="283" w:type="dxa"/>
            </w:tcMar>
            <w:vAlign w:val="bottom"/>
          </w:tcPr>
          <w:p w14:paraId="41A732E7" w14:textId="77777777" w:rsidR="00F14851" w:rsidRPr="003C44C7" w:rsidRDefault="00F14851" w:rsidP="00E30E24">
            <w:pPr>
              <w:pStyle w:val="TableText"/>
              <w:jc w:val="right"/>
            </w:pPr>
            <w:r w:rsidRPr="003C44C7">
              <w:t>16.62</w:t>
            </w:r>
          </w:p>
        </w:tc>
        <w:tc>
          <w:tcPr>
            <w:tcW w:w="1059" w:type="dxa"/>
            <w:shd w:val="clear" w:color="auto" w:fill="auto"/>
            <w:tcMar>
              <w:top w:w="113" w:type="dxa"/>
              <w:left w:w="113" w:type="dxa"/>
              <w:bottom w:w="113" w:type="dxa"/>
              <w:right w:w="283" w:type="dxa"/>
            </w:tcMar>
            <w:vAlign w:val="bottom"/>
          </w:tcPr>
          <w:p w14:paraId="465894CB" w14:textId="77777777" w:rsidR="00F14851" w:rsidRPr="003C44C7" w:rsidRDefault="00F14851" w:rsidP="00E30E24">
            <w:pPr>
              <w:pStyle w:val="TableText"/>
              <w:jc w:val="right"/>
            </w:pPr>
            <w:r w:rsidRPr="003C44C7">
              <w:t>16.18</w:t>
            </w:r>
          </w:p>
        </w:tc>
      </w:tr>
      <w:tr w:rsidR="00F14851" w:rsidRPr="003C44C7" w14:paraId="3E8FBBC7" w14:textId="77777777" w:rsidTr="00E30E24">
        <w:trPr>
          <w:trHeight w:val="255"/>
        </w:trPr>
        <w:tc>
          <w:tcPr>
            <w:tcW w:w="4677" w:type="dxa"/>
            <w:shd w:val="clear" w:color="auto" w:fill="auto"/>
            <w:tcMar>
              <w:top w:w="113" w:type="dxa"/>
              <w:left w:w="85" w:type="dxa"/>
              <w:bottom w:w="113" w:type="dxa"/>
              <w:right w:w="85" w:type="dxa"/>
            </w:tcMar>
            <w:vAlign w:val="bottom"/>
          </w:tcPr>
          <w:p w14:paraId="7500391B" w14:textId="77777777" w:rsidR="00F14851" w:rsidRPr="003C44C7" w:rsidRDefault="00F14851" w:rsidP="00E30E24">
            <w:pPr>
              <w:pStyle w:val="TableText"/>
            </w:pPr>
            <w:r w:rsidRPr="003C44C7">
              <w:t>Tetracyclines</w:t>
            </w:r>
          </w:p>
        </w:tc>
        <w:tc>
          <w:tcPr>
            <w:tcW w:w="1001" w:type="dxa"/>
            <w:shd w:val="clear" w:color="auto" w:fill="auto"/>
            <w:tcMar>
              <w:top w:w="113" w:type="dxa"/>
              <w:left w:w="57" w:type="dxa"/>
              <w:bottom w:w="113" w:type="dxa"/>
              <w:right w:w="170" w:type="dxa"/>
            </w:tcMar>
            <w:vAlign w:val="bottom"/>
          </w:tcPr>
          <w:p w14:paraId="249BC150" w14:textId="77777777" w:rsidR="00F14851" w:rsidRPr="003C44C7" w:rsidRDefault="00F14851" w:rsidP="00E30E24">
            <w:pPr>
              <w:pStyle w:val="TableText"/>
              <w:jc w:val="right"/>
            </w:pPr>
            <w:r w:rsidRPr="003C44C7">
              <w:t>31.28</w:t>
            </w:r>
          </w:p>
        </w:tc>
        <w:tc>
          <w:tcPr>
            <w:tcW w:w="956" w:type="dxa"/>
            <w:shd w:val="clear" w:color="auto" w:fill="auto"/>
            <w:tcMar>
              <w:top w:w="113" w:type="dxa"/>
              <w:left w:w="113" w:type="dxa"/>
              <w:bottom w:w="113" w:type="dxa"/>
              <w:right w:w="170" w:type="dxa"/>
            </w:tcMar>
            <w:vAlign w:val="bottom"/>
          </w:tcPr>
          <w:p w14:paraId="0653E153" w14:textId="77777777" w:rsidR="00F14851" w:rsidRPr="003C44C7" w:rsidRDefault="00F14851" w:rsidP="00E30E24">
            <w:pPr>
              <w:pStyle w:val="TableText"/>
              <w:jc w:val="right"/>
            </w:pPr>
            <w:r w:rsidRPr="003C44C7">
              <w:t>37.35</w:t>
            </w:r>
          </w:p>
        </w:tc>
        <w:tc>
          <w:tcPr>
            <w:tcW w:w="956" w:type="dxa"/>
            <w:shd w:val="clear" w:color="auto" w:fill="auto"/>
            <w:tcMar>
              <w:top w:w="113" w:type="dxa"/>
              <w:left w:w="113" w:type="dxa"/>
              <w:bottom w:w="113" w:type="dxa"/>
              <w:right w:w="170" w:type="dxa"/>
            </w:tcMar>
            <w:vAlign w:val="bottom"/>
          </w:tcPr>
          <w:p w14:paraId="5AF7D6A9" w14:textId="77777777" w:rsidR="00F14851" w:rsidRPr="003C44C7" w:rsidRDefault="00F14851" w:rsidP="00E30E24">
            <w:pPr>
              <w:pStyle w:val="TableText"/>
              <w:jc w:val="right"/>
            </w:pPr>
            <w:r w:rsidRPr="003C44C7">
              <w:t>43.08</w:t>
            </w:r>
          </w:p>
        </w:tc>
        <w:tc>
          <w:tcPr>
            <w:tcW w:w="1025" w:type="dxa"/>
            <w:shd w:val="clear" w:color="auto" w:fill="auto"/>
            <w:tcMar>
              <w:top w:w="113" w:type="dxa"/>
              <w:left w:w="113" w:type="dxa"/>
              <w:bottom w:w="113" w:type="dxa"/>
              <w:right w:w="283" w:type="dxa"/>
            </w:tcMar>
            <w:vAlign w:val="bottom"/>
          </w:tcPr>
          <w:p w14:paraId="70F3035C" w14:textId="77777777" w:rsidR="00F14851" w:rsidRPr="003C44C7" w:rsidRDefault="00F14851" w:rsidP="00E30E24">
            <w:pPr>
              <w:pStyle w:val="TableText"/>
              <w:jc w:val="right"/>
            </w:pPr>
            <w:r w:rsidRPr="003C44C7">
              <w:t>47.96</w:t>
            </w:r>
          </w:p>
        </w:tc>
        <w:tc>
          <w:tcPr>
            <w:tcW w:w="1059" w:type="dxa"/>
            <w:shd w:val="clear" w:color="auto" w:fill="auto"/>
            <w:tcMar>
              <w:top w:w="113" w:type="dxa"/>
              <w:left w:w="113" w:type="dxa"/>
              <w:bottom w:w="113" w:type="dxa"/>
              <w:right w:w="283" w:type="dxa"/>
            </w:tcMar>
            <w:vAlign w:val="bottom"/>
          </w:tcPr>
          <w:p w14:paraId="35D4C4D4" w14:textId="77777777" w:rsidR="00F14851" w:rsidRPr="003C44C7" w:rsidRDefault="00F14851" w:rsidP="00E30E24">
            <w:pPr>
              <w:pStyle w:val="TableText"/>
              <w:jc w:val="right"/>
            </w:pPr>
            <w:r w:rsidRPr="003C44C7">
              <w:t>54.34</w:t>
            </w:r>
          </w:p>
        </w:tc>
      </w:tr>
      <w:tr w:rsidR="00F14851" w:rsidRPr="003C44C7" w14:paraId="12E47A5B" w14:textId="77777777" w:rsidTr="00E30E24">
        <w:trPr>
          <w:trHeight w:val="255"/>
        </w:trPr>
        <w:tc>
          <w:tcPr>
            <w:tcW w:w="4677" w:type="dxa"/>
            <w:shd w:val="clear" w:color="auto" w:fill="auto"/>
            <w:tcMar>
              <w:top w:w="113" w:type="dxa"/>
              <w:left w:w="85" w:type="dxa"/>
              <w:bottom w:w="113" w:type="dxa"/>
              <w:right w:w="85" w:type="dxa"/>
            </w:tcMar>
            <w:vAlign w:val="bottom"/>
          </w:tcPr>
          <w:p w14:paraId="2B239510" w14:textId="77777777" w:rsidR="00F14851" w:rsidRPr="003C44C7" w:rsidRDefault="00F14851" w:rsidP="00E30E24">
            <w:pPr>
              <w:pStyle w:val="TableText"/>
            </w:pPr>
            <w:r w:rsidRPr="003C44C7">
              <w:t>Third-generation cephalosporins</w:t>
            </w:r>
          </w:p>
        </w:tc>
        <w:tc>
          <w:tcPr>
            <w:tcW w:w="1001" w:type="dxa"/>
            <w:shd w:val="clear" w:color="auto" w:fill="auto"/>
            <w:tcMar>
              <w:top w:w="113" w:type="dxa"/>
              <w:left w:w="57" w:type="dxa"/>
              <w:bottom w:w="113" w:type="dxa"/>
              <w:right w:w="170" w:type="dxa"/>
            </w:tcMar>
            <w:vAlign w:val="bottom"/>
          </w:tcPr>
          <w:p w14:paraId="0F1A6381" w14:textId="77777777" w:rsidR="00F14851" w:rsidRPr="003C44C7" w:rsidRDefault="00F14851" w:rsidP="00E30E24">
            <w:pPr>
              <w:pStyle w:val="TableText"/>
              <w:jc w:val="right"/>
            </w:pPr>
            <w:r w:rsidRPr="003C44C7">
              <w:t>50.17</w:t>
            </w:r>
          </w:p>
        </w:tc>
        <w:tc>
          <w:tcPr>
            <w:tcW w:w="956" w:type="dxa"/>
            <w:shd w:val="clear" w:color="auto" w:fill="auto"/>
            <w:tcMar>
              <w:top w:w="113" w:type="dxa"/>
              <w:left w:w="113" w:type="dxa"/>
              <w:bottom w:w="113" w:type="dxa"/>
              <w:right w:w="170" w:type="dxa"/>
            </w:tcMar>
            <w:vAlign w:val="bottom"/>
          </w:tcPr>
          <w:p w14:paraId="0267F36E" w14:textId="77777777" w:rsidR="00F14851" w:rsidRPr="003C44C7" w:rsidRDefault="00F14851" w:rsidP="00E30E24">
            <w:pPr>
              <w:pStyle w:val="TableText"/>
              <w:jc w:val="right"/>
            </w:pPr>
            <w:r w:rsidRPr="003C44C7">
              <w:t>51.47</w:t>
            </w:r>
          </w:p>
        </w:tc>
        <w:tc>
          <w:tcPr>
            <w:tcW w:w="956" w:type="dxa"/>
            <w:shd w:val="clear" w:color="auto" w:fill="auto"/>
            <w:tcMar>
              <w:top w:w="113" w:type="dxa"/>
              <w:left w:w="113" w:type="dxa"/>
              <w:bottom w:w="113" w:type="dxa"/>
              <w:right w:w="170" w:type="dxa"/>
            </w:tcMar>
            <w:vAlign w:val="bottom"/>
          </w:tcPr>
          <w:p w14:paraId="68F272D7" w14:textId="77777777" w:rsidR="00F14851" w:rsidRPr="003C44C7" w:rsidRDefault="00F14851" w:rsidP="00E30E24">
            <w:pPr>
              <w:pStyle w:val="TableText"/>
              <w:jc w:val="right"/>
            </w:pPr>
            <w:r w:rsidRPr="003C44C7">
              <w:t>49.50</w:t>
            </w:r>
          </w:p>
        </w:tc>
        <w:tc>
          <w:tcPr>
            <w:tcW w:w="1025" w:type="dxa"/>
            <w:shd w:val="clear" w:color="auto" w:fill="auto"/>
            <w:tcMar>
              <w:top w:w="113" w:type="dxa"/>
              <w:left w:w="113" w:type="dxa"/>
              <w:bottom w:w="113" w:type="dxa"/>
              <w:right w:w="283" w:type="dxa"/>
            </w:tcMar>
            <w:vAlign w:val="bottom"/>
          </w:tcPr>
          <w:p w14:paraId="382C7E92" w14:textId="77777777" w:rsidR="00F14851" w:rsidRPr="003C44C7" w:rsidRDefault="00F14851" w:rsidP="00E30E24">
            <w:pPr>
              <w:pStyle w:val="TableText"/>
              <w:jc w:val="right"/>
            </w:pPr>
            <w:r w:rsidRPr="003C44C7">
              <w:t>48.99</w:t>
            </w:r>
          </w:p>
        </w:tc>
        <w:tc>
          <w:tcPr>
            <w:tcW w:w="1059" w:type="dxa"/>
            <w:shd w:val="clear" w:color="auto" w:fill="auto"/>
            <w:tcMar>
              <w:top w:w="113" w:type="dxa"/>
              <w:left w:w="113" w:type="dxa"/>
              <w:bottom w:w="113" w:type="dxa"/>
              <w:right w:w="283" w:type="dxa"/>
            </w:tcMar>
            <w:vAlign w:val="bottom"/>
          </w:tcPr>
          <w:p w14:paraId="1E007711" w14:textId="77777777" w:rsidR="00F14851" w:rsidRPr="003C44C7" w:rsidRDefault="00F14851" w:rsidP="00E30E24">
            <w:pPr>
              <w:pStyle w:val="TableText"/>
              <w:jc w:val="right"/>
            </w:pPr>
            <w:r w:rsidRPr="003C44C7">
              <w:t>46.17</w:t>
            </w:r>
          </w:p>
        </w:tc>
      </w:tr>
      <w:tr w:rsidR="00F14851" w:rsidRPr="003C44C7" w14:paraId="4EC91269" w14:textId="77777777" w:rsidTr="00E30E24">
        <w:trPr>
          <w:trHeight w:val="270"/>
        </w:trPr>
        <w:tc>
          <w:tcPr>
            <w:tcW w:w="4677" w:type="dxa"/>
            <w:shd w:val="clear" w:color="auto" w:fill="auto"/>
            <w:tcMar>
              <w:top w:w="113" w:type="dxa"/>
              <w:left w:w="85" w:type="dxa"/>
              <w:bottom w:w="113" w:type="dxa"/>
              <w:right w:w="85" w:type="dxa"/>
            </w:tcMar>
            <w:vAlign w:val="bottom"/>
          </w:tcPr>
          <w:p w14:paraId="6236AADB" w14:textId="77777777" w:rsidR="00F14851" w:rsidRPr="003C44C7" w:rsidRDefault="00F14851" w:rsidP="00E30E24">
            <w:pPr>
              <w:pStyle w:val="TableText"/>
            </w:pPr>
            <w:r w:rsidRPr="003C44C7">
              <w:t>Trimethoprim</w:t>
            </w:r>
          </w:p>
        </w:tc>
        <w:tc>
          <w:tcPr>
            <w:tcW w:w="1001" w:type="dxa"/>
            <w:shd w:val="clear" w:color="auto" w:fill="auto"/>
            <w:tcMar>
              <w:top w:w="113" w:type="dxa"/>
              <w:left w:w="57" w:type="dxa"/>
              <w:bottom w:w="113" w:type="dxa"/>
              <w:right w:w="170" w:type="dxa"/>
            </w:tcMar>
            <w:vAlign w:val="bottom"/>
          </w:tcPr>
          <w:p w14:paraId="66457D6E" w14:textId="77777777" w:rsidR="00F14851" w:rsidRPr="003C44C7" w:rsidRDefault="00F14851" w:rsidP="00E30E24">
            <w:pPr>
              <w:pStyle w:val="TableText"/>
              <w:jc w:val="right"/>
            </w:pPr>
            <w:r w:rsidRPr="003C44C7">
              <w:t>23.44</w:t>
            </w:r>
          </w:p>
        </w:tc>
        <w:tc>
          <w:tcPr>
            <w:tcW w:w="956" w:type="dxa"/>
            <w:shd w:val="clear" w:color="auto" w:fill="auto"/>
            <w:tcMar>
              <w:top w:w="113" w:type="dxa"/>
              <w:left w:w="113" w:type="dxa"/>
              <w:bottom w:w="113" w:type="dxa"/>
              <w:right w:w="170" w:type="dxa"/>
            </w:tcMar>
            <w:vAlign w:val="bottom"/>
          </w:tcPr>
          <w:p w14:paraId="12E9D80E" w14:textId="77777777" w:rsidR="00F14851" w:rsidRPr="003C44C7" w:rsidRDefault="00F14851" w:rsidP="00E30E24">
            <w:pPr>
              <w:pStyle w:val="TableText"/>
              <w:jc w:val="right"/>
            </w:pPr>
            <w:r w:rsidRPr="003C44C7">
              <w:t>21.53</w:t>
            </w:r>
          </w:p>
        </w:tc>
        <w:tc>
          <w:tcPr>
            <w:tcW w:w="956" w:type="dxa"/>
            <w:shd w:val="clear" w:color="auto" w:fill="auto"/>
            <w:tcMar>
              <w:top w:w="113" w:type="dxa"/>
              <w:left w:w="113" w:type="dxa"/>
              <w:bottom w:w="113" w:type="dxa"/>
              <w:right w:w="170" w:type="dxa"/>
            </w:tcMar>
            <w:vAlign w:val="bottom"/>
          </w:tcPr>
          <w:p w14:paraId="30124490" w14:textId="77777777" w:rsidR="00F14851" w:rsidRPr="003C44C7" w:rsidRDefault="00F14851" w:rsidP="00E30E24">
            <w:pPr>
              <w:pStyle w:val="TableText"/>
              <w:jc w:val="right"/>
            </w:pPr>
            <w:r w:rsidRPr="003C44C7">
              <w:t>20.57</w:t>
            </w:r>
          </w:p>
        </w:tc>
        <w:tc>
          <w:tcPr>
            <w:tcW w:w="1025" w:type="dxa"/>
            <w:shd w:val="clear" w:color="auto" w:fill="auto"/>
            <w:tcMar>
              <w:top w:w="113" w:type="dxa"/>
              <w:left w:w="113" w:type="dxa"/>
              <w:bottom w:w="113" w:type="dxa"/>
              <w:right w:w="283" w:type="dxa"/>
            </w:tcMar>
            <w:vAlign w:val="bottom"/>
          </w:tcPr>
          <w:p w14:paraId="47DD19FC" w14:textId="77777777" w:rsidR="00F14851" w:rsidRPr="003C44C7" w:rsidRDefault="00F14851" w:rsidP="00E30E24">
            <w:pPr>
              <w:pStyle w:val="TableText"/>
              <w:jc w:val="right"/>
            </w:pPr>
            <w:r w:rsidRPr="003C44C7">
              <w:t>19.75</w:t>
            </w:r>
          </w:p>
        </w:tc>
        <w:tc>
          <w:tcPr>
            <w:tcW w:w="1059" w:type="dxa"/>
            <w:shd w:val="clear" w:color="auto" w:fill="auto"/>
            <w:tcMar>
              <w:top w:w="113" w:type="dxa"/>
              <w:left w:w="113" w:type="dxa"/>
              <w:bottom w:w="113" w:type="dxa"/>
              <w:right w:w="283" w:type="dxa"/>
            </w:tcMar>
            <w:vAlign w:val="bottom"/>
          </w:tcPr>
          <w:p w14:paraId="083AB1F1" w14:textId="77777777" w:rsidR="00F14851" w:rsidRPr="003C44C7" w:rsidRDefault="00F14851" w:rsidP="00E30E24">
            <w:pPr>
              <w:pStyle w:val="TableText"/>
              <w:jc w:val="right"/>
            </w:pPr>
            <w:r w:rsidRPr="003C44C7">
              <w:t>18.00</w:t>
            </w:r>
          </w:p>
        </w:tc>
      </w:tr>
      <w:tr w:rsidR="00F14851" w:rsidRPr="003C44C7" w14:paraId="14026A1B" w14:textId="77777777" w:rsidTr="00E30E24">
        <w:trPr>
          <w:trHeight w:val="270"/>
        </w:trPr>
        <w:tc>
          <w:tcPr>
            <w:tcW w:w="4677" w:type="dxa"/>
            <w:tcBorders>
              <w:bottom w:val="single" w:sz="4" w:space="0" w:color="auto"/>
            </w:tcBorders>
            <w:shd w:val="clear" w:color="auto" w:fill="auto"/>
            <w:tcMar>
              <w:top w:w="113" w:type="dxa"/>
              <w:left w:w="85" w:type="dxa"/>
              <w:bottom w:w="113" w:type="dxa"/>
              <w:right w:w="85" w:type="dxa"/>
            </w:tcMar>
            <w:vAlign w:val="bottom"/>
          </w:tcPr>
          <w:p w14:paraId="12D43843" w14:textId="77777777" w:rsidR="00F14851" w:rsidRPr="003C44C7" w:rsidRDefault="00F14851" w:rsidP="00E30E24">
            <w:pPr>
              <w:pStyle w:val="TableText"/>
            </w:pPr>
            <w:r w:rsidRPr="003C44C7">
              <w:rPr>
                <w:rStyle w:val="Strong"/>
              </w:rPr>
              <w:t>Total</w:t>
            </w:r>
          </w:p>
        </w:tc>
        <w:tc>
          <w:tcPr>
            <w:tcW w:w="1001" w:type="dxa"/>
            <w:tcBorders>
              <w:bottom w:val="single" w:sz="4" w:space="0" w:color="auto"/>
            </w:tcBorders>
            <w:shd w:val="clear" w:color="auto" w:fill="auto"/>
            <w:tcMar>
              <w:top w:w="113" w:type="dxa"/>
              <w:left w:w="57" w:type="dxa"/>
              <w:bottom w:w="113" w:type="dxa"/>
              <w:right w:w="170" w:type="dxa"/>
            </w:tcMar>
            <w:vAlign w:val="bottom"/>
          </w:tcPr>
          <w:p w14:paraId="727F2E50" w14:textId="77777777" w:rsidR="00F14851" w:rsidRPr="003C44C7" w:rsidRDefault="00F14851" w:rsidP="00E30E24">
            <w:pPr>
              <w:pStyle w:val="TableText"/>
              <w:jc w:val="right"/>
            </w:pPr>
            <w:r w:rsidRPr="003C44C7">
              <w:rPr>
                <w:rStyle w:val="Strong"/>
              </w:rPr>
              <w:t>1005.70</w:t>
            </w:r>
          </w:p>
        </w:tc>
        <w:tc>
          <w:tcPr>
            <w:tcW w:w="956" w:type="dxa"/>
            <w:tcBorders>
              <w:bottom w:val="single" w:sz="4" w:space="0" w:color="auto"/>
            </w:tcBorders>
            <w:shd w:val="clear" w:color="auto" w:fill="auto"/>
            <w:tcMar>
              <w:top w:w="113" w:type="dxa"/>
              <w:left w:w="113" w:type="dxa"/>
              <w:bottom w:w="113" w:type="dxa"/>
              <w:right w:w="170" w:type="dxa"/>
            </w:tcMar>
            <w:vAlign w:val="bottom"/>
          </w:tcPr>
          <w:p w14:paraId="1420BA50" w14:textId="77777777" w:rsidR="00F14851" w:rsidRPr="003C44C7" w:rsidRDefault="00F14851" w:rsidP="00E30E24">
            <w:pPr>
              <w:pStyle w:val="TableText"/>
              <w:jc w:val="right"/>
            </w:pPr>
            <w:r w:rsidRPr="003C44C7">
              <w:rPr>
                <w:rStyle w:val="Strong"/>
              </w:rPr>
              <w:t>998.38</w:t>
            </w:r>
          </w:p>
        </w:tc>
        <w:tc>
          <w:tcPr>
            <w:tcW w:w="956" w:type="dxa"/>
            <w:tcBorders>
              <w:bottom w:val="single" w:sz="4" w:space="0" w:color="auto"/>
            </w:tcBorders>
            <w:shd w:val="clear" w:color="auto" w:fill="auto"/>
            <w:tcMar>
              <w:top w:w="113" w:type="dxa"/>
              <w:left w:w="113" w:type="dxa"/>
              <w:bottom w:w="113" w:type="dxa"/>
              <w:right w:w="170" w:type="dxa"/>
            </w:tcMar>
            <w:vAlign w:val="bottom"/>
          </w:tcPr>
          <w:p w14:paraId="46983D4B" w14:textId="77777777" w:rsidR="00F14851" w:rsidRPr="003C44C7" w:rsidRDefault="00F14851" w:rsidP="00E30E24">
            <w:pPr>
              <w:pStyle w:val="TableText"/>
              <w:jc w:val="right"/>
            </w:pPr>
            <w:r w:rsidRPr="003C44C7">
              <w:rPr>
                <w:rStyle w:val="Strong"/>
              </w:rPr>
              <w:t>968.79</w:t>
            </w:r>
          </w:p>
        </w:tc>
        <w:tc>
          <w:tcPr>
            <w:tcW w:w="1025" w:type="dxa"/>
            <w:tcBorders>
              <w:bottom w:val="single" w:sz="4" w:space="0" w:color="auto"/>
            </w:tcBorders>
            <w:shd w:val="clear" w:color="auto" w:fill="auto"/>
            <w:tcMar>
              <w:top w:w="113" w:type="dxa"/>
              <w:left w:w="113" w:type="dxa"/>
              <w:bottom w:w="113" w:type="dxa"/>
              <w:right w:w="283" w:type="dxa"/>
            </w:tcMar>
            <w:vAlign w:val="bottom"/>
          </w:tcPr>
          <w:p w14:paraId="597442DB" w14:textId="77777777" w:rsidR="00F14851" w:rsidRPr="003C44C7" w:rsidRDefault="00F14851" w:rsidP="00E30E24">
            <w:pPr>
              <w:pStyle w:val="TableText"/>
              <w:jc w:val="right"/>
            </w:pPr>
            <w:r w:rsidRPr="003C44C7">
              <w:rPr>
                <w:rStyle w:val="Strong"/>
              </w:rPr>
              <w:t>965.14</w:t>
            </w:r>
          </w:p>
        </w:tc>
        <w:tc>
          <w:tcPr>
            <w:tcW w:w="1059" w:type="dxa"/>
            <w:tcBorders>
              <w:bottom w:val="single" w:sz="4" w:space="0" w:color="auto"/>
            </w:tcBorders>
            <w:shd w:val="clear" w:color="auto" w:fill="auto"/>
            <w:tcMar>
              <w:top w:w="113" w:type="dxa"/>
              <w:left w:w="113" w:type="dxa"/>
              <w:bottom w:w="113" w:type="dxa"/>
              <w:right w:w="283" w:type="dxa"/>
            </w:tcMar>
            <w:vAlign w:val="bottom"/>
          </w:tcPr>
          <w:p w14:paraId="5C35B8E1" w14:textId="77777777" w:rsidR="00F14851" w:rsidRPr="003C44C7" w:rsidRDefault="00F14851" w:rsidP="00E30E24">
            <w:pPr>
              <w:pStyle w:val="TableText"/>
              <w:jc w:val="right"/>
            </w:pPr>
            <w:r w:rsidRPr="003C44C7">
              <w:rPr>
                <w:rStyle w:val="Strong"/>
              </w:rPr>
              <w:t>936.31</w:t>
            </w:r>
          </w:p>
        </w:tc>
      </w:tr>
    </w:tbl>
    <w:p w14:paraId="3BAD4388" w14:textId="77777777" w:rsidR="00F14851" w:rsidRPr="003C44C7" w:rsidRDefault="00F14851">
      <w:pPr>
        <w:pStyle w:val="TFIHolderSpan"/>
      </w:pPr>
    </w:p>
    <w:p w14:paraId="01049B51" w14:textId="77777777" w:rsidR="00F14851" w:rsidRPr="003C44C7" w:rsidRDefault="00F14851" w:rsidP="00B55A65">
      <w:pPr>
        <w:pStyle w:val="TFNoteSourceSpace"/>
      </w:pPr>
      <w:r w:rsidRPr="003C44C7">
        <w:t>Note:</w:t>
      </w:r>
      <w:r w:rsidRPr="003C44C7">
        <w:tab/>
        <w:t xml:space="preserve">Figures may vary slightly from previous reports as a result of retrospective data adjustments. </w:t>
      </w:r>
    </w:p>
    <w:p w14:paraId="28C71CE9" w14:textId="77777777" w:rsidR="00F14851" w:rsidRPr="003C44C7" w:rsidRDefault="00F14851">
      <w:pPr>
        <w:pStyle w:val="Heading1"/>
      </w:pPr>
      <w:bookmarkStart w:id="17" w:name="_Toc429391537"/>
      <w:r w:rsidRPr="003C44C7">
        <w:t>Antimicrobial usage rates by individual agent, 2014</w:t>
      </w:r>
      <w:bookmarkEnd w:id="17"/>
    </w:p>
    <w:p w14:paraId="79ACF01B" w14:textId="77777777" w:rsidR="00F14851" w:rsidRPr="003C44C7" w:rsidRDefault="00F14851">
      <w:r w:rsidRPr="003C44C7">
        <w:t xml:space="preserve">This section shows usage rates of individual antimicrobial agents, demonstrating trends over the past five years. </w:t>
      </w:r>
    </w:p>
    <w:p w14:paraId="7A8442DD" w14:textId="77777777" w:rsidR="00F14851" w:rsidRPr="003C44C7" w:rsidRDefault="00F14851">
      <w:pPr>
        <w:pStyle w:val="Heading2"/>
      </w:pPr>
      <w:bookmarkStart w:id="18" w:name="_Toc429391538"/>
      <w:r w:rsidRPr="003C44C7">
        <w:t>Aminoglycosides – amikacin, gentamicin, tobramycin</w:t>
      </w:r>
      <w:bookmarkEnd w:id="18"/>
    </w:p>
    <w:p w14:paraId="3F06150B" w14:textId="77777777" w:rsidR="00F14851" w:rsidRPr="003C44C7" w:rsidRDefault="00F14851">
      <w:r w:rsidRPr="003C44C7">
        <w:t>Gentamicin is the most commonly used aminoglycoside in Australia. Usage rates have steadily decreased over the past five years in all Australian states (Figure 14). Amikacin and tobramycin usage rates remain low compared with gentamicin rates. Higher usage rates of tobramycin appear to be confined to larger hospitals with referral services for cystic fibrosis patients.</w:t>
      </w:r>
    </w:p>
    <w:p w14:paraId="4751AAD5" w14:textId="77777777" w:rsidR="00B55A65" w:rsidRPr="003C44C7" w:rsidRDefault="00B55A65" w:rsidP="00B55A65">
      <w:pPr>
        <w:pStyle w:val="FigureName"/>
      </w:pPr>
      <w:r w:rsidRPr="003C44C7">
        <w:t>Figure 14</w:t>
      </w:r>
      <w:r w:rsidRPr="003C44C7">
        <w:tab/>
        <w:t xml:space="preserve">Aminoglycoside usage rates, 2010–14 (3-month moving average) </w:t>
      </w:r>
    </w:p>
    <w:p w14:paraId="3750E8EB" w14:textId="77777777" w:rsidR="00F14851" w:rsidRPr="003C44C7" w:rsidRDefault="00A829B3">
      <w:pPr>
        <w:pStyle w:val="TFIHolderSpan"/>
      </w:pPr>
      <w:r w:rsidRPr="003C44C7">
        <w:rPr>
          <w:noProof/>
        </w:rPr>
        <w:drawing>
          <wp:inline distT="0" distB="0" distL="0" distR="0" wp14:anchorId="1C808B20" wp14:editId="3E74179C">
            <wp:extent cx="6121400" cy="5359400"/>
            <wp:effectExtent l="0" t="0" r="0" b="0"/>
            <wp:docPr id="17" name="Picture 17" descr="Line graphs showing 3-month moving average of aminoglycoside usage rates, as DDDs per 1000 OBDs, from 2010 to 2014. Separate graphs are provided for New South Wales and the ACT, Queensland, South Australia, Tasmania, Victoria and Western Australia, and each graph shows a separate line for tobramycin, gentamicin and amikacin. In all states, gentamicin had the higest usage rate of the three agents for the entir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_14_-_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1400" cy="5359400"/>
                    </a:xfrm>
                    <a:prstGeom prst="rect">
                      <a:avLst/>
                    </a:prstGeom>
                    <a:noFill/>
                    <a:ln>
                      <a:noFill/>
                    </a:ln>
                  </pic:spPr>
                </pic:pic>
              </a:graphicData>
            </a:graphic>
          </wp:inline>
        </w:drawing>
      </w:r>
    </w:p>
    <w:p w14:paraId="36045E9B" w14:textId="77777777" w:rsidR="00F14851" w:rsidRPr="003C44C7" w:rsidRDefault="00F14851" w:rsidP="00B55A65">
      <w:pPr>
        <w:pStyle w:val="TFNoteSourceSpace"/>
      </w:pPr>
      <w:r w:rsidRPr="003C44C7">
        <w:t>Note:</w:t>
      </w:r>
      <w:r w:rsidRPr="003C44C7">
        <w:tab/>
        <w:t>Tobramycin usage rates include inhaled formulations.</w:t>
      </w:r>
    </w:p>
    <w:p w14:paraId="60AE34FA" w14:textId="77777777" w:rsidR="00F14851" w:rsidRPr="003C44C7" w:rsidRDefault="00F14851">
      <w:pPr>
        <w:pStyle w:val="Heading2"/>
      </w:pPr>
      <w:bookmarkStart w:id="19" w:name="_Toc429391539"/>
      <w:r w:rsidRPr="003C44C7">
        <w:t>Carbapenems – doripenem, ertapenem, imipenem, meropenem</w:t>
      </w:r>
      <w:bookmarkEnd w:id="19"/>
      <w:r w:rsidRPr="003C44C7">
        <w:t xml:space="preserve"> </w:t>
      </w:r>
    </w:p>
    <w:p w14:paraId="16333E67" w14:textId="77777777" w:rsidR="00F14851" w:rsidRPr="003C44C7" w:rsidRDefault="00F14851">
      <w:r w:rsidRPr="003C44C7">
        <w:t>Meropenem is the dominant carbapenem used in Australian hospitals. It has become a key reserve-line antibacterial with the increasing incidence of infections with extended-spectrum β-lactamase-producing microorganisms.</w:t>
      </w:r>
    </w:p>
    <w:p w14:paraId="46EDB841" w14:textId="77777777" w:rsidR="00F14851" w:rsidRPr="003C44C7" w:rsidRDefault="00F14851">
      <w:r w:rsidRPr="003C44C7">
        <w:t xml:space="preserve">Usage rates of other carbapenems are low, and possibly influenced by prescribing preferences in particular hospitals (Figure 15). </w:t>
      </w:r>
    </w:p>
    <w:p w14:paraId="41BA0D80" w14:textId="77777777" w:rsidR="00B55A65" w:rsidRPr="003C44C7" w:rsidRDefault="00B55A65" w:rsidP="00B55A65">
      <w:pPr>
        <w:pStyle w:val="FigureName"/>
      </w:pPr>
      <w:r w:rsidRPr="003C44C7">
        <w:t>Figure 15</w:t>
      </w:r>
      <w:r w:rsidRPr="003C44C7">
        <w:tab/>
        <w:t xml:space="preserve">Carbapenem usage rates, 2010–14 (3-month moving average) </w:t>
      </w:r>
    </w:p>
    <w:p w14:paraId="465D0543" w14:textId="77777777" w:rsidR="00F14851" w:rsidRPr="003C44C7" w:rsidRDefault="00A829B3">
      <w:pPr>
        <w:pStyle w:val="TFIHolderSpan"/>
      </w:pPr>
      <w:r w:rsidRPr="003C44C7">
        <w:rPr>
          <w:noProof/>
        </w:rPr>
        <w:drawing>
          <wp:inline distT="0" distB="0" distL="0" distR="0" wp14:anchorId="0A4A09A6" wp14:editId="28421404">
            <wp:extent cx="6121400" cy="5376545"/>
            <wp:effectExtent l="0" t="0" r="0" b="0"/>
            <wp:docPr id="18" name="Picture 18" descr="Line graphs showing 3-month moving average of carbapenem usage rates, as DDDs per 1000 OBDs, from 2010 to 2014. Separate graphs are provided for New South Wales and the ACT, Queensland, South Australia, Tasmania, Victoria and Western Australia, and each graph shows a separate line for meropenem, ertapenem, imipenem with cilastatin, and doripenem. In all states, meropenem had the higest usage rate of the four agents for the period (except in Queensland from 2010 to mid-2011, when doripenem and meropenem had roughly equal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_15_-_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1400" cy="5376545"/>
                    </a:xfrm>
                    <a:prstGeom prst="rect">
                      <a:avLst/>
                    </a:prstGeom>
                    <a:noFill/>
                    <a:ln>
                      <a:noFill/>
                    </a:ln>
                  </pic:spPr>
                </pic:pic>
              </a:graphicData>
            </a:graphic>
          </wp:inline>
        </w:drawing>
      </w:r>
    </w:p>
    <w:p w14:paraId="799FA9A3" w14:textId="77777777" w:rsidR="00F14851" w:rsidRPr="003C44C7" w:rsidRDefault="00F14851" w:rsidP="00B55A65">
      <w:pPr>
        <w:pStyle w:val="TFNoteSourceSpace"/>
      </w:pPr>
      <w:r w:rsidRPr="003C44C7">
        <w:t>Note:</w:t>
      </w:r>
      <w:r w:rsidRPr="003C44C7">
        <w:tab/>
        <w:t>No doripenem use was recorded in South Australia or Tasmania.</w:t>
      </w:r>
    </w:p>
    <w:p w14:paraId="7D3BCB4C" w14:textId="77777777" w:rsidR="00F14851" w:rsidRPr="003C44C7" w:rsidRDefault="00F14851">
      <w:pPr>
        <w:pStyle w:val="Heading2"/>
      </w:pPr>
      <w:bookmarkStart w:id="20" w:name="_Toc429391540"/>
      <w:r w:rsidRPr="003C44C7">
        <w:t>Third- and fourth-generation cephalosporins – ceftriaxone, cefotaxime, ceftazidime, cefepime</w:t>
      </w:r>
      <w:bookmarkEnd w:id="20"/>
    </w:p>
    <w:p w14:paraId="79F310D3" w14:textId="77777777" w:rsidR="00F14851" w:rsidRPr="003C44C7" w:rsidRDefault="00F14851">
      <w:r w:rsidRPr="003C44C7">
        <w:t>Figure 16 shows the usage rates of third- and fourth-generation cephalosporins (ceftriaxone, cefotaxime, ceftazidime, cefepime) over the past five years.</w:t>
      </w:r>
    </w:p>
    <w:p w14:paraId="7CD97658" w14:textId="77777777" w:rsidR="00F14851" w:rsidRPr="003C44C7" w:rsidRDefault="00F14851">
      <w:r w:rsidRPr="003C44C7">
        <w:t xml:space="preserve">Ceftriaxone, a third-generation cephalosporin, shows a pattern of seasonal use, reflecting its role in the treatment of lower respiratory infections. </w:t>
      </w:r>
    </w:p>
    <w:p w14:paraId="34F86C6C" w14:textId="77777777" w:rsidR="00B55A65" w:rsidRPr="003C44C7" w:rsidRDefault="00B55A65" w:rsidP="00B55A65">
      <w:pPr>
        <w:pStyle w:val="FigureName"/>
      </w:pPr>
      <w:r w:rsidRPr="003C44C7">
        <w:t>Figure 16</w:t>
      </w:r>
      <w:r w:rsidRPr="003C44C7">
        <w:tab/>
        <w:t xml:space="preserve">Cephalosporin usage rates, 2010–14 (3-month moving average) </w:t>
      </w:r>
    </w:p>
    <w:p w14:paraId="734D82D5" w14:textId="77777777" w:rsidR="00F14851" w:rsidRPr="003C44C7" w:rsidRDefault="00A829B3">
      <w:pPr>
        <w:pStyle w:val="FigureNameSpan"/>
      </w:pPr>
      <w:r w:rsidRPr="003C44C7">
        <w:rPr>
          <w:noProof/>
        </w:rPr>
        <w:drawing>
          <wp:inline distT="0" distB="0" distL="0" distR="0" wp14:anchorId="00C232D0" wp14:editId="29482E33">
            <wp:extent cx="6121400" cy="5376545"/>
            <wp:effectExtent l="0" t="0" r="0" b="0"/>
            <wp:docPr id="19" name="Picture 19" descr="Line graphs showing 3-month moving average of cephalosporin usage rates, as DDDs per 1000 OBDs, from 2010 to 2014. Separate graphs are provided for New South Wales and the ACT, Queensland, South Australia, Tasmania, Victoria and Western Australia, and each graph shows a separate line for ceftriaxone, cefepime, cefotaxime and ceftazidime. In all states, ceftriaxone had the highest usage rate of the four agents for the entir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_16_-_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1400" cy="5376545"/>
                    </a:xfrm>
                    <a:prstGeom prst="rect">
                      <a:avLst/>
                    </a:prstGeom>
                    <a:noFill/>
                    <a:ln>
                      <a:noFill/>
                    </a:ln>
                  </pic:spPr>
                </pic:pic>
              </a:graphicData>
            </a:graphic>
          </wp:inline>
        </w:drawing>
      </w:r>
    </w:p>
    <w:p w14:paraId="7FA11BE9" w14:textId="77777777" w:rsidR="00F14851" w:rsidRPr="003C44C7" w:rsidRDefault="00F14851">
      <w:pPr>
        <w:pStyle w:val="Heading2"/>
      </w:pPr>
      <w:bookmarkStart w:id="21" w:name="_Toc429391541"/>
      <w:r w:rsidRPr="003C44C7">
        <w:t>Fluoroquinolones – ciprofloxacin, norfloxacin, moxifloxacin</w:t>
      </w:r>
      <w:bookmarkEnd w:id="21"/>
    </w:p>
    <w:p w14:paraId="62B8C7A2" w14:textId="77777777" w:rsidR="00F14851" w:rsidRPr="003C44C7" w:rsidRDefault="00F14851">
      <w:r w:rsidRPr="003C44C7">
        <w:t>Fluoroquinolone usage rates appear to have trended downwards since 2010 (Figure 17).</w:t>
      </w:r>
    </w:p>
    <w:p w14:paraId="65CF73C8" w14:textId="77777777" w:rsidR="00F14851" w:rsidRPr="003C44C7" w:rsidRDefault="00F14851">
      <w:r w:rsidRPr="003C44C7">
        <w:t xml:space="preserve">Ciprofloxacin is the most frequently used fluoroquinolone. Usage rates of norfloxacin and moxifloxacin have remained relatively constant. </w:t>
      </w:r>
    </w:p>
    <w:p w14:paraId="2B05F2D9" w14:textId="77777777" w:rsidR="00ED3824" w:rsidRPr="003C44C7" w:rsidRDefault="00ED3824" w:rsidP="00ED3824">
      <w:pPr>
        <w:pStyle w:val="FigureName"/>
      </w:pPr>
      <w:r w:rsidRPr="003C44C7">
        <w:t>Figure 17</w:t>
      </w:r>
      <w:r w:rsidRPr="003C44C7">
        <w:tab/>
        <w:t xml:space="preserve">Fluoroquinolone usage rates, 2010–14 (3-month moving average) </w:t>
      </w:r>
    </w:p>
    <w:p w14:paraId="527173F5" w14:textId="77777777" w:rsidR="00F14851" w:rsidRPr="003C44C7" w:rsidRDefault="00A829B3">
      <w:pPr>
        <w:pStyle w:val="TFIHolderSpan"/>
      </w:pPr>
      <w:r w:rsidRPr="003C44C7">
        <w:rPr>
          <w:noProof/>
        </w:rPr>
        <w:drawing>
          <wp:inline distT="0" distB="0" distL="0" distR="0" wp14:anchorId="430B4FD7" wp14:editId="128FADD1">
            <wp:extent cx="6121400" cy="5351145"/>
            <wp:effectExtent l="0" t="0" r="0" b="1905"/>
            <wp:docPr id="20" name="Picture 20" descr="Line graphs showing 3-month moving average of fluoroquinolone usage rates, as DDDs per 1000 OBDs, from 2010 to 2014. Separate graphs are provided for New South Wales and the ACT, Queensland, South Australia, Tasmania, Victoria and Western Australia, and each graph shows a separate line for ciprofloxacin, moxifloxacin and norfloxacine. In all states, ciprofloxacin had the highest usage rate of the three agents for the entir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_17_-_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1400" cy="5351145"/>
                    </a:xfrm>
                    <a:prstGeom prst="rect">
                      <a:avLst/>
                    </a:prstGeom>
                    <a:noFill/>
                    <a:ln>
                      <a:noFill/>
                    </a:ln>
                  </pic:spPr>
                </pic:pic>
              </a:graphicData>
            </a:graphic>
          </wp:inline>
        </w:drawing>
      </w:r>
    </w:p>
    <w:p w14:paraId="2DEE9F90" w14:textId="77777777" w:rsidR="00ED3824" w:rsidRPr="003C44C7" w:rsidRDefault="00ED3824">
      <w:pPr>
        <w:spacing w:after="0"/>
      </w:pPr>
      <w:r w:rsidRPr="003C44C7">
        <w:br w:type="page"/>
      </w:r>
    </w:p>
    <w:p w14:paraId="104A6D37" w14:textId="04222B95" w:rsidR="001137D1" w:rsidRPr="003C44C7" w:rsidRDefault="001137D1" w:rsidP="00ED3824">
      <w:pPr>
        <w:pStyle w:val="BoxText"/>
      </w:pPr>
      <w:r w:rsidRPr="003C44C7">
        <w:t>From a medium-sized private hospital:</w:t>
      </w:r>
    </w:p>
    <w:p w14:paraId="124C95A0" w14:textId="77777777" w:rsidR="001137D1" w:rsidRPr="003C44C7" w:rsidRDefault="001137D1" w:rsidP="00ED3824">
      <w:pPr>
        <w:pStyle w:val="BoxText"/>
        <w:rPr>
          <w:sz w:val="18"/>
          <w:szCs w:val="18"/>
        </w:rPr>
      </w:pPr>
      <w:r w:rsidRPr="003C44C7">
        <w:t>‘We conducted an in-house audit to assess appropriate use’</w:t>
      </w:r>
    </w:p>
    <w:p w14:paraId="1F14C8E9" w14:textId="698A5137" w:rsidR="001137D1" w:rsidRPr="003C44C7" w:rsidRDefault="001137D1" w:rsidP="00ED3824">
      <w:pPr>
        <w:pStyle w:val="BoxText"/>
        <w:rPr>
          <w:rStyle w:val="Emphasis"/>
        </w:rPr>
      </w:pPr>
      <w:r w:rsidRPr="003C44C7">
        <w:t>NAUSP reporting showed that oral ciprofloxacin and norfloxacin were regularly being used more than the national comparator average in a medium-sized metropolitan hospital. In-house audits were conducted to assess appropriate use, with the following outcomes:</w:t>
      </w:r>
    </w:p>
    <w:p w14:paraId="7B6C4571" w14:textId="77777777" w:rsidR="001137D1" w:rsidRPr="003C44C7" w:rsidRDefault="001137D1" w:rsidP="00ED3824">
      <w:pPr>
        <w:pStyle w:val="BoxText"/>
      </w:pPr>
      <w:r w:rsidRPr="003C44C7">
        <w:t>The AMS committee was able to address specific prescribers and highlight inappropriate use.</w:t>
      </w:r>
    </w:p>
    <w:p w14:paraId="03B1061A" w14:textId="77777777" w:rsidR="001137D1" w:rsidRPr="003C44C7" w:rsidRDefault="001137D1" w:rsidP="00ED3824">
      <w:pPr>
        <w:pStyle w:val="BoxText"/>
      </w:pPr>
      <w:r w:rsidRPr="003C44C7">
        <w:t>The reporting of urinary tract infection pathology results was altered to offer norfloxacin as a sensitive antibacterial only if the specimen was resistant to other first-line antibacterials.</w:t>
      </w:r>
    </w:p>
    <w:p w14:paraId="77F3E040" w14:textId="77777777" w:rsidR="00F14851" w:rsidRPr="003C44C7" w:rsidRDefault="001137D1" w:rsidP="00ED3824">
      <w:pPr>
        <w:pStyle w:val="BoxText"/>
      </w:pPr>
      <w:r w:rsidRPr="003C44C7">
        <w:rPr>
          <w:noProof/>
        </w:rPr>
        <w:drawing>
          <wp:inline distT="0" distB="0" distL="0" distR="0" wp14:anchorId="18D01F1F" wp14:editId="3B4EA7DE">
            <wp:extent cx="2590800" cy="1515745"/>
            <wp:effectExtent l="0" t="0" r="0" b="0"/>
            <wp:docPr id="38" name="Picture 38" descr="Line graph showing usage rates of norfloxacin from 2011 to 2014 for a medium-sized metropolitan hospital and all NAUSP contributors. The rate was higher in the hospital than the national average, but decreased after a change to pathology reporting in November 2013 and after the audit in Apri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oups:01-Projects:01-Projects - Active:15-061-NAUSP+D:Design:Layout:15-061-NAUSP-Export_from_indesign-web-resources:image:Figure_Box-_Norfloxacin-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0800" cy="1515745"/>
                    </a:xfrm>
                    <a:prstGeom prst="rect">
                      <a:avLst/>
                    </a:prstGeom>
                    <a:noFill/>
                    <a:ln>
                      <a:noFill/>
                    </a:ln>
                  </pic:spPr>
                </pic:pic>
              </a:graphicData>
            </a:graphic>
          </wp:inline>
        </w:drawing>
      </w:r>
    </w:p>
    <w:p w14:paraId="0DF88234" w14:textId="77777777" w:rsidR="00F14851" w:rsidRPr="003C44C7" w:rsidRDefault="00F14851">
      <w:pPr>
        <w:pStyle w:val="Heading2"/>
      </w:pPr>
      <w:bookmarkStart w:id="22" w:name="_Toc429391542"/>
      <w:r w:rsidRPr="003C44C7">
        <w:t>Glycopeptides – vancomycin, teicoplanin</w:t>
      </w:r>
      <w:bookmarkEnd w:id="22"/>
      <w:r w:rsidRPr="003C44C7">
        <w:t xml:space="preserve"> </w:t>
      </w:r>
    </w:p>
    <w:p w14:paraId="11A7C39C" w14:textId="77777777" w:rsidR="00F14851" w:rsidRPr="003C44C7" w:rsidRDefault="00F14851">
      <w:r w:rsidRPr="003C44C7">
        <w:t xml:space="preserve">Vancomycin and teicoplanin are the only glycopeptides available in Australia. Since 2010, aggregated vancomycin usage rates have decreased (Figure 18). Although aggregate monthly teicoplanin use remains low (five-year mean 1.7 DDDs per 1000 OBDs), large variations in usage rates occur between hospitals. </w:t>
      </w:r>
    </w:p>
    <w:p w14:paraId="0DBB2192" w14:textId="77777777" w:rsidR="00ED3824" w:rsidRPr="003C44C7" w:rsidRDefault="00ED3824" w:rsidP="00ED3824">
      <w:pPr>
        <w:pStyle w:val="FigureName"/>
      </w:pPr>
      <w:r w:rsidRPr="003C44C7">
        <w:t>Figure 18</w:t>
      </w:r>
      <w:r w:rsidRPr="003C44C7">
        <w:tab/>
        <w:t xml:space="preserve">Glycopeptide usage rates, 2010–14 (3-month moving average) </w:t>
      </w:r>
    </w:p>
    <w:p w14:paraId="23A21C38" w14:textId="77777777" w:rsidR="00BE172D" w:rsidRPr="003C44C7" w:rsidRDefault="00BE172D">
      <w:pPr>
        <w:pStyle w:val="FigureNameSpan"/>
      </w:pPr>
    </w:p>
    <w:p w14:paraId="0705C048" w14:textId="77777777" w:rsidR="00F14851" w:rsidRPr="003C44C7" w:rsidRDefault="00A829B3">
      <w:pPr>
        <w:pStyle w:val="FigureNameSpan"/>
      </w:pPr>
      <w:r w:rsidRPr="003C44C7">
        <w:rPr>
          <w:noProof/>
        </w:rPr>
        <w:drawing>
          <wp:inline distT="0" distB="0" distL="0" distR="0" wp14:anchorId="4A8608A7" wp14:editId="5D91320B">
            <wp:extent cx="6121400" cy="5376545"/>
            <wp:effectExtent l="0" t="0" r="0" b="0"/>
            <wp:docPr id="21" name="Picture 21" descr="Line graphs showing 3-month moving average of glycopeptide usage rates, as DDDs per 1000 OBDs, from 2010 to 2014. Separate graphs are provided for New South Wales and the ACT, Queensland, South Australia, Tasmania, Victoria and Western Australia, and each graph shows a separate line for vancomycin and teicoplanin. In all states, vancomycin had the highest usage rate of the two agents for the entir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_18_-_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1400" cy="5376545"/>
                    </a:xfrm>
                    <a:prstGeom prst="rect">
                      <a:avLst/>
                    </a:prstGeom>
                    <a:noFill/>
                    <a:ln>
                      <a:noFill/>
                    </a:ln>
                  </pic:spPr>
                </pic:pic>
              </a:graphicData>
            </a:graphic>
          </wp:inline>
        </w:drawing>
      </w:r>
    </w:p>
    <w:p w14:paraId="02AE43EE" w14:textId="77777777" w:rsidR="00F14851" w:rsidRPr="003C44C7" w:rsidRDefault="00F14851">
      <w:pPr>
        <w:pStyle w:val="Heading2"/>
      </w:pPr>
      <w:bookmarkStart w:id="23" w:name="_Toc429391543"/>
      <w:r w:rsidRPr="003C44C7">
        <w:t>Macrolides – azithromycin, clarithromycin, erythromycin, roxithromycin</w:t>
      </w:r>
      <w:bookmarkEnd w:id="23"/>
      <w:r w:rsidRPr="003C44C7">
        <w:t xml:space="preserve"> </w:t>
      </w:r>
    </w:p>
    <w:p w14:paraId="7270B6A8" w14:textId="77777777" w:rsidR="00F14851" w:rsidRPr="003C44C7" w:rsidRDefault="00F14851">
      <w:r w:rsidRPr="003C44C7">
        <w:t xml:space="preserve">Marked seasonal variation is evident in the monthly usage rates for both azithromycin and roxithromycin, with maximum use occurring in the winter months (Figure 19). Large variations in usage rates occur between individual hospitals; this may be related to differing patterns of prescribing for the treatment of community-acquired pneumonia. </w:t>
      </w:r>
    </w:p>
    <w:p w14:paraId="691C49E3" w14:textId="77777777" w:rsidR="00F14851" w:rsidRPr="003C44C7" w:rsidRDefault="00F14851">
      <w:r w:rsidRPr="003C44C7">
        <w:t>Macrolide usage rates are influenced by an anomaly in the WHO DDD for parenteral erythromycin, where the allocated DDD of 1 gram (Appendix 3) is much lower than clinical doses, resulting in an exaggerated use of this antibacterial. In addition, the proportion of erythromycin used as a gastric motility agent rather than an antimicrobial agent remains unknown. Azithromycin is now the dominant macrolide used in Australian hospitals.</w:t>
      </w:r>
    </w:p>
    <w:p w14:paraId="7067AEDC" w14:textId="77777777" w:rsidR="00ED3824" w:rsidRPr="003C44C7" w:rsidRDefault="00ED3824" w:rsidP="00ED3824">
      <w:pPr>
        <w:pStyle w:val="FigureName"/>
      </w:pPr>
      <w:r w:rsidRPr="003C44C7">
        <w:t>Figure 19</w:t>
      </w:r>
      <w:r w:rsidRPr="003C44C7">
        <w:tab/>
        <w:t xml:space="preserve">Macrolide usage rates, 2010–14 (3-month moving average) </w:t>
      </w:r>
    </w:p>
    <w:p w14:paraId="50D9F13F" w14:textId="77777777" w:rsidR="00F14851" w:rsidRPr="003C44C7" w:rsidRDefault="00A829B3">
      <w:pPr>
        <w:pStyle w:val="TFIHolderSpan"/>
      </w:pPr>
      <w:r w:rsidRPr="003C44C7">
        <w:rPr>
          <w:noProof/>
        </w:rPr>
        <w:drawing>
          <wp:inline distT="0" distB="0" distL="0" distR="0" wp14:anchorId="09606836" wp14:editId="115438F4">
            <wp:extent cx="6121400" cy="5401945"/>
            <wp:effectExtent l="0" t="0" r="0" b="8255"/>
            <wp:docPr id="22" name="Picture 22" descr="Line graphs showing 3-month moving average of macrolide usage rates, as DDDs per 1000 OBDs, from 2010 to 2014. Separate graphs are provided for New South Wales and the ACT, Queensland, South Australia, Tasmania, Victoria and Western Australia, and each graph shows a separate line for azithromycin, clarithromycin, erythromycin and roxithromycin. In all states, azithromycin had the highest usage rate for most of the period, including 2013 to 2014. In the early part of the period, usage rates of roxithromycin were higher than those of azithromycin in some states (New South Wales and the ACT, Queensland, Tasmania and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_19_-_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1400" cy="5401945"/>
                    </a:xfrm>
                    <a:prstGeom prst="rect">
                      <a:avLst/>
                    </a:prstGeom>
                    <a:noFill/>
                    <a:ln>
                      <a:noFill/>
                    </a:ln>
                  </pic:spPr>
                </pic:pic>
              </a:graphicData>
            </a:graphic>
          </wp:inline>
        </w:drawing>
      </w:r>
    </w:p>
    <w:p w14:paraId="5408ECB4" w14:textId="05ABCC20" w:rsidR="00F14851" w:rsidRPr="003C44C7" w:rsidRDefault="00F14851">
      <w:pPr>
        <w:pStyle w:val="Heading2"/>
      </w:pPr>
      <w:bookmarkStart w:id="24" w:name="_Toc429391544"/>
      <w:r w:rsidRPr="003C44C7">
        <w:t>Penicillins – penicillin/ß-lactamase inhibitor combinations: ticarcillin with clavulanate, piperacillin with tazobactam, amoxycillin with clavulanic acid</w:t>
      </w:r>
      <w:bookmarkEnd w:id="24"/>
    </w:p>
    <w:p w14:paraId="756DA807" w14:textId="77777777" w:rsidR="00F14851" w:rsidRPr="003C44C7" w:rsidRDefault="00F14851">
      <w:r w:rsidRPr="003C44C7">
        <w:t>Usage rates of two antipseudomonal penicillin/β-lactamase inhibitor combinations (ticarcillin with clavulanate and piperacillin with tazobactam) increased steadily until 2010. Since then, a drop in use of ticarcillin with clavulanate has been accompanied by an increase in use of piperacillin with tazobactam (Figure 20). A possible explanation is the decreased cost of piperacillin with tazobactam as generic formulations became available. The anaerobic spectrum of piperacillin with tazobactam makes it suitable for use in critically ill patients, including those with polymicrobial abdominal infections. A reduction in the use of metronidazole (a nitroimidazole) (Table 4) has accompanied the increase in use of piperacillin with tazobactam.</w:t>
      </w:r>
    </w:p>
    <w:p w14:paraId="43C5A1AC" w14:textId="77777777" w:rsidR="00ED3824" w:rsidRPr="003C44C7" w:rsidRDefault="00ED3824" w:rsidP="00ED3824">
      <w:pPr>
        <w:pStyle w:val="FigureName"/>
      </w:pPr>
      <w:r w:rsidRPr="003C44C7">
        <w:t>Figure 20</w:t>
      </w:r>
      <w:r w:rsidRPr="003C44C7">
        <w:tab/>
        <w:t xml:space="preserve">Penicillin/ß-lactamase inhibitor combination usage rates, 2010–14 (3-month moving average) </w:t>
      </w:r>
    </w:p>
    <w:p w14:paraId="04A87B16" w14:textId="77777777" w:rsidR="00F14851" w:rsidRPr="003C44C7" w:rsidRDefault="00A829B3">
      <w:pPr>
        <w:pStyle w:val="TFIHolderSpan"/>
      </w:pPr>
      <w:r w:rsidRPr="003C44C7">
        <w:rPr>
          <w:noProof/>
        </w:rPr>
        <w:drawing>
          <wp:inline distT="0" distB="0" distL="0" distR="0" wp14:anchorId="29D22A8A" wp14:editId="5FC5B732">
            <wp:extent cx="6121400" cy="5410200"/>
            <wp:effectExtent l="0" t="0" r="0" b="0"/>
            <wp:docPr id="23" name="Picture 23" descr="Line graphs showing 3-month moving average of penicillin/ β-lactamase inhibitor combination usage rates, as DDDs per 1000 OBDs, from 2010 to 2014. Separate graphs are provided for New South Wales and the ACT, Queensland, South Australia, Tasmania, Victoria and Western Australia, and each graph shows a separate line for amoxycillin with clavulanic acid, piperacillin with tazobactam, and ticarcillin with clavulanate. In all states, amoxycillin with clavulanic acid had the highest usage rate of the three agents for the entir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e_20_-_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1400" cy="5410200"/>
                    </a:xfrm>
                    <a:prstGeom prst="rect">
                      <a:avLst/>
                    </a:prstGeom>
                    <a:noFill/>
                    <a:ln>
                      <a:noFill/>
                    </a:ln>
                  </pic:spPr>
                </pic:pic>
              </a:graphicData>
            </a:graphic>
          </wp:inline>
        </w:drawing>
      </w:r>
    </w:p>
    <w:p w14:paraId="4E86B2BD" w14:textId="77777777" w:rsidR="00F14851" w:rsidRPr="003C44C7" w:rsidRDefault="00F14851">
      <w:r w:rsidRPr="003C44C7">
        <w:t>Piperacillin with tazobactam is used in intensive care units (ICUs) for indications such as suspected pseudomonal ventilator-associated pneumonia. Out of the ICU setting, it is used in multiple patient groups, including haematology–oncology patients and those with severe mixed aerobic/anaerobic infections. Amoxycillin with clavulanic acid does not have antipseudomonal properties and is only available as oral formulations in Australia. It has a range of indications, including de-escalation from intravenous antimicrobial agents.</w:t>
      </w:r>
    </w:p>
    <w:p w14:paraId="563A3397" w14:textId="77777777" w:rsidR="00577034" w:rsidRPr="003C44C7" w:rsidRDefault="00577034" w:rsidP="00ED3824">
      <w:pPr>
        <w:pStyle w:val="BoxText"/>
      </w:pPr>
      <w:r w:rsidRPr="003C44C7">
        <w:t>From an antimicrobial stewardship pharmacist:</w:t>
      </w:r>
    </w:p>
    <w:p w14:paraId="11DA1D7F" w14:textId="77777777" w:rsidR="00577034" w:rsidRPr="003C44C7" w:rsidRDefault="00577034" w:rsidP="00ED3824">
      <w:pPr>
        <w:pStyle w:val="BoxText"/>
      </w:pPr>
      <w:r w:rsidRPr="003C44C7">
        <w:t>‘We use your data to model improved usage’</w:t>
      </w:r>
    </w:p>
    <w:p w14:paraId="5B19C111" w14:textId="77777777" w:rsidR="00577034" w:rsidRPr="003C44C7" w:rsidRDefault="00577034" w:rsidP="00ED3824">
      <w:pPr>
        <w:pStyle w:val="BoxText"/>
      </w:pPr>
      <w:r w:rsidRPr="003C44C7">
        <w:t>The appropriate use of antimicrobials is the key objective of using NAUSP data to guide improved practice. However, reducing innappropriate use has broader potential benefits for overall use of resources.</w:t>
      </w:r>
    </w:p>
    <w:p w14:paraId="531AF5D8" w14:textId="0594F15A" w:rsidR="00577034" w:rsidRPr="003C44C7" w:rsidRDefault="00577034" w:rsidP="00ED3824">
      <w:pPr>
        <w:pStyle w:val="BoxText"/>
      </w:pPr>
      <w:r w:rsidRPr="003C44C7">
        <w:t>Using NAUSP’s bimonthly reports, a large metropolitan hospital has identified multiple agents that are consistently used at more than 10 DDDs above the national peer group average. The hospital estimates that it could achieve potent</w:t>
      </w:r>
      <w:r w:rsidR="00ED3824" w:rsidRPr="003C44C7">
        <w:t>ial cost savings of around $120 </w:t>
      </w:r>
      <w:r w:rsidRPr="003C44C7">
        <w:t>000 annually by reducing total hospital use of piperacillin with tazobactam alone, based on usage rates from the past 24 months.</w:t>
      </w:r>
    </w:p>
    <w:p w14:paraId="40023F80" w14:textId="77777777" w:rsidR="00F14851" w:rsidRPr="003C44C7" w:rsidRDefault="00F14851">
      <w:pPr>
        <w:pStyle w:val="Heading2"/>
      </w:pPr>
      <w:bookmarkStart w:id="25" w:name="_Toc429391545"/>
      <w:r w:rsidRPr="003C44C7">
        <w:t>Reserve-line agents – colistin, daptomycin, linezolid, tigecycline, ceftaroline</w:t>
      </w:r>
      <w:bookmarkEnd w:id="25"/>
    </w:p>
    <w:p w14:paraId="314AFAC7" w14:textId="77777777" w:rsidR="00F14851" w:rsidRPr="003C44C7" w:rsidRDefault="00F14851">
      <w:r w:rsidRPr="003C44C7">
        <w:t xml:space="preserve">Parenteral colistin has become an important agent in the treatment of carbapenemase-producing multidrug-resistant gram-negative organisms, where meropenem is ineffective. It should be noted that colistin usage rates include both nebulised and parenteral formulations, because some contributors are not able to provide data differentiating between these delivery types (Figure 21). Usage rates of daptomycin, although minimal, are increasing. </w:t>
      </w:r>
    </w:p>
    <w:p w14:paraId="24835FA3" w14:textId="77777777" w:rsidR="00F14851" w:rsidRPr="003C44C7" w:rsidRDefault="00F14851">
      <w:r w:rsidRPr="003C44C7">
        <w:t>Although linezolid usage rates are low, there is marked interhospital variation. Linezolid is reserved for complex and multidrug-resistant gram-positive infections, including vancomycin-resistant enterococci (VRE). This multidrug-resistant organism is becoming more prevalent in Australia. Data are not yet available to determine whether linezolid use can be correlated with VRE infections. Tigecycline use remains very low in Australian hospitals.</w:t>
      </w:r>
    </w:p>
    <w:p w14:paraId="15BBE1D6" w14:textId="77777777" w:rsidR="00ED3824" w:rsidRPr="003C44C7" w:rsidRDefault="00ED3824" w:rsidP="00ED3824">
      <w:pPr>
        <w:pStyle w:val="FigureName"/>
      </w:pPr>
      <w:r w:rsidRPr="003C44C7">
        <w:t>Figure 21</w:t>
      </w:r>
      <w:r w:rsidRPr="003C44C7">
        <w:tab/>
        <w:t xml:space="preserve">Reserve-line agent usage rates, 2010–14 (3-month moving average) </w:t>
      </w:r>
    </w:p>
    <w:p w14:paraId="089D5613" w14:textId="77777777" w:rsidR="00F14851" w:rsidRPr="003C44C7" w:rsidRDefault="00A829B3">
      <w:pPr>
        <w:pStyle w:val="TFIHolderSpan"/>
      </w:pPr>
      <w:r w:rsidRPr="003C44C7">
        <w:rPr>
          <w:noProof/>
        </w:rPr>
        <w:drawing>
          <wp:inline distT="0" distB="0" distL="0" distR="0" wp14:anchorId="416175D1" wp14:editId="298542CA">
            <wp:extent cx="6121400" cy="5410200"/>
            <wp:effectExtent l="0" t="0" r="0" b="0"/>
            <wp:docPr id="24" name="Picture 24" descr="Line graphs showing 3-month moving average of reserve-line agent usage rates, as DDDs per 1000 OBDs, from 2010 to 2014. Separate graphs are provided for New South Wales and the ACT, Queensland, South Australia, Tasmania, Victoria and Western Australia, and each graph shows a separate line for colistin, daptomycin, linezolid, tigecycline and ceftar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_21_-_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1400" cy="5410200"/>
                    </a:xfrm>
                    <a:prstGeom prst="rect">
                      <a:avLst/>
                    </a:prstGeom>
                    <a:noFill/>
                    <a:ln>
                      <a:noFill/>
                    </a:ln>
                  </pic:spPr>
                </pic:pic>
              </a:graphicData>
            </a:graphic>
          </wp:inline>
        </w:drawing>
      </w:r>
    </w:p>
    <w:p w14:paraId="52F78F46" w14:textId="77777777" w:rsidR="00F14851" w:rsidRPr="003C44C7" w:rsidRDefault="00F14851">
      <w:pPr>
        <w:pStyle w:val="Heading1"/>
      </w:pPr>
      <w:bookmarkStart w:id="26" w:name="_Toc429391546"/>
      <w:r w:rsidRPr="003C44C7">
        <w:t>Analysis of antibacterial usage by peer group</w:t>
      </w:r>
      <w:bookmarkEnd w:id="26"/>
    </w:p>
    <w:p w14:paraId="7E40538E" w14:textId="77777777" w:rsidR="00F14851" w:rsidRPr="003C44C7" w:rsidRDefault="00F14851">
      <w:r w:rsidRPr="003C44C7">
        <w:t xml:space="preserve">Use of broader-spectrum antibacterials and agents reserved to treat infections caused by multidrug-resistant organisms would be expected to occur mainly in the principal referral and large public acute hospitals. Several antibacterial classes were analysed to determine whether this expectation is supported by data on antimicrobial use. </w:t>
      </w:r>
    </w:p>
    <w:p w14:paraId="04D27AB5" w14:textId="77777777" w:rsidR="00F14851" w:rsidRPr="003C44C7" w:rsidRDefault="00F14851">
      <w:r w:rsidRPr="003C44C7">
        <w:t>Private hospitals were excluded from these analyses because they have not yet been assigned to the revised AIHW peer groups. Since there are only four hospitals in the small public acute group, these data cannot be considered representative.</w:t>
      </w:r>
    </w:p>
    <w:p w14:paraId="19BA18A5" w14:textId="77777777" w:rsidR="00F14851" w:rsidRPr="003C44C7" w:rsidRDefault="00F14851">
      <w:pPr>
        <w:pStyle w:val="Heading2"/>
      </w:pPr>
      <w:bookmarkStart w:id="27" w:name="_Toc429391547"/>
      <w:r w:rsidRPr="003C44C7">
        <w:t>Aminoglycosides</w:t>
      </w:r>
      <w:bookmarkEnd w:id="27"/>
    </w:p>
    <w:p w14:paraId="13502FD6" w14:textId="77777777" w:rsidR="00F14851" w:rsidRPr="003C44C7" w:rsidRDefault="00F14851">
      <w:r w:rsidRPr="003C44C7">
        <w:t>Aminoglycoside usage rates show downward trends in each peer group over the period 2010–14 (Figure 22). In 2014, usage rates in principal referral, large public acute and medium public acute hospitals were similar, and nearly double the rates in smaller hospitals. Gentamicin is the most frequently used aminoglycoside in Australia and is widely used as initial empirical therapy.</w:t>
      </w:r>
    </w:p>
    <w:p w14:paraId="606D3EB9" w14:textId="77777777" w:rsidR="00ED3824" w:rsidRPr="003C44C7" w:rsidRDefault="00ED3824" w:rsidP="00ED3824">
      <w:pPr>
        <w:pStyle w:val="FigureName"/>
      </w:pPr>
      <w:r w:rsidRPr="003C44C7">
        <w:t>Figure 22</w:t>
      </w:r>
      <w:r w:rsidRPr="003C44C7">
        <w:tab/>
        <w:t>Aminoglycoside usage rates, 2010–14 (3-month moving average)</w:t>
      </w:r>
    </w:p>
    <w:p w14:paraId="0D726BB1" w14:textId="77777777" w:rsidR="00F14851" w:rsidRPr="003C44C7" w:rsidRDefault="00A829B3">
      <w:pPr>
        <w:pStyle w:val="TFIHolder"/>
      </w:pPr>
      <w:r w:rsidRPr="003C44C7">
        <w:rPr>
          <w:noProof/>
        </w:rPr>
        <w:drawing>
          <wp:inline distT="0" distB="0" distL="0" distR="0" wp14:anchorId="1B2A7C23" wp14:editId="022E93E4">
            <wp:extent cx="2921000" cy="2167255"/>
            <wp:effectExtent l="0" t="0" r="0" b="4445"/>
            <wp:docPr id="25" name="Picture 25" descr="Line graph showing 3-month moving average of aminoglycoside usage rates, as DDDs per 1000 OBDs, from 2010 to 2014. Separate lines are shown for large public acute hospitals, principal referral hospitals, medium public acute hospitals, and small public acute hospitals with surgery/obstetr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_22_-_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1000" cy="2167255"/>
                    </a:xfrm>
                    <a:prstGeom prst="rect">
                      <a:avLst/>
                    </a:prstGeom>
                    <a:noFill/>
                    <a:ln>
                      <a:noFill/>
                    </a:ln>
                  </pic:spPr>
                </pic:pic>
              </a:graphicData>
            </a:graphic>
          </wp:inline>
        </w:drawing>
      </w:r>
    </w:p>
    <w:p w14:paraId="799A1ADF" w14:textId="77777777" w:rsidR="00F14851" w:rsidRPr="003C44C7" w:rsidRDefault="00F14851">
      <w:pPr>
        <w:pStyle w:val="Heading2"/>
      </w:pPr>
      <w:bookmarkStart w:id="28" w:name="_Toc429391548"/>
      <w:r w:rsidRPr="003C44C7">
        <w:t>Carbapenems</w:t>
      </w:r>
      <w:bookmarkEnd w:id="28"/>
    </w:p>
    <w:p w14:paraId="2805D858" w14:textId="77777777" w:rsidR="00F14851" w:rsidRPr="003C44C7" w:rsidRDefault="00F14851">
      <w:r w:rsidRPr="003C44C7">
        <w:t>Carbapenems (predominantly meropenem) are broad-spectrum agents reserved for treatment of infections caused by multidrug-resistant organisms. As expected, usage rates were highest in principal referral hospitals, followed by large and medium public acute hospitals (Figure 23). Use in small hospitals was minimal.</w:t>
      </w:r>
    </w:p>
    <w:p w14:paraId="5F5CB9A2" w14:textId="77777777" w:rsidR="00ED3824" w:rsidRPr="003C44C7" w:rsidRDefault="00ED3824" w:rsidP="00ED3824">
      <w:pPr>
        <w:pStyle w:val="FigureName"/>
      </w:pPr>
      <w:r w:rsidRPr="003C44C7">
        <w:t>Figure 23</w:t>
      </w:r>
      <w:r w:rsidRPr="003C44C7">
        <w:tab/>
        <w:t>Carbapenem usage rates, 2010–14 (3-month moving average)</w:t>
      </w:r>
    </w:p>
    <w:p w14:paraId="35EEB4E8" w14:textId="77777777" w:rsidR="00F14851" w:rsidRPr="003C44C7" w:rsidRDefault="00A829B3">
      <w:pPr>
        <w:pStyle w:val="TFIHolder"/>
      </w:pPr>
      <w:r w:rsidRPr="003C44C7">
        <w:rPr>
          <w:noProof/>
        </w:rPr>
        <w:drawing>
          <wp:inline distT="0" distB="0" distL="0" distR="0" wp14:anchorId="543DC380" wp14:editId="32899BED">
            <wp:extent cx="2878455" cy="2133600"/>
            <wp:effectExtent l="0" t="0" r="0" b="0"/>
            <wp:docPr id="26" name="Picture 26" descr="Line graph showing 3-month moving average of carbapenem usage rates, as DDDs per 1000 OBDs, from 2010 to 2014. Separate lines are shown for large public acute hospitals, principal referral hospitals, medium public acute hospitals, and small public acute hospitals with surgery/obst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_23_-_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78455" cy="2133600"/>
                    </a:xfrm>
                    <a:prstGeom prst="rect">
                      <a:avLst/>
                    </a:prstGeom>
                    <a:noFill/>
                    <a:ln>
                      <a:noFill/>
                    </a:ln>
                  </pic:spPr>
                </pic:pic>
              </a:graphicData>
            </a:graphic>
          </wp:inline>
        </w:drawing>
      </w:r>
    </w:p>
    <w:p w14:paraId="6B411206" w14:textId="77777777" w:rsidR="00F14851" w:rsidRPr="003C44C7" w:rsidRDefault="00F14851">
      <w:pPr>
        <w:pStyle w:val="Heading2"/>
      </w:pPr>
      <w:bookmarkStart w:id="29" w:name="_Toc429391549"/>
      <w:r w:rsidRPr="003C44C7">
        <w:t>Third- and fourth-generation cephalosporins – ceftriaxone, cefotaxime, ceftazidime, cefepime</w:t>
      </w:r>
      <w:bookmarkEnd w:id="29"/>
    </w:p>
    <w:p w14:paraId="3A5D4F0A" w14:textId="77777777" w:rsidR="00F14851" w:rsidRPr="003C44C7" w:rsidRDefault="00F14851">
      <w:r w:rsidRPr="003C44C7">
        <w:t>Usage rates of third- and fourth-generation cephalosporins were similar in all four peer groups (Figure 24). Although NAUSP data do not include any assessment of appropriateness of prescribing, in general, greater usage of broad-spectrum cephalosporins would be expected in larger hospitals. Investigation at hospital level would be required to determine whether use in non-principal referral hospitals was appropriate. The 2013 National Antimicrobial Prescribing Survey reported that 34% of ceftriaxone prescriptions were deemed inappropriate.</w:t>
      </w:r>
      <w:r w:rsidRPr="003C44C7">
        <w:rPr>
          <w:rStyle w:val="Superscript"/>
        </w:rPr>
        <w:t>8</w:t>
      </w:r>
      <w:r w:rsidRPr="003C44C7">
        <w:t xml:space="preserve"> </w:t>
      </w:r>
    </w:p>
    <w:p w14:paraId="3C2C1472" w14:textId="77777777" w:rsidR="00ED3824" w:rsidRPr="003C44C7" w:rsidRDefault="00ED3824" w:rsidP="00ED3824">
      <w:pPr>
        <w:pStyle w:val="FigureName"/>
      </w:pPr>
      <w:r w:rsidRPr="003C44C7">
        <w:t>Figure 24</w:t>
      </w:r>
      <w:r w:rsidRPr="003C44C7">
        <w:tab/>
        <w:t>Third- and fourth-generation cephalosporin usage rates, 2010–14 (3-month moving average)</w:t>
      </w:r>
    </w:p>
    <w:p w14:paraId="37E7D237" w14:textId="77777777" w:rsidR="00F14851" w:rsidRPr="003C44C7" w:rsidRDefault="00A829B3">
      <w:pPr>
        <w:pStyle w:val="TFIHolder"/>
      </w:pPr>
      <w:r w:rsidRPr="003C44C7">
        <w:rPr>
          <w:noProof/>
        </w:rPr>
        <w:drawing>
          <wp:inline distT="0" distB="0" distL="0" distR="0" wp14:anchorId="740DFF7F" wp14:editId="10D709B8">
            <wp:extent cx="2878455" cy="2133600"/>
            <wp:effectExtent l="0" t="0" r="0" b="0"/>
            <wp:docPr id="27" name="Picture 27" descr="Line graph showing 3-month moving average of third- and fouth-generation cephalosporin usage rates, as DDDs per 1000 OBDs, from 2010 to 2014. Separate lines are shown for large public acute hospitals, principal referral hospitals, medium public acute hospitals, and small public acute hospitals with surgery/obstetr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_24_-_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8455" cy="2133600"/>
                    </a:xfrm>
                    <a:prstGeom prst="rect">
                      <a:avLst/>
                    </a:prstGeom>
                    <a:noFill/>
                    <a:ln>
                      <a:noFill/>
                    </a:ln>
                  </pic:spPr>
                </pic:pic>
              </a:graphicData>
            </a:graphic>
          </wp:inline>
        </w:drawing>
      </w:r>
    </w:p>
    <w:p w14:paraId="53786710" w14:textId="77777777" w:rsidR="00F14851" w:rsidRPr="003C44C7" w:rsidRDefault="00F14851" w:rsidP="008E16C0">
      <w:pPr>
        <w:pStyle w:val="TFNoteSource"/>
      </w:pPr>
      <w:r w:rsidRPr="003C44C7">
        <w:t xml:space="preserve">Note: </w:t>
      </w:r>
      <w:r w:rsidRPr="003C44C7">
        <w:tab/>
        <w:t>The drop in usage rates in November 2013 for the small public group is related to low numbers in this peer group (four hospitals) from that year. In addition, a hospital that has very low usage rates of these agents began contributing to NAUSP in November 2013, which reduced the average usage rate.</w:t>
      </w:r>
    </w:p>
    <w:p w14:paraId="7C80591A" w14:textId="77777777" w:rsidR="00F14851" w:rsidRPr="003C44C7" w:rsidRDefault="00F14851">
      <w:pPr>
        <w:pStyle w:val="Heading2"/>
      </w:pPr>
      <w:bookmarkStart w:id="30" w:name="_Toc429391550"/>
      <w:r w:rsidRPr="003C44C7">
        <w:t>Fluoroquinolones – ciprofloxacin, norfloxacin, moxifloxacin</w:t>
      </w:r>
      <w:bookmarkEnd w:id="30"/>
    </w:p>
    <w:p w14:paraId="62E722E5" w14:textId="77777777" w:rsidR="00F14851" w:rsidRPr="003C44C7" w:rsidRDefault="00F14851">
      <w:r w:rsidRPr="003C44C7">
        <w:t>Usage rates of fluoroquinolones have declined in the past five years (Figure 25). The most dramatic decline occurred in the principal referral peer group. Usage rates for the small public acute group are lower than for other peer groups, and do not show a downward trend as in the other peer groups.</w:t>
      </w:r>
    </w:p>
    <w:p w14:paraId="4034BC42" w14:textId="77777777" w:rsidR="00ED3824" w:rsidRPr="003C44C7" w:rsidRDefault="00ED3824" w:rsidP="00ED3824">
      <w:pPr>
        <w:pStyle w:val="FigureName"/>
      </w:pPr>
      <w:r w:rsidRPr="003C44C7">
        <w:t>Figure 25</w:t>
      </w:r>
      <w:r w:rsidRPr="003C44C7">
        <w:tab/>
        <w:t>Fluoroquinolone usage rates, 2010–14 (3-month moving average)</w:t>
      </w:r>
    </w:p>
    <w:p w14:paraId="265CC79D" w14:textId="77777777" w:rsidR="00F14851" w:rsidRPr="003C44C7" w:rsidRDefault="00A829B3">
      <w:r w:rsidRPr="003C44C7">
        <w:rPr>
          <w:noProof/>
        </w:rPr>
        <w:drawing>
          <wp:inline distT="0" distB="0" distL="0" distR="0" wp14:anchorId="68DA20A1" wp14:editId="2811D280">
            <wp:extent cx="2878455" cy="2133600"/>
            <wp:effectExtent l="0" t="0" r="0" b="0"/>
            <wp:docPr id="28" name="Picture 28" descr="Line graph showing 3-month moving average of fluoroquinolone usage rates, as DDDs per 1000 OBDs, from 2010 to 2014. Separate lines are shown for large public acute hospitals, principal referral hospitals, medium public acute hospitals, and small public acute hospitals with surgery/obstetr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_25-_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8455" cy="2133600"/>
                    </a:xfrm>
                    <a:prstGeom prst="rect">
                      <a:avLst/>
                    </a:prstGeom>
                    <a:noFill/>
                    <a:ln>
                      <a:noFill/>
                    </a:ln>
                  </pic:spPr>
                </pic:pic>
              </a:graphicData>
            </a:graphic>
          </wp:inline>
        </w:drawing>
      </w:r>
    </w:p>
    <w:p w14:paraId="70E1EAA7" w14:textId="77777777" w:rsidR="00F14851" w:rsidRPr="003C44C7" w:rsidRDefault="00F14851">
      <w:pPr>
        <w:pStyle w:val="Heading2"/>
      </w:pPr>
      <w:bookmarkStart w:id="31" w:name="_Toc429391551"/>
      <w:r w:rsidRPr="003C44C7">
        <w:t>Glycopeptides – vancomycin, teicoplanin</w:t>
      </w:r>
      <w:bookmarkEnd w:id="31"/>
      <w:r w:rsidRPr="003C44C7">
        <w:t xml:space="preserve"> </w:t>
      </w:r>
    </w:p>
    <w:p w14:paraId="25F3FE15" w14:textId="77777777" w:rsidR="00F14851" w:rsidRPr="003C44C7" w:rsidRDefault="00F14851">
      <w:r w:rsidRPr="003C44C7">
        <w:t>Usage rates of glycopeptides are highest in principal referral hospitals and lowest in smaller hospitals, as would be expected for this reserve-line antibacterial class.</w:t>
      </w:r>
    </w:p>
    <w:p w14:paraId="4F80DF82" w14:textId="77777777" w:rsidR="00ED3824" w:rsidRPr="003C44C7" w:rsidRDefault="00ED3824" w:rsidP="00ED3824">
      <w:pPr>
        <w:pStyle w:val="FigureName"/>
      </w:pPr>
      <w:r w:rsidRPr="003C44C7">
        <w:t>Figure 26</w:t>
      </w:r>
      <w:r w:rsidRPr="003C44C7">
        <w:tab/>
        <w:t>Glycopeptide usage rates, 2010–14 (3-month moving average)</w:t>
      </w:r>
    </w:p>
    <w:p w14:paraId="3EC47694" w14:textId="77777777" w:rsidR="00F14851" w:rsidRPr="003C44C7" w:rsidRDefault="00A829B3">
      <w:r w:rsidRPr="003C44C7">
        <w:rPr>
          <w:noProof/>
        </w:rPr>
        <w:drawing>
          <wp:inline distT="0" distB="0" distL="0" distR="0" wp14:anchorId="37163A2C" wp14:editId="01C6D2DC">
            <wp:extent cx="2878455" cy="2133600"/>
            <wp:effectExtent l="0" t="0" r="0" b="0"/>
            <wp:docPr id="29" name="Picture 29" descr="Line graph showing 3-month moving average of glycopeptide usage rates, as DDDs per 1000 OBDs, from 2010 to 2014. Separate lines are shown for large public acute hospitals, principal referral hospitals, medium public acute hospitals, and small public acute hospitals with surgery/obstetr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_26-_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8455" cy="2133600"/>
                    </a:xfrm>
                    <a:prstGeom prst="rect">
                      <a:avLst/>
                    </a:prstGeom>
                    <a:noFill/>
                    <a:ln>
                      <a:noFill/>
                    </a:ln>
                  </pic:spPr>
                </pic:pic>
              </a:graphicData>
            </a:graphic>
          </wp:inline>
        </w:drawing>
      </w:r>
    </w:p>
    <w:p w14:paraId="085470D4" w14:textId="77777777" w:rsidR="00F14851" w:rsidRPr="003C44C7" w:rsidRDefault="00F14851">
      <w:pPr>
        <w:pStyle w:val="Heading2"/>
      </w:pPr>
      <w:bookmarkStart w:id="32" w:name="_Toc429391552"/>
      <w:r w:rsidRPr="003C44C7">
        <w:t>Macrolides – azithromycin, clarithromycin, erythromycin, roxithromycin</w:t>
      </w:r>
      <w:bookmarkEnd w:id="32"/>
      <w:r w:rsidRPr="003C44C7">
        <w:t xml:space="preserve"> </w:t>
      </w:r>
    </w:p>
    <w:p w14:paraId="2A79244C" w14:textId="77777777" w:rsidR="00F14851" w:rsidRPr="003C44C7" w:rsidRDefault="00F14851">
      <w:r w:rsidRPr="003C44C7">
        <w:t>Macrolide usage rates show definite seasonal patterns, with use being greatest in the winter months (Figure 27). Differences in use between the peer groups are not as pronounced for macrolides as for other antibacterial classes. Most Australian hospitals do not have restrictions on macrolide antibacterials (with the exception of intravenous azithromycin).</w:t>
      </w:r>
    </w:p>
    <w:p w14:paraId="0F3BFB21" w14:textId="77777777" w:rsidR="00ED3824" w:rsidRPr="003C44C7" w:rsidRDefault="00ED3824" w:rsidP="00ED3824">
      <w:pPr>
        <w:pStyle w:val="FigureName"/>
      </w:pPr>
      <w:r w:rsidRPr="003C44C7">
        <w:t>Figure 27</w:t>
      </w:r>
      <w:r w:rsidRPr="003C44C7">
        <w:tab/>
        <w:t>Macrolide usage rates, 2010–14 (3-month moving average)</w:t>
      </w:r>
    </w:p>
    <w:p w14:paraId="2E7533EE" w14:textId="77777777" w:rsidR="00F14851" w:rsidRPr="003C44C7" w:rsidRDefault="00A829B3">
      <w:r w:rsidRPr="003C44C7">
        <w:rPr>
          <w:noProof/>
        </w:rPr>
        <w:drawing>
          <wp:inline distT="0" distB="0" distL="0" distR="0" wp14:anchorId="4236F39C" wp14:editId="39F549FC">
            <wp:extent cx="2878455" cy="2133600"/>
            <wp:effectExtent l="0" t="0" r="0" b="0"/>
            <wp:docPr id="30" name="Picture 30" descr="Line graph showing 3-month moving average of macrolide usage rates, as DDDs per 1000 OBDs, from 2010 to 2014. Separate lines are shown for large public acute hospitals, principal referral hospitals, medium public acute hospitals, and small public acute hospitals with surgery/obst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_27-_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8455" cy="2133600"/>
                    </a:xfrm>
                    <a:prstGeom prst="rect">
                      <a:avLst/>
                    </a:prstGeom>
                    <a:noFill/>
                    <a:ln>
                      <a:noFill/>
                    </a:ln>
                  </pic:spPr>
                </pic:pic>
              </a:graphicData>
            </a:graphic>
          </wp:inline>
        </w:drawing>
      </w:r>
    </w:p>
    <w:p w14:paraId="3819F2E7" w14:textId="77777777" w:rsidR="00F14851" w:rsidRPr="003C44C7" w:rsidRDefault="00F14851">
      <w:pPr>
        <w:pStyle w:val="Heading2"/>
      </w:pPr>
      <w:bookmarkStart w:id="33" w:name="_Toc429391553"/>
      <w:r w:rsidRPr="003C44C7">
        <w:t>Penicillins – antipseudomonal penicillin/ß-lactamase inhibitor combinations: ticarcillin with clavulanate, piperacillin with tazobactam</w:t>
      </w:r>
      <w:bookmarkEnd w:id="33"/>
    </w:p>
    <w:p w14:paraId="568856E4" w14:textId="77777777" w:rsidR="00F14851" w:rsidRPr="003C44C7" w:rsidRDefault="00F14851">
      <w:r w:rsidRPr="003C44C7">
        <w:t>Usage rates of antipseudomonal penicillin/β-lactamase inhibitor combinations are greatest in larger hospitals (Figure 28). As these antibacterials are generally restricted, this pattern is to be expected.</w:t>
      </w:r>
    </w:p>
    <w:p w14:paraId="697BDFA5" w14:textId="77777777" w:rsidR="00ED3824" w:rsidRPr="003C44C7" w:rsidRDefault="00ED3824" w:rsidP="00ED3824">
      <w:pPr>
        <w:pStyle w:val="FigureName"/>
      </w:pPr>
      <w:r w:rsidRPr="003C44C7">
        <w:t>Figure 28</w:t>
      </w:r>
      <w:r w:rsidRPr="003C44C7">
        <w:tab/>
        <w:t>Piperacillin with tazobactam and ticarcillin with clavulanate usage rates, 2010–14 (3-month moving average)</w:t>
      </w:r>
    </w:p>
    <w:p w14:paraId="3AF18E0C" w14:textId="77777777" w:rsidR="00F14851" w:rsidRPr="003C44C7" w:rsidRDefault="00A829B3">
      <w:r w:rsidRPr="003C44C7">
        <w:rPr>
          <w:noProof/>
        </w:rPr>
        <w:drawing>
          <wp:inline distT="0" distB="0" distL="0" distR="0" wp14:anchorId="348DE376" wp14:editId="0E1FEEF6">
            <wp:extent cx="2878455" cy="2133600"/>
            <wp:effectExtent l="0" t="0" r="0" b="0"/>
            <wp:docPr id="31" name="Picture 31" descr="Line graph showing 3-month moving average of usage rates of piperacillin with tazobactam, and ticarcillin with clavulanate, as DDDs per 1000 OBDs, from 2010 to 2014. Separate lines are shown for large public acute hospitals, principal referral hospitals, medium public acute hospitals, and small public acute hospitals with surgery/obstetr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_28-_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8455" cy="2133600"/>
                    </a:xfrm>
                    <a:prstGeom prst="rect">
                      <a:avLst/>
                    </a:prstGeom>
                    <a:noFill/>
                    <a:ln>
                      <a:noFill/>
                    </a:ln>
                  </pic:spPr>
                </pic:pic>
              </a:graphicData>
            </a:graphic>
          </wp:inline>
        </w:drawing>
      </w:r>
    </w:p>
    <w:p w14:paraId="2D272F94" w14:textId="77777777" w:rsidR="00F14851" w:rsidRPr="003C44C7" w:rsidRDefault="00F14851">
      <w:pPr>
        <w:pStyle w:val="Heading2"/>
      </w:pPr>
      <w:bookmarkStart w:id="34" w:name="_Toc429391554"/>
      <w:r w:rsidRPr="003C44C7">
        <w:t>Reserve-line agents – colistin, daptomycin, linezolid</w:t>
      </w:r>
      <w:bookmarkEnd w:id="34"/>
    </w:p>
    <w:p w14:paraId="5359082C" w14:textId="77777777" w:rsidR="00F14851" w:rsidRPr="003C44C7" w:rsidRDefault="00F14851">
      <w:r w:rsidRPr="003C44C7">
        <w:t>Use of highly reserved agents is almost solely confined to principal referral and large public acute hospitals (Figure 29). These agents are used to treat seriously ill patients when the causative organisms are multiply resistant to standard antibacterial treatment. Such patients would generally be admitted to a large hospital. Increased usage can be attributed to rising rates of multiresistant bacterial infections.</w:t>
      </w:r>
    </w:p>
    <w:p w14:paraId="3CF32A81" w14:textId="77777777" w:rsidR="00ED3824" w:rsidRPr="003C44C7" w:rsidRDefault="00ED3824" w:rsidP="00ED3824">
      <w:pPr>
        <w:pStyle w:val="FigureName"/>
      </w:pPr>
      <w:r w:rsidRPr="003C44C7">
        <w:t>Figure 29</w:t>
      </w:r>
      <w:r w:rsidRPr="003C44C7">
        <w:tab/>
        <w:t>Colistin, daptomycin and linezolid usage rates, 2010–14 (3-month moving average)</w:t>
      </w:r>
    </w:p>
    <w:p w14:paraId="786A1E77" w14:textId="77777777" w:rsidR="00F14851" w:rsidRPr="003C44C7" w:rsidRDefault="00A829B3">
      <w:r w:rsidRPr="003C44C7">
        <w:rPr>
          <w:noProof/>
        </w:rPr>
        <w:drawing>
          <wp:inline distT="0" distB="0" distL="0" distR="0" wp14:anchorId="5AB61F3B" wp14:editId="13A3FAA7">
            <wp:extent cx="2878455" cy="2133600"/>
            <wp:effectExtent l="0" t="0" r="0" b="0"/>
            <wp:docPr id="32" name="Picture 32" descr="Line graph showing 3-month moving average of usage rates of colistin, daptomycin and linezolid, as DDDs per 1000 OBDs, from 2010 to 2014. Separate lines are shown for large public acute hospitals, principal referral hospitals, medium public acute hospitals, and small public acute hospitals with surgery/obstetr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_29-_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8455" cy="2133600"/>
                    </a:xfrm>
                    <a:prstGeom prst="rect">
                      <a:avLst/>
                    </a:prstGeom>
                    <a:noFill/>
                    <a:ln>
                      <a:noFill/>
                    </a:ln>
                  </pic:spPr>
                </pic:pic>
              </a:graphicData>
            </a:graphic>
          </wp:inline>
        </w:drawing>
      </w:r>
    </w:p>
    <w:p w14:paraId="50186F9E" w14:textId="77777777" w:rsidR="00F14851" w:rsidRPr="003C44C7" w:rsidRDefault="00F14851">
      <w:pPr>
        <w:pStyle w:val="Heading1"/>
      </w:pPr>
      <w:bookmarkStart w:id="35" w:name="_Toc429391555"/>
      <w:r w:rsidRPr="003C44C7">
        <w:t>Benchmarking with other antimicrobial usage data</w:t>
      </w:r>
      <w:bookmarkEnd w:id="35"/>
    </w:p>
    <w:p w14:paraId="547EDF42" w14:textId="77777777" w:rsidR="00F14851" w:rsidRPr="003C44C7" w:rsidRDefault="00F14851">
      <w:r w:rsidRPr="003C44C7">
        <w:t>NAUSP has collected data on antimicrobial use in Australian tertiary referral hospitals since July 2004. Standardised methodology for collecting data and reporting on usage rates allows comparisons between programs that measure, analyse and compare antibacterial consumption. WHO has developed an internationally accepted classification system for drug consumption, including a technical unit of measurement, the DDD (see Appendixes 2 and 3). Figure 30 shows antimicrobial usage rates in Australian hospitals during 2014 compared with rates published in surveillance reports for Denmark (2013), the Netherlands (2012) and Sweden (2012), all of which used DDD related to bed occupancy.</w:t>
      </w:r>
    </w:p>
    <w:p w14:paraId="2247BF2B" w14:textId="77777777" w:rsidR="00F14851" w:rsidRPr="003C44C7" w:rsidRDefault="00F14851">
      <w:r w:rsidRPr="003C44C7">
        <w:t>The Danish Integrated Antimicrobial Resistance Monitoring and Research Programme (DANMAP) was established in 1995 to conduct coordinated national surveillance and research on antimicrobial consumption, as well as antimicrobial resistance in humans, animals and the food supply chain in Denmark. DANMAP has published both primary healthcare and hospital usage rates, using DDD as a measure, since 1997.</w:t>
      </w:r>
      <w:r w:rsidRPr="003C44C7">
        <w:rPr>
          <w:rStyle w:val="Superscript"/>
        </w:rPr>
        <w:t>5</w:t>
      </w:r>
      <w:r w:rsidRPr="003C44C7">
        <w:t xml:space="preserve"> NAUSP reports are confined to surveillance of hospital antimicrobial use.</w:t>
      </w:r>
    </w:p>
    <w:p w14:paraId="357DA672" w14:textId="77777777" w:rsidR="00F14851" w:rsidRPr="003C44C7" w:rsidRDefault="00F14851">
      <w:r w:rsidRPr="003C44C7">
        <w:t xml:space="preserve">In the Netherlands, antimicrobial usage rates are published in the annual report </w:t>
      </w:r>
      <w:r w:rsidRPr="003C44C7">
        <w:rPr>
          <w:rStyle w:val="Emphasis"/>
        </w:rPr>
        <w:t xml:space="preserve">Consumption of antimicrobial agents and antimicrobial resistance among medically important bacteria in the Netherlands </w:t>
      </w:r>
      <w:r w:rsidRPr="003C44C7">
        <w:t>(NethMap)</w:t>
      </w:r>
      <w:r w:rsidRPr="003C44C7">
        <w:rPr>
          <w:rStyle w:val="Emphasis"/>
        </w:rPr>
        <w:t>.</w:t>
      </w:r>
      <w:r w:rsidRPr="003C44C7">
        <w:rPr>
          <w:rStyle w:val="Superscript"/>
        </w:rPr>
        <w:t>7</w:t>
      </w:r>
      <w:r w:rsidRPr="003C44C7">
        <w:t xml:space="preserve"> The Swedish Antibiotic Utilisation and Resistance in Human Medicine report (SWEDRES)</w:t>
      </w:r>
      <w:r w:rsidRPr="003C44C7">
        <w:rPr>
          <w:rStyle w:val="FootnoteReference1"/>
        </w:rPr>
        <w:t>6</w:t>
      </w:r>
      <w:r w:rsidRPr="003C44C7">
        <w:t xml:space="preserve"> provides Swedish antimicrobial usage data. </w:t>
      </w:r>
    </w:p>
    <w:p w14:paraId="30672461" w14:textId="77777777" w:rsidR="00F14851" w:rsidRPr="003C44C7" w:rsidRDefault="00F14851">
      <w:r w:rsidRPr="003C44C7">
        <w:t xml:space="preserve">Surveillance of antimicrobial use is well established in many other countries. The European Centre for Disease Prevention and Control publishes the report </w:t>
      </w:r>
      <w:r w:rsidRPr="003C44C7">
        <w:rPr>
          <w:rStyle w:val="Emphasis"/>
        </w:rPr>
        <w:t xml:space="preserve">Surveillance of antimicrobial consumption in Europe </w:t>
      </w:r>
      <w:r w:rsidRPr="003C44C7">
        <w:t>for the European Surveillance of Antimicrobial Consumption Network (ESAC-Net). This report compiles usage data from 30 European nations across both community and hospital sectors, and is now in its third instalment.</w:t>
      </w:r>
      <w:r w:rsidRPr="003C44C7">
        <w:rPr>
          <w:rStyle w:val="Superscript"/>
        </w:rPr>
        <w:t>9</w:t>
      </w:r>
      <w:r w:rsidRPr="003C44C7">
        <w:t xml:space="preserve"> Although the ESAC-Net report represents a significant data holding, it cannot be directly compared with Australian data, because the metric used is DDDs per 1000 inhabitants per day rather than DDDs per 1000 OBDs.</w:t>
      </w:r>
    </w:p>
    <w:p w14:paraId="7FEB6338" w14:textId="77777777" w:rsidR="00F14851" w:rsidRPr="003C44C7" w:rsidRDefault="00F14851">
      <w:r w:rsidRPr="003C44C7">
        <w:t>Comparisons of Australian antibacterial use with these other surveillance programs must be made with care, although NAUSP applies similar exclusions. There may be variation in data collection processes, as well as the patient populations included, referral patterns and inpatient practices. For example, the Australian rates reported by NAUSP are adult acute care usage rates in hospitals with more than 50 beds. Other programs may calculate rates based on pooled data from a broader range of hospitals or include primary care settings. It should also be noted that usage data in this report refer to quantities dispensed by hospital pharmacies, and give no information regarding prescriptions, diagnoses or severity of disease at the time of presentation at ward level. Further differences may arise from differences in the range of antimicrobials available in different countries, antimicrobial resistance patterns, patient groups (e.g. hospitals with oncology units) and sources of denominator data collected for rate calculation.</w:t>
      </w:r>
    </w:p>
    <w:p w14:paraId="044A4E36" w14:textId="77777777" w:rsidR="00F14851" w:rsidRPr="003C44C7" w:rsidRDefault="00F14851">
      <w:r w:rsidRPr="003C44C7">
        <w:t>Comparisons with other European surveillance programs are also problematic because different methodologies are used. DANMAP reports data from ‘somatic hospitals’ and excludes data from ‘psychiatric hospitals, rehabilitation centres and hospices’.</w:t>
      </w:r>
      <w:r w:rsidRPr="003C44C7">
        <w:rPr>
          <w:rStyle w:val="Superscript"/>
        </w:rPr>
        <w:t>5</w:t>
      </w:r>
      <w:r w:rsidRPr="003C44C7">
        <w:t xml:space="preserve"> Somatic hospitals account for the majority (97%) of antimicrobial consumption in the hospital sector in Denmark.</w:t>
      </w:r>
      <w:r w:rsidRPr="003C44C7">
        <w:rPr>
          <w:rStyle w:val="Superscript"/>
        </w:rPr>
        <w:t>5</w:t>
      </w:r>
      <w:r w:rsidRPr="003C44C7">
        <w:t xml:space="preserve"> NethMap 2013 collected data from 78 out of 91 Dutch hospitals via questionnaires distributed to hospital pharmacists.</w:t>
      </w:r>
      <w:r w:rsidRPr="003C44C7">
        <w:rPr>
          <w:rStyle w:val="Superscript"/>
        </w:rPr>
        <w:t>7</w:t>
      </w:r>
      <w:r w:rsidRPr="003C44C7">
        <w:t xml:space="preserve"> SWEDRES 2013 hospital care data were obtained from ‘all Swedish hospitals as well as data from those nursing homes and other caregivers that order their antibiotics through requisitions’ and are based on sales data.</w:t>
      </w:r>
      <w:r w:rsidRPr="003C44C7">
        <w:rPr>
          <w:rStyle w:val="Superscript"/>
        </w:rPr>
        <w:t>6</w:t>
      </w:r>
      <w:r w:rsidRPr="003C44C7">
        <w:t xml:space="preserve"> </w:t>
      </w:r>
    </w:p>
    <w:p w14:paraId="31A732A1" w14:textId="77777777" w:rsidR="00F14851" w:rsidRPr="003C44C7" w:rsidRDefault="00F14851">
      <w:pPr>
        <w:pStyle w:val="Heading2"/>
      </w:pPr>
      <w:bookmarkStart w:id="36" w:name="_Toc429391556"/>
      <w:r w:rsidRPr="003C44C7">
        <w:t>International total-hospital usage rates</w:t>
      </w:r>
      <w:bookmarkEnd w:id="36"/>
    </w:p>
    <w:p w14:paraId="764E0920" w14:textId="77777777" w:rsidR="00F14851" w:rsidRPr="003C44C7" w:rsidRDefault="00F14851">
      <w:r w:rsidRPr="003C44C7">
        <w:t xml:space="preserve">Data from three European programs give relative frequencies of usage rates of particular antimicrobial classes that can be compared with Australian data (Figure 30). Total aggregate antimicrobial usage rates for NAUSP hospitals for 2014 can be compared with aggregated hospital usage rates from the surveillance programs DANMAP 2013, NethMap 2014 and SWEDRES 2013 (noting that these report on different calendar years). </w:t>
      </w:r>
    </w:p>
    <w:p w14:paraId="2AC10B22" w14:textId="77777777" w:rsidR="00F14851" w:rsidRPr="003C44C7" w:rsidRDefault="00F14851">
      <w:r w:rsidRPr="003C44C7">
        <w:t>The Australian NAUSP records higher usage rates than those of the other countries, but only marginally higher than Denmark’s. Differences in usage patterns are evident for macrolides, glycopeptides and cephalosporins. These differences may reflect differences in drug availability, prescribing preferences, microbial resistance patterns, policies and regulation. Of note is the higher use of fluoroquinolones in these European countries compared with Australia. For many years, Australia has taken a conservative approach to fluoroquinolone use in both hospital and community settings through AMS practices and regulatory measures.</w:t>
      </w:r>
    </w:p>
    <w:p w14:paraId="4AD4F097" w14:textId="77777777" w:rsidR="00F14851" w:rsidRPr="003C44C7" w:rsidRDefault="00F14851">
      <w:r w:rsidRPr="003C44C7">
        <w:t xml:space="preserve">Benchmarking with international data demonstrates high usage rates in Australia for many classes of antimicrobials, but markedly lower rates for others. This supports goals for reduction in usage in Australian hospitals through improved prescribing practices. </w:t>
      </w:r>
    </w:p>
    <w:p w14:paraId="70F139B6" w14:textId="77777777" w:rsidR="00ED3824" w:rsidRPr="003C44C7" w:rsidRDefault="00ED3824" w:rsidP="00ED3824">
      <w:pPr>
        <w:pStyle w:val="FigureName"/>
      </w:pPr>
      <w:r w:rsidRPr="003C44C7">
        <w:t>Figure 30</w:t>
      </w:r>
      <w:r w:rsidRPr="003C44C7">
        <w:tab/>
        <w:t>Antimicrobial usage rates in hospitals in Australia, Denmark, the Netherlands and Sweden</w:t>
      </w:r>
    </w:p>
    <w:p w14:paraId="25C4B7F0" w14:textId="77777777" w:rsidR="00F14851" w:rsidRPr="003C44C7" w:rsidRDefault="00A829B3">
      <w:pPr>
        <w:pStyle w:val="TFIHolderSpan"/>
      </w:pPr>
      <w:r w:rsidRPr="003C44C7">
        <w:rPr>
          <w:noProof/>
        </w:rPr>
        <w:drawing>
          <wp:inline distT="0" distB="0" distL="0" distR="0" wp14:anchorId="7C41EF04" wp14:editId="77A6EDE4">
            <wp:extent cx="6062345" cy="3894455"/>
            <wp:effectExtent l="0" t="0" r="0" b="0"/>
            <wp:docPr id="33" name="Picture 33" descr="Stacked bar chart showing antimicrobial usage rates, as DDDs per 1000 OBDs, from NAUSP 2014 (Australia), DANMAP 2013 (Denmark), NETHMAP 2014 (the Netherlands) and SWEDRES 2013 (Sweden). The antimicrobials shown in each bar are aminoglycosides, β-lactamase inhibitor combinations, β-lactamase-resistant penicillins, β-lactamase-sensitive penicillins, carbapenems, extended-spectrum penicillins, cephalosporins, fluoroquinolones, glycopeptides, lincosamides, macrolides, nitroimidazoles, tetracylines and ‘other’ agents. Usage rates were highest in Australia and Denmark, and lowest in Sw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_30-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62345" cy="3894455"/>
                    </a:xfrm>
                    <a:prstGeom prst="rect">
                      <a:avLst/>
                    </a:prstGeom>
                    <a:noFill/>
                    <a:ln>
                      <a:noFill/>
                    </a:ln>
                  </pic:spPr>
                </pic:pic>
              </a:graphicData>
            </a:graphic>
          </wp:inline>
        </w:drawing>
      </w:r>
    </w:p>
    <w:p w14:paraId="06D133C1" w14:textId="77777777" w:rsidR="00F14851" w:rsidRPr="003C44C7" w:rsidRDefault="00F14851" w:rsidP="008E16C0">
      <w:pPr>
        <w:pStyle w:val="TFNoteSource"/>
      </w:pPr>
      <w:r w:rsidRPr="003C44C7">
        <w:t>Notes:</w:t>
      </w:r>
      <w:r w:rsidRPr="003C44C7">
        <w:tab/>
        <w:t>NAUSP 2014 includes Australian data from January to December 2014 (129 hospitals). NethMap 2014 shows rates for 2012. SWEDRES 2013 rates use denominator data from 2012. ‘Other’ comprises lipopeptides, monobactams, methenamine, nitrofurans, oxazolidinones, polymyxins, rifamycins, short-acting sulfonamides, streptogramins, steroids, sulfonamide/trimethoprim combinations and trimethoprim.</w:t>
      </w:r>
    </w:p>
    <w:p w14:paraId="22BB241E" w14:textId="77777777" w:rsidR="00F14851" w:rsidRPr="003C44C7" w:rsidRDefault="00F14851">
      <w:pPr>
        <w:pStyle w:val="Heading1"/>
      </w:pPr>
      <w:bookmarkStart w:id="37" w:name="_Toc429391557"/>
      <w:r w:rsidRPr="003C44C7">
        <w:t>Discussion</w:t>
      </w:r>
      <w:bookmarkEnd w:id="37"/>
    </w:p>
    <w:p w14:paraId="006564CD" w14:textId="77777777" w:rsidR="00F14851" w:rsidRPr="003C44C7" w:rsidRDefault="00F14851">
      <w:r w:rsidRPr="003C44C7">
        <w:t>Prudent antimicrobial prescribing is a primary tool for reducing the emergence of widespread antimicrobial resistance in pathogens. The drive for an increased understanding of antimicrobial usage patterns in Australian hospitals is increasing, and NAUSP provides a rich data source for analyses of these usage patterns and development of strategies for improved AMS. The number of contributors to NAUSP has increased as hospitals use the program to undertake surveillance and optimise their local use of antimicrobials.</w:t>
      </w:r>
    </w:p>
    <w:p w14:paraId="4CD8AE0A" w14:textId="7FC6D11F" w:rsidR="00F14851" w:rsidRPr="003C44C7" w:rsidRDefault="00F14851">
      <w:r w:rsidRPr="003C44C7">
        <w:t>Consistent measurement of antimicrobial consumption is essential for evaluating and monitoring interventions that are implemented through AMS programs. AMS programs aim to optimise antimicrobial use and minimise selection pressure for development of antimicrobial resistance in pathogens.</w:t>
      </w:r>
      <w:r w:rsidRPr="003C44C7">
        <w:rPr>
          <w:rStyle w:val="Superscript"/>
        </w:rPr>
        <w:t>10</w:t>
      </w:r>
      <w:r w:rsidRPr="003C44C7">
        <w:t xml:space="preserve"> AMS is included in the National Safety and Quality Health</w:t>
      </w:r>
      <w:r w:rsidR="00E945C4" w:rsidRPr="003C44C7">
        <w:t xml:space="preserve"> Service Standards, which were </w:t>
      </w:r>
      <w:r w:rsidRPr="003C44C7">
        <w:t>implemented in 2013 by the Australian Commission on Safety and Quality in Health Care.</w:t>
      </w:r>
      <w:r w:rsidRPr="003C44C7">
        <w:rPr>
          <w:rStyle w:val="Superscript"/>
        </w:rPr>
        <w:t>11</w:t>
      </w:r>
      <w:r w:rsidRPr="003C44C7">
        <w:t xml:space="preserve"> Many other factors, such as poor infection control practices and lack of standardised hospital cleaning, also contribute to the development and spread of multidrug-resistant organisms (MROs) in the hospital setting. Implementation of the National Safety and Quality Health Service Standards would be expected to improve these practices and limit the spread of resistant bacteria.</w:t>
      </w:r>
    </w:p>
    <w:p w14:paraId="2F999DDC" w14:textId="16C65AE4" w:rsidR="00F14851" w:rsidRPr="003C44C7" w:rsidRDefault="00F14851">
      <w:r w:rsidRPr="003C44C7">
        <w:t>Measuring antimicrobial use is also a key element in determining a relationship between antimicrobial use and antimicrobial resistance patterns. Understanding the relationship between antimicrobial use and microbial resistance in Australian hospitals is one of the aims of a nationally coordinated surveillance system that is currently being developed.</w:t>
      </w:r>
      <w:r w:rsidRPr="003C44C7">
        <w:rPr>
          <w:rStyle w:val="Superscript"/>
        </w:rPr>
        <w:t>12</w:t>
      </w:r>
      <w:r w:rsidRPr="003C44C7">
        <w:t xml:space="preserve"> The Antimicrobial Use and Resistance in Australia (AURA) surveillance project, led by the Australian Commission on Safety and Quality in Health Care, commenced in October 2013. Its goal is to establish an Australia-wide integrated surveillance system for antimicrobial resistance and antimicrobial use.</w:t>
      </w:r>
      <w:r w:rsidRPr="003C44C7">
        <w:rPr>
          <w:rStyle w:val="Superscript"/>
        </w:rPr>
        <w:t>13</w:t>
      </w:r>
      <w:r w:rsidRPr="003C44C7">
        <w:t xml:space="preserve"> NAUSP is a key component of thi</w:t>
      </w:r>
      <w:r w:rsidR="00E945C4" w:rsidRPr="003C44C7">
        <w:t xml:space="preserve">s national surveillance system </w:t>
      </w:r>
      <w:r w:rsidRPr="003C44C7">
        <w:t>and will be supported by the Commission to increase participation rates of target hospital groups and private hospitals. In addition, NAUSP infrastructure will be enhanced to improve access to data by hospital participants and facilitate local integration of data.</w:t>
      </w:r>
    </w:p>
    <w:p w14:paraId="3349DC30" w14:textId="77777777" w:rsidR="00F14851" w:rsidRPr="003C44C7" w:rsidRDefault="00F14851">
      <w:r w:rsidRPr="003C44C7">
        <w:t xml:space="preserve">The NAUSP report for 2014 shows a large variation in use of antibacterial classes between the Australian states, with more than 400 DDDs per 1000 OBDs separating the aggregate rates of Queensland and Tasmania (Queensland: 819; Tasmania: 1228). </w:t>
      </w:r>
    </w:p>
    <w:p w14:paraId="3390DA0E" w14:textId="77777777" w:rsidR="00F14851" w:rsidRPr="003C44C7" w:rsidRDefault="00F14851">
      <w:r w:rsidRPr="003C44C7">
        <w:t>A marked decline in the usage rates of some agents (gentamicin, vancomycin, fluoroquinolones, cephalosporins) has been observed since July 2012 in Queensland, with a notable increase in meropenem use over the same period. This corresponds with a significant increase in the number of hospitals contributing to NAUSP, with more consistent usage derived from principal referral and large public hospitals, resulting in ‘smoothing’ of usage rates.</w:t>
      </w:r>
    </w:p>
    <w:p w14:paraId="570A22E7" w14:textId="77777777" w:rsidR="00F14851" w:rsidRPr="003C44C7" w:rsidRDefault="00F14851">
      <w:r w:rsidRPr="003C44C7">
        <w:t>Substitution of ticarcillin/clavulanate with piperacillin/tazobactam is nearly complete across all states. It appears that Queensland was the final state to achieve complete crossover; however, it is likely that this is based on changes to contributors (as outlined above). Piperacillin with tazobactam has a broad spectrum that includes anaerobes; this could be the reason that nitroimidazole (metronidazole) usage rates decreased during the same period.</w:t>
      </w:r>
    </w:p>
    <w:p w14:paraId="3AE9CD43" w14:textId="77777777" w:rsidR="00F14851" w:rsidRPr="003C44C7" w:rsidRDefault="00F14851">
      <w:r w:rsidRPr="003C44C7">
        <w:t>Macrolide antimicrobials show the greatest amount of seasonal variation in use, with peak use across the winter months. To a lesser degree, this trend is also observed with cephalosporins.</w:t>
      </w:r>
    </w:p>
    <w:p w14:paraId="367458E9" w14:textId="77777777" w:rsidR="00F14851" w:rsidRPr="003C44C7" w:rsidRDefault="00F14851">
      <w:r w:rsidRPr="003C44C7">
        <w:t xml:space="preserve">The application of revised AIHW peer groupings shows that antimicrobial consumption of broader-spectrum and reserve-line agents is higher in more acute settings; usage rates across most classes in these settings are 2–3 times higher than for smaller hospitals. A notable exception is the macrolides, for which use by small public acute hospitals exceeds that of principal referral facilities. Over the five-year period January 2010 to December 2014, fluoroquinolone use steadily declined across all peer groups except small public hospitals, where a slight increase was observed. Although this may appear significant, it is important not to draw firm conclusions because of underrepresentation of this cohort and the low volume of data held by NAUSP across this group. </w:t>
      </w:r>
    </w:p>
    <w:p w14:paraId="2883A6C2" w14:textId="77777777" w:rsidR="00F14851" w:rsidRPr="003C44C7" w:rsidRDefault="00F14851">
      <w:pPr>
        <w:rPr>
          <w:rStyle w:val="Superscript"/>
        </w:rPr>
      </w:pPr>
      <w:r w:rsidRPr="003C44C7">
        <w:t>Use of reserve-line antimicrobials has doubled in principal referral hospitals in the past four years. However, rates remain low (less than 6 DDDs per 1000 OBDs). Although comprehensive national data on infections with MROs are not available, the South Australian Healthcare Associated Infection Surveillance Program has been monitoring infections with a variety of MROs. The most recent MRO annual report from this program shows that the number of infections caused by extended-spectrum β-lactamase-producing Enterobacteriaceae bacteria has at least doubled in the past four years.</w:t>
      </w:r>
      <w:r w:rsidRPr="003C44C7">
        <w:rPr>
          <w:rStyle w:val="Superscript"/>
        </w:rPr>
        <w:t>14</w:t>
      </w:r>
    </w:p>
    <w:p w14:paraId="5DA11839" w14:textId="77777777" w:rsidR="00F14851" w:rsidRPr="003C44C7" w:rsidRDefault="00F14851">
      <w:r w:rsidRPr="003C44C7">
        <w:t>Although the DDDs/OBDs measure is an accepted metric in international surveillance programs for antimicrobial usage rates and enables benchmarking between institutions, it does not account for patient variability and actual dose administered. Further research is required to determine whether it is indeed a good measure for correlation with antimicrobial-associated risks.</w:t>
      </w:r>
      <w:r w:rsidRPr="003C44C7">
        <w:rPr>
          <w:rStyle w:val="Superscript"/>
        </w:rPr>
        <w:t>15-17</w:t>
      </w:r>
      <w:r w:rsidRPr="003C44C7">
        <w:t xml:space="preserve"> A further limitation of the DDD is the lack of definitions for paediatric populations, in which daily doses depend on age and weight of children – this prohibits incorporation of antimicrobial data relating to children into NAUSP.</w:t>
      </w:r>
    </w:p>
    <w:p w14:paraId="082B21F2" w14:textId="77777777" w:rsidR="00F14851" w:rsidRPr="003C44C7" w:rsidRDefault="00F14851">
      <w:r w:rsidRPr="003C44C7">
        <w:t>Australia’s antibacterial consumption reached its peak in 2010, with mean national use of 1006 DDDs per 1000 OBDs. Since then, a slow but steady decline has occurred that places the nation on par with Danish antibacterial usage rates (Figure 30). Various factors may have contributed to this decline, including increased participation in Antibiotic Awareness Week (held in November each year) and point prevalence surveys under the National Antimicrobial Prescribing Survey.</w:t>
      </w:r>
    </w:p>
    <w:p w14:paraId="79C1EF37" w14:textId="77777777" w:rsidR="00F14851" w:rsidRPr="003C44C7" w:rsidRDefault="00F14851">
      <w:r w:rsidRPr="003C44C7">
        <w:t>Increased implementation of AMS programs with specific antimicrobial policies, electronic guides for prescribing decisions, and approved use of restricted agents will help to effect change and rationalise the prescribing of agents of interest. Some NAUSP contributor sites with AMS programs restricting the use of target agents have successfully changed prescribing practices and used NAUSP data to illustrate changes in antimicrobial usage rates. A number of examples are included as vignettes in this report.</w:t>
      </w:r>
    </w:p>
    <w:p w14:paraId="20031AED" w14:textId="77777777" w:rsidR="00F14851" w:rsidRPr="003C44C7" w:rsidRDefault="00F14851">
      <w:r w:rsidRPr="003C44C7">
        <w:t>Surveillance of hospital antimicrobial use in a consistent manner enables identification and investigation of changes that may be linked to the development of resistance, and measurement of the impact of AMS programs. Benchmarking and comparison with similarly peered hospitals can stimulate more in-depth analysis of prescribing practices by individual hospitals or healthcare networks, and subsequent interventions. As NAUSP becomes more nationally representative through additional hospitals joining the program, these aims will increasingly be met. Specific efforts will be made to increase the number of small public hospital contributors to NAUSP, providing a more accurate representation of antimicrobial use and meaningful feedback to these sites.</w:t>
      </w:r>
    </w:p>
    <w:p w14:paraId="322CB903" w14:textId="77777777" w:rsidR="00F14851" w:rsidRPr="003C44C7" w:rsidRDefault="00F14851">
      <w:r w:rsidRPr="003C44C7">
        <w:t>Currently, NAUSP collects usage data only from acute care hospitals. The impact of antimicrobial use in the community and residential aged care on inpatient MRO burdens is not yet known. As factors contributing to resistance selection are further investigated, surveillance activities conducted by NAUSP may need to be expanded to include other areas – for example, use of topical antimicrobials, and antimicrobial use in outpatient settings and mental health units.</w:t>
      </w:r>
    </w:p>
    <w:p w14:paraId="546D6DC4" w14:textId="77777777" w:rsidR="00F14851" w:rsidRPr="003C44C7" w:rsidRDefault="00F14851">
      <w:pPr>
        <w:pStyle w:val="Heading1"/>
      </w:pPr>
      <w:bookmarkStart w:id="38" w:name="_Toc429391558"/>
      <w:r w:rsidRPr="003C44C7">
        <w:t>Acknowledgments</w:t>
      </w:r>
      <w:bookmarkEnd w:id="38"/>
    </w:p>
    <w:p w14:paraId="0518ED52" w14:textId="77777777" w:rsidR="00F14851" w:rsidRPr="003C44C7" w:rsidRDefault="00F14851">
      <w:r w:rsidRPr="003C44C7">
        <w:t xml:space="preserve">Funding for the National Antimicrobial Utilisation Surveillance Program was provided by the Australian Commission on Safety and Quality in Health Care through the Australian Government Department of Health. </w:t>
      </w:r>
    </w:p>
    <w:p w14:paraId="28551298" w14:textId="77777777" w:rsidR="00F14851" w:rsidRPr="003C44C7" w:rsidRDefault="00F14851">
      <w:r w:rsidRPr="003C44C7">
        <w:t>We thank all contributors to the program who voluntarily provide monthly data to SA Health.</w:t>
      </w:r>
    </w:p>
    <w:p w14:paraId="01AC70FF" w14:textId="2D05DF78" w:rsidR="00F14851" w:rsidRPr="003C44C7" w:rsidRDefault="00F14851" w:rsidP="005058EE">
      <w:pPr>
        <w:pStyle w:val="Heading1"/>
      </w:pPr>
      <w:bookmarkStart w:id="39" w:name="_Toc429391559"/>
      <w:r w:rsidRPr="003C44C7">
        <w:t>Appendix 1</w:t>
      </w:r>
      <w:r w:rsidRPr="003C44C7">
        <w:tab/>
        <w:t>Contributor information</w:t>
      </w:r>
      <w:bookmarkEnd w:id="39"/>
    </w:p>
    <w:p w14:paraId="4F779F22" w14:textId="77777777" w:rsidR="00F14851" w:rsidRPr="003C44C7" w:rsidRDefault="00F14851" w:rsidP="008E16C0">
      <w:pPr>
        <w:pStyle w:val="TableName"/>
      </w:pPr>
      <w:r w:rsidRPr="003C44C7">
        <w:t>Table A1</w:t>
      </w:r>
      <w:r w:rsidRPr="003C44C7">
        <w:tab/>
        <w:t>Hospitals contributing to the National Antimicrobial Utilisation Surveillance Program, 2014</w:t>
      </w:r>
    </w:p>
    <w:tbl>
      <w:tblPr>
        <w:tblW w:w="0" w:type="auto"/>
        <w:tblInd w:w="85" w:type="dxa"/>
        <w:tblLayout w:type="fixed"/>
        <w:tblCellMar>
          <w:left w:w="0" w:type="dxa"/>
          <w:right w:w="0" w:type="dxa"/>
        </w:tblCellMar>
        <w:tblLook w:val="0000" w:firstRow="0" w:lastRow="0" w:firstColumn="0" w:lastColumn="0" w:noHBand="0" w:noVBand="0"/>
      </w:tblPr>
      <w:tblGrid>
        <w:gridCol w:w="1663"/>
        <w:gridCol w:w="7975"/>
      </w:tblGrid>
      <w:tr w:rsidR="00F14851" w:rsidRPr="003C44C7" w14:paraId="163C5C0D" w14:textId="77777777" w:rsidTr="003C44C7">
        <w:trPr>
          <w:trHeight w:val="60"/>
          <w:tblHeader/>
        </w:trPr>
        <w:tc>
          <w:tcPr>
            <w:tcW w:w="1663"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3B20B38C" w14:textId="77777777" w:rsidR="00F14851" w:rsidRPr="003C44C7" w:rsidRDefault="00F14851" w:rsidP="008E16C0">
            <w:pPr>
              <w:pStyle w:val="TableHeading"/>
            </w:pPr>
            <w:r w:rsidRPr="003C44C7">
              <w:t>State or territory</w:t>
            </w:r>
          </w:p>
        </w:tc>
        <w:tc>
          <w:tcPr>
            <w:tcW w:w="7975"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7094C451" w14:textId="77777777" w:rsidR="00F14851" w:rsidRPr="003C44C7" w:rsidRDefault="00F14851" w:rsidP="008E16C0">
            <w:pPr>
              <w:pStyle w:val="TableHeading"/>
            </w:pPr>
            <w:r w:rsidRPr="003C44C7">
              <w:t>Hospital</w:t>
            </w:r>
          </w:p>
        </w:tc>
      </w:tr>
      <w:tr w:rsidR="00F14851" w:rsidRPr="003C44C7" w14:paraId="4EA7097D" w14:textId="77777777" w:rsidTr="008E16C0">
        <w:trPr>
          <w:trHeight w:val="60"/>
        </w:trPr>
        <w:tc>
          <w:tcPr>
            <w:tcW w:w="1663" w:type="dxa"/>
            <w:tcBorders>
              <w:top w:val="single" w:sz="4" w:space="0" w:color="auto"/>
            </w:tcBorders>
            <w:shd w:val="clear" w:color="auto" w:fill="auto"/>
            <w:tcMar>
              <w:top w:w="113" w:type="dxa"/>
              <w:left w:w="85" w:type="dxa"/>
              <w:bottom w:w="113" w:type="dxa"/>
              <w:right w:w="85" w:type="dxa"/>
            </w:tcMar>
            <w:vAlign w:val="center"/>
          </w:tcPr>
          <w:p w14:paraId="24A425AF" w14:textId="77777777" w:rsidR="00F14851" w:rsidRPr="003C44C7" w:rsidRDefault="00F14851">
            <w:pPr>
              <w:pStyle w:val="TableText"/>
            </w:pPr>
            <w:r w:rsidRPr="003C44C7">
              <w:t>Australian Capital Territory</w:t>
            </w:r>
          </w:p>
        </w:tc>
        <w:tc>
          <w:tcPr>
            <w:tcW w:w="7975" w:type="dxa"/>
            <w:tcBorders>
              <w:top w:val="single" w:sz="4" w:space="0" w:color="auto"/>
            </w:tcBorders>
            <w:shd w:val="clear" w:color="auto" w:fill="auto"/>
            <w:tcMar>
              <w:top w:w="113" w:type="dxa"/>
              <w:left w:w="85" w:type="dxa"/>
              <w:bottom w:w="113" w:type="dxa"/>
              <w:right w:w="85" w:type="dxa"/>
            </w:tcMar>
            <w:vAlign w:val="center"/>
          </w:tcPr>
          <w:p w14:paraId="48465E93" w14:textId="77777777" w:rsidR="00F14851" w:rsidRPr="003C44C7" w:rsidRDefault="00F14851">
            <w:pPr>
              <w:pStyle w:val="TableText"/>
            </w:pPr>
            <w:r w:rsidRPr="003C44C7">
              <w:t>Canberra Hospital</w:t>
            </w:r>
          </w:p>
        </w:tc>
      </w:tr>
      <w:tr w:rsidR="00F14851" w:rsidRPr="003C44C7" w14:paraId="202435F9" w14:textId="77777777" w:rsidTr="008E16C0">
        <w:trPr>
          <w:trHeight w:val="60"/>
        </w:trPr>
        <w:tc>
          <w:tcPr>
            <w:tcW w:w="1663" w:type="dxa"/>
            <w:shd w:val="clear" w:color="auto" w:fill="auto"/>
            <w:tcMar>
              <w:top w:w="113" w:type="dxa"/>
              <w:left w:w="85" w:type="dxa"/>
              <w:bottom w:w="113" w:type="dxa"/>
              <w:right w:w="85" w:type="dxa"/>
            </w:tcMar>
            <w:vAlign w:val="center"/>
          </w:tcPr>
          <w:p w14:paraId="7923E350" w14:textId="77777777" w:rsidR="00F14851" w:rsidRPr="003C44C7" w:rsidRDefault="00F14851">
            <w:pPr>
              <w:pStyle w:val="TableText"/>
            </w:pPr>
            <w:r w:rsidRPr="003C44C7">
              <w:t>New South Wales</w:t>
            </w:r>
          </w:p>
        </w:tc>
        <w:tc>
          <w:tcPr>
            <w:tcW w:w="7975" w:type="dxa"/>
            <w:shd w:val="clear" w:color="auto" w:fill="auto"/>
            <w:tcMar>
              <w:top w:w="113" w:type="dxa"/>
              <w:left w:w="85" w:type="dxa"/>
              <w:bottom w:w="113" w:type="dxa"/>
              <w:right w:w="85" w:type="dxa"/>
            </w:tcMar>
            <w:vAlign w:val="center"/>
          </w:tcPr>
          <w:p w14:paraId="70D46B45" w14:textId="77777777" w:rsidR="00F14851" w:rsidRPr="003C44C7" w:rsidRDefault="00F14851">
            <w:pPr>
              <w:pStyle w:val="TableText"/>
            </w:pPr>
            <w:r w:rsidRPr="003C44C7">
              <w:t>Auburn Hospital, Bankstown Hospital, Bathurst Base Hospital, Bega District Hospital, Belmont Hospital, Blacktown Hospital, Bowral Hospital, Calvary Mater Hospital Newcastle, Campbelltown Hospital, Coffs Harbour Hospital, Concord Hospital, Dubbo Base Hospital, Fairfield Hospital, Gosford Hospital, Goulburn Base Hospital, Griffith Base Hospital, Hornsby Ku-Ring-Gai Hospital, John Hunter Hospital, Lismore Base Hospital, Liverpool Hospital, Maitland Hospital, Manly Hospital, Manning Hospital, Mona Vale Hospital, Mount Druitt Hospital, Nepean Hospital, Orange Health Service, Prince of Wales Hospital, Royal North Shore Hospital, Royal Prince Alfred Hospital, Ryde Hospital, Shellharbour Hospital, Shoalhaven Hospital, St George Hospital, St Vincent’s Hospital, Sutherland Hospital, Tamworth Hospital, Tweed Hospital, Wagga Base Hospital, Westmead Hospital, Wollongong Hospital, Wyong Hospital</w:t>
            </w:r>
          </w:p>
        </w:tc>
      </w:tr>
      <w:tr w:rsidR="00F14851" w:rsidRPr="003C44C7" w14:paraId="193C5C08" w14:textId="77777777" w:rsidTr="008E16C0">
        <w:trPr>
          <w:trHeight w:val="60"/>
        </w:trPr>
        <w:tc>
          <w:tcPr>
            <w:tcW w:w="1663" w:type="dxa"/>
            <w:shd w:val="clear" w:color="auto" w:fill="auto"/>
            <w:tcMar>
              <w:top w:w="113" w:type="dxa"/>
              <w:left w:w="85" w:type="dxa"/>
              <w:bottom w:w="113" w:type="dxa"/>
              <w:right w:w="85" w:type="dxa"/>
            </w:tcMar>
            <w:vAlign w:val="center"/>
          </w:tcPr>
          <w:p w14:paraId="28374755" w14:textId="77777777" w:rsidR="00F14851" w:rsidRPr="003C44C7" w:rsidRDefault="00F14851">
            <w:pPr>
              <w:pStyle w:val="TableText"/>
            </w:pPr>
            <w:r w:rsidRPr="003C44C7">
              <w:t>Queensland</w:t>
            </w:r>
          </w:p>
        </w:tc>
        <w:tc>
          <w:tcPr>
            <w:tcW w:w="7975" w:type="dxa"/>
            <w:shd w:val="clear" w:color="auto" w:fill="auto"/>
            <w:tcMar>
              <w:top w:w="113" w:type="dxa"/>
              <w:left w:w="85" w:type="dxa"/>
              <w:bottom w:w="113" w:type="dxa"/>
              <w:right w:w="85" w:type="dxa"/>
            </w:tcMar>
            <w:vAlign w:val="center"/>
          </w:tcPr>
          <w:p w14:paraId="6BB8525B" w14:textId="77777777" w:rsidR="00F14851" w:rsidRPr="003C44C7" w:rsidRDefault="00F14851">
            <w:pPr>
              <w:pStyle w:val="TableText"/>
            </w:pPr>
            <w:r w:rsidRPr="003C44C7">
              <w:t>Bundaberg Hospital, Caboolture Hospital, Cairns Base Hospital, Gladstone Hospital, Gold Coast University Hospital, Greenslopes Hospital, Hervey Bay Hospital, Ipswich Hospital, Logan Hospital, Mackay Base Hospital, Maryborough Hospital, Mater Adult Hospital, Mater Mothers’ Hospital, Mater Private Hospital, Mater Redland Private Hospital, Nambour General Hospital, Prince Charles Hospital, Princess Alexandra Hospital, Queen Elizabeth II Hospital, Redcliffe Hospital, Redland Hospital, Robina Hospital, Rockhampton Hospital, Royal Brisbane and Women’s Hospital, St Andrew’s Private Hospital, Sunshine Coast Private Hospital, Toowoomba Hospital, Townsville Hospital, Wesley Hospital</w:t>
            </w:r>
          </w:p>
        </w:tc>
      </w:tr>
      <w:tr w:rsidR="00F14851" w:rsidRPr="003C44C7" w14:paraId="33A7112A" w14:textId="77777777" w:rsidTr="008E16C0">
        <w:trPr>
          <w:trHeight w:val="60"/>
        </w:trPr>
        <w:tc>
          <w:tcPr>
            <w:tcW w:w="1663" w:type="dxa"/>
            <w:shd w:val="clear" w:color="auto" w:fill="auto"/>
            <w:tcMar>
              <w:top w:w="113" w:type="dxa"/>
              <w:left w:w="85" w:type="dxa"/>
              <w:bottom w:w="113" w:type="dxa"/>
              <w:right w:w="85" w:type="dxa"/>
            </w:tcMar>
            <w:vAlign w:val="center"/>
          </w:tcPr>
          <w:p w14:paraId="3BA352D5" w14:textId="77777777" w:rsidR="00F14851" w:rsidRPr="003C44C7" w:rsidRDefault="00F14851">
            <w:pPr>
              <w:pStyle w:val="TableText"/>
            </w:pPr>
            <w:r w:rsidRPr="003C44C7">
              <w:t>South Australia</w:t>
            </w:r>
          </w:p>
        </w:tc>
        <w:tc>
          <w:tcPr>
            <w:tcW w:w="7975" w:type="dxa"/>
            <w:shd w:val="clear" w:color="auto" w:fill="auto"/>
            <w:tcMar>
              <w:top w:w="113" w:type="dxa"/>
              <w:left w:w="85" w:type="dxa"/>
              <w:bottom w:w="113" w:type="dxa"/>
              <w:right w:w="85" w:type="dxa"/>
            </w:tcMar>
            <w:vAlign w:val="center"/>
          </w:tcPr>
          <w:p w14:paraId="03AD8A80" w14:textId="77777777" w:rsidR="00F14851" w:rsidRPr="003C44C7" w:rsidRDefault="00F14851">
            <w:pPr>
              <w:pStyle w:val="TableText"/>
            </w:pPr>
            <w:r w:rsidRPr="003C44C7">
              <w:t>Ashford Hospital, Calvary Hospital, Flinders Medical Centre, Flinders Private Hospital, Gawler Health Service, Lyell McEwin Hospital, Memorial Hospital, Modbury Hospital, Mount Gambier Hospital, Noarlunga Hospital, Port Augusta Hospital, Port Pirie Hospital, Queen Elizabeth Hospital, Repatriation General Hospital, Riverland Regional Health Service, Royal Adelaide Hospital, St Andrew’s Hospital, Wakefield Hospital, Whyalla Hospital</w:t>
            </w:r>
          </w:p>
        </w:tc>
      </w:tr>
      <w:tr w:rsidR="00F14851" w:rsidRPr="003C44C7" w14:paraId="1710C32C" w14:textId="77777777" w:rsidTr="008E16C0">
        <w:trPr>
          <w:trHeight w:val="60"/>
        </w:trPr>
        <w:tc>
          <w:tcPr>
            <w:tcW w:w="1663" w:type="dxa"/>
            <w:shd w:val="clear" w:color="auto" w:fill="auto"/>
            <w:tcMar>
              <w:top w:w="113" w:type="dxa"/>
              <w:left w:w="85" w:type="dxa"/>
              <w:bottom w:w="113" w:type="dxa"/>
              <w:right w:w="85" w:type="dxa"/>
            </w:tcMar>
            <w:vAlign w:val="center"/>
          </w:tcPr>
          <w:p w14:paraId="2B4A48BB" w14:textId="77777777" w:rsidR="00F14851" w:rsidRPr="003C44C7" w:rsidRDefault="00F14851">
            <w:pPr>
              <w:pStyle w:val="TableText"/>
            </w:pPr>
            <w:r w:rsidRPr="003C44C7">
              <w:t>Tasmania</w:t>
            </w:r>
          </w:p>
        </w:tc>
        <w:tc>
          <w:tcPr>
            <w:tcW w:w="7975" w:type="dxa"/>
            <w:shd w:val="clear" w:color="auto" w:fill="auto"/>
            <w:tcMar>
              <w:top w:w="113" w:type="dxa"/>
              <w:left w:w="85" w:type="dxa"/>
              <w:bottom w:w="113" w:type="dxa"/>
              <w:right w:w="85" w:type="dxa"/>
            </w:tcMar>
            <w:vAlign w:val="center"/>
          </w:tcPr>
          <w:p w14:paraId="5BD50AEB" w14:textId="77777777" w:rsidR="00F14851" w:rsidRPr="003C44C7" w:rsidRDefault="00F14851">
            <w:pPr>
              <w:pStyle w:val="TableText"/>
            </w:pPr>
            <w:r w:rsidRPr="003C44C7">
              <w:t>Hobart Private Hospital, Launceston General Hospital, Mersey Community Hospital, Northwest Regional Hospital, Royal Hobart Hospital</w:t>
            </w:r>
          </w:p>
        </w:tc>
      </w:tr>
      <w:tr w:rsidR="00F14851" w:rsidRPr="003C44C7" w14:paraId="5183A6FE" w14:textId="77777777" w:rsidTr="008E16C0">
        <w:trPr>
          <w:trHeight w:val="60"/>
        </w:trPr>
        <w:tc>
          <w:tcPr>
            <w:tcW w:w="1663" w:type="dxa"/>
            <w:shd w:val="clear" w:color="auto" w:fill="auto"/>
            <w:tcMar>
              <w:top w:w="113" w:type="dxa"/>
              <w:left w:w="85" w:type="dxa"/>
              <w:bottom w:w="113" w:type="dxa"/>
              <w:right w:w="85" w:type="dxa"/>
            </w:tcMar>
            <w:vAlign w:val="center"/>
          </w:tcPr>
          <w:p w14:paraId="791C34BD" w14:textId="77777777" w:rsidR="00F14851" w:rsidRPr="003C44C7" w:rsidRDefault="00F14851">
            <w:pPr>
              <w:pStyle w:val="TableText"/>
            </w:pPr>
            <w:r w:rsidRPr="003C44C7">
              <w:t>Victoria</w:t>
            </w:r>
          </w:p>
        </w:tc>
        <w:tc>
          <w:tcPr>
            <w:tcW w:w="7975" w:type="dxa"/>
            <w:shd w:val="clear" w:color="auto" w:fill="auto"/>
            <w:tcMar>
              <w:top w:w="113" w:type="dxa"/>
              <w:left w:w="85" w:type="dxa"/>
              <w:bottom w:w="113" w:type="dxa"/>
              <w:right w:w="85" w:type="dxa"/>
            </w:tcMar>
            <w:vAlign w:val="center"/>
          </w:tcPr>
          <w:p w14:paraId="4A203AFC" w14:textId="77777777" w:rsidR="00F14851" w:rsidRPr="003C44C7" w:rsidRDefault="00F14851">
            <w:pPr>
              <w:pStyle w:val="TableText"/>
            </w:pPr>
            <w:r w:rsidRPr="003C44C7">
              <w:t>Albury Wodonga Health – Albury, Albury Wodonga Health – Wodonga, Alfred Hospital, Angliss Hospital, Austin Hospital, Box Hill Hospital, Cabrini Private Hospital (Brighton), Cabrini Private Hospital (Malvern), Casey Hospital, Dandenong Hospital, Frankston Hospital, Geelong Hospital, Maroondah Hospital, Monash Medical Centre (Clayton), Monash Medical Centre (Moorabbin), Royal Melbourne Hospital, Sandringham Hospital, St Vincent’s Hospital, St Vincent’s Private Hospital (East Melbourne), St Vincent’s Private Hospital (Fitzroy), Warrnambool Base Hospital, West Gippsland Hospital, Western Hospital (Footscray)</w:t>
            </w:r>
          </w:p>
        </w:tc>
      </w:tr>
      <w:tr w:rsidR="00F14851" w:rsidRPr="003C44C7" w14:paraId="0FFAE9D4" w14:textId="77777777" w:rsidTr="008E16C0">
        <w:trPr>
          <w:trHeight w:val="60"/>
        </w:trPr>
        <w:tc>
          <w:tcPr>
            <w:tcW w:w="1663" w:type="dxa"/>
            <w:tcBorders>
              <w:bottom w:val="single" w:sz="4" w:space="0" w:color="auto"/>
            </w:tcBorders>
            <w:shd w:val="clear" w:color="auto" w:fill="auto"/>
            <w:tcMar>
              <w:top w:w="113" w:type="dxa"/>
              <w:left w:w="85" w:type="dxa"/>
              <w:bottom w:w="113" w:type="dxa"/>
              <w:right w:w="85" w:type="dxa"/>
            </w:tcMar>
            <w:vAlign w:val="center"/>
          </w:tcPr>
          <w:p w14:paraId="42AA491F" w14:textId="77777777" w:rsidR="00F14851" w:rsidRPr="003C44C7" w:rsidRDefault="00F14851">
            <w:pPr>
              <w:pStyle w:val="TableText"/>
            </w:pPr>
            <w:r w:rsidRPr="003C44C7">
              <w:t>Western Australia</w:t>
            </w:r>
          </w:p>
        </w:tc>
        <w:tc>
          <w:tcPr>
            <w:tcW w:w="7975" w:type="dxa"/>
            <w:tcBorders>
              <w:bottom w:val="single" w:sz="4" w:space="0" w:color="auto"/>
            </w:tcBorders>
            <w:shd w:val="clear" w:color="auto" w:fill="auto"/>
            <w:tcMar>
              <w:top w:w="113" w:type="dxa"/>
              <w:left w:w="85" w:type="dxa"/>
              <w:bottom w:w="113" w:type="dxa"/>
              <w:right w:w="85" w:type="dxa"/>
            </w:tcMar>
            <w:vAlign w:val="center"/>
          </w:tcPr>
          <w:p w14:paraId="19C404DA" w14:textId="77777777" w:rsidR="00F14851" w:rsidRPr="003C44C7" w:rsidRDefault="00F14851">
            <w:pPr>
              <w:pStyle w:val="TableText"/>
            </w:pPr>
            <w:r w:rsidRPr="003C44C7">
              <w:t>Armadale Health Service, Bunbury Regional Hospital, Fremantle Hospital, Joondalup Health Campus, King Edward Memorial Hospital, Osborne Park Hospital, Rockingham Hospital, Royal Perth Hospital, Sir Charles Gairdner Hospital, St John of God Hospital</w:t>
            </w:r>
          </w:p>
        </w:tc>
      </w:tr>
    </w:tbl>
    <w:p w14:paraId="27E91A32" w14:textId="77777777" w:rsidR="00F14851" w:rsidRPr="003C44C7" w:rsidRDefault="00F14851">
      <w:pPr>
        <w:pStyle w:val="TFIHolderSpan"/>
      </w:pPr>
    </w:p>
    <w:p w14:paraId="349EC223" w14:textId="152E9A0A" w:rsidR="00F14851" w:rsidRPr="003C44C7" w:rsidRDefault="008E16C0" w:rsidP="005058EE">
      <w:pPr>
        <w:pStyle w:val="Heading1"/>
      </w:pPr>
      <w:bookmarkStart w:id="40" w:name="_Toc429391560"/>
      <w:r w:rsidRPr="003C44C7">
        <w:t>Appendix 2</w:t>
      </w:r>
      <w:r w:rsidRPr="003C44C7">
        <w:tab/>
      </w:r>
      <w:r w:rsidR="00F14851" w:rsidRPr="003C44C7">
        <w:t>Definitions</w:t>
      </w:r>
      <w:bookmarkEnd w:id="40"/>
    </w:p>
    <w:p w14:paraId="498A879D" w14:textId="77777777" w:rsidR="00F14851" w:rsidRPr="003C44C7" w:rsidRDefault="00F14851" w:rsidP="008E16C0">
      <w:pPr>
        <w:pStyle w:val="Heading2a"/>
      </w:pPr>
      <w:r w:rsidRPr="003C44C7">
        <w:t xml:space="preserve">World Health Organization definition for defined daily dose </w:t>
      </w:r>
    </w:p>
    <w:p w14:paraId="62817623" w14:textId="77777777" w:rsidR="00F14851" w:rsidRPr="003C44C7" w:rsidRDefault="00F14851">
      <w:r w:rsidRPr="003C44C7">
        <w:t xml:space="preserve">The defined daily dose (DDD) for any drug is defined as the average dose per day to treat the main indication for an average adult patient. The World Health Organization (WHO) has determined standard DDDs for most drugs, and these values have been used in calculating usage rates. Use of this internationally accepted standard enables comparison of the use of antimicrobial agents with differing doses, aggregation of data to assess use of antimicrobial classes, and comparisons with data from other surveillance programs or studies. </w:t>
      </w:r>
    </w:p>
    <w:p w14:paraId="1B9E1055" w14:textId="77777777" w:rsidR="00F14851" w:rsidRPr="003C44C7" w:rsidRDefault="00F14851">
      <w:r w:rsidRPr="003C44C7">
        <w:t>The number of DDDs used is calculated as follows:</w:t>
      </w:r>
    </w:p>
    <w:p w14:paraId="50243199" w14:textId="1C7E73A0" w:rsidR="00F26000" w:rsidRPr="003C44C7" w:rsidRDefault="00F26000">
      <m:oMathPara>
        <m:oMathParaPr>
          <m:jc m:val="left"/>
        </m:oMathParaPr>
        <m:oMath>
          <m:r>
            <m:rPr>
              <m:sty m:val="p"/>
            </m:rPr>
            <w:rPr>
              <w:rFonts w:ascii="Cambria Math" w:hAnsi="Cambria Math"/>
            </w:rPr>
            <m:t>Number of DDD=</m:t>
          </m:r>
          <m:f>
            <m:fPr>
              <m:ctrlPr>
                <w:rPr>
                  <w:rFonts w:ascii="Cambria Math" w:hAnsi="Cambria Math"/>
                </w:rPr>
              </m:ctrlPr>
            </m:fPr>
            <m:num>
              <m:r>
                <m:rPr>
                  <m:sty m:val="p"/>
                </m:rPr>
                <w:rPr>
                  <w:rFonts w:ascii="Cambria Math" w:hAnsi="Cambria Math"/>
                </w:rPr>
                <m:t>Total grams used</m:t>
              </m:r>
            </m:num>
            <m:den>
              <m:r>
                <m:rPr>
                  <m:sty m:val="p"/>
                </m:rPr>
                <w:rPr>
                  <w:rFonts w:ascii="Cambria Math" w:hAnsi="Cambria Math"/>
                </w:rPr>
                <m:t>WHO assigned DDD value</m:t>
              </m:r>
            </m:den>
          </m:f>
        </m:oMath>
      </m:oMathPara>
    </w:p>
    <w:p w14:paraId="0C7242C2" w14:textId="77777777" w:rsidR="00F14851" w:rsidRPr="003C44C7" w:rsidRDefault="00F14851" w:rsidP="008E16C0">
      <w:pPr>
        <w:pStyle w:val="Heading2a"/>
      </w:pPr>
      <w:r w:rsidRPr="003C44C7">
        <w:t>Occupied-bed-days</w:t>
      </w:r>
    </w:p>
    <w:p w14:paraId="1677C221" w14:textId="77777777" w:rsidR="00F14851" w:rsidRPr="003C44C7" w:rsidRDefault="00F14851">
      <w:r w:rsidRPr="003C44C7">
        <w:t>Occupied-bed-days (OBDs) are defined as the sum of the length of stay for each acute adult inpatient separated during the reporting period, who remained in hospital overnight (adapted from the definition of the Australian Institute of Health and Welfare). Day patients, outpatients, hospital-in-the-home, and psychiatric and rehabilitation units are excluded.</w:t>
      </w:r>
    </w:p>
    <w:p w14:paraId="5B976648" w14:textId="77777777" w:rsidR="00F14851" w:rsidRPr="003C44C7" w:rsidRDefault="00F14851" w:rsidP="008E16C0">
      <w:pPr>
        <w:pStyle w:val="Heading2a"/>
      </w:pPr>
      <w:r w:rsidRPr="003C44C7">
        <w:t>Usage density rate</w:t>
      </w:r>
    </w:p>
    <w:p w14:paraId="5A3BB13F" w14:textId="77777777" w:rsidR="00F14851" w:rsidRPr="003C44C7" w:rsidRDefault="00F14851">
      <w:r w:rsidRPr="003C44C7">
        <w:t>The usage density rate is defined as the number of DDDs used per 1000 OBDs. This usage rate has been accepted as an appropriate measurement of usage in the non-ambulatory setting, and has been adopted by many international programs. Antimicrobial usage data for outpatient areas, including hospital-in-the-home, day treatment centres, day surgery and dialysis clinics, are excluded, to ensure that data correspond to pharmacy issues for inpatients.</w:t>
      </w:r>
    </w:p>
    <w:p w14:paraId="3F0B969A" w14:textId="77777777" w:rsidR="00F14851" w:rsidRPr="003C44C7" w:rsidRDefault="00F14851">
      <w:r w:rsidRPr="003C44C7">
        <w:t>The rate is calculated as follows:</w:t>
      </w:r>
    </w:p>
    <w:p w14:paraId="68E801A3" w14:textId="3878772E" w:rsidR="00F26000" w:rsidRPr="003C44C7" w:rsidRDefault="00F26000" w:rsidP="00F26000">
      <m:oMathPara>
        <m:oMathParaPr>
          <m:jc m:val="left"/>
        </m:oMathParaPr>
        <m:oMath>
          <m:r>
            <m:rPr>
              <m:sty m:val="p"/>
            </m:rPr>
            <w:rPr>
              <w:rFonts w:ascii="Cambria Math" w:hAnsi="Cambria Math"/>
            </w:rPr>
            <m:t>Usage density rate</m:t>
          </m:r>
          <m:r>
            <m:rPr>
              <m:sty m:val="p"/>
            </m:rPr>
            <w:rPr>
              <w:rFonts w:ascii="Cambria Math" w:hAnsi="Cambria Math"/>
            </w:rPr>
            <m:t>=</m:t>
          </m:r>
          <m:f>
            <m:fPr>
              <m:ctrlPr>
                <w:rPr>
                  <w:rFonts w:ascii="Cambria Math" w:hAnsi="Cambria Math"/>
                </w:rPr>
              </m:ctrlPr>
            </m:fPr>
            <m:num>
              <m:r>
                <m:rPr>
                  <m:sty m:val="p"/>
                </m:rPr>
                <w:rPr>
                  <w:rFonts w:ascii="Cambria Math" w:hAnsi="Cambria Math"/>
                </w:rPr>
                <m:t>Number of DDD/time period</m:t>
              </m:r>
            </m:num>
            <m:den>
              <m:r>
                <m:rPr>
                  <m:sty m:val="p"/>
                </m:rPr>
                <w:rPr>
                  <w:rFonts w:ascii="Cambria Math" w:hAnsi="Cambria Math"/>
                </w:rPr>
                <m:t>OBD/time period</m:t>
              </m:r>
            </m:den>
          </m:f>
          <m:r>
            <w:rPr>
              <w:rFonts w:ascii="Cambria Math" w:hAnsi="Cambria Math"/>
            </w:rPr>
            <m:t xml:space="preserve"> ×1000</m:t>
          </m:r>
        </m:oMath>
      </m:oMathPara>
    </w:p>
    <w:p w14:paraId="34C5CF31" w14:textId="37D82DF3" w:rsidR="00F14851" w:rsidRPr="003C44C7" w:rsidRDefault="00F14851" w:rsidP="005058EE">
      <w:pPr>
        <w:pStyle w:val="Heading1"/>
      </w:pPr>
      <w:bookmarkStart w:id="41" w:name="_Toc429391561"/>
      <w:r w:rsidRPr="003C44C7">
        <w:t>Appendix 3</w:t>
      </w:r>
      <w:r w:rsidRPr="003C44C7">
        <w:tab/>
        <w:t>WHO defined daily doses for antibacterial agents included in the NAUSP annual report</w:t>
      </w:r>
      <w:bookmarkEnd w:id="41"/>
    </w:p>
    <w:tbl>
      <w:tblPr>
        <w:tblW w:w="0" w:type="auto"/>
        <w:tblInd w:w="85" w:type="dxa"/>
        <w:tblLayout w:type="fixed"/>
        <w:tblCellMar>
          <w:left w:w="0" w:type="dxa"/>
          <w:right w:w="0" w:type="dxa"/>
        </w:tblCellMar>
        <w:tblLook w:val="0000" w:firstRow="0" w:lastRow="0" w:firstColumn="0" w:lastColumn="0" w:noHBand="0" w:noVBand="0"/>
      </w:tblPr>
      <w:tblGrid>
        <w:gridCol w:w="2149"/>
        <w:gridCol w:w="4952"/>
        <w:gridCol w:w="1341"/>
        <w:gridCol w:w="1186"/>
      </w:tblGrid>
      <w:tr w:rsidR="00F14851" w:rsidRPr="003C44C7" w14:paraId="3492A96F" w14:textId="77777777" w:rsidTr="000E4D1C">
        <w:trPr>
          <w:trHeight w:val="284"/>
          <w:tblHeader/>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23AA6504" w14:textId="77777777" w:rsidR="00F14851" w:rsidRPr="003C44C7" w:rsidRDefault="00F14851" w:rsidP="008E16C0">
            <w:pPr>
              <w:pStyle w:val="TableHeading"/>
            </w:pPr>
            <w:r w:rsidRPr="003C44C7">
              <w:t>ATC code</w:t>
            </w:r>
          </w:p>
        </w:tc>
        <w:tc>
          <w:tcPr>
            <w:tcW w:w="4952"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5AF2189A" w14:textId="77777777" w:rsidR="00F14851" w:rsidRPr="003C44C7" w:rsidRDefault="00F14851" w:rsidP="008E16C0">
            <w:pPr>
              <w:pStyle w:val="TableHeading"/>
            </w:pPr>
            <w:r w:rsidRPr="003C44C7">
              <w:t>Generic name</w:t>
            </w:r>
          </w:p>
        </w:tc>
        <w:tc>
          <w:tcPr>
            <w:tcW w:w="1341"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14A6B719" w14:textId="77777777" w:rsidR="00F14851" w:rsidRPr="003C44C7" w:rsidRDefault="00F14851" w:rsidP="008E16C0">
            <w:pPr>
              <w:pStyle w:val="TableHeading"/>
            </w:pPr>
            <w:r w:rsidRPr="003C44C7">
              <w:t>DDD (g)</w:t>
            </w:r>
          </w:p>
        </w:tc>
        <w:tc>
          <w:tcPr>
            <w:tcW w:w="1186"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5ACAE3D1" w14:textId="77777777" w:rsidR="00F14851" w:rsidRPr="003C44C7" w:rsidRDefault="00F14851" w:rsidP="008E16C0">
            <w:pPr>
              <w:pStyle w:val="TableHeading"/>
            </w:pPr>
            <w:r w:rsidRPr="003C44C7">
              <w:t>Route</w:t>
            </w:r>
          </w:p>
        </w:tc>
      </w:tr>
      <w:tr w:rsidR="00F14851" w:rsidRPr="003C44C7" w14:paraId="69476B9F" w14:textId="77777777" w:rsidTr="000E4D1C">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797ADF5D" w14:textId="77777777" w:rsidR="00F14851" w:rsidRPr="003C44C7" w:rsidRDefault="00F14851" w:rsidP="008E16C0">
            <w:pPr>
              <w:pStyle w:val="TableText"/>
              <w:rPr>
                <w:b/>
              </w:rPr>
            </w:pPr>
            <w:r w:rsidRPr="003C44C7">
              <w:rPr>
                <w:b/>
              </w:rPr>
              <w:t>J01AA</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79D7DD08" w14:textId="77777777" w:rsidR="00F14851" w:rsidRPr="003C44C7" w:rsidRDefault="00F14851" w:rsidP="008E16C0">
            <w:pPr>
              <w:pStyle w:val="TableText"/>
              <w:rPr>
                <w:b/>
              </w:rPr>
            </w:pPr>
            <w:r w:rsidRPr="003C44C7">
              <w:rPr>
                <w:b/>
              </w:rPr>
              <w:t>Tetracyclines</w:t>
            </w:r>
          </w:p>
        </w:tc>
      </w:tr>
      <w:tr w:rsidR="00F14851" w:rsidRPr="003C44C7" w14:paraId="760296CF" w14:textId="77777777" w:rsidTr="000E4D1C">
        <w:trPr>
          <w:trHeight w:val="255"/>
        </w:trPr>
        <w:tc>
          <w:tcPr>
            <w:tcW w:w="2149" w:type="dxa"/>
            <w:tcBorders>
              <w:top w:val="single" w:sz="4" w:space="0" w:color="auto"/>
            </w:tcBorders>
            <w:shd w:val="clear" w:color="auto" w:fill="auto"/>
            <w:tcMar>
              <w:top w:w="113" w:type="dxa"/>
              <w:left w:w="85" w:type="dxa"/>
              <w:bottom w:w="113" w:type="dxa"/>
              <w:right w:w="85" w:type="dxa"/>
            </w:tcMar>
            <w:vAlign w:val="bottom"/>
          </w:tcPr>
          <w:p w14:paraId="73F8AC5E" w14:textId="77777777" w:rsidR="00F14851" w:rsidRPr="003C44C7" w:rsidRDefault="00F14851" w:rsidP="008E16C0">
            <w:pPr>
              <w:pStyle w:val="TableText"/>
            </w:pPr>
            <w:r w:rsidRPr="003C44C7">
              <w:t>J01AA02</w:t>
            </w:r>
          </w:p>
        </w:tc>
        <w:tc>
          <w:tcPr>
            <w:tcW w:w="4952" w:type="dxa"/>
            <w:tcBorders>
              <w:top w:val="single" w:sz="4" w:space="0" w:color="auto"/>
            </w:tcBorders>
            <w:shd w:val="clear" w:color="auto" w:fill="auto"/>
            <w:tcMar>
              <w:top w:w="113" w:type="dxa"/>
              <w:left w:w="85" w:type="dxa"/>
              <w:bottom w:w="113" w:type="dxa"/>
              <w:right w:w="85" w:type="dxa"/>
            </w:tcMar>
            <w:vAlign w:val="bottom"/>
          </w:tcPr>
          <w:p w14:paraId="25F98AC9" w14:textId="77777777" w:rsidR="00F14851" w:rsidRPr="003C44C7" w:rsidRDefault="00F14851" w:rsidP="008E16C0">
            <w:pPr>
              <w:pStyle w:val="TableText"/>
            </w:pPr>
            <w:r w:rsidRPr="003C44C7">
              <w:t>Doxycycline</w:t>
            </w:r>
          </w:p>
        </w:tc>
        <w:tc>
          <w:tcPr>
            <w:tcW w:w="1341" w:type="dxa"/>
            <w:tcBorders>
              <w:top w:val="single" w:sz="4" w:space="0" w:color="auto"/>
            </w:tcBorders>
            <w:shd w:val="clear" w:color="auto" w:fill="auto"/>
            <w:tcMar>
              <w:top w:w="113" w:type="dxa"/>
              <w:left w:w="510" w:type="dxa"/>
              <w:bottom w:w="113" w:type="dxa"/>
              <w:right w:w="85" w:type="dxa"/>
            </w:tcMar>
            <w:vAlign w:val="bottom"/>
          </w:tcPr>
          <w:p w14:paraId="714E0594" w14:textId="77777777" w:rsidR="00F14851" w:rsidRPr="003C44C7" w:rsidRDefault="00F14851" w:rsidP="008E16C0">
            <w:pPr>
              <w:pStyle w:val="TableText"/>
            </w:pPr>
            <w:r w:rsidRPr="003C44C7">
              <w:t>0.1</w:t>
            </w:r>
          </w:p>
        </w:tc>
        <w:tc>
          <w:tcPr>
            <w:tcW w:w="1186" w:type="dxa"/>
            <w:tcBorders>
              <w:top w:val="single" w:sz="4" w:space="0" w:color="auto"/>
            </w:tcBorders>
            <w:shd w:val="clear" w:color="auto" w:fill="auto"/>
            <w:tcMar>
              <w:top w:w="113" w:type="dxa"/>
              <w:left w:w="85" w:type="dxa"/>
              <w:bottom w:w="113" w:type="dxa"/>
              <w:right w:w="85" w:type="dxa"/>
            </w:tcMar>
            <w:vAlign w:val="bottom"/>
          </w:tcPr>
          <w:p w14:paraId="5938E052" w14:textId="77777777" w:rsidR="00F14851" w:rsidRPr="003C44C7" w:rsidRDefault="00F14851" w:rsidP="008E16C0">
            <w:pPr>
              <w:pStyle w:val="TableText"/>
            </w:pPr>
            <w:r w:rsidRPr="003C44C7">
              <w:t>O, P</w:t>
            </w:r>
          </w:p>
        </w:tc>
      </w:tr>
      <w:tr w:rsidR="00F14851" w:rsidRPr="003C44C7" w14:paraId="3BA95554" w14:textId="77777777" w:rsidTr="008E16C0">
        <w:trPr>
          <w:trHeight w:val="255"/>
        </w:trPr>
        <w:tc>
          <w:tcPr>
            <w:tcW w:w="2149" w:type="dxa"/>
            <w:shd w:val="clear" w:color="auto" w:fill="auto"/>
            <w:tcMar>
              <w:top w:w="113" w:type="dxa"/>
              <w:left w:w="85" w:type="dxa"/>
              <w:bottom w:w="113" w:type="dxa"/>
              <w:right w:w="85" w:type="dxa"/>
            </w:tcMar>
            <w:vAlign w:val="bottom"/>
          </w:tcPr>
          <w:p w14:paraId="5C60680D" w14:textId="77777777" w:rsidR="00F14851" w:rsidRPr="003C44C7" w:rsidRDefault="00F14851" w:rsidP="008E16C0">
            <w:pPr>
              <w:pStyle w:val="TableText"/>
            </w:pPr>
            <w:r w:rsidRPr="003C44C7">
              <w:t>J01AA08</w:t>
            </w:r>
          </w:p>
        </w:tc>
        <w:tc>
          <w:tcPr>
            <w:tcW w:w="4952" w:type="dxa"/>
            <w:shd w:val="clear" w:color="auto" w:fill="auto"/>
            <w:tcMar>
              <w:top w:w="113" w:type="dxa"/>
              <w:left w:w="85" w:type="dxa"/>
              <w:bottom w:w="113" w:type="dxa"/>
              <w:right w:w="85" w:type="dxa"/>
            </w:tcMar>
            <w:vAlign w:val="bottom"/>
          </w:tcPr>
          <w:p w14:paraId="7984A771" w14:textId="77777777" w:rsidR="00F14851" w:rsidRPr="003C44C7" w:rsidRDefault="00F14851" w:rsidP="008E16C0">
            <w:pPr>
              <w:pStyle w:val="TableText"/>
            </w:pPr>
            <w:r w:rsidRPr="003C44C7">
              <w:t>Minocycline</w:t>
            </w:r>
          </w:p>
        </w:tc>
        <w:tc>
          <w:tcPr>
            <w:tcW w:w="1341" w:type="dxa"/>
            <w:shd w:val="clear" w:color="auto" w:fill="auto"/>
            <w:tcMar>
              <w:top w:w="113" w:type="dxa"/>
              <w:left w:w="510" w:type="dxa"/>
              <w:bottom w:w="113" w:type="dxa"/>
              <w:right w:w="85" w:type="dxa"/>
            </w:tcMar>
            <w:vAlign w:val="bottom"/>
          </w:tcPr>
          <w:p w14:paraId="71188964" w14:textId="77777777" w:rsidR="00F14851" w:rsidRPr="003C44C7" w:rsidRDefault="00F14851" w:rsidP="008E16C0">
            <w:pPr>
              <w:pStyle w:val="TableText"/>
            </w:pPr>
            <w:r w:rsidRPr="003C44C7">
              <w:t>0.2</w:t>
            </w:r>
          </w:p>
        </w:tc>
        <w:tc>
          <w:tcPr>
            <w:tcW w:w="1186" w:type="dxa"/>
            <w:shd w:val="clear" w:color="auto" w:fill="auto"/>
            <w:tcMar>
              <w:top w:w="113" w:type="dxa"/>
              <w:left w:w="85" w:type="dxa"/>
              <w:bottom w:w="113" w:type="dxa"/>
              <w:right w:w="85" w:type="dxa"/>
            </w:tcMar>
            <w:vAlign w:val="bottom"/>
          </w:tcPr>
          <w:p w14:paraId="555BBE88" w14:textId="77777777" w:rsidR="00F14851" w:rsidRPr="003C44C7" w:rsidRDefault="00F14851" w:rsidP="008E16C0">
            <w:pPr>
              <w:pStyle w:val="TableText"/>
            </w:pPr>
            <w:r w:rsidRPr="003C44C7">
              <w:t>O, P</w:t>
            </w:r>
          </w:p>
        </w:tc>
      </w:tr>
      <w:tr w:rsidR="00F14851" w:rsidRPr="003C44C7" w14:paraId="07D7AB42" w14:textId="77777777" w:rsidTr="000E4D1C">
        <w:trPr>
          <w:trHeight w:val="255"/>
        </w:trPr>
        <w:tc>
          <w:tcPr>
            <w:tcW w:w="2149" w:type="dxa"/>
            <w:tcBorders>
              <w:bottom w:val="single" w:sz="4" w:space="0" w:color="auto"/>
            </w:tcBorders>
            <w:shd w:val="clear" w:color="auto" w:fill="auto"/>
            <w:tcMar>
              <w:top w:w="113" w:type="dxa"/>
              <w:left w:w="85" w:type="dxa"/>
              <w:bottom w:w="113" w:type="dxa"/>
              <w:right w:w="85" w:type="dxa"/>
            </w:tcMar>
            <w:vAlign w:val="bottom"/>
          </w:tcPr>
          <w:p w14:paraId="6A3B3CE6" w14:textId="77777777" w:rsidR="00F14851" w:rsidRPr="003C44C7" w:rsidRDefault="00F14851" w:rsidP="008E16C0">
            <w:pPr>
              <w:pStyle w:val="TableText"/>
            </w:pPr>
            <w:r w:rsidRPr="003C44C7">
              <w:t>J01AA12</w:t>
            </w:r>
          </w:p>
        </w:tc>
        <w:tc>
          <w:tcPr>
            <w:tcW w:w="4952" w:type="dxa"/>
            <w:tcBorders>
              <w:bottom w:val="single" w:sz="4" w:space="0" w:color="auto"/>
            </w:tcBorders>
            <w:shd w:val="clear" w:color="auto" w:fill="auto"/>
            <w:tcMar>
              <w:top w:w="113" w:type="dxa"/>
              <w:left w:w="85" w:type="dxa"/>
              <w:bottom w:w="113" w:type="dxa"/>
              <w:right w:w="85" w:type="dxa"/>
            </w:tcMar>
            <w:vAlign w:val="bottom"/>
          </w:tcPr>
          <w:p w14:paraId="7D9C2508" w14:textId="77777777" w:rsidR="00F14851" w:rsidRPr="003C44C7" w:rsidRDefault="00F14851" w:rsidP="008E16C0">
            <w:pPr>
              <w:pStyle w:val="TableText"/>
            </w:pPr>
            <w:r w:rsidRPr="003C44C7">
              <w:t>Tigecycline</w:t>
            </w:r>
          </w:p>
        </w:tc>
        <w:tc>
          <w:tcPr>
            <w:tcW w:w="1341" w:type="dxa"/>
            <w:tcBorders>
              <w:bottom w:val="single" w:sz="4" w:space="0" w:color="auto"/>
            </w:tcBorders>
            <w:shd w:val="clear" w:color="auto" w:fill="auto"/>
            <w:tcMar>
              <w:top w:w="113" w:type="dxa"/>
              <w:left w:w="510" w:type="dxa"/>
              <w:bottom w:w="113" w:type="dxa"/>
              <w:right w:w="85" w:type="dxa"/>
            </w:tcMar>
            <w:vAlign w:val="bottom"/>
          </w:tcPr>
          <w:p w14:paraId="6A45B02B" w14:textId="77777777" w:rsidR="00F14851" w:rsidRPr="003C44C7" w:rsidRDefault="00F14851" w:rsidP="008E16C0">
            <w:pPr>
              <w:pStyle w:val="TableText"/>
            </w:pPr>
            <w:r w:rsidRPr="003C44C7">
              <w:t>0.1</w:t>
            </w:r>
          </w:p>
        </w:tc>
        <w:tc>
          <w:tcPr>
            <w:tcW w:w="1186" w:type="dxa"/>
            <w:tcBorders>
              <w:bottom w:val="single" w:sz="4" w:space="0" w:color="auto"/>
            </w:tcBorders>
            <w:shd w:val="clear" w:color="auto" w:fill="auto"/>
            <w:tcMar>
              <w:top w:w="113" w:type="dxa"/>
              <w:left w:w="85" w:type="dxa"/>
              <w:bottom w:w="113" w:type="dxa"/>
              <w:right w:w="85" w:type="dxa"/>
            </w:tcMar>
            <w:vAlign w:val="bottom"/>
          </w:tcPr>
          <w:p w14:paraId="0E846307" w14:textId="77777777" w:rsidR="00F14851" w:rsidRPr="003C44C7" w:rsidRDefault="00F14851" w:rsidP="008E16C0">
            <w:pPr>
              <w:pStyle w:val="TableText"/>
            </w:pPr>
            <w:r w:rsidRPr="003C44C7">
              <w:t>P</w:t>
            </w:r>
          </w:p>
        </w:tc>
      </w:tr>
      <w:tr w:rsidR="00F14851" w:rsidRPr="003C44C7" w14:paraId="13B186DE" w14:textId="77777777" w:rsidTr="000E4D1C">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77D1C0CA" w14:textId="77777777" w:rsidR="00F14851" w:rsidRPr="003C44C7" w:rsidRDefault="00F14851" w:rsidP="008E16C0">
            <w:pPr>
              <w:pStyle w:val="TableText"/>
              <w:rPr>
                <w:b/>
              </w:rPr>
            </w:pPr>
            <w:r w:rsidRPr="003C44C7">
              <w:rPr>
                <w:b/>
              </w:rPr>
              <w:t>J01B</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44DDFFF7" w14:textId="77777777" w:rsidR="00F14851" w:rsidRPr="003C44C7" w:rsidRDefault="00F14851" w:rsidP="008E16C0">
            <w:pPr>
              <w:pStyle w:val="TableText"/>
              <w:rPr>
                <w:b/>
              </w:rPr>
            </w:pPr>
            <w:r w:rsidRPr="003C44C7">
              <w:rPr>
                <w:b/>
              </w:rPr>
              <w:t>Amphenicols</w:t>
            </w:r>
          </w:p>
        </w:tc>
      </w:tr>
      <w:tr w:rsidR="00F14851" w:rsidRPr="003C44C7" w14:paraId="29E52850" w14:textId="77777777" w:rsidTr="000E4D1C">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1C8FA7DA" w14:textId="77777777" w:rsidR="00F14851" w:rsidRPr="003C44C7" w:rsidRDefault="00F14851" w:rsidP="008E16C0">
            <w:pPr>
              <w:pStyle w:val="TableText"/>
            </w:pPr>
            <w:r w:rsidRPr="003C44C7">
              <w:t>J01BA01</w:t>
            </w:r>
          </w:p>
        </w:tc>
        <w:tc>
          <w:tcPr>
            <w:tcW w:w="4952"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4E270852" w14:textId="77777777" w:rsidR="00F14851" w:rsidRPr="003C44C7" w:rsidRDefault="00F14851" w:rsidP="008E16C0">
            <w:pPr>
              <w:pStyle w:val="TableText"/>
            </w:pPr>
            <w:r w:rsidRPr="003C44C7">
              <w:t>Chloramphenicol</w:t>
            </w:r>
          </w:p>
        </w:tc>
        <w:tc>
          <w:tcPr>
            <w:tcW w:w="1341" w:type="dxa"/>
            <w:tcBorders>
              <w:top w:val="single" w:sz="4" w:space="0" w:color="auto"/>
              <w:bottom w:val="single" w:sz="4" w:space="0" w:color="auto"/>
            </w:tcBorders>
            <w:shd w:val="clear" w:color="auto" w:fill="auto"/>
            <w:tcMar>
              <w:top w:w="113" w:type="dxa"/>
              <w:left w:w="510" w:type="dxa"/>
              <w:bottom w:w="113" w:type="dxa"/>
              <w:right w:w="85" w:type="dxa"/>
            </w:tcMar>
            <w:vAlign w:val="bottom"/>
          </w:tcPr>
          <w:p w14:paraId="4A771F7C" w14:textId="77777777" w:rsidR="00F14851" w:rsidRPr="003C44C7" w:rsidRDefault="00F14851" w:rsidP="008E16C0">
            <w:pPr>
              <w:pStyle w:val="TableText"/>
            </w:pPr>
            <w:r w:rsidRPr="003C44C7">
              <w:t>3</w:t>
            </w:r>
          </w:p>
        </w:tc>
        <w:tc>
          <w:tcPr>
            <w:tcW w:w="1186"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56FFAEE3" w14:textId="77777777" w:rsidR="00F14851" w:rsidRPr="003C44C7" w:rsidRDefault="00F14851" w:rsidP="008E16C0">
            <w:pPr>
              <w:pStyle w:val="TableText"/>
            </w:pPr>
            <w:r w:rsidRPr="003C44C7">
              <w:t>O, P</w:t>
            </w:r>
          </w:p>
        </w:tc>
      </w:tr>
      <w:tr w:rsidR="00F14851" w:rsidRPr="003C44C7" w14:paraId="74653742" w14:textId="77777777" w:rsidTr="000E4D1C">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5748437A" w14:textId="77777777" w:rsidR="00F14851" w:rsidRPr="003C44C7" w:rsidRDefault="00F14851" w:rsidP="008E16C0">
            <w:pPr>
              <w:pStyle w:val="TableText"/>
              <w:rPr>
                <w:b/>
              </w:rPr>
            </w:pPr>
            <w:r w:rsidRPr="003C44C7">
              <w:rPr>
                <w:b/>
              </w:rPr>
              <w:t>J01C</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0A5184ED" w14:textId="119A55CE" w:rsidR="00F14851" w:rsidRPr="003C44C7" w:rsidRDefault="000E4D1C" w:rsidP="008E16C0">
            <w:pPr>
              <w:pStyle w:val="TableText"/>
              <w:rPr>
                <w:b/>
              </w:rPr>
            </w:pPr>
            <w:r w:rsidRPr="003C44C7">
              <w:rPr>
                <w:rFonts w:ascii="Gotham-Medium" w:hAnsi="Gotham-Medium" w:cs="Gotham-Medium"/>
                <w:b/>
                <w:bCs/>
              </w:rPr>
              <w:t>β</w:t>
            </w:r>
            <w:r w:rsidR="00F14851" w:rsidRPr="003C44C7">
              <w:rPr>
                <w:b/>
              </w:rPr>
              <w:t>-lactam antibacterials, penicillins</w:t>
            </w:r>
          </w:p>
        </w:tc>
      </w:tr>
      <w:tr w:rsidR="00F14851" w:rsidRPr="003C44C7" w14:paraId="76E18CD7" w14:textId="77777777" w:rsidTr="000E4D1C">
        <w:trPr>
          <w:trHeight w:val="309"/>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6A05E3E6" w14:textId="77777777" w:rsidR="00F14851" w:rsidRPr="003C44C7" w:rsidRDefault="00F14851" w:rsidP="008E16C0">
            <w:pPr>
              <w:pStyle w:val="TableText"/>
              <w:rPr>
                <w:i/>
              </w:rPr>
            </w:pPr>
            <w:r w:rsidRPr="003C44C7">
              <w:rPr>
                <w:i/>
              </w:rPr>
              <w:t>J01CA</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7F04D162" w14:textId="77777777" w:rsidR="00F14851" w:rsidRPr="003C44C7" w:rsidRDefault="00F14851" w:rsidP="008E16C0">
            <w:pPr>
              <w:pStyle w:val="TableText"/>
              <w:rPr>
                <w:i/>
              </w:rPr>
            </w:pPr>
            <w:r w:rsidRPr="003C44C7">
              <w:rPr>
                <w:i/>
              </w:rPr>
              <w:t>Penicillins with extended spectrum</w:t>
            </w:r>
            <w:r w:rsidRPr="003C44C7">
              <w:rPr>
                <w:rFonts w:ascii="Helvetica-Light" w:hAnsi="Helvetica-Light" w:cs="Helvetica-Light"/>
                <w:b/>
                <w:bCs/>
                <w:i/>
              </w:rPr>
              <w:t> </w:t>
            </w:r>
          </w:p>
        </w:tc>
      </w:tr>
      <w:tr w:rsidR="00F14851" w:rsidRPr="003C44C7" w14:paraId="50DDC733" w14:textId="77777777" w:rsidTr="000E4D1C">
        <w:trPr>
          <w:trHeight w:val="255"/>
        </w:trPr>
        <w:tc>
          <w:tcPr>
            <w:tcW w:w="2149" w:type="dxa"/>
            <w:tcBorders>
              <w:top w:val="single" w:sz="4" w:space="0" w:color="auto"/>
            </w:tcBorders>
            <w:shd w:val="clear" w:color="auto" w:fill="auto"/>
            <w:tcMar>
              <w:top w:w="113" w:type="dxa"/>
              <w:left w:w="85" w:type="dxa"/>
              <w:bottom w:w="113" w:type="dxa"/>
              <w:right w:w="85" w:type="dxa"/>
            </w:tcMar>
            <w:vAlign w:val="bottom"/>
          </w:tcPr>
          <w:p w14:paraId="45E51834" w14:textId="77777777" w:rsidR="00F14851" w:rsidRPr="003C44C7" w:rsidRDefault="00F14851" w:rsidP="008E16C0">
            <w:pPr>
              <w:pStyle w:val="TableText"/>
            </w:pPr>
            <w:r w:rsidRPr="003C44C7">
              <w:t>J01CA01</w:t>
            </w:r>
          </w:p>
        </w:tc>
        <w:tc>
          <w:tcPr>
            <w:tcW w:w="4952" w:type="dxa"/>
            <w:tcBorders>
              <w:top w:val="single" w:sz="4" w:space="0" w:color="auto"/>
            </w:tcBorders>
            <w:shd w:val="clear" w:color="auto" w:fill="auto"/>
            <w:tcMar>
              <w:top w:w="113" w:type="dxa"/>
              <w:left w:w="85" w:type="dxa"/>
              <w:bottom w:w="113" w:type="dxa"/>
              <w:right w:w="85" w:type="dxa"/>
            </w:tcMar>
            <w:vAlign w:val="bottom"/>
          </w:tcPr>
          <w:p w14:paraId="00DE65BA" w14:textId="77777777" w:rsidR="00F14851" w:rsidRPr="003C44C7" w:rsidRDefault="00F14851" w:rsidP="008E16C0">
            <w:pPr>
              <w:pStyle w:val="TableText"/>
            </w:pPr>
            <w:r w:rsidRPr="003C44C7">
              <w:t>Ampicillin</w:t>
            </w:r>
            <w:r w:rsidRPr="003C44C7">
              <w:rPr>
                <w:rStyle w:val="Superscript"/>
              </w:rPr>
              <w:t>a</w:t>
            </w:r>
          </w:p>
        </w:tc>
        <w:tc>
          <w:tcPr>
            <w:tcW w:w="1341" w:type="dxa"/>
            <w:tcBorders>
              <w:top w:val="single" w:sz="4" w:space="0" w:color="auto"/>
            </w:tcBorders>
            <w:shd w:val="clear" w:color="auto" w:fill="auto"/>
            <w:tcMar>
              <w:top w:w="113" w:type="dxa"/>
              <w:left w:w="510" w:type="dxa"/>
              <w:bottom w:w="113" w:type="dxa"/>
              <w:right w:w="85" w:type="dxa"/>
            </w:tcMar>
            <w:vAlign w:val="bottom"/>
          </w:tcPr>
          <w:p w14:paraId="6EF13415" w14:textId="77777777" w:rsidR="00F14851" w:rsidRPr="003C44C7" w:rsidRDefault="00F14851" w:rsidP="008E16C0">
            <w:pPr>
              <w:pStyle w:val="TableText"/>
            </w:pPr>
            <w:r w:rsidRPr="003C44C7">
              <w:t>2</w:t>
            </w:r>
          </w:p>
        </w:tc>
        <w:tc>
          <w:tcPr>
            <w:tcW w:w="1186" w:type="dxa"/>
            <w:tcBorders>
              <w:top w:val="single" w:sz="4" w:space="0" w:color="auto"/>
            </w:tcBorders>
            <w:shd w:val="clear" w:color="auto" w:fill="auto"/>
            <w:tcMar>
              <w:top w:w="113" w:type="dxa"/>
              <w:left w:w="85" w:type="dxa"/>
              <w:bottom w:w="113" w:type="dxa"/>
              <w:right w:w="85" w:type="dxa"/>
            </w:tcMar>
            <w:vAlign w:val="bottom"/>
          </w:tcPr>
          <w:p w14:paraId="36680D94" w14:textId="77777777" w:rsidR="00F14851" w:rsidRPr="003C44C7" w:rsidRDefault="00F14851" w:rsidP="008E16C0">
            <w:pPr>
              <w:pStyle w:val="TableText"/>
            </w:pPr>
            <w:r w:rsidRPr="003C44C7">
              <w:t>O, P</w:t>
            </w:r>
          </w:p>
        </w:tc>
      </w:tr>
      <w:tr w:rsidR="00F14851" w:rsidRPr="003C44C7" w14:paraId="3B9A1845" w14:textId="77777777" w:rsidTr="000E4D1C">
        <w:trPr>
          <w:trHeight w:val="255"/>
        </w:trPr>
        <w:tc>
          <w:tcPr>
            <w:tcW w:w="2149" w:type="dxa"/>
            <w:tcBorders>
              <w:bottom w:val="single" w:sz="4" w:space="0" w:color="auto"/>
            </w:tcBorders>
            <w:shd w:val="clear" w:color="auto" w:fill="auto"/>
            <w:tcMar>
              <w:top w:w="113" w:type="dxa"/>
              <w:left w:w="85" w:type="dxa"/>
              <w:bottom w:w="113" w:type="dxa"/>
              <w:right w:w="85" w:type="dxa"/>
            </w:tcMar>
            <w:vAlign w:val="bottom"/>
          </w:tcPr>
          <w:p w14:paraId="672FC099" w14:textId="77777777" w:rsidR="00F14851" w:rsidRPr="003C44C7" w:rsidRDefault="00F14851" w:rsidP="008E16C0">
            <w:pPr>
              <w:pStyle w:val="TableText"/>
            </w:pPr>
            <w:r w:rsidRPr="003C44C7">
              <w:t>J01CA04</w:t>
            </w:r>
          </w:p>
        </w:tc>
        <w:tc>
          <w:tcPr>
            <w:tcW w:w="4952" w:type="dxa"/>
            <w:tcBorders>
              <w:bottom w:val="single" w:sz="4" w:space="0" w:color="auto"/>
            </w:tcBorders>
            <w:shd w:val="clear" w:color="auto" w:fill="auto"/>
            <w:tcMar>
              <w:top w:w="113" w:type="dxa"/>
              <w:left w:w="85" w:type="dxa"/>
              <w:bottom w:w="113" w:type="dxa"/>
              <w:right w:w="85" w:type="dxa"/>
            </w:tcMar>
            <w:vAlign w:val="bottom"/>
          </w:tcPr>
          <w:p w14:paraId="2DFC9BF4" w14:textId="77777777" w:rsidR="00F14851" w:rsidRPr="003C44C7" w:rsidRDefault="00F14851" w:rsidP="008E16C0">
            <w:pPr>
              <w:pStyle w:val="TableText"/>
            </w:pPr>
            <w:r w:rsidRPr="003C44C7">
              <w:t>Amoxycillin</w:t>
            </w:r>
            <w:r w:rsidRPr="003C44C7">
              <w:rPr>
                <w:rStyle w:val="Superscript"/>
              </w:rPr>
              <w:t>a</w:t>
            </w:r>
          </w:p>
        </w:tc>
        <w:tc>
          <w:tcPr>
            <w:tcW w:w="1341" w:type="dxa"/>
            <w:tcBorders>
              <w:bottom w:val="single" w:sz="4" w:space="0" w:color="auto"/>
            </w:tcBorders>
            <w:shd w:val="clear" w:color="auto" w:fill="auto"/>
            <w:tcMar>
              <w:top w:w="113" w:type="dxa"/>
              <w:left w:w="510" w:type="dxa"/>
              <w:bottom w:w="113" w:type="dxa"/>
              <w:right w:w="85" w:type="dxa"/>
            </w:tcMar>
            <w:vAlign w:val="bottom"/>
          </w:tcPr>
          <w:p w14:paraId="4EF7A878" w14:textId="77777777" w:rsidR="00F14851" w:rsidRPr="003C44C7" w:rsidRDefault="00F14851" w:rsidP="008E16C0">
            <w:pPr>
              <w:pStyle w:val="TableText"/>
            </w:pPr>
            <w:r w:rsidRPr="003C44C7">
              <w:t>1</w:t>
            </w:r>
          </w:p>
        </w:tc>
        <w:tc>
          <w:tcPr>
            <w:tcW w:w="1186" w:type="dxa"/>
            <w:tcBorders>
              <w:bottom w:val="single" w:sz="4" w:space="0" w:color="auto"/>
            </w:tcBorders>
            <w:shd w:val="clear" w:color="auto" w:fill="auto"/>
            <w:tcMar>
              <w:top w:w="113" w:type="dxa"/>
              <w:left w:w="85" w:type="dxa"/>
              <w:bottom w:w="113" w:type="dxa"/>
              <w:right w:w="85" w:type="dxa"/>
            </w:tcMar>
            <w:vAlign w:val="bottom"/>
          </w:tcPr>
          <w:p w14:paraId="0E06F2B7" w14:textId="77777777" w:rsidR="00F14851" w:rsidRPr="003C44C7" w:rsidRDefault="00F14851" w:rsidP="008E16C0">
            <w:pPr>
              <w:pStyle w:val="TableText"/>
            </w:pPr>
            <w:r w:rsidRPr="003C44C7">
              <w:t>O, P</w:t>
            </w:r>
          </w:p>
        </w:tc>
      </w:tr>
      <w:tr w:rsidR="00F14851" w:rsidRPr="003C44C7" w14:paraId="7ED5AC1C" w14:textId="77777777" w:rsidTr="000E4D1C">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21A1D4FA" w14:textId="77777777" w:rsidR="00F14851" w:rsidRPr="003C44C7" w:rsidRDefault="00F14851" w:rsidP="008E16C0">
            <w:pPr>
              <w:pStyle w:val="TableText"/>
              <w:rPr>
                <w:i/>
              </w:rPr>
            </w:pPr>
            <w:r w:rsidRPr="003C44C7">
              <w:rPr>
                <w:i/>
              </w:rPr>
              <w:t>J01CE</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5874405A" w14:textId="2E789140" w:rsidR="00F14851" w:rsidRPr="003C44C7" w:rsidRDefault="000E4D1C" w:rsidP="008E16C0">
            <w:pPr>
              <w:pStyle w:val="TableText"/>
              <w:rPr>
                <w:i/>
              </w:rPr>
            </w:pPr>
            <w:r w:rsidRPr="003C44C7">
              <w:rPr>
                <w:rFonts w:ascii="Gotham-Medium" w:hAnsi="Gotham-Medium" w:cs="Gotham-Medium"/>
                <w:bCs/>
                <w:i/>
              </w:rPr>
              <w:t>β</w:t>
            </w:r>
            <w:r w:rsidRPr="003C44C7">
              <w:rPr>
                <w:i/>
              </w:rPr>
              <w:t xml:space="preserve"> </w:t>
            </w:r>
            <w:r w:rsidR="00F14851" w:rsidRPr="003C44C7">
              <w:rPr>
                <w:i/>
              </w:rPr>
              <w:t>-lactamase-sensitive penicillins</w:t>
            </w:r>
            <w:r w:rsidR="00F14851" w:rsidRPr="003C44C7">
              <w:rPr>
                <w:rFonts w:ascii="Helvetica-Light" w:hAnsi="Helvetica-Light" w:cs="Helvetica-Light"/>
                <w:bCs/>
                <w:i/>
              </w:rPr>
              <w:t> </w:t>
            </w:r>
          </w:p>
        </w:tc>
      </w:tr>
      <w:tr w:rsidR="00F14851" w:rsidRPr="003C44C7" w14:paraId="3766D34C" w14:textId="77777777" w:rsidTr="000E4D1C">
        <w:trPr>
          <w:trHeight w:val="255"/>
        </w:trPr>
        <w:tc>
          <w:tcPr>
            <w:tcW w:w="2149" w:type="dxa"/>
            <w:tcBorders>
              <w:top w:val="single" w:sz="4" w:space="0" w:color="auto"/>
            </w:tcBorders>
            <w:shd w:val="clear" w:color="auto" w:fill="auto"/>
            <w:tcMar>
              <w:top w:w="113" w:type="dxa"/>
              <w:left w:w="85" w:type="dxa"/>
              <w:bottom w:w="113" w:type="dxa"/>
              <w:right w:w="85" w:type="dxa"/>
            </w:tcMar>
            <w:vAlign w:val="bottom"/>
          </w:tcPr>
          <w:p w14:paraId="6638B232" w14:textId="77777777" w:rsidR="00F14851" w:rsidRPr="003C44C7" w:rsidRDefault="00F14851" w:rsidP="008E16C0">
            <w:pPr>
              <w:pStyle w:val="TableText"/>
            </w:pPr>
            <w:r w:rsidRPr="003C44C7">
              <w:t>J01CE01</w:t>
            </w:r>
          </w:p>
        </w:tc>
        <w:tc>
          <w:tcPr>
            <w:tcW w:w="4952" w:type="dxa"/>
            <w:tcBorders>
              <w:top w:val="single" w:sz="4" w:space="0" w:color="auto"/>
            </w:tcBorders>
            <w:shd w:val="clear" w:color="auto" w:fill="auto"/>
            <w:tcMar>
              <w:top w:w="113" w:type="dxa"/>
              <w:left w:w="85" w:type="dxa"/>
              <w:bottom w:w="113" w:type="dxa"/>
              <w:right w:w="85" w:type="dxa"/>
            </w:tcMar>
            <w:vAlign w:val="bottom"/>
          </w:tcPr>
          <w:p w14:paraId="2819041A" w14:textId="77777777" w:rsidR="00F14851" w:rsidRPr="003C44C7" w:rsidRDefault="00F14851" w:rsidP="008E16C0">
            <w:pPr>
              <w:pStyle w:val="TableText"/>
            </w:pPr>
            <w:r w:rsidRPr="003C44C7">
              <w:t>Benzylpenicillin</w:t>
            </w:r>
            <w:r w:rsidRPr="003C44C7">
              <w:rPr>
                <w:rStyle w:val="Superscript"/>
              </w:rPr>
              <w:t>a</w:t>
            </w:r>
          </w:p>
        </w:tc>
        <w:tc>
          <w:tcPr>
            <w:tcW w:w="1341" w:type="dxa"/>
            <w:tcBorders>
              <w:top w:val="single" w:sz="4" w:space="0" w:color="auto"/>
            </w:tcBorders>
            <w:shd w:val="clear" w:color="auto" w:fill="auto"/>
            <w:tcMar>
              <w:top w:w="113" w:type="dxa"/>
              <w:left w:w="454" w:type="dxa"/>
              <w:bottom w:w="113" w:type="dxa"/>
              <w:right w:w="85" w:type="dxa"/>
            </w:tcMar>
            <w:vAlign w:val="bottom"/>
          </w:tcPr>
          <w:p w14:paraId="62BF2E6A" w14:textId="77777777" w:rsidR="00F14851" w:rsidRPr="003C44C7" w:rsidRDefault="00F14851" w:rsidP="008E16C0">
            <w:pPr>
              <w:pStyle w:val="TableText"/>
            </w:pPr>
            <w:r w:rsidRPr="003C44C7">
              <w:t xml:space="preserve"> 3.6</w:t>
            </w:r>
          </w:p>
        </w:tc>
        <w:tc>
          <w:tcPr>
            <w:tcW w:w="1186" w:type="dxa"/>
            <w:tcBorders>
              <w:top w:val="single" w:sz="4" w:space="0" w:color="auto"/>
            </w:tcBorders>
            <w:shd w:val="clear" w:color="auto" w:fill="auto"/>
            <w:tcMar>
              <w:top w:w="113" w:type="dxa"/>
              <w:left w:w="85" w:type="dxa"/>
              <w:bottom w:w="113" w:type="dxa"/>
              <w:right w:w="85" w:type="dxa"/>
            </w:tcMar>
            <w:vAlign w:val="bottom"/>
          </w:tcPr>
          <w:p w14:paraId="5B647199" w14:textId="77777777" w:rsidR="00F14851" w:rsidRPr="003C44C7" w:rsidRDefault="00F14851" w:rsidP="008E16C0">
            <w:pPr>
              <w:pStyle w:val="TableText"/>
            </w:pPr>
            <w:r w:rsidRPr="003C44C7">
              <w:t>P</w:t>
            </w:r>
          </w:p>
        </w:tc>
      </w:tr>
      <w:tr w:rsidR="00F14851" w:rsidRPr="003C44C7" w14:paraId="1784D52D" w14:textId="77777777" w:rsidTr="008E16C0">
        <w:trPr>
          <w:trHeight w:val="255"/>
        </w:trPr>
        <w:tc>
          <w:tcPr>
            <w:tcW w:w="2149" w:type="dxa"/>
            <w:shd w:val="clear" w:color="auto" w:fill="auto"/>
            <w:tcMar>
              <w:top w:w="113" w:type="dxa"/>
              <w:left w:w="85" w:type="dxa"/>
              <w:bottom w:w="113" w:type="dxa"/>
              <w:right w:w="85" w:type="dxa"/>
            </w:tcMar>
            <w:vAlign w:val="bottom"/>
          </w:tcPr>
          <w:p w14:paraId="7EC4E6D8" w14:textId="77777777" w:rsidR="00F14851" w:rsidRPr="003C44C7" w:rsidRDefault="00F14851" w:rsidP="008E16C0">
            <w:pPr>
              <w:pStyle w:val="TableText"/>
            </w:pPr>
            <w:r w:rsidRPr="003C44C7">
              <w:t>J01CE02</w:t>
            </w:r>
          </w:p>
        </w:tc>
        <w:tc>
          <w:tcPr>
            <w:tcW w:w="4952" w:type="dxa"/>
            <w:shd w:val="clear" w:color="auto" w:fill="auto"/>
            <w:tcMar>
              <w:top w:w="113" w:type="dxa"/>
              <w:left w:w="85" w:type="dxa"/>
              <w:bottom w:w="113" w:type="dxa"/>
              <w:right w:w="85" w:type="dxa"/>
            </w:tcMar>
            <w:vAlign w:val="bottom"/>
          </w:tcPr>
          <w:p w14:paraId="62D8DD4F" w14:textId="77777777" w:rsidR="00F14851" w:rsidRPr="003C44C7" w:rsidRDefault="00F14851" w:rsidP="008E16C0">
            <w:pPr>
              <w:pStyle w:val="TableText"/>
            </w:pPr>
            <w:r w:rsidRPr="003C44C7">
              <w:t>Phenoxymethylpenicillin</w:t>
            </w:r>
            <w:r w:rsidRPr="003C44C7">
              <w:rPr>
                <w:rStyle w:val="Superscript"/>
              </w:rPr>
              <w:t>a</w:t>
            </w:r>
          </w:p>
        </w:tc>
        <w:tc>
          <w:tcPr>
            <w:tcW w:w="1341" w:type="dxa"/>
            <w:shd w:val="clear" w:color="auto" w:fill="auto"/>
            <w:tcMar>
              <w:top w:w="113" w:type="dxa"/>
              <w:left w:w="510" w:type="dxa"/>
              <w:bottom w:w="113" w:type="dxa"/>
              <w:right w:w="85" w:type="dxa"/>
            </w:tcMar>
            <w:vAlign w:val="bottom"/>
          </w:tcPr>
          <w:p w14:paraId="34AF0ED2" w14:textId="77777777" w:rsidR="00F14851" w:rsidRPr="003C44C7" w:rsidRDefault="00F14851" w:rsidP="008E16C0">
            <w:pPr>
              <w:pStyle w:val="TableText"/>
            </w:pPr>
            <w:r w:rsidRPr="003C44C7">
              <w:t>2</w:t>
            </w:r>
          </w:p>
        </w:tc>
        <w:tc>
          <w:tcPr>
            <w:tcW w:w="1186" w:type="dxa"/>
            <w:shd w:val="clear" w:color="auto" w:fill="auto"/>
            <w:tcMar>
              <w:top w:w="113" w:type="dxa"/>
              <w:left w:w="85" w:type="dxa"/>
              <w:bottom w:w="113" w:type="dxa"/>
              <w:right w:w="85" w:type="dxa"/>
            </w:tcMar>
            <w:vAlign w:val="bottom"/>
          </w:tcPr>
          <w:p w14:paraId="3AD85014" w14:textId="77777777" w:rsidR="00F14851" w:rsidRPr="003C44C7" w:rsidRDefault="00F14851" w:rsidP="008E16C0">
            <w:pPr>
              <w:pStyle w:val="TableText"/>
            </w:pPr>
            <w:r w:rsidRPr="003C44C7">
              <w:t>O</w:t>
            </w:r>
          </w:p>
        </w:tc>
      </w:tr>
      <w:tr w:rsidR="00F14851" w:rsidRPr="003C44C7" w14:paraId="4FB011E3" w14:textId="77777777" w:rsidTr="008E16C0">
        <w:trPr>
          <w:trHeight w:val="255"/>
        </w:trPr>
        <w:tc>
          <w:tcPr>
            <w:tcW w:w="2149" w:type="dxa"/>
            <w:shd w:val="clear" w:color="auto" w:fill="auto"/>
            <w:tcMar>
              <w:top w:w="113" w:type="dxa"/>
              <w:left w:w="85" w:type="dxa"/>
              <w:bottom w:w="113" w:type="dxa"/>
              <w:right w:w="85" w:type="dxa"/>
            </w:tcMar>
            <w:vAlign w:val="bottom"/>
          </w:tcPr>
          <w:p w14:paraId="5DF2E4E1" w14:textId="77777777" w:rsidR="00F14851" w:rsidRPr="003C44C7" w:rsidRDefault="00F14851" w:rsidP="008E16C0">
            <w:pPr>
              <w:pStyle w:val="TableText"/>
            </w:pPr>
            <w:r w:rsidRPr="003C44C7">
              <w:t>J01CE08</w:t>
            </w:r>
          </w:p>
        </w:tc>
        <w:tc>
          <w:tcPr>
            <w:tcW w:w="4952" w:type="dxa"/>
            <w:shd w:val="clear" w:color="auto" w:fill="auto"/>
            <w:tcMar>
              <w:top w:w="113" w:type="dxa"/>
              <w:left w:w="85" w:type="dxa"/>
              <w:bottom w:w="113" w:type="dxa"/>
              <w:right w:w="85" w:type="dxa"/>
            </w:tcMar>
            <w:vAlign w:val="bottom"/>
          </w:tcPr>
          <w:p w14:paraId="4A437B28" w14:textId="77777777" w:rsidR="00F14851" w:rsidRPr="003C44C7" w:rsidRDefault="00F14851" w:rsidP="008E16C0">
            <w:pPr>
              <w:pStyle w:val="TableText"/>
            </w:pPr>
            <w:r w:rsidRPr="003C44C7">
              <w:t>Benzathine benzylpenicillin</w:t>
            </w:r>
            <w:r w:rsidRPr="003C44C7">
              <w:rPr>
                <w:rStyle w:val="Superscript"/>
              </w:rPr>
              <w:t>a</w:t>
            </w:r>
          </w:p>
        </w:tc>
        <w:tc>
          <w:tcPr>
            <w:tcW w:w="1341" w:type="dxa"/>
            <w:shd w:val="clear" w:color="auto" w:fill="auto"/>
            <w:tcMar>
              <w:top w:w="113" w:type="dxa"/>
              <w:left w:w="510" w:type="dxa"/>
              <w:bottom w:w="113" w:type="dxa"/>
              <w:right w:w="85" w:type="dxa"/>
            </w:tcMar>
            <w:vAlign w:val="bottom"/>
          </w:tcPr>
          <w:p w14:paraId="19D88B32" w14:textId="77777777" w:rsidR="00F14851" w:rsidRPr="003C44C7" w:rsidRDefault="00F14851" w:rsidP="008E16C0">
            <w:pPr>
              <w:pStyle w:val="TableText"/>
            </w:pPr>
            <w:r w:rsidRPr="003C44C7">
              <w:t>3.6</w:t>
            </w:r>
          </w:p>
        </w:tc>
        <w:tc>
          <w:tcPr>
            <w:tcW w:w="1186" w:type="dxa"/>
            <w:shd w:val="clear" w:color="auto" w:fill="auto"/>
            <w:tcMar>
              <w:top w:w="113" w:type="dxa"/>
              <w:left w:w="85" w:type="dxa"/>
              <w:bottom w:w="113" w:type="dxa"/>
              <w:right w:w="85" w:type="dxa"/>
            </w:tcMar>
            <w:vAlign w:val="bottom"/>
          </w:tcPr>
          <w:p w14:paraId="2360B297" w14:textId="77777777" w:rsidR="00F14851" w:rsidRPr="003C44C7" w:rsidRDefault="00F14851" w:rsidP="008E16C0">
            <w:pPr>
              <w:pStyle w:val="TableText"/>
            </w:pPr>
            <w:r w:rsidRPr="003C44C7">
              <w:t>P</w:t>
            </w:r>
          </w:p>
        </w:tc>
      </w:tr>
      <w:tr w:rsidR="00F14851" w:rsidRPr="003C44C7" w14:paraId="25190C47" w14:textId="77777777" w:rsidTr="000E4D1C">
        <w:trPr>
          <w:trHeight w:val="255"/>
        </w:trPr>
        <w:tc>
          <w:tcPr>
            <w:tcW w:w="2149" w:type="dxa"/>
            <w:tcBorders>
              <w:bottom w:val="single" w:sz="4" w:space="0" w:color="auto"/>
            </w:tcBorders>
            <w:shd w:val="clear" w:color="auto" w:fill="auto"/>
            <w:tcMar>
              <w:top w:w="113" w:type="dxa"/>
              <w:left w:w="85" w:type="dxa"/>
              <w:bottom w:w="113" w:type="dxa"/>
              <w:right w:w="85" w:type="dxa"/>
            </w:tcMar>
            <w:vAlign w:val="bottom"/>
          </w:tcPr>
          <w:p w14:paraId="30AB12CC" w14:textId="77777777" w:rsidR="00F14851" w:rsidRPr="003C44C7" w:rsidRDefault="00F14851" w:rsidP="008E16C0">
            <w:pPr>
              <w:pStyle w:val="TableText"/>
            </w:pPr>
            <w:r w:rsidRPr="003C44C7">
              <w:t>J01CE09</w:t>
            </w:r>
          </w:p>
        </w:tc>
        <w:tc>
          <w:tcPr>
            <w:tcW w:w="4952" w:type="dxa"/>
            <w:tcBorders>
              <w:bottom w:val="single" w:sz="4" w:space="0" w:color="auto"/>
            </w:tcBorders>
            <w:shd w:val="clear" w:color="auto" w:fill="auto"/>
            <w:tcMar>
              <w:top w:w="113" w:type="dxa"/>
              <w:left w:w="85" w:type="dxa"/>
              <w:bottom w:w="113" w:type="dxa"/>
              <w:right w:w="85" w:type="dxa"/>
            </w:tcMar>
            <w:vAlign w:val="bottom"/>
          </w:tcPr>
          <w:p w14:paraId="2DFCF414" w14:textId="77777777" w:rsidR="00F14851" w:rsidRPr="003C44C7" w:rsidRDefault="00F14851" w:rsidP="008E16C0">
            <w:pPr>
              <w:pStyle w:val="TableText"/>
            </w:pPr>
            <w:r w:rsidRPr="003C44C7">
              <w:t>Procaine penicillin</w:t>
            </w:r>
            <w:r w:rsidRPr="003C44C7">
              <w:rPr>
                <w:rStyle w:val="Superscript"/>
              </w:rPr>
              <w:t>a</w:t>
            </w:r>
          </w:p>
        </w:tc>
        <w:tc>
          <w:tcPr>
            <w:tcW w:w="1341" w:type="dxa"/>
            <w:tcBorders>
              <w:bottom w:val="single" w:sz="4" w:space="0" w:color="auto"/>
            </w:tcBorders>
            <w:shd w:val="clear" w:color="auto" w:fill="auto"/>
            <w:tcMar>
              <w:top w:w="113" w:type="dxa"/>
              <w:left w:w="510" w:type="dxa"/>
              <w:bottom w:w="113" w:type="dxa"/>
              <w:right w:w="85" w:type="dxa"/>
            </w:tcMar>
            <w:vAlign w:val="bottom"/>
          </w:tcPr>
          <w:p w14:paraId="5C2C602E" w14:textId="77777777" w:rsidR="00F14851" w:rsidRPr="003C44C7" w:rsidRDefault="00F14851" w:rsidP="008E16C0">
            <w:pPr>
              <w:pStyle w:val="TableText"/>
            </w:pPr>
            <w:r w:rsidRPr="003C44C7">
              <w:t>0.6</w:t>
            </w:r>
          </w:p>
        </w:tc>
        <w:tc>
          <w:tcPr>
            <w:tcW w:w="1186" w:type="dxa"/>
            <w:tcBorders>
              <w:bottom w:val="single" w:sz="4" w:space="0" w:color="auto"/>
            </w:tcBorders>
            <w:shd w:val="clear" w:color="auto" w:fill="auto"/>
            <w:tcMar>
              <w:top w:w="113" w:type="dxa"/>
              <w:left w:w="85" w:type="dxa"/>
              <w:bottom w:w="113" w:type="dxa"/>
              <w:right w:w="85" w:type="dxa"/>
            </w:tcMar>
            <w:vAlign w:val="bottom"/>
          </w:tcPr>
          <w:p w14:paraId="2D72B867" w14:textId="77777777" w:rsidR="00F14851" w:rsidRPr="003C44C7" w:rsidRDefault="00F14851" w:rsidP="008E16C0">
            <w:pPr>
              <w:pStyle w:val="TableText"/>
            </w:pPr>
            <w:r w:rsidRPr="003C44C7">
              <w:t>P</w:t>
            </w:r>
          </w:p>
        </w:tc>
      </w:tr>
      <w:tr w:rsidR="00F14851" w:rsidRPr="003C44C7" w14:paraId="1794B91E" w14:textId="77777777" w:rsidTr="000E4D1C">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4CF8D6DC" w14:textId="77777777" w:rsidR="00F14851" w:rsidRPr="003C44C7" w:rsidRDefault="00F14851" w:rsidP="008E16C0">
            <w:pPr>
              <w:pStyle w:val="TableText"/>
              <w:rPr>
                <w:i/>
              </w:rPr>
            </w:pPr>
            <w:r w:rsidRPr="003C44C7">
              <w:rPr>
                <w:i/>
              </w:rPr>
              <w:t>J01CF</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01579250" w14:textId="0FD75B20" w:rsidR="00F14851" w:rsidRPr="003C44C7" w:rsidRDefault="000E4D1C" w:rsidP="008E16C0">
            <w:pPr>
              <w:pStyle w:val="TableText"/>
              <w:rPr>
                <w:i/>
              </w:rPr>
            </w:pPr>
            <w:r w:rsidRPr="003C44C7">
              <w:rPr>
                <w:rFonts w:ascii="Gotham-Medium" w:hAnsi="Gotham-Medium" w:cs="Gotham-Medium"/>
                <w:bCs/>
                <w:i/>
              </w:rPr>
              <w:t>β</w:t>
            </w:r>
            <w:r w:rsidRPr="003C44C7">
              <w:rPr>
                <w:i/>
              </w:rPr>
              <w:t xml:space="preserve"> </w:t>
            </w:r>
            <w:r w:rsidR="00F14851" w:rsidRPr="003C44C7">
              <w:rPr>
                <w:i/>
              </w:rPr>
              <w:t>-lactamase-resistant penicillins</w:t>
            </w:r>
            <w:r w:rsidR="00F14851" w:rsidRPr="003C44C7">
              <w:rPr>
                <w:rFonts w:ascii="Helvetica-Light" w:hAnsi="Helvetica-Light" w:cs="Helvetica-Light"/>
                <w:bCs/>
                <w:i/>
              </w:rPr>
              <w:t> </w:t>
            </w:r>
          </w:p>
        </w:tc>
      </w:tr>
      <w:tr w:rsidR="00F14851" w:rsidRPr="003C44C7" w14:paraId="625DE9CB" w14:textId="77777777" w:rsidTr="000E4D1C">
        <w:trPr>
          <w:trHeight w:val="255"/>
        </w:trPr>
        <w:tc>
          <w:tcPr>
            <w:tcW w:w="2149" w:type="dxa"/>
            <w:tcBorders>
              <w:top w:val="single" w:sz="4" w:space="0" w:color="auto"/>
            </w:tcBorders>
            <w:shd w:val="clear" w:color="auto" w:fill="auto"/>
            <w:tcMar>
              <w:top w:w="113" w:type="dxa"/>
              <w:left w:w="85" w:type="dxa"/>
              <w:bottom w:w="113" w:type="dxa"/>
              <w:right w:w="85" w:type="dxa"/>
            </w:tcMar>
            <w:vAlign w:val="bottom"/>
          </w:tcPr>
          <w:p w14:paraId="3F8E7443" w14:textId="77777777" w:rsidR="00F14851" w:rsidRPr="003C44C7" w:rsidRDefault="00F14851" w:rsidP="008E16C0">
            <w:pPr>
              <w:pStyle w:val="TableText"/>
            </w:pPr>
            <w:r w:rsidRPr="003C44C7">
              <w:t>J01CF01</w:t>
            </w:r>
          </w:p>
        </w:tc>
        <w:tc>
          <w:tcPr>
            <w:tcW w:w="4952" w:type="dxa"/>
            <w:tcBorders>
              <w:top w:val="single" w:sz="4" w:space="0" w:color="auto"/>
            </w:tcBorders>
            <w:shd w:val="clear" w:color="auto" w:fill="auto"/>
            <w:tcMar>
              <w:top w:w="113" w:type="dxa"/>
              <w:left w:w="85" w:type="dxa"/>
              <w:bottom w:w="113" w:type="dxa"/>
              <w:right w:w="85" w:type="dxa"/>
            </w:tcMar>
            <w:vAlign w:val="bottom"/>
          </w:tcPr>
          <w:p w14:paraId="570F14CE" w14:textId="77777777" w:rsidR="00F14851" w:rsidRPr="003C44C7" w:rsidRDefault="00F14851" w:rsidP="008E16C0">
            <w:pPr>
              <w:pStyle w:val="TableText"/>
            </w:pPr>
            <w:r w:rsidRPr="003C44C7">
              <w:t>Dicloxacillin</w:t>
            </w:r>
          </w:p>
        </w:tc>
        <w:tc>
          <w:tcPr>
            <w:tcW w:w="1341" w:type="dxa"/>
            <w:tcBorders>
              <w:top w:val="single" w:sz="4" w:space="0" w:color="auto"/>
            </w:tcBorders>
            <w:shd w:val="clear" w:color="auto" w:fill="auto"/>
            <w:tcMar>
              <w:top w:w="113" w:type="dxa"/>
              <w:left w:w="510" w:type="dxa"/>
              <w:bottom w:w="113" w:type="dxa"/>
              <w:right w:w="85" w:type="dxa"/>
            </w:tcMar>
            <w:vAlign w:val="bottom"/>
          </w:tcPr>
          <w:p w14:paraId="789DF88D" w14:textId="77777777" w:rsidR="00F14851" w:rsidRPr="003C44C7" w:rsidRDefault="00F14851" w:rsidP="008E16C0">
            <w:pPr>
              <w:pStyle w:val="TableText"/>
            </w:pPr>
            <w:r w:rsidRPr="003C44C7">
              <w:t>2</w:t>
            </w:r>
          </w:p>
        </w:tc>
        <w:tc>
          <w:tcPr>
            <w:tcW w:w="1186" w:type="dxa"/>
            <w:tcBorders>
              <w:top w:val="single" w:sz="4" w:space="0" w:color="auto"/>
            </w:tcBorders>
            <w:shd w:val="clear" w:color="auto" w:fill="auto"/>
            <w:tcMar>
              <w:top w:w="113" w:type="dxa"/>
              <w:left w:w="85" w:type="dxa"/>
              <w:bottom w:w="113" w:type="dxa"/>
              <w:right w:w="85" w:type="dxa"/>
            </w:tcMar>
            <w:vAlign w:val="bottom"/>
          </w:tcPr>
          <w:p w14:paraId="5F5531A1" w14:textId="77777777" w:rsidR="00F14851" w:rsidRPr="003C44C7" w:rsidRDefault="00F14851" w:rsidP="008E16C0">
            <w:pPr>
              <w:pStyle w:val="TableText"/>
            </w:pPr>
            <w:r w:rsidRPr="003C44C7">
              <w:t>O, P</w:t>
            </w:r>
          </w:p>
        </w:tc>
      </w:tr>
      <w:tr w:rsidR="00F14851" w:rsidRPr="003C44C7" w14:paraId="336766BC" w14:textId="77777777" w:rsidTr="000E4D1C">
        <w:trPr>
          <w:trHeight w:val="255"/>
        </w:trPr>
        <w:tc>
          <w:tcPr>
            <w:tcW w:w="2149" w:type="dxa"/>
            <w:tcBorders>
              <w:bottom w:val="single" w:sz="4" w:space="0" w:color="auto"/>
            </w:tcBorders>
            <w:shd w:val="clear" w:color="auto" w:fill="auto"/>
            <w:tcMar>
              <w:top w:w="113" w:type="dxa"/>
              <w:left w:w="85" w:type="dxa"/>
              <w:bottom w:w="113" w:type="dxa"/>
              <w:right w:w="85" w:type="dxa"/>
            </w:tcMar>
            <w:vAlign w:val="bottom"/>
          </w:tcPr>
          <w:p w14:paraId="47DEF7B3" w14:textId="77777777" w:rsidR="00F14851" w:rsidRPr="003C44C7" w:rsidRDefault="00F14851" w:rsidP="008E16C0">
            <w:pPr>
              <w:pStyle w:val="TableText"/>
            </w:pPr>
            <w:r w:rsidRPr="003C44C7">
              <w:t>J01CF05</w:t>
            </w:r>
          </w:p>
        </w:tc>
        <w:tc>
          <w:tcPr>
            <w:tcW w:w="4952" w:type="dxa"/>
            <w:tcBorders>
              <w:bottom w:val="single" w:sz="4" w:space="0" w:color="auto"/>
            </w:tcBorders>
            <w:shd w:val="clear" w:color="auto" w:fill="auto"/>
            <w:tcMar>
              <w:top w:w="113" w:type="dxa"/>
              <w:left w:w="85" w:type="dxa"/>
              <w:bottom w:w="113" w:type="dxa"/>
              <w:right w:w="85" w:type="dxa"/>
            </w:tcMar>
            <w:vAlign w:val="bottom"/>
          </w:tcPr>
          <w:p w14:paraId="4FD15788" w14:textId="77777777" w:rsidR="00F14851" w:rsidRPr="003C44C7" w:rsidRDefault="00F14851" w:rsidP="008E16C0">
            <w:pPr>
              <w:pStyle w:val="TableText"/>
            </w:pPr>
            <w:r w:rsidRPr="003C44C7">
              <w:t>Flucloxacillin</w:t>
            </w:r>
          </w:p>
        </w:tc>
        <w:tc>
          <w:tcPr>
            <w:tcW w:w="1341" w:type="dxa"/>
            <w:tcBorders>
              <w:bottom w:val="single" w:sz="4" w:space="0" w:color="auto"/>
            </w:tcBorders>
            <w:shd w:val="clear" w:color="auto" w:fill="auto"/>
            <w:tcMar>
              <w:top w:w="113" w:type="dxa"/>
              <w:left w:w="510" w:type="dxa"/>
              <w:bottom w:w="113" w:type="dxa"/>
              <w:right w:w="85" w:type="dxa"/>
            </w:tcMar>
            <w:vAlign w:val="bottom"/>
          </w:tcPr>
          <w:p w14:paraId="2D17DD84" w14:textId="77777777" w:rsidR="00F14851" w:rsidRPr="003C44C7" w:rsidRDefault="00F14851" w:rsidP="008E16C0">
            <w:pPr>
              <w:pStyle w:val="TableText"/>
            </w:pPr>
            <w:r w:rsidRPr="003C44C7">
              <w:t>2</w:t>
            </w:r>
          </w:p>
        </w:tc>
        <w:tc>
          <w:tcPr>
            <w:tcW w:w="1186" w:type="dxa"/>
            <w:tcBorders>
              <w:bottom w:val="single" w:sz="4" w:space="0" w:color="auto"/>
            </w:tcBorders>
            <w:shd w:val="clear" w:color="auto" w:fill="auto"/>
            <w:tcMar>
              <w:top w:w="113" w:type="dxa"/>
              <w:left w:w="85" w:type="dxa"/>
              <w:bottom w:w="113" w:type="dxa"/>
              <w:right w:w="85" w:type="dxa"/>
            </w:tcMar>
            <w:vAlign w:val="bottom"/>
          </w:tcPr>
          <w:p w14:paraId="0799D405" w14:textId="77777777" w:rsidR="00F14851" w:rsidRPr="003C44C7" w:rsidRDefault="00F14851" w:rsidP="008E16C0">
            <w:pPr>
              <w:pStyle w:val="TableText"/>
            </w:pPr>
            <w:r w:rsidRPr="003C44C7">
              <w:t>O, P</w:t>
            </w:r>
          </w:p>
        </w:tc>
      </w:tr>
      <w:tr w:rsidR="00F14851" w:rsidRPr="003C44C7" w14:paraId="2A54EB41" w14:textId="77777777" w:rsidTr="000E4D1C">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20DD0680" w14:textId="77777777" w:rsidR="00F14851" w:rsidRPr="003C44C7" w:rsidRDefault="00F14851" w:rsidP="008E16C0">
            <w:pPr>
              <w:pStyle w:val="TableText"/>
              <w:rPr>
                <w:i/>
              </w:rPr>
            </w:pPr>
            <w:r w:rsidRPr="003C44C7">
              <w:rPr>
                <w:i/>
              </w:rPr>
              <w:t>J01CR</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5A4F2BEC" w14:textId="77777777" w:rsidR="00F14851" w:rsidRPr="003C44C7" w:rsidRDefault="00F14851" w:rsidP="008E16C0">
            <w:pPr>
              <w:pStyle w:val="TableText"/>
              <w:rPr>
                <w:i/>
              </w:rPr>
            </w:pPr>
            <w:r w:rsidRPr="003C44C7">
              <w:rPr>
                <w:i/>
              </w:rPr>
              <w:t>Combinations of penicillins, including β-lactamase inhibitors</w:t>
            </w:r>
          </w:p>
        </w:tc>
      </w:tr>
      <w:tr w:rsidR="00F14851" w:rsidRPr="003C44C7" w14:paraId="14A4B146" w14:textId="77777777" w:rsidTr="000E4D1C">
        <w:trPr>
          <w:trHeight w:val="255"/>
        </w:trPr>
        <w:tc>
          <w:tcPr>
            <w:tcW w:w="2149" w:type="dxa"/>
            <w:tcBorders>
              <w:top w:val="single" w:sz="4" w:space="0" w:color="auto"/>
            </w:tcBorders>
            <w:shd w:val="clear" w:color="auto" w:fill="auto"/>
            <w:tcMar>
              <w:top w:w="113" w:type="dxa"/>
              <w:left w:w="85" w:type="dxa"/>
              <w:bottom w:w="113" w:type="dxa"/>
              <w:right w:w="85" w:type="dxa"/>
            </w:tcMar>
            <w:vAlign w:val="bottom"/>
          </w:tcPr>
          <w:p w14:paraId="16D1F362" w14:textId="77777777" w:rsidR="00F14851" w:rsidRPr="003C44C7" w:rsidRDefault="00F14851" w:rsidP="008E16C0">
            <w:pPr>
              <w:pStyle w:val="TableText"/>
            </w:pPr>
            <w:r w:rsidRPr="003C44C7">
              <w:t>J01CR02</w:t>
            </w:r>
          </w:p>
        </w:tc>
        <w:tc>
          <w:tcPr>
            <w:tcW w:w="4952" w:type="dxa"/>
            <w:tcBorders>
              <w:top w:val="single" w:sz="4" w:space="0" w:color="auto"/>
            </w:tcBorders>
            <w:shd w:val="clear" w:color="auto" w:fill="auto"/>
            <w:tcMar>
              <w:top w:w="113" w:type="dxa"/>
              <w:left w:w="85" w:type="dxa"/>
              <w:bottom w:w="113" w:type="dxa"/>
              <w:right w:w="85" w:type="dxa"/>
            </w:tcMar>
            <w:vAlign w:val="bottom"/>
          </w:tcPr>
          <w:p w14:paraId="0F72B71E" w14:textId="77777777" w:rsidR="00F14851" w:rsidRPr="003C44C7" w:rsidRDefault="00F14851" w:rsidP="008E16C0">
            <w:pPr>
              <w:pStyle w:val="TableText"/>
            </w:pPr>
            <w:r w:rsidRPr="003C44C7">
              <w:t>Amoxycillin and enzyme inhibitor</w:t>
            </w:r>
            <w:r w:rsidRPr="003C44C7">
              <w:rPr>
                <w:rStyle w:val="Superscript"/>
              </w:rPr>
              <w:t>a</w:t>
            </w:r>
          </w:p>
        </w:tc>
        <w:tc>
          <w:tcPr>
            <w:tcW w:w="1341" w:type="dxa"/>
            <w:tcBorders>
              <w:top w:val="single" w:sz="4" w:space="0" w:color="auto"/>
            </w:tcBorders>
            <w:shd w:val="clear" w:color="auto" w:fill="auto"/>
            <w:tcMar>
              <w:top w:w="113" w:type="dxa"/>
              <w:left w:w="510" w:type="dxa"/>
              <w:bottom w:w="113" w:type="dxa"/>
              <w:right w:w="85" w:type="dxa"/>
            </w:tcMar>
            <w:vAlign w:val="bottom"/>
          </w:tcPr>
          <w:p w14:paraId="3EE7BC6F" w14:textId="77777777" w:rsidR="00F14851" w:rsidRPr="003C44C7" w:rsidRDefault="00F14851" w:rsidP="008E16C0">
            <w:pPr>
              <w:pStyle w:val="TableText"/>
            </w:pPr>
            <w:r w:rsidRPr="003C44C7">
              <w:t>1</w:t>
            </w:r>
          </w:p>
        </w:tc>
        <w:tc>
          <w:tcPr>
            <w:tcW w:w="1186" w:type="dxa"/>
            <w:tcBorders>
              <w:top w:val="single" w:sz="4" w:space="0" w:color="auto"/>
            </w:tcBorders>
            <w:shd w:val="clear" w:color="auto" w:fill="auto"/>
            <w:tcMar>
              <w:top w:w="113" w:type="dxa"/>
              <w:left w:w="85" w:type="dxa"/>
              <w:bottom w:w="113" w:type="dxa"/>
              <w:right w:w="85" w:type="dxa"/>
            </w:tcMar>
            <w:vAlign w:val="bottom"/>
          </w:tcPr>
          <w:p w14:paraId="5B34D38D" w14:textId="77777777" w:rsidR="00F14851" w:rsidRPr="003C44C7" w:rsidRDefault="00F14851" w:rsidP="008E16C0">
            <w:pPr>
              <w:pStyle w:val="TableText"/>
            </w:pPr>
            <w:r w:rsidRPr="003C44C7">
              <w:t>O</w:t>
            </w:r>
          </w:p>
        </w:tc>
      </w:tr>
      <w:tr w:rsidR="00F14851" w:rsidRPr="003C44C7" w14:paraId="00C0CBD4" w14:textId="77777777" w:rsidTr="008E16C0">
        <w:trPr>
          <w:trHeight w:val="255"/>
        </w:trPr>
        <w:tc>
          <w:tcPr>
            <w:tcW w:w="2149" w:type="dxa"/>
            <w:shd w:val="clear" w:color="auto" w:fill="auto"/>
            <w:tcMar>
              <w:top w:w="113" w:type="dxa"/>
              <w:left w:w="85" w:type="dxa"/>
              <w:bottom w:w="113" w:type="dxa"/>
              <w:right w:w="85" w:type="dxa"/>
            </w:tcMar>
            <w:vAlign w:val="bottom"/>
          </w:tcPr>
          <w:p w14:paraId="0D31973C" w14:textId="77777777" w:rsidR="00F14851" w:rsidRPr="003C44C7" w:rsidRDefault="00F14851" w:rsidP="008E16C0">
            <w:pPr>
              <w:pStyle w:val="TableText"/>
            </w:pPr>
            <w:r w:rsidRPr="003C44C7">
              <w:t>J01CR03</w:t>
            </w:r>
          </w:p>
        </w:tc>
        <w:tc>
          <w:tcPr>
            <w:tcW w:w="4952" w:type="dxa"/>
            <w:shd w:val="clear" w:color="auto" w:fill="auto"/>
            <w:tcMar>
              <w:top w:w="113" w:type="dxa"/>
              <w:left w:w="85" w:type="dxa"/>
              <w:bottom w:w="113" w:type="dxa"/>
              <w:right w:w="85" w:type="dxa"/>
            </w:tcMar>
            <w:vAlign w:val="bottom"/>
          </w:tcPr>
          <w:p w14:paraId="4283933E" w14:textId="77777777" w:rsidR="00F14851" w:rsidRPr="003C44C7" w:rsidRDefault="00F14851" w:rsidP="008E16C0">
            <w:pPr>
              <w:pStyle w:val="TableText"/>
            </w:pPr>
            <w:r w:rsidRPr="003C44C7">
              <w:t>Ticarcillin and enzyme inhibitor</w:t>
            </w:r>
            <w:r w:rsidRPr="003C44C7">
              <w:rPr>
                <w:rStyle w:val="Superscript"/>
              </w:rPr>
              <w:t>b</w:t>
            </w:r>
          </w:p>
        </w:tc>
        <w:tc>
          <w:tcPr>
            <w:tcW w:w="1341" w:type="dxa"/>
            <w:shd w:val="clear" w:color="auto" w:fill="auto"/>
            <w:tcMar>
              <w:top w:w="113" w:type="dxa"/>
              <w:left w:w="397" w:type="dxa"/>
              <w:bottom w:w="113" w:type="dxa"/>
              <w:right w:w="510" w:type="dxa"/>
            </w:tcMar>
            <w:vAlign w:val="bottom"/>
          </w:tcPr>
          <w:p w14:paraId="4CB47F13" w14:textId="77777777" w:rsidR="00F14851" w:rsidRPr="003C44C7" w:rsidRDefault="00F14851" w:rsidP="008E16C0">
            <w:pPr>
              <w:pStyle w:val="TableText"/>
            </w:pPr>
            <w:r w:rsidRPr="003C44C7">
              <w:t>15</w:t>
            </w:r>
          </w:p>
        </w:tc>
        <w:tc>
          <w:tcPr>
            <w:tcW w:w="1186" w:type="dxa"/>
            <w:shd w:val="clear" w:color="auto" w:fill="auto"/>
            <w:tcMar>
              <w:top w:w="113" w:type="dxa"/>
              <w:left w:w="85" w:type="dxa"/>
              <w:bottom w:w="113" w:type="dxa"/>
              <w:right w:w="85" w:type="dxa"/>
            </w:tcMar>
            <w:vAlign w:val="bottom"/>
          </w:tcPr>
          <w:p w14:paraId="437BD5AB" w14:textId="77777777" w:rsidR="00F14851" w:rsidRPr="003C44C7" w:rsidRDefault="00F14851" w:rsidP="008E16C0">
            <w:pPr>
              <w:pStyle w:val="TableText"/>
            </w:pPr>
            <w:r w:rsidRPr="003C44C7">
              <w:t>P</w:t>
            </w:r>
          </w:p>
        </w:tc>
      </w:tr>
      <w:tr w:rsidR="00F14851" w:rsidRPr="003C44C7" w14:paraId="1DDB84A6" w14:textId="77777777" w:rsidTr="000E4D1C">
        <w:trPr>
          <w:trHeight w:val="255"/>
        </w:trPr>
        <w:tc>
          <w:tcPr>
            <w:tcW w:w="2149" w:type="dxa"/>
            <w:tcBorders>
              <w:bottom w:val="single" w:sz="4" w:space="0" w:color="auto"/>
            </w:tcBorders>
            <w:shd w:val="clear" w:color="auto" w:fill="auto"/>
            <w:tcMar>
              <w:top w:w="113" w:type="dxa"/>
              <w:left w:w="85" w:type="dxa"/>
              <w:bottom w:w="113" w:type="dxa"/>
              <w:right w:w="85" w:type="dxa"/>
            </w:tcMar>
            <w:vAlign w:val="bottom"/>
          </w:tcPr>
          <w:p w14:paraId="7F583B29" w14:textId="77777777" w:rsidR="00F14851" w:rsidRPr="003C44C7" w:rsidRDefault="00F14851" w:rsidP="008E16C0">
            <w:pPr>
              <w:pStyle w:val="TableText"/>
            </w:pPr>
            <w:r w:rsidRPr="003C44C7">
              <w:t>J01CR05</w:t>
            </w:r>
          </w:p>
        </w:tc>
        <w:tc>
          <w:tcPr>
            <w:tcW w:w="4952" w:type="dxa"/>
            <w:tcBorders>
              <w:bottom w:val="single" w:sz="4" w:space="0" w:color="auto"/>
            </w:tcBorders>
            <w:shd w:val="clear" w:color="auto" w:fill="auto"/>
            <w:tcMar>
              <w:top w:w="113" w:type="dxa"/>
              <w:left w:w="85" w:type="dxa"/>
              <w:bottom w:w="113" w:type="dxa"/>
              <w:right w:w="85" w:type="dxa"/>
            </w:tcMar>
            <w:vAlign w:val="bottom"/>
          </w:tcPr>
          <w:p w14:paraId="76E2881B" w14:textId="77777777" w:rsidR="00F14851" w:rsidRPr="003C44C7" w:rsidRDefault="00F14851" w:rsidP="008E16C0">
            <w:pPr>
              <w:pStyle w:val="TableText"/>
            </w:pPr>
            <w:r w:rsidRPr="003C44C7">
              <w:t>Piperacillin and enzyme inhibitor</w:t>
            </w:r>
            <w:r w:rsidRPr="003C44C7">
              <w:rPr>
                <w:rStyle w:val="Superscript"/>
              </w:rPr>
              <w:t>b</w:t>
            </w:r>
          </w:p>
        </w:tc>
        <w:tc>
          <w:tcPr>
            <w:tcW w:w="1341" w:type="dxa"/>
            <w:tcBorders>
              <w:bottom w:val="single" w:sz="4" w:space="0" w:color="auto"/>
            </w:tcBorders>
            <w:shd w:val="clear" w:color="auto" w:fill="auto"/>
            <w:tcMar>
              <w:top w:w="113" w:type="dxa"/>
              <w:left w:w="397" w:type="dxa"/>
              <w:bottom w:w="113" w:type="dxa"/>
              <w:right w:w="227" w:type="dxa"/>
            </w:tcMar>
            <w:vAlign w:val="bottom"/>
          </w:tcPr>
          <w:p w14:paraId="6B8C750F" w14:textId="77777777" w:rsidR="00F14851" w:rsidRPr="003C44C7" w:rsidRDefault="00F14851" w:rsidP="008E16C0">
            <w:pPr>
              <w:pStyle w:val="TableText"/>
            </w:pPr>
            <w:r w:rsidRPr="003C44C7">
              <w:t>14</w:t>
            </w:r>
          </w:p>
        </w:tc>
        <w:tc>
          <w:tcPr>
            <w:tcW w:w="1186" w:type="dxa"/>
            <w:tcBorders>
              <w:bottom w:val="single" w:sz="4" w:space="0" w:color="auto"/>
            </w:tcBorders>
            <w:shd w:val="clear" w:color="auto" w:fill="auto"/>
            <w:tcMar>
              <w:top w:w="113" w:type="dxa"/>
              <w:left w:w="85" w:type="dxa"/>
              <w:bottom w:w="113" w:type="dxa"/>
              <w:right w:w="85" w:type="dxa"/>
            </w:tcMar>
            <w:vAlign w:val="bottom"/>
          </w:tcPr>
          <w:p w14:paraId="0673A708" w14:textId="77777777" w:rsidR="00F14851" w:rsidRPr="003C44C7" w:rsidRDefault="00F14851" w:rsidP="008E16C0">
            <w:pPr>
              <w:pStyle w:val="TableText"/>
            </w:pPr>
            <w:r w:rsidRPr="003C44C7">
              <w:t>P</w:t>
            </w:r>
          </w:p>
        </w:tc>
      </w:tr>
      <w:tr w:rsidR="00F14851" w:rsidRPr="003C44C7" w14:paraId="3024600C" w14:textId="77777777" w:rsidTr="000E4D1C">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097C8443" w14:textId="77777777" w:rsidR="00F14851" w:rsidRPr="003C44C7" w:rsidRDefault="00F14851" w:rsidP="008E16C0">
            <w:pPr>
              <w:pStyle w:val="TableText"/>
              <w:rPr>
                <w:b/>
              </w:rPr>
            </w:pPr>
            <w:r w:rsidRPr="003C44C7">
              <w:rPr>
                <w:b/>
              </w:rPr>
              <w:t>J01D</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08EABB69" w14:textId="77777777" w:rsidR="00F14851" w:rsidRPr="003C44C7" w:rsidRDefault="00F14851" w:rsidP="008E16C0">
            <w:pPr>
              <w:pStyle w:val="TableText"/>
              <w:rPr>
                <w:b/>
              </w:rPr>
            </w:pPr>
            <w:r w:rsidRPr="003C44C7">
              <w:rPr>
                <w:b/>
              </w:rPr>
              <w:t xml:space="preserve">Other β-lactam antibacterials </w:t>
            </w:r>
          </w:p>
        </w:tc>
      </w:tr>
      <w:tr w:rsidR="00F14851" w:rsidRPr="003C44C7" w14:paraId="6086408E" w14:textId="77777777" w:rsidTr="000E4D1C">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7E8568F9" w14:textId="77777777" w:rsidR="00F14851" w:rsidRPr="003C44C7" w:rsidRDefault="00F14851" w:rsidP="008E16C0">
            <w:pPr>
              <w:pStyle w:val="TableText"/>
              <w:rPr>
                <w:i/>
              </w:rPr>
            </w:pPr>
            <w:r w:rsidRPr="003C44C7">
              <w:rPr>
                <w:i/>
              </w:rPr>
              <w:t>J01DB</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5F1916A2" w14:textId="77777777" w:rsidR="00F14851" w:rsidRPr="003C44C7" w:rsidRDefault="00F14851" w:rsidP="008E16C0">
            <w:pPr>
              <w:pStyle w:val="TableText"/>
              <w:rPr>
                <w:i/>
              </w:rPr>
            </w:pPr>
            <w:r w:rsidRPr="003C44C7">
              <w:rPr>
                <w:i/>
              </w:rPr>
              <w:t>First-generation cephalosporins</w:t>
            </w:r>
          </w:p>
        </w:tc>
      </w:tr>
      <w:tr w:rsidR="00F14851" w:rsidRPr="003C44C7" w14:paraId="59EC7CA7" w14:textId="77777777" w:rsidTr="000E4D1C">
        <w:trPr>
          <w:trHeight w:val="255"/>
        </w:trPr>
        <w:tc>
          <w:tcPr>
            <w:tcW w:w="2149" w:type="dxa"/>
            <w:tcBorders>
              <w:top w:val="single" w:sz="4" w:space="0" w:color="auto"/>
            </w:tcBorders>
            <w:shd w:val="clear" w:color="auto" w:fill="auto"/>
            <w:tcMar>
              <w:top w:w="113" w:type="dxa"/>
              <w:left w:w="85" w:type="dxa"/>
              <w:bottom w:w="113" w:type="dxa"/>
              <w:right w:w="85" w:type="dxa"/>
            </w:tcMar>
            <w:vAlign w:val="bottom"/>
          </w:tcPr>
          <w:p w14:paraId="19678385" w14:textId="77777777" w:rsidR="00F14851" w:rsidRPr="003C44C7" w:rsidRDefault="00F14851" w:rsidP="008E16C0">
            <w:pPr>
              <w:pStyle w:val="TableText"/>
            </w:pPr>
            <w:r w:rsidRPr="003C44C7">
              <w:t>J01DB01</w:t>
            </w:r>
          </w:p>
        </w:tc>
        <w:tc>
          <w:tcPr>
            <w:tcW w:w="4952" w:type="dxa"/>
            <w:tcBorders>
              <w:top w:val="single" w:sz="4" w:space="0" w:color="auto"/>
            </w:tcBorders>
            <w:shd w:val="clear" w:color="auto" w:fill="auto"/>
            <w:tcMar>
              <w:top w:w="113" w:type="dxa"/>
              <w:left w:w="85" w:type="dxa"/>
              <w:bottom w:w="113" w:type="dxa"/>
              <w:right w:w="85" w:type="dxa"/>
            </w:tcMar>
            <w:vAlign w:val="bottom"/>
          </w:tcPr>
          <w:p w14:paraId="332D496D" w14:textId="77777777" w:rsidR="00F14851" w:rsidRPr="003C44C7" w:rsidRDefault="00F14851" w:rsidP="008E16C0">
            <w:pPr>
              <w:pStyle w:val="TableText"/>
            </w:pPr>
            <w:r w:rsidRPr="003C44C7">
              <w:t>Cefalexin</w:t>
            </w:r>
          </w:p>
        </w:tc>
        <w:tc>
          <w:tcPr>
            <w:tcW w:w="1341" w:type="dxa"/>
            <w:tcBorders>
              <w:top w:val="single" w:sz="4" w:space="0" w:color="auto"/>
            </w:tcBorders>
            <w:shd w:val="clear" w:color="auto" w:fill="auto"/>
            <w:tcMar>
              <w:top w:w="113" w:type="dxa"/>
              <w:left w:w="510" w:type="dxa"/>
              <w:bottom w:w="113" w:type="dxa"/>
              <w:right w:w="85" w:type="dxa"/>
            </w:tcMar>
            <w:vAlign w:val="bottom"/>
          </w:tcPr>
          <w:p w14:paraId="6B66B8B5" w14:textId="77777777" w:rsidR="00F14851" w:rsidRPr="003C44C7" w:rsidRDefault="00F14851" w:rsidP="008E16C0">
            <w:pPr>
              <w:pStyle w:val="TableText"/>
            </w:pPr>
            <w:r w:rsidRPr="003C44C7">
              <w:t>2</w:t>
            </w:r>
          </w:p>
        </w:tc>
        <w:tc>
          <w:tcPr>
            <w:tcW w:w="1186" w:type="dxa"/>
            <w:tcBorders>
              <w:top w:val="single" w:sz="4" w:space="0" w:color="auto"/>
            </w:tcBorders>
            <w:shd w:val="clear" w:color="auto" w:fill="auto"/>
            <w:tcMar>
              <w:top w:w="113" w:type="dxa"/>
              <w:left w:w="85" w:type="dxa"/>
              <w:bottom w:w="113" w:type="dxa"/>
              <w:right w:w="85" w:type="dxa"/>
            </w:tcMar>
            <w:vAlign w:val="bottom"/>
          </w:tcPr>
          <w:p w14:paraId="5EC8D6FC" w14:textId="77777777" w:rsidR="00F14851" w:rsidRPr="003C44C7" w:rsidRDefault="00F14851" w:rsidP="008E16C0">
            <w:pPr>
              <w:pStyle w:val="TableText"/>
            </w:pPr>
            <w:r w:rsidRPr="003C44C7">
              <w:t>O</w:t>
            </w:r>
          </w:p>
        </w:tc>
      </w:tr>
      <w:tr w:rsidR="00F14851" w:rsidRPr="003C44C7" w14:paraId="01EF4E32" w14:textId="77777777" w:rsidTr="008E16C0">
        <w:trPr>
          <w:trHeight w:val="255"/>
        </w:trPr>
        <w:tc>
          <w:tcPr>
            <w:tcW w:w="2149" w:type="dxa"/>
            <w:shd w:val="clear" w:color="auto" w:fill="auto"/>
            <w:tcMar>
              <w:top w:w="113" w:type="dxa"/>
              <w:left w:w="85" w:type="dxa"/>
              <w:bottom w:w="113" w:type="dxa"/>
              <w:right w:w="85" w:type="dxa"/>
            </w:tcMar>
            <w:vAlign w:val="bottom"/>
          </w:tcPr>
          <w:p w14:paraId="6076FD37" w14:textId="77777777" w:rsidR="00F14851" w:rsidRPr="003C44C7" w:rsidRDefault="00F14851" w:rsidP="008E16C0">
            <w:pPr>
              <w:pStyle w:val="TableText"/>
            </w:pPr>
            <w:r w:rsidRPr="003C44C7">
              <w:t>J01DB03</w:t>
            </w:r>
          </w:p>
        </w:tc>
        <w:tc>
          <w:tcPr>
            <w:tcW w:w="4952" w:type="dxa"/>
            <w:shd w:val="clear" w:color="auto" w:fill="auto"/>
            <w:tcMar>
              <w:top w:w="113" w:type="dxa"/>
              <w:left w:w="85" w:type="dxa"/>
              <w:bottom w:w="113" w:type="dxa"/>
              <w:right w:w="85" w:type="dxa"/>
            </w:tcMar>
            <w:vAlign w:val="bottom"/>
          </w:tcPr>
          <w:p w14:paraId="4FDD0C0F" w14:textId="77777777" w:rsidR="00F14851" w:rsidRPr="003C44C7" w:rsidRDefault="00F14851" w:rsidP="008E16C0">
            <w:pPr>
              <w:pStyle w:val="TableText"/>
            </w:pPr>
            <w:r w:rsidRPr="003C44C7">
              <w:t>Cefalotin</w:t>
            </w:r>
          </w:p>
        </w:tc>
        <w:tc>
          <w:tcPr>
            <w:tcW w:w="1341" w:type="dxa"/>
            <w:shd w:val="clear" w:color="auto" w:fill="auto"/>
            <w:tcMar>
              <w:top w:w="113" w:type="dxa"/>
              <w:left w:w="510" w:type="dxa"/>
              <w:bottom w:w="113" w:type="dxa"/>
              <w:right w:w="85" w:type="dxa"/>
            </w:tcMar>
            <w:vAlign w:val="bottom"/>
          </w:tcPr>
          <w:p w14:paraId="6E24768F" w14:textId="77777777" w:rsidR="00F14851" w:rsidRPr="003C44C7" w:rsidRDefault="00F14851" w:rsidP="008E16C0">
            <w:pPr>
              <w:pStyle w:val="TableText"/>
            </w:pPr>
            <w:r w:rsidRPr="003C44C7">
              <w:t>4</w:t>
            </w:r>
          </w:p>
        </w:tc>
        <w:tc>
          <w:tcPr>
            <w:tcW w:w="1186" w:type="dxa"/>
            <w:shd w:val="clear" w:color="auto" w:fill="auto"/>
            <w:tcMar>
              <w:top w:w="113" w:type="dxa"/>
              <w:left w:w="85" w:type="dxa"/>
              <w:bottom w:w="113" w:type="dxa"/>
              <w:right w:w="85" w:type="dxa"/>
            </w:tcMar>
            <w:vAlign w:val="bottom"/>
          </w:tcPr>
          <w:p w14:paraId="07E5475C" w14:textId="77777777" w:rsidR="00F14851" w:rsidRPr="003C44C7" w:rsidRDefault="00F14851" w:rsidP="008E16C0">
            <w:pPr>
              <w:pStyle w:val="TableText"/>
            </w:pPr>
            <w:r w:rsidRPr="003C44C7">
              <w:t>P</w:t>
            </w:r>
          </w:p>
        </w:tc>
      </w:tr>
      <w:tr w:rsidR="00F14851" w:rsidRPr="003C44C7" w14:paraId="25015DA9" w14:textId="77777777" w:rsidTr="000E4D1C">
        <w:trPr>
          <w:trHeight w:val="255"/>
        </w:trPr>
        <w:tc>
          <w:tcPr>
            <w:tcW w:w="2149" w:type="dxa"/>
            <w:tcBorders>
              <w:bottom w:val="single" w:sz="4" w:space="0" w:color="auto"/>
            </w:tcBorders>
            <w:shd w:val="clear" w:color="auto" w:fill="auto"/>
            <w:tcMar>
              <w:top w:w="113" w:type="dxa"/>
              <w:left w:w="85" w:type="dxa"/>
              <w:bottom w:w="113" w:type="dxa"/>
              <w:right w:w="85" w:type="dxa"/>
            </w:tcMar>
            <w:vAlign w:val="bottom"/>
          </w:tcPr>
          <w:p w14:paraId="5497895D" w14:textId="77777777" w:rsidR="00F14851" w:rsidRPr="003C44C7" w:rsidRDefault="00F14851" w:rsidP="008E16C0">
            <w:pPr>
              <w:pStyle w:val="TableText"/>
            </w:pPr>
            <w:r w:rsidRPr="003C44C7">
              <w:t>J01DB04</w:t>
            </w:r>
          </w:p>
        </w:tc>
        <w:tc>
          <w:tcPr>
            <w:tcW w:w="4952" w:type="dxa"/>
            <w:tcBorders>
              <w:bottom w:val="single" w:sz="4" w:space="0" w:color="auto"/>
            </w:tcBorders>
            <w:shd w:val="clear" w:color="auto" w:fill="auto"/>
            <w:tcMar>
              <w:top w:w="113" w:type="dxa"/>
              <w:left w:w="85" w:type="dxa"/>
              <w:bottom w:w="113" w:type="dxa"/>
              <w:right w:w="85" w:type="dxa"/>
            </w:tcMar>
            <w:vAlign w:val="bottom"/>
          </w:tcPr>
          <w:p w14:paraId="547D8D47" w14:textId="77777777" w:rsidR="00F14851" w:rsidRPr="003C44C7" w:rsidRDefault="00F14851" w:rsidP="008E16C0">
            <w:pPr>
              <w:pStyle w:val="TableText"/>
            </w:pPr>
            <w:r w:rsidRPr="003C44C7">
              <w:t>Cefazolin</w:t>
            </w:r>
          </w:p>
        </w:tc>
        <w:tc>
          <w:tcPr>
            <w:tcW w:w="1341" w:type="dxa"/>
            <w:tcBorders>
              <w:bottom w:val="single" w:sz="4" w:space="0" w:color="auto"/>
            </w:tcBorders>
            <w:shd w:val="clear" w:color="auto" w:fill="auto"/>
            <w:tcMar>
              <w:top w:w="113" w:type="dxa"/>
              <w:left w:w="510" w:type="dxa"/>
              <w:bottom w:w="113" w:type="dxa"/>
              <w:right w:w="85" w:type="dxa"/>
            </w:tcMar>
            <w:vAlign w:val="bottom"/>
          </w:tcPr>
          <w:p w14:paraId="6FA1BB20" w14:textId="77777777" w:rsidR="00F14851" w:rsidRPr="003C44C7" w:rsidRDefault="00F14851" w:rsidP="008E16C0">
            <w:pPr>
              <w:pStyle w:val="TableText"/>
            </w:pPr>
            <w:r w:rsidRPr="003C44C7">
              <w:t>3</w:t>
            </w:r>
          </w:p>
        </w:tc>
        <w:tc>
          <w:tcPr>
            <w:tcW w:w="1186" w:type="dxa"/>
            <w:tcBorders>
              <w:bottom w:val="single" w:sz="4" w:space="0" w:color="auto"/>
            </w:tcBorders>
            <w:shd w:val="clear" w:color="auto" w:fill="auto"/>
            <w:tcMar>
              <w:top w:w="113" w:type="dxa"/>
              <w:left w:w="85" w:type="dxa"/>
              <w:bottom w:w="113" w:type="dxa"/>
              <w:right w:w="85" w:type="dxa"/>
            </w:tcMar>
            <w:vAlign w:val="bottom"/>
          </w:tcPr>
          <w:p w14:paraId="2A94AEC4" w14:textId="77777777" w:rsidR="00F14851" w:rsidRPr="003C44C7" w:rsidRDefault="00F14851" w:rsidP="008E16C0">
            <w:pPr>
              <w:pStyle w:val="TableText"/>
            </w:pPr>
            <w:r w:rsidRPr="003C44C7">
              <w:t>P</w:t>
            </w:r>
          </w:p>
        </w:tc>
      </w:tr>
      <w:tr w:rsidR="00F14851" w:rsidRPr="003C44C7" w14:paraId="3ADD4FC6" w14:textId="77777777" w:rsidTr="000E4D1C">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4072E8AC" w14:textId="77777777" w:rsidR="00F14851" w:rsidRPr="003C44C7" w:rsidRDefault="00F14851" w:rsidP="008E16C0">
            <w:pPr>
              <w:pStyle w:val="TableText"/>
              <w:rPr>
                <w:i/>
              </w:rPr>
            </w:pPr>
            <w:r w:rsidRPr="003C44C7">
              <w:rPr>
                <w:i/>
              </w:rPr>
              <w:t>J01DC</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1354E4E1" w14:textId="77777777" w:rsidR="00F14851" w:rsidRPr="003C44C7" w:rsidRDefault="00F14851" w:rsidP="008E16C0">
            <w:pPr>
              <w:pStyle w:val="TableText"/>
              <w:rPr>
                <w:i/>
              </w:rPr>
            </w:pPr>
            <w:r w:rsidRPr="003C44C7">
              <w:rPr>
                <w:i/>
              </w:rPr>
              <w:t>Second-generation cephalosporins</w:t>
            </w:r>
            <w:r w:rsidRPr="003C44C7">
              <w:rPr>
                <w:rFonts w:ascii="Helvetica-Light" w:hAnsi="Helvetica-Light" w:cs="Helvetica-Light"/>
                <w:b/>
                <w:bCs/>
                <w:i/>
              </w:rPr>
              <w:t> </w:t>
            </w:r>
          </w:p>
        </w:tc>
      </w:tr>
      <w:tr w:rsidR="00F14851" w:rsidRPr="003C44C7" w14:paraId="4545A13F" w14:textId="77777777" w:rsidTr="000E4D1C">
        <w:trPr>
          <w:trHeight w:val="255"/>
        </w:trPr>
        <w:tc>
          <w:tcPr>
            <w:tcW w:w="2149" w:type="dxa"/>
            <w:tcBorders>
              <w:top w:val="single" w:sz="4" w:space="0" w:color="auto"/>
            </w:tcBorders>
            <w:shd w:val="clear" w:color="auto" w:fill="auto"/>
            <w:tcMar>
              <w:top w:w="113" w:type="dxa"/>
              <w:left w:w="85" w:type="dxa"/>
              <w:bottom w:w="113" w:type="dxa"/>
              <w:right w:w="85" w:type="dxa"/>
            </w:tcMar>
            <w:vAlign w:val="bottom"/>
          </w:tcPr>
          <w:p w14:paraId="574A3612" w14:textId="77777777" w:rsidR="00F14851" w:rsidRPr="003C44C7" w:rsidRDefault="00F14851" w:rsidP="008E16C0">
            <w:pPr>
              <w:pStyle w:val="TableText"/>
            </w:pPr>
            <w:r w:rsidRPr="003C44C7">
              <w:t>J01DC01</w:t>
            </w:r>
          </w:p>
        </w:tc>
        <w:tc>
          <w:tcPr>
            <w:tcW w:w="4952" w:type="dxa"/>
            <w:tcBorders>
              <w:top w:val="single" w:sz="4" w:space="0" w:color="auto"/>
            </w:tcBorders>
            <w:shd w:val="clear" w:color="auto" w:fill="auto"/>
            <w:tcMar>
              <w:top w:w="113" w:type="dxa"/>
              <w:left w:w="85" w:type="dxa"/>
              <w:bottom w:w="113" w:type="dxa"/>
              <w:right w:w="85" w:type="dxa"/>
            </w:tcMar>
            <w:vAlign w:val="bottom"/>
          </w:tcPr>
          <w:p w14:paraId="550933E5" w14:textId="77777777" w:rsidR="00F14851" w:rsidRPr="003C44C7" w:rsidRDefault="00F14851" w:rsidP="008E16C0">
            <w:pPr>
              <w:pStyle w:val="TableText"/>
            </w:pPr>
            <w:r w:rsidRPr="003C44C7">
              <w:t>Cefoxitin</w:t>
            </w:r>
          </w:p>
        </w:tc>
        <w:tc>
          <w:tcPr>
            <w:tcW w:w="1341" w:type="dxa"/>
            <w:tcBorders>
              <w:top w:val="single" w:sz="4" w:space="0" w:color="auto"/>
            </w:tcBorders>
            <w:shd w:val="clear" w:color="auto" w:fill="auto"/>
            <w:tcMar>
              <w:top w:w="113" w:type="dxa"/>
              <w:left w:w="510" w:type="dxa"/>
              <w:bottom w:w="113" w:type="dxa"/>
              <w:right w:w="85" w:type="dxa"/>
            </w:tcMar>
            <w:vAlign w:val="bottom"/>
          </w:tcPr>
          <w:p w14:paraId="5D18AC7C" w14:textId="77777777" w:rsidR="00F14851" w:rsidRPr="003C44C7" w:rsidRDefault="00F14851" w:rsidP="008E16C0">
            <w:pPr>
              <w:pStyle w:val="TableText"/>
            </w:pPr>
            <w:r w:rsidRPr="003C44C7">
              <w:t>6</w:t>
            </w:r>
          </w:p>
        </w:tc>
        <w:tc>
          <w:tcPr>
            <w:tcW w:w="1186" w:type="dxa"/>
            <w:tcBorders>
              <w:top w:val="single" w:sz="4" w:space="0" w:color="auto"/>
            </w:tcBorders>
            <w:shd w:val="clear" w:color="auto" w:fill="auto"/>
            <w:tcMar>
              <w:top w:w="113" w:type="dxa"/>
              <w:left w:w="85" w:type="dxa"/>
              <w:bottom w:w="113" w:type="dxa"/>
              <w:right w:w="85" w:type="dxa"/>
            </w:tcMar>
            <w:vAlign w:val="bottom"/>
          </w:tcPr>
          <w:p w14:paraId="169DF827" w14:textId="77777777" w:rsidR="00F14851" w:rsidRPr="003C44C7" w:rsidRDefault="00F14851" w:rsidP="008E16C0">
            <w:pPr>
              <w:pStyle w:val="TableText"/>
            </w:pPr>
            <w:r w:rsidRPr="003C44C7">
              <w:t>P</w:t>
            </w:r>
          </w:p>
        </w:tc>
      </w:tr>
      <w:tr w:rsidR="00F14851" w:rsidRPr="003C44C7" w14:paraId="355F43C1" w14:textId="77777777" w:rsidTr="008E16C0">
        <w:trPr>
          <w:trHeight w:val="255"/>
        </w:trPr>
        <w:tc>
          <w:tcPr>
            <w:tcW w:w="2149" w:type="dxa"/>
            <w:shd w:val="clear" w:color="auto" w:fill="auto"/>
            <w:tcMar>
              <w:top w:w="113" w:type="dxa"/>
              <w:left w:w="85" w:type="dxa"/>
              <w:bottom w:w="113" w:type="dxa"/>
              <w:right w:w="85" w:type="dxa"/>
            </w:tcMar>
            <w:vAlign w:val="bottom"/>
          </w:tcPr>
          <w:p w14:paraId="1B47C6C1" w14:textId="77777777" w:rsidR="00F14851" w:rsidRPr="003C44C7" w:rsidRDefault="00F14851" w:rsidP="008E16C0">
            <w:pPr>
              <w:pStyle w:val="TableText"/>
            </w:pPr>
            <w:r w:rsidRPr="003C44C7">
              <w:t>J01DC02</w:t>
            </w:r>
          </w:p>
        </w:tc>
        <w:tc>
          <w:tcPr>
            <w:tcW w:w="4952" w:type="dxa"/>
            <w:shd w:val="clear" w:color="auto" w:fill="auto"/>
            <w:tcMar>
              <w:top w:w="113" w:type="dxa"/>
              <w:left w:w="85" w:type="dxa"/>
              <w:bottom w:w="113" w:type="dxa"/>
              <w:right w:w="85" w:type="dxa"/>
            </w:tcMar>
            <w:vAlign w:val="bottom"/>
          </w:tcPr>
          <w:p w14:paraId="2BA09DED" w14:textId="77777777" w:rsidR="00F14851" w:rsidRPr="003C44C7" w:rsidRDefault="00F14851" w:rsidP="008E16C0">
            <w:pPr>
              <w:pStyle w:val="TableText"/>
            </w:pPr>
            <w:r w:rsidRPr="003C44C7">
              <w:t>Cefuroxime</w:t>
            </w:r>
          </w:p>
        </w:tc>
        <w:tc>
          <w:tcPr>
            <w:tcW w:w="1341" w:type="dxa"/>
            <w:shd w:val="clear" w:color="auto" w:fill="auto"/>
            <w:tcMar>
              <w:top w:w="113" w:type="dxa"/>
              <w:left w:w="510" w:type="dxa"/>
              <w:bottom w:w="113" w:type="dxa"/>
              <w:right w:w="85" w:type="dxa"/>
            </w:tcMar>
            <w:vAlign w:val="bottom"/>
          </w:tcPr>
          <w:p w14:paraId="4BD74F55" w14:textId="77777777" w:rsidR="00F14851" w:rsidRPr="003C44C7" w:rsidRDefault="00F14851" w:rsidP="008E16C0">
            <w:pPr>
              <w:pStyle w:val="TableText"/>
            </w:pPr>
            <w:r w:rsidRPr="003C44C7">
              <w:t>0.5</w:t>
            </w:r>
          </w:p>
        </w:tc>
        <w:tc>
          <w:tcPr>
            <w:tcW w:w="1186" w:type="dxa"/>
            <w:shd w:val="clear" w:color="auto" w:fill="auto"/>
            <w:tcMar>
              <w:top w:w="113" w:type="dxa"/>
              <w:left w:w="85" w:type="dxa"/>
              <w:bottom w:w="113" w:type="dxa"/>
              <w:right w:w="85" w:type="dxa"/>
            </w:tcMar>
            <w:vAlign w:val="bottom"/>
          </w:tcPr>
          <w:p w14:paraId="1E0B5F99" w14:textId="77777777" w:rsidR="00F14851" w:rsidRPr="003C44C7" w:rsidRDefault="00F14851" w:rsidP="008E16C0">
            <w:pPr>
              <w:pStyle w:val="TableText"/>
            </w:pPr>
            <w:r w:rsidRPr="003C44C7">
              <w:t>O</w:t>
            </w:r>
          </w:p>
        </w:tc>
      </w:tr>
      <w:tr w:rsidR="00F14851" w:rsidRPr="003C44C7" w14:paraId="1715E852" w14:textId="77777777" w:rsidTr="000E4D1C">
        <w:trPr>
          <w:trHeight w:val="255"/>
        </w:trPr>
        <w:tc>
          <w:tcPr>
            <w:tcW w:w="2149" w:type="dxa"/>
            <w:tcBorders>
              <w:bottom w:val="single" w:sz="4" w:space="0" w:color="auto"/>
            </w:tcBorders>
            <w:shd w:val="clear" w:color="auto" w:fill="auto"/>
            <w:tcMar>
              <w:top w:w="113" w:type="dxa"/>
              <w:left w:w="85" w:type="dxa"/>
              <w:bottom w:w="113" w:type="dxa"/>
              <w:right w:w="85" w:type="dxa"/>
            </w:tcMar>
            <w:vAlign w:val="bottom"/>
          </w:tcPr>
          <w:p w14:paraId="22B70E6B" w14:textId="77777777" w:rsidR="00F14851" w:rsidRPr="003C44C7" w:rsidRDefault="00F14851" w:rsidP="008E16C0">
            <w:pPr>
              <w:pStyle w:val="TableText"/>
            </w:pPr>
            <w:r w:rsidRPr="003C44C7">
              <w:t>J01DC04</w:t>
            </w:r>
          </w:p>
        </w:tc>
        <w:tc>
          <w:tcPr>
            <w:tcW w:w="4952" w:type="dxa"/>
            <w:tcBorders>
              <w:bottom w:val="single" w:sz="4" w:space="0" w:color="auto"/>
            </w:tcBorders>
            <w:shd w:val="clear" w:color="auto" w:fill="auto"/>
            <w:tcMar>
              <w:top w:w="113" w:type="dxa"/>
              <w:left w:w="85" w:type="dxa"/>
              <w:bottom w:w="113" w:type="dxa"/>
              <w:right w:w="85" w:type="dxa"/>
            </w:tcMar>
            <w:vAlign w:val="bottom"/>
          </w:tcPr>
          <w:p w14:paraId="63B0E766" w14:textId="77777777" w:rsidR="00F14851" w:rsidRPr="003C44C7" w:rsidRDefault="00F14851" w:rsidP="008E16C0">
            <w:pPr>
              <w:pStyle w:val="TableText"/>
            </w:pPr>
            <w:r w:rsidRPr="003C44C7">
              <w:t>Cefaclor</w:t>
            </w:r>
          </w:p>
        </w:tc>
        <w:tc>
          <w:tcPr>
            <w:tcW w:w="1341" w:type="dxa"/>
            <w:tcBorders>
              <w:bottom w:val="single" w:sz="4" w:space="0" w:color="auto"/>
            </w:tcBorders>
            <w:shd w:val="clear" w:color="auto" w:fill="auto"/>
            <w:tcMar>
              <w:top w:w="113" w:type="dxa"/>
              <w:left w:w="510" w:type="dxa"/>
              <w:bottom w:w="113" w:type="dxa"/>
              <w:right w:w="85" w:type="dxa"/>
            </w:tcMar>
            <w:vAlign w:val="bottom"/>
          </w:tcPr>
          <w:p w14:paraId="14AA2DAB" w14:textId="77777777" w:rsidR="00F14851" w:rsidRPr="003C44C7" w:rsidRDefault="00F14851" w:rsidP="008E16C0">
            <w:pPr>
              <w:pStyle w:val="TableText"/>
            </w:pPr>
            <w:r w:rsidRPr="003C44C7">
              <w:t>1</w:t>
            </w:r>
          </w:p>
        </w:tc>
        <w:tc>
          <w:tcPr>
            <w:tcW w:w="1186" w:type="dxa"/>
            <w:tcBorders>
              <w:bottom w:val="single" w:sz="4" w:space="0" w:color="auto"/>
            </w:tcBorders>
            <w:shd w:val="clear" w:color="auto" w:fill="auto"/>
            <w:tcMar>
              <w:top w:w="113" w:type="dxa"/>
              <w:left w:w="85" w:type="dxa"/>
              <w:bottom w:w="113" w:type="dxa"/>
              <w:right w:w="85" w:type="dxa"/>
            </w:tcMar>
            <w:vAlign w:val="bottom"/>
          </w:tcPr>
          <w:p w14:paraId="5FA6A507" w14:textId="77777777" w:rsidR="00F14851" w:rsidRPr="003C44C7" w:rsidRDefault="00F14851" w:rsidP="008E16C0">
            <w:pPr>
              <w:pStyle w:val="TableText"/>
            </w:pPr>
            <w:r w:rsidRPr="003C44C7">
              <w:t>O</w:t>
            </w:r>
          </w:p>
        </w:tc>
      </w:tr>
      <w:tr w:rsidR="00F14851" w:rsidRPr="003C44C7" w14:paraId="6103CE56" w14:textId="77777777" w:rsidTr="000E4D1C">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3E7E3F0C" w14:textId="77777777" w:rsidR="00F14851" w:rsidRPr="003C44C7" w:rsidRDefault="00F14851" w:rsidP="008E16C0">
            <w:pPr>
              <w:pStyle w:val="TableText"/>
              <w:rPr>
                <w:i/>
              </w:rPr>
            </w:pPr>
            <w:r w:rsidRPr="003C44C7">
              <w:rPr>
                <w:i/>
              </w:rPr>
              <w:t>J01DD</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0C457E1D" w14:textId="77777777" w:rsidR="00F14851" w:rsidRPr="003C44C7" w:rsidRDefault="00F14851" w:rsidP="008E16C0">
            <w:pPr>
              <w:pStyle w:val="TableText"/>
              <w:rPr>
                <w:i/>
              </w:rPr>
            </w:pPr>
            <w:r w:rsidRPr="003C44C7">
              <w:rPr>
                <w:i/>
              </w:rPr>
              <w:t>Third-generation cephalosporins</w:t>
            </w:r>
            <w:r w:rsidRPr="003C44C7">
              <w:rPr>
                <w:rFonts w:ascii="Helvetica-Light" w:hAnsi="Helvetica-Light" w:cs="Helvetica-Light"/>
                <w:b/>
                <w:bCs/>
                <w:i/>
              </w:rPr>
              <w:t> </w:t>
            </w:r>
          </w:p>
        </w:tc>
      </w:tr>
      <w:tr w:rsidR="00F14851" w:rsidRPr="003C44C7" w14:paraId="2199A73D" w14:textId="77777777" w:rsidTr="000E4D1C">
        <w:trPr>
          <w:trHeight w:val="255"/>
        </w:trPr>
        <w:tc>
          <w:tcPr>
            <w:tcW w:w="2149" w:type="dxa"/>
            <w:tcBorders>
              <w:top w:val="single" w:sz="4" w:space="0" w:color="auto"/>
            </w:tcBorders>
            <w:shd w:val="clear" w:color="auto" w:fill="auto"/>
            <w:tcMar>
              <w:top w:w="113" w:type="dxa"/>
              <w:left w:w="85" w:type="dxa"/>
              <w:bottom w:w="113" w:type="dxa"/>
              <w:right w:w="85" w:type="dxa"/>
            </w:tcMar>
            <w:vAlign w:val="bottom"/>
          </w:tcPr>
          <w:p w14:paraId="6A0FB519" w14:textId="77777777" w:rsidR="00F14851" w:rsidRPr="003C44C7" w:rsidRDefault="00F14851" w:rsidP="008E16C0">
            <w:pPr>
              <w:pStyle w:val="TableText"/>
            </w:pPr>
            <w:r w:rsidRPr="003C44C7">
              <w:t>J01DD01</w:t>
            </w:r>
          </w:p>
        </w:tc>
        <w:tc>
          <w:tcPr>
            <w:tcW w:w="4952" w:type="dxa"/>
            <w:tcBorders>
              <w:top w:val="single" w:sz="4" w:space="0" w:color="auto"/>
            </w:tcBorders>
            <w:shd w:val="clear" w:color="auto" w:fill="auto"/>
            <w:tcMar>
              <w:top w:w="113" w:type="dxa"/>
              <w:left w:w="85" w:type="dxa"/>
              <w:bottom w:w="113" w:type="dxa"/>
              <w:right w:w="85" w:type="dxa"/>
            </w:tcMar>
            <w:vAlign w:val="bottom"/>
          </w:tcPr>
          <w:p w14:paraId="77A36395" w14:textId="77777777" w:rsidR="00F14851" w:rsidRPr="003C44C7" w:rsidRDefault="00F14851" w:rsidP="008E16C0">
            <w:pPr>
              <w:pStyle w:val="TableText"/>
            </w:pPr>
            <w:r w:rsidRPr="003C44C7">
              <w:t>Cefotaxime</w:t>
            </w:r>
          </w:p>
        </w:tc>
        <w:tc>
          <w:tcPr>
            <w:tcW w:w="1341" w:type="dxa"/>
            <w:tcBorders>
              <w:top w:val="single" w:sz="4" w:space="0" w:color="auto"/>
            </w:tcBorders>
            <w:shd w:val="clear" w:color="auto" w:fill="auto"/>
            <w:tcMar>
              <w:top w:w="113" w:type="dxa"/>
              <w:left w:w="510" w:type="dxa"/>
              <w:bottom w:w="113" w:type="dxa"/>
              <w:right w:w="85" w:type="dxa"/>
            </w:tcMar>
            <w:vAlign w:val="bottom"/>
          </w:tcPr>
          <w:p w14:paraId="523053B9" w14:textId="77777777" w:rsidR="00F14851" w:rsidRPr="003C44C7" w:rsidRDefault="00F14851" w:rsidP="008E16C0">
            <w:pPr>
              <w:pStyle w:val="TableText"/>
            </w:pPr>
            <w:r w:rsidRPr="003C44C7">
              <w:t>4</w:t>
            </w:r>
          </w:p>
        </w:tc>
        <w:tc>
          <w:tcPr>
            <w:tcW w:w="1186" w:type="dxa"/>
            <w:tcBorders>
              <w:top w:val="single" w:sz="4" w:space="0" w:color="auto"/>
            </w:tcBorders>
            <w:shd w:val="clear" w:color="auto" w:fill="auto"/>
            <w:tcMar>
              <w:top w:w="113" w:type="dxa"/>
              <w:left w:w="85" w:type="dxa"/>
              <w:bottom w:w="113" w:type="dxa"/>
              <w:right w:w="85" w:type="dxa"/>
            </w:tcMar>
            <w:vAlign w:val="bottom"/>
          </w:tcPr>
          <w:p w14:paraId="2308BF25" w14:textId="77777777" w:rsidR="00F14851" w:rsidRPr="003C44C7" w:rsidRDefault="00F14851" w:rsidP="008E16C0">
            <w:pPr>
              <w:pStyle w:val="TableText"/>
            </w:pPr>
            <w:r w:rsidRPr="003C44C7">
              <w:t>P</w:t>
            </w:r>
          </w:p>
        </w:tc>
      </w:tr>
      <w:tr w:rsidR="00F14851" w:rsidRPr="003C44C7" w14:paraId="1895FDEC" w14:textId="77777777" w:rsidTr="008E16C0">
        <w:trPr>
          <w:trHeight w:val="255"/>
        </w:trPr>
        <w:tc>
          <w:tcPr>
            <w:tcW w:w="2149" w:type="dxa"/>
            <w:shd w:val="clear" w:color="auto" w:fill="auto"/>
            <w:tcMar>
              <w:top w:w="113" w:type="dxa"/>
              <w:left w:w="85" w:type="dxa"/>
              <w:bottom w:w="113" w:type="dxa"/>
              <w:right w:w="85" w:type="dxa"/>
            </w:tcMar>
            <w:vAlign w:val="bottom"/>
          </w:tcPr>
          <w:p w14:paraId="1EB19CDD" w14:textId="77777777" w:rsidR="00F14851" w:rsidRPr="003C44C7" w:rsidRDefault="00F14851" w:rsidP="008E16C0">
            <w:pPr>
              <w:pStyle w:val="TableText"/>
            </w:pPr>
            <w:r w:rsidRPr="003C44C7">
              <w:t>J01DD02</w:t>
            </w:r>
          </w:p>
        </w:tc>
        <w:tc>
          <w:tcPr>
            <w:tcW w:w="4952" w:type="dxa"/>
            <w:shd w:val="clear" w:color="auto" w:fill="auto"/>
            <w:tcMar>
              <w:top w:w="113" w:type="dxa"/>
              <w:left w:w="85" w:type="dxa"/>
              <w:bottom w:w="113" w:type="dxa"/>
              <w:right w:w="85" w:type="dxa"/>
            </w:tcMar>
            <w:vAlign w:val="bottom"/>
          </w:tcPr>
          <w:p w14:paraId="1EDB8BA0" w14:textId="77777777" w:rsidR="00F14851" w:rsidRPr="003C44C7" w:rsidRDefault="00F14851" w:rsidP="008E16C0">
            <w:pPr>
              <w:pStyle w:val="TableText"/>
            </w:pPr>
            <w:r w:rsidRPr="003C44C7">
              <w:t>Ceftazidime</w:t>
            </w:r>
          </w:p>
        </w:tc>
        <w:tc>
          <w:tcPr>
            <w:tcW w:w="1341" w:type="dxa"/>
            <w:shd w:val="clear" w:color="auto" w:fill="auto"/>
            <w:tcMar>
              <w:top w:w="113" w:type="dxa"/>
              <w:left w:w="510" w:type="dxa"/>
              <w:bottom w:w="113" w:type="dxa"/>
              <w:right w:w="85" w:type="dxa"/>
            </w:tcMar>
            <w:vAlign w:val="bottom"/>
          </w:tcPr>
          <w:p w14:paraId="67883B96" w14:textId="77777777" w:rsidR="00F14851" w:rsidRPr="003C44C7" w:rsidRDefault="00F14851" w:rsidP="008E16C0">
            <w:pPr>
              <w:pStyle w:val="TableText"/>
            </w:pPr>
            <w:r w:rsidRPr="003C44C7">
              <w:t>4</w:t>
            </w:r>
          </w:p>
        </w:tc>
        <w:tc>
          <w:tcPr>
            <w:tcW w:w="1186" w:type="dxa"/>
            <w:shd w:val="clear" w:color="auto" w:fill="auto"/>
            <w:tcMar>
              <w:top w:w="113" w:type="dxa"/>
              <w:left w:w="85" w:type="dxa"/>
              <w:bottom w:w="113" w:type="dxa"/>
              <w:right w:w="85" w:type="dxa"/>
            </w:tcMar>
            <w:vAlign w:val="bottom"/>
          </w:tcPr>
          <w:p w14:paraId="7062C7C0" w14:textId="77777777" w:rsidR="00F14851" w:rsidRPr="003C44C7" w:rsidRDefault="00F14851" w:rsidP="008E16C0">
            <w:pPr>
              <w:pStyle w:val="TableText"/>
            </w:pPr>
            <w:r w:rsidRPr="003C44C7">
              <w:t>P</w:t>
            </w:r>
          </w:p>
        </w:tc>
      </w:tr>
      <w:tr w:rsidR="00F14851" w:rsidRPr="003C44C7" w14:paraId="7FC22BE5" w14:textId="77777777" w:rsidTr="000E4D1C">
        <w:trPr>
          <w:trHeight w:val="255"/>
        </w:trPr>
        <w:tc>
          <w:tcPr>
            <w:tcW w:w="2149" w:type="dxa"/>
            <w:tcBorders>
              <w:bottom w:val="single" w:sz="4" w:space="0" w:color="auto"/>
            </w:tcBorders>
            <w:shd w:val="clear" w:color="auto" w:fill="auto"/>
            <w:tcMar>
              <w:top w:w="113" w:type="dxa"/>
              <w:left w:w="85" w:type="dxa"/>
              <w:bottom w:w="113" w:type="dxa"/>
              <w:right w:w="85" w:type="dxa"/>
            </w:tcMar>
            <w:vAlign w:val="bottom"/>
          </w:tcPr>
          <w:p w14:paraId="4D3B133C" w14:textId="77777777" w:rsidR="00F14851" w:rsidRPr="003C44C7" w:rsidRDefault="00F14851" w:rsidP="008E16C0">
            <w:pPr>
              <w:pStyle w:val="TableText"/>
            </w:pPr>
            <w:r w:rsidRPr="003C44C7">
              <w:t>J01DD04</w:t>
            </w:r>
          </w:p>
        </w:tc>
        <w:tc>
          <w:tcPr>
            <w:tcW w:w="4952" w:type="dxa"/>
            <w:tcBorders>
              <w:bottom w:val="single" w:sz="4" w:space="0" w:color="auto"/>
            </w:tcBorders>
            <w:shd w:val="clear" w:color="auto" w:fill="auto"/>
            <w:tcMar>
              <w:top w:w="113" w:type="dxa"/>
              <w:left w:w="85" w:type="dxa"/>
              <w:bottom w:w="113" w:type="dxa"/>
              <w:right w:w="85" w:type="dxa"/>
            </w:tcMar>
            <w:vAlign w:val="bottom"/>
          </w:tcPr>
          <w:p w14:paraId="6E5DD017" w14:textId="77777777" w:rsidR="00F14851" w:rsidRPr="003C44C7" w:rsidRDefault="00F14851" w:rsidP="008E16C0">
            <w:pPr>
              <w:pStyle w:val="TableText"/>
            </w:pPr>
            <w:r w:rsidRPr="003C44C7">
              <w:t>Ceftriaxone</w:t>
            </w:r>
          </w:p>
        </w:tc>
        <w:tc>
          <w:tcPr>
            <w:tcW w:w="1341" w:type="dxa"/>
            <w:tcBorders>
              <w:bottom w:val="single" w:sz="4" w:space="0" w:color="auto"/>
            </w:tcBorders>
            <w:shd w:val="clear" w:color="auto" w:fill="auto"/>
            <w:tcMar>
              <w:top w:w="113" w:type="dxa"/>
              <w:left w:w="510" w:type="dxa"/>
              <w:bottom w:w="113" w:type="dxa"/>
              <w:right w:w="85" w:type="dxa"/>
            </w:tcMar>
            <w:vAlign w:val="bottom"/>
          </w:tcPr>
          <w:p w14:paraId="200506C2" w14:textId="77777777" w:rsidR="00F14851" w:rsidRPr="003C44C7" w:rsidRDefault="00F14851" w:rsidP="008E16C0">
            <w:pPr>
              <w:pStyle w:val="TableText"/>
            </w:pPr>
            <w:r w:rsidRPr="003C44C7">
              <w:t>2</w:t>
            </w:r>
          </w:p>
        </w:tc>
        <w:tc>
          <w:tcPr>
            <w:tcW w:w="1186" w:type="dxa"/>
            <w:tcBorders>
              <w:bottom w:val="single" w:sz="4" w:space="0" w:color="auto"/>
            </w:tcBorders>
            <w:shd w:val="clear" w:color="auto" w:fill="auto"/>
            <w:tcMar>
              <w:top w:w="113" w:type="dxa"/>
              <w:left w:w="85" w:type="dxa"/>
              <w:bottom w:w="113" w:type="dxa"/>
              <w:right w:w="85" w:type="dxa"/>
            </w:tcMar>
            <w:vAlign w:val="bottom"/>
          </w:tcPr>
          <w:p w14:paraId="7BE0F273" w14:textId="77777777" w:rsidR="00F14851" w:rsidRPr="003C44C7" w:rsidRDefault="00F14851" w:rsidP="008E16C0">
            <w:pPr>
              <w:pStyle w:val="TableText"/>
            </w:pPr>
            <w:r w:rsidRPr="003C44C7">
              <w:t>P</w:t>
            </w:r>
          </w:p>
        </w:tc>
      </w:tr>
      <w:tr w:rsidR="00F14851" w:rsidRPr="003C44C7" w14:paraId="75A1852C" w14:textId="77777777" w:rsidTr="000E4D1C">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571AF5CA" w14:textId="77777777" w:rsidR="00F14851" w:rsidRPr="003C44C7" w:rsidRDefault="00F14851" w:rsidP="008E16C0">
            <w:pPr>
              <w:pStyle w:val="TableText"/>
              <w:rPr>
                <w:i/>
              </w:rPr>
            </w:pPr>
            <w:r w:rsidRPr="003C44C7">
              <w:rPr>
                <w:i/>
              </w:rPr>
              <w:t>J01DE</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40541B21" w14:textId="77777777" w:rsidR="00F14851" w:rsidRPr="003C44C7" w:rsidRDefault="00F14851" w:rsidP="008E16C0">
            <w:pPr>
              <w:pStyle w:val="TableText"/>
              <w:rPr>
                <w:i/>
              </w:rPr>
            </w:pPr>
            <w:r w:rsidRPr="003C44C7">
              <w:rPr>
                <w:i/>
              </w:rPr>
              <w:t>Fourth-generation cephalosporins</w:t>
            </w:r>
            <w:r w:rsidRPr="003C44C7">
              <w:rPr>
                <w:rFonts w:ascii="Helvetica-Light" w:hAnsi="Helvetica-Light" w:cs="Helvetica-Light"/>
                <w:b/>
                <w:bCs/>
                <w:i/>
              </w:rPr>
              <w:t> </w:t>
            </w:r>
          </w:p>
        </w:tc>
      </w:tr>
      <w:tr w:rsidR="00F14851" w:rsidRPr="003C44C7" w14:paraId="499EC383" w14:textId="77777777" w:rsidTr="000E4D1C">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507ECE10" w14:textId="77777777" w:rsidR="00F14851" w:rsidRPr="003C44C7" w:rsidRDefault="00F14851" w:rsidP="008E16C0">
            <w:pPr>
              <w:pStyle w:val="TableText"/>
            </w:pPr>
            <w:r w:rsidRPr="003C44C7">
              <w:t>J01DE01</w:t>
            </w:r>
          </w:p>
        </w:tc>
        <w:tc>
          <w:tcPr>
            <w:tcW w:w="4952"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2BB41700" w14:textId="77777777" w:rsidR="00F14851" w:rsidRPr="003C44C7" w:rsidRDefault="00F14851" w:rsidP="008E16C0">
            <w:pPr>
              <w:pStyle w:val="TableText"/>
            </w:pPr>
            <w:r w:rsidRPr="003C44C7">
              <w:t>Cefepime</w:t>
            </w:r>
          </w:p>
        </w:tc>
        <w:tc>
          <w:tcPr>
            <w:tcW w:w="1341" w:type="dxa"/>
            <w:tcBorders>
              <w:top w:val="single" w:sz="4" w:space="0" w:color="auto"/>
              <w:bottom w:val="single" w:sz="4" w:space="0" w:color="auto"/>
            </w:tcBorders>
            <w:shd w:val="clear" w:color="auto" w:fill="auto"/>
            <w:tcMar>
              <w:top w:w="113" w:type="dxa"/>
              <w:left w:w="510" w:type="dxa"/>
              <w:bottom w:w="113" w:type="dxa"/>
              <w:right w:w="85" w:type="dxa"/>
            </w:tcMar>
            <w:vAlign w:val="bottom"/>
          </w:tcPr>
          <w:p w14:paraId="36E33703" w14:textId="77777777" w:rsidR="00F14851" w:rsidRPr="003C44C7" w:rsidRDefault="00F14851" w:rsidP="008E16C0">
            <w:pPr>
              <w:pStyle w:val="TableText"/>
            </w:pPr>
            <w:r w:rsidRPr="003C44C7">
              <w:t>2</w:t>
            </w:r>
          </w:p>
        </w:tc>
        <w:tc>
          <w:tcPr>
            <w:tcW w:w="1186"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45C24A07" w14:textId="77777777" w:rsidR="00F14851" w:rsidRPr="003C44C7" w:rsidRDefault="00F14851" w:rsidP="008E16C0">
            <w:pPr>
              <w:pStyle w:val="TableText"/>
            </w:pPr>
            <w:r w:rsidRPr="003C44C7">
              <w:t>P</w:t>
            </w:r>
          </w:p>
        </w:tc>
      </w:tr>
      <w:tr w:rsidR="00F14851" w:rsidRPr="003C44C7" w14:paraId="3D395856" w14:textId="77777777" w:rsidTr="000E4D1C">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6ABF51AD" w14:textId="77777777" w:rsidR="00F14851" w:rsidRPr="003C44C7" w:rsidRDefault="00F14851" w:rsidP="008E16C0">
            <w:pPr>
              <w:pStyle w:val="TableText"/>
              <w:rPr>
                <w:i/>
              </w:rPr>
            </w:pPr>
            <w:r w:rsidRPr="003C44C7">
              <w:rPr>
                <w:i/>
              </w:rPr>
              <w:t>J01DH</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48AD58ED" w14:textId="77777777" w:rsidR="00F14851" w:rsidRPr="003C44C7" w:rsidRDefault="00F14851" w:rsidP="008E16C0">
            <w:pPr>
              <w:pStyle w:val="TableText"/>
              <w:rPr>
                <w:i/>
              </w:rPr>
            </w:pPr>
            <w:r w:rsidRPr="003C44C7">
              <w:rPr>
                <w:i/>
              </w:rPr>
              <w:t>Carbapenems</w:t>
            </w:r>
            <w:r w:rsidRPr="003C44C7">
              <w:rPr>
                <w:rFonts w:ascii="Helvetica-Light" w:hAnsi="Helvetica-Light" w:cs="Helvetica-Light"/>
                <w:b/>
                <w:bCs/>
                <w:i/>
              </w:rPr>
              <w:t> </w:t>
            </w:r>
          </w:p>
        </w:tc>
      </w:tr>
      <w:tr w:rsidR="00F14851" w:rsidRPr="003C44C7" w14:paraId="0C752134" w14:textId="77777777" w:rsidTr="000E4D1C">
        <w:trPr>
          <w:trHeight w:val="255"/>
        </w:trPr>
        <w:tc>
          <w:tcPr>
            <w:tcW w:w="2149" w:type="dxa"/>
            <w:tcBorders>
              <w:top w:val="single" w:sz="4" w:space="0" w:color="auto"/>
            </w:tcBorders>
            <w:shd w:val="clear" w:color="auto" w:fill="auto"/>
            <w:tcMar>
              <w:top w:w="113" w:type="dxa"/>
              <w:left w:w="85" w:type="dxa"/>
              <w:bottom w:w="113" w:type="dxa"/>
              <w:right w:w="85" w:type="dxa"/>
            </w:tcMar>
            <w:vAlign w:val="bottom"/>
          </w:tcPr>
          <w:p w14:paraId="5BFEA5B8" w14:textId="77777777" w:rsidR="00F14851" w:rsidRPr="003C44C7" w:rsidRDefault="00F14851" w:rsidP="008E16C0">
            <w:pPr>
              <w:pStyle w:val="TableText"/>
            </w:pPr>
            <w:r w:rsidRPr="003C44C7">
              <w:t>J01DH02</w:t>
            </w:r>
          </w:p>
        </w:tc>
        <w:tc>
          <w:tcPr>
            <w:tcW w:w="4952" w:type="dxa"/>
            <w:tcBorders>
              <w:top w:val="single" w:sz="4" w:space="0" w:color="auto"/>
            </w:tcBorders>
            <w:shd w:val="clear" w:color="auto" w:fill="auto"/>
            <w:tcMar>
              <w:top w:w="113" w:type="dxa"/>
              <w:left w:w="85" w:type="dxa"/>
              <w:bottom w:w="113" w:type="dxa"/>
              <w:right w:w="85" w:type="dxa"/>
            </w:tcMar>
            <w:vAlign w:val="bottom"/>
          </w:tcPr>
          <w:p w14:paraId="532872D0" w14:textId="77777777" w:rsidR="00F14851" w:rsidRPr="003C44C7" w:rsidRDefault="00F14851" w:rsidP="008E16C0">
            <w:pPr>
              <w:pStyle w:val="TableText"/>
            </w:pPr>
            <w:r w:rsidRPr="003C44C7">
              <w:t>Meropenem</w:t>
            </w:r>
          </w:p>
        </w:tc>
        <w:tc>
          <w:tcPr>
            <w:tcW w:w="1341" w:type="dxa"/>
            <w:tcBorders>
              <w:top w:val="single" w:sz="4" w:space="0" w:color="auto"/>
            </w:tcBorders>
            <w:shd w:val="clear" w:color="auto" w:fill="auto"/>
            <w:tcMar>
              <w:top w:w="113" w:type="dxa"/>
              <w:left w:w="510" w:type="dxa"/>
              <w:bottom w:w="113" w:type="dxa"/>
              <w:right w:w="85" w:type="dxa"/>
            </w:tcMar>
            <w:vAlign w:val="bottom"/>
          </w:tcPr>
          <w:p w14:paraId="51C96FC7" w14:textId="77777777" w:rsidR="00F14851" w:rsidRPr="003C44C7" w:rsidRDefault="00F14851" w:rsidP="008E16C0">
            <w:pPr>
              <w:pStyle w:val="TableText"/>
            </w:pPr>
            <w:r w:rsidRPr="003C44C7">
              <w:t>2</w:t>
            </w:r>
          </w:p>
        </w:tc>
        <w:tc>
          <w:tcPr>
            <w:tcW w:w="1186" w:type="dxa"/>
            <w:tcBorders>
              <w:top w:val="single" w:sz="4" w:space="0" w:color="auto"/>
            </w:tcBorders>
            <w:shd w:val="clear" w:color="auto" w:fill="auto"/>
            <w:tcMar>
              <w:top w:w="113" w:type="dxa"/>
              <w:left w:w="85" w:type="dxa"/>
              <w:bottom w:w="113" w:type="dxa"/>
              <w:right w:w="85" w:type="dxa"/>
            </w:tcMar>
            <w:vAlign w:val="bottom"/>
          </w:tcPr>
          <w:p w14:paraId="37D1F372" w14:textId="77777777" w:rsidR="00F14851" w:rsidRPr="003C44C7" w:rsidRDefault="00F14851" w:rsidP="008E16C0">
            <w:pPr>
              <w:pStyle w:val="TableText"/>
            </w:pPr>
            <w:r w:rsidRPr="003C44C7">
              <w:t>P</w:t>
            </w:r>
          </w:p>
        </w:tc>
      </w:tr>
      <w:tr w:rsidR="00F14851" w:rsidRPr="003C44C7" w14:paraId="62A57A78" w14:textId="77777777" w:rsidTr="008E16C0">
        <w:trPr>
          <w:trHeight w:val="255"/>
        </w:trPr>
        <w:tc>
          <w:tcPr>
            <w:tcW w:w="2149" w:type="dxa"/>
            <w:shd w:val="clear" w:color="auto" w:fill="auto"/>
            <w:tcMar>
              <w:top w:w="113" w:type="dxa"/>
              <w:left w:w="85" w:type="dxa"/>
              <w:bottom w:w="113" w:type="dxa"/>
              <w:right w:w="85" w:type="dxa"/>
            </w:tcMar>
            <w:vAlign w:val="bottom"/>
          </w:tcPr>
          <w:p w14:paraId="048771A1" w14:textId="77777777" w:rsidR="00F14851" w:rsidRPr="003C44C7" w:rsidRDefault="00F14851" w:rsidP="008E16C0">
            <w:pPr>
              <w:pStyle w:val="TableText"/>
            </w:pPr>
            <w:r w:rsidRPr="003C44C7">
              <w:t>J01DH51</w:t>
            </w:r>
          </w:p>
        </w:tc>
        <w:tc>
          <w:tcPr>
            <w:tcW w:w="4952" w:type="dxa"/>
            <w:shd w:val="clear" w:color="auto" w:fill="auto"/>
            <w:tcMar>
              <w:top w:w="113" w:type="dxa"/>
              <w:left w:w="85" w:type="dxa"/>
              <w:bottom w:w="113" w:type="dxa"/>
              <w:right w:w="85" w:type="dxa"/>
            </w:tcMar>
            <w:vAlign w:val="bottom"/>
          </w:tcPr>
          <w:p w14:paraId="5B1EE7A2" w14:textId="77777777" w:rsidR="00F14851" w:rsidRPr="003C44C7" w:rsidRDefault="00F14851" w:rsidP="008E16C0">
            <w:pPr>
              <w:pStyle w:val="TableText"/>
            </w:pPr>
            <w:r w:rsidRPr="003C44C7">
              <w:t>Imipenem and enzyme inhibitor</w:t>
            </w:r>
          </w:p>
        </w:tc>
        <w:tc>
          <w:tcPr>
            <w:tcW w:w="1341" w:type="dxa"/>
            <w:shd w:val="clear" w:color="auto" w:fill="auto"/>
            <w:tcMar>
              <w:top w:w="113" w:type="dxa"/>
              <w:left w:w="510" w:type="dxa"/>
              <w:bottom w:w="113" w:type="dxa"/>
              <w:right w:w="85" w:type="dxa"/>
            </w:tcMar>
            <w:vAlign w:val="bottom"/>
          </w:tcPr>
          <w:p w14:paraId="4BA909E4" w14:textId="77777777" w:rsidR="00F14851" w:rsidRPr="003C44C7" w:rsidRDefault="00F14851" w:rsidP="008E16C0">
            <w:pPr>
              <w:pStyle w:val="TableText"/>
            </w:pPr>
            <w:r w:rsidRPr="003C44C7">
              <w:t>2</w:t>
            </w:r>
          </w:p>
        </w:tc>
        <w:tc>
          <w:tcPr>
            <w:tcW w:w="1186" w:type="dxa"/>
            <w:shd w:val="clear" w:color="auto" w:fill="auto"/>
            <w:tcMar>
              <w:top w:w="113" w:type="dxa"/>
              <w:left w:w="85" w:type="dxa"/>
              <w:bottom w:w="113" w:type="dxa"/>
              <w:right w:w="85" w:type="dxa"/>
            </w:tcMar>
            <w:vAlign w:val="bottom"/>
          </w:tcPr>
          <w:p w14:paraId="2EED5A14" w14:textId="77777777" w:rsidR="00F14851" w:rsidRPr="003C44C7" w:rsidRDefault="00F14851" w:rsidP="008E16C0">
            <w:pPr>
              <w:pStyle w:val="TableText"/>
            </w:pPr>
            <w:r w:rsidRPr="003C44C7">
              <w:t>P</w:t>
            </w:r>
          </w:p>
        </w:tc>
      </w:tr>
      <w:tr w:rsidR="00F14851" w:rsidRPr="003C44C7" w14:paraId="632AC7EB" w14:textId="77777777" w:rsidTr="008E16C0">
        <w:trPr>
          <w:trHeight w:val="255"/>
        </w:trPr>
        <w:tc>
          <w:tcPr>
            <w:tcW w:w="2149" w:type="dxa"/>
            <w:shd w:val="clear" w:color="auto" w:fill="auto"/>
            <w:tcMar>
              <w:top w:w="113" w:type="dxa"/>
              <w:left w:w="85" w:type="dxa"/>
              <w:bottom w:w="113" w:type="dxa"/>
              <w:right w:w="85" w:type="dxa"/>
            </w:tcMar>
            <w:vAlign w:val="bottom"/>
          </w:tcPr>
          <w:p w14:paraId="01583932" w14:textId="77777777" w:rsidR="00F14851" w:rsidRPr="003C44C7" w:rsidRDefault="00F14851" w:rsidP="008E16C0">
            <w:pPr>
              <w:pStyle w:val="TableText"/>
            </w:pPr>
            <w:r w:rsidRPr="003C44C7">
              <w:t>J01DH03</w:t>
            </w:r>
          </w:p>
        </w:tc>
        <w:tc>
          <w:tcPr>
            <w:tcW w:w="4952" w:type="dxa"/>
            <w:shd w:val="clear" w:color="auto" w:fill="auto"/>
            <w:tcMar>
              <w:top w:w="113" w:type="dxa"/>
              <w:left w:w="85" w:type="dxa"/>
              <w:bottom w:w="113" w:type="dxa"/>
              <w:right w:w="85" w:type="dxa"/>
            </w:tcMar>
            <w:vAlign w:val="bottom"/>
          </w:tcPr>
          <w:p w14:paraId="3096E059" w14:textId="77777777" w:rsidR="00F14851" w:rsidRPr="003C44C7" w:rsidRDefault="00F14851" w:rsidP="008E16C0">
            <w:pPr>
              <w:pStyle w:val="TableText"/>
            </w:pPr>
            <w:r w:rsidRPr="003C44C7">
              <w:t>Ertapenem</w:t>
            </w:r>
          </w:p>
        </w:tc>
        <w:tc>
          <w:tcPr>
            <w:tcW w:w="1341" w:type="dxa"/>
            <w:shd w:val="clear" w:color="auto" w:fill="auto"/>
            <w:tcMar>
              <w:top w:w="113" w:type="dxa"/>
              <w:left w:w="510" w:type="dxa"/>
              <w:bottom w:w="113" w:type="dxa"/>
              <w:right w:w="85" w:type="dxa"/>
            </w:tcMar>
            <w:vAlign w:val="bottom"/>
          </w:tcPr>
          <w:p w14:paraId="27297E1E" w14:textId="77777777" w:rsidR="00F14851" w:rsidRPr="003C44C7" w:rsidRDefault="00F14851" w:rsidP="008E16C0">
            <w:pPr>
              <w:pStyle w:val="TableText"/>
            </w:pPr>
            <w:r w:rsidRPr="003C44C7">
              <w:t>1</w:t>
            </w:r>
          </w:p>
        </w:tc>
        <w:tc>
          <w:tcPr>
            <w:tcW w:w="1186" w:type="dxa"/>
            <w:shd w:val="clear" w:color="auto" w:fill="auto"/>
            <w:tcMar>
              <w:top w:w="113" w:type="dxa"/>
              <w:left w:w="85" w:type="dxa"/>
              <w:bottom w:w="113" w:type="dxa"/>
              <w:right w:w="85" w:type="dxa"/>
            </w:tcMar>
            <w:vAlign w:val="bottom"/>
          </w:tcPr>
          <w:p w14:paraId="7DD80452" w14:textId="77777777" w:rsidR="00F14851" w:rsidRPr="003C44C7" w:rsidRDefault="00F14851" w:rsidP="008E16C0">
            <w:pPr>
              <w:pStyle w:val="TableText"/>
            </w:pPr>
            <w:r w:rsidRPr="003C44C7">
              <w:t>P</w:t>
            </w:r>
          </w:p>
        </w:tc>
      </w:tr>
      <w:tr w:rsidR="00F14851" w:rsidRPr="003C44C7" w14:paraId="2C566DF1" w14:textId="77777777" w:rsidTr="000E4D1C">
        <w:trPr>
          <w:trHeight w:val="255"/>
        </w:trPr>
        <w:tc>
          <w:tcPr>
            <w:tcW w:w="2149" w:type="dxa"/>
            <w:tcBorders>
              <w:bottom w:val="single" w:sz="4" w:space="0" w:color="auto"/>
            </w:tcBorders>
            <w:shd w:val="clear" w:color="auto" w:fill="auto"/>
            <w:tcMar>
              <w:top w:w="113" w:type="dxa"/>
              <w:left w:w="85" w:type="dxa"/>
              <w:bottom w:w="113" w:type="dxa"/>
              <w:right w:w="85" w:type="dxa"/>
            </w:tcMar>
            <w:vAlign w:val="bottom"/>
          </w:tcPr>
          <w:p w14:paraId="7B4469D8" w14:textId="77777777" w:rsidR="00F14851" w:rsidRPr="003C44C7" w:rsidRDefault="00F14851" w:rsidP="008E16C0">
            <w:pPr>
              <w:pStyle w:val="TableText"/>
            </w:pPr>
            <w:r w:rsidRPr="003C44C7">
              <w:t>J01DH04</w:t>
            </w:r>
          </w:p>
        </w:tc>
        <w:tc>
          <w:tcPr>
            <w:tcW w:w="4952" w:type="dxa"/>
            <w:tcBorders>
              <w:bottom w:val="single" w:sz="4" w:space="0" w:color="auto"/>
            </w:tcBorders>
            <w:shd w:val="clear" w:color="auto" w:fill="auto"/>
            <w:tcMar>
              <w:top w:w="113" w:type="dxa"/>
              <w:left w:w="85" w:type="dxa"/>
              <w:bottom w:w="113" w:type="dxa"/>
              <w:right w:w="85" w:type="dxa"/>
            </w:tcMar>
            <w:vAlign w:val="bottom"/>
          </w:tcPr>
          <w:p w14:paraId="0A9D7DC1" w14:textId="77777777" w:rsidR="00F14851" w:rsidRPr="003C44C7" w:rsidRDefault="00F14851" w:rsidP="008E16C0">
            <w:pPr>
              <w:pStyle w:val="TableText"/>
            </w:pPr>
            <w:r w:rsidRPr="003C44C7">
              <w:t>Doripenem</w:t>
            </w:r>
          </w:p>
        </w:tc>
        <w:tc>
          <w:tcPr>
            <w:tcW w:w="1341" w:type="dxa"/>
            <w:tcBorders>
              <w:bottom w:val="single" w:sz="4" w:space="0" w:color="auto"/>
            </w:tcBorders>
            <w:shd w:val="clear" w:color="auto" w:fill="auto"/>
            <w:tcMar>
              <w:top w:w="113" w:type="dxa"/>
              <w:left w:w="510" w:type="dxa"/>
              <w:bottom w:w="113" w:type="dxa"/>
              <w:right w:w="85" w:type="dxa"/>
            </w:tcMar>
            <w:vAlign w:val="bottom"/>
          </w:tcPr>
          <w:p w14:paraId="56EE195F" w14:textId="77777777" w:rsidR="00F14851" w:rsidRPr="003C44C7" w:rsidRDefault="00F14851" w:rsidP="008E16C0">
            <w:pPr>
              <w:pStyle w:val="TableText"/>
            </w:pPr>
            <w:r w:rsidRPr="003C44C7">
              <w:t>1.5</w:t>
            </w:r>
          </w:p>
        </w:tc>
        <w:tc>
          <w:tcPr>
            <w:tcW w:w="1186" w:type="dxa"/>
            <w:tcBorders>
              <w:bottom w:val="single" w:sz="4" w:space="0" w:color="auto"/>
            </w:tcBorders>
            <w:shd w:val="clear" w:color="auto" w:fill="auto"/>
            <w:tcMar>
              <w:top w:w="113" w:type="dxa"/>
              <w:left w:w="85" w:type="dxa"/>
              <w:bottom w:w="113" w:type="dxa"/>
              <w:right w:w="85" w:type="dxa"/>
            </w:tcMar>
            <w:vAlign w:val="bottom"/>
          </w:tcPr>
          <w:p w14:paraId="07503D90" w14:textId="77777777" w:rsidR="00F14851" w:rsidRPr="003C44C7" w:rsidRDefault="00F14851" w:rsidP="008E16C0">
            <w:pPr>
              <w:pStyle w:val="TableText"/>
            </w:pPr>
            <w:r w:rsidRPr="003C44C7">
              <w:t>P</w:t>
            </w:r>
          </w:p>
        </w:tc>
      </w:tr>
      <w:tr w:rsidR="00F14851" w:rsidRPr="003C44C7" w14:paraId="2D2557D8" w14:textId="77777777" w:rsidTr="000E4D1C">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0AC48BF9" w14:textId="77777777" w:rsidR="00F14851" w:rsidRPr="003C44C7" w:rsidRDefault="00F14851" w:rsidP="008E16C0">
            <w:pPr>
              <w:pStyle w:val="TableText"/>
              <w:rPr>
                <w:i/>
              </w:rPr>
            </w:pPr>
            <w:r w:rsidRPr="003C44C7">
              <w:rPr>
                <w:i/>
              </w:rPr>
              <w:t>J01DF</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313A85A2" w14:textId="1C9026CB" w:rsidR="00F14851" w:rsidRPr="003C44C7" w:rsidRDefault="00E945C4" w:rsidP="008E16C0">
            <w:pPr>
              <w:pStyle w:val="TableText"/>
              <w:rPr>
                <w:i/>
              </w:rPr>
            </w:pPr>
            <w:r w:rsidRPr="003C44C7">
              <w:rPr>
                <w:i/>
              </w:rPr>
              <w:t>Monobactams</w:t>
            </w:r>
          </w:p>
        </w:tc>
      </w:tr>
      <w:tr w:rsidR="00F14851" w:rsidRPr="003C44C7" w14:paraId="4E020725" w14:textId="77777777" w:rsidTr="000E4D1C">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0CA7B198" w14:textId="77777777" w:rsidR="00F14851" w:rsidRPr="003C44C7" w:rsidRDefault="00F14851" w:rsidP="008E16C0">
            <w:pPr>
              <w:pStyle w:val="TableText"/>
            </w:pPr>
            <w:r w:rsidRPr="003C44C7">
              <w:t>J01DF01</w:t>
            </w:r>
          </w:p>
        </w:tc>
        <w:tc>
          <w:tcPr>
            <w:tcW w:w="4952"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1854C992" w14:textId="77777777" w:rsidR="00F14851" w:rsidRPr="003C44C7" w:rsidRDefault="00F14851" w:rsidP="008E16C0">
            <w:pPr>
              <w:pStyle w:val="TableText"/>
            </w:pPr>
            <w:r w:rsidRPr="003C44C7">
              <w:t>Aztreonam</w:t>
            </w:r>
          </w:p>
        </w:tc>
        <w:tc>
          <w:tcPr>
            <w:tcW w:w="1341" w:type="dxa"/>
            <w:tcBorders>
              <w:top w:val="single" w:sz="4" w:space="0" w:color="auto"/>
              <w:bottom w:val="single" w:sz="4" w:space="0" w:color="auto"/>
            </w:tcBorders>
            <w:shd w:val="clear" w:color="auto" w:fill="auto"/>
            <w:tcMar>
              <w:top w:w="113" w:type="dxa"/>
              <w:left w:w="510" w:type="dxa"/>
              <w:bottom w:w="113" w:type="dxa"/>
              <w:right w:w="85" w:type="dxa"/>
            </w:tcMar>
            <w:vAlign w:val="bottom"/>
          </w:tcPr>
          <w:p w14:paraId="07C5A61B" w14:textId="77777777" w:rsidR="00F14851" w:rsidRPr="003C44C7" w:rsidRDefault="00F14851" w:rsidP="008E16C0">
            <w:pPr>
              <w:pStyle w:val="TableText"/>
            </w:pPr>
            <w:r w:rsidRPr="003C44C7">
              <w:t>4</w:t>
            </w:r>
          </w:p>
        </w:tc>
        <w:tc>
          <w:tcPr>
            <w:tcW w:w="1186"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448218E6" w14:textId="77777777" w:rsidR="00F14851" w:rsidRPr="003C44C7" w:rsidRDefault="00F14851" w:rsidP="008E16C0">
            <w:pPr>
              <w:pStyle w:val="TableText"/>
            </w:pPr>
            <w:r w:rsidRPr="003C44C7">
              <w:t>P</w:t>
            </w:r>
          </w:p>
        </w:tc>
      </w:tr>
      <w:tr w:rsidR="00F14851" w:rsidRPr="003C44C7" w14:paraId="0ADBEC7E" w14:textId="77777777" w:rsidTr="000E4D1C">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3ED8FD3E" w14:textId="77777777" w:rsidR="00F14851" w:rsidRPr="003C44C7" w:rsidRDefault="00F14851" w:rsidP="008E16C0">
            <w:pPr>
              <w:pStyle w:val="TableText"/>
              <w:rPr>
                <w:i/>
              </w:rPr>
            </w:pPr>
            <w:r w:rsidRPr="003C44C7">
              <w:rPr>
                <w:i/>
              </w:rPr>
              <w:t>J01DI</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25781575" w14:textId="77777777" w:rsidR="00F14851" w:rsidRPr="003C44C7" w:rsidRDefault="00F14851" w:rsidP="008E16C0">
            <w:pPr>
              <w:pStyle w:val="TableText"/>
              <w:rPr>
                <w:i/>
              </w:rPr>
            </w:pPr>
            <w:r w:rsidRPr="003C44C7">
              <w:rPr>
                <w:i/>
              </w:rPr>
              <w:t>Other cephalosporins</w:t>
            </w:r>
          </w:p>
        </w:tc>
      </w:tr>
      <w:tr w:rsidR="00F14851" w:rsidRPr="003C44C7" w14:paraId="5979F702" w14:textId="77777777" w:rsidTr="00760E1E">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320C6016" w14:textId="77777777" w:rsidR="00F14851" w:rsidRPr="003C44C7" w:rsidRDefault="00F14851" w:rsidP="008E16C0">
            <w:pPr>
              <w:pStyle w:val="TableText"/>
            </w:pPr>
            <w:r w:rsidRPr="003C44C7">
              <w:t>J01DI02</w:t>
            </w:r>
          </w:p>
        </w:tc>
        <w:tc>
          <w:tcPr>
            <w:tcW w:w="4952"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1FCEFC51" w14:textId="77777777" w:rsidR="00F14851" w:rsidRPr="003C44C7" w:rsidRDefault="00F14851" w:rsidP="008E16C0">
            <w:pPr>
              <w:pStyle w:val="TableText"/>
            </w:pPr>
            <w:r w:rsidRPr="003C44C7">
              <w:t>Ceftaroline</w:t>
            </w:r>
          </w:p>
        </w:tc>
        <w:tc>
          <w:tcPr>
            <w:tcW w:w="1341" w:type="dxa"/>
            <w:tcBorders>
              <w:top w:val="single" w:sz="4" w:space="0" w:color="auto"/>
              <w:bottom w:val="single" w:sz="4" w:space="0" w:color="auto"/>
            </w:tcBorders>
            <w:shd w:val="clear" w:color="auto" w:fill="auto"/>
            <w:tcMar>
              <w:top w:w="113" w:type="dxa"/>
              <w:left w:w="510" w:type="dxa"/>
              <w:bottom w:w="113" w:type="dxa"/>
              <w:right w:w="85" w:type="dxa"/>
            </w:tcMar>
            <w:vAlign w:val="bottom"/>
          </w:tcPr>
          <w:p w14:paraId="62B27E79" w14:textId="77777777" w:rsidR="00F14851" w:rsidRPr="003C44C7" w:rsidRDefault="00F14851" w:rsidP="008E16C0">
            <w:pPr>
              <w:pStyle w:val="TableText"/>
            </w:pPr>
            <w:r w:rsidRPr="003C44C7">
              <w:t>1.2</w:t>
            </w:r>
          </w:p>
        </w:tc>
        <w:tc>
          <w:tcPr>
            <w:tcW w:w="1186"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74AAD9FF" w14:textId="77777777" w:rsidR="00F14851" w:rsidRPr="003C44C7" w:rsidRDefault="00F14851" w:rsidP="008E16C0">
            <w:pPr>
              <w:pStyle w:val="TableText"/>
            </w:pPr>
            <w:r w:rsidRPr="003C44C7">
              <w:t>P</w:t>
            </w:r>
          </w:p>
        </w:tc>
      </w:tr>
      <w:tr w:rsidR="00F14851" w:rsidRPr="003C44C7" w14:paraId="1E6BC053" w14:textId="77777777" w:rsidTr="00760E1E">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3705ECCE" w14:textId="77777777" w:rsidR="00F14851" w:rsidRPr="003C44C7" w:rsidRDefault="00F14851" w:rsidP="008E16C0">
            <w:pPr>
              <w:pStyle w:val="TableText"/>
              <w:rPr>
                <w:b/>
              </w:rPr>
            </w:pPr>
            <w:r w:rsidRPr="003C44C7">
              <w:rPr>
                <w:b/>
              </w:rPr>
              <w:t>J01E</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795A75F2" w14:textId="77777777" w:rsidR="00F14851" w:rsidRPr="003C44C7" w:rsidRDefault="00F14851" w:rsidP="008E16C0">
            <w:pPr>
              <w:pStyle w:val="TableText"/>
              <w:rPr>
                <w:b/>
              </w:rPr>
            </w:pPr>
            <w:r w:rsidRPr="003C44C7">
              <w:rPr>
                <w:b/>
              </w:rPr>
              <w:t>Sulfonamides and trimethoprim</w:t>
            </w:r>
          </w:p>
        </w:tc>
      </w:tr>
      <w:tr w:rsidR="00F14851" w:rsidRPr="003C44C7" w14:paraId="31579723" w14:textId="77777777" w:rsidTr="00760E1E">
        <w:trPr>
          <w:trHeight w:val="255"/>
        </w:trPr>
        <w:tc>
          <w:tcPr>
            <w:tcW w:w="2149" w:type="dxa"/>
            <w:tcBorders>
              <w:top w:val="single" w:sz="4" w:space="0" w:color="auto"/>
            </w:tcBorders>
            <w:shd w:val="clear" w:color="auto" w:fill="auto"/>
            <w:tcMar>
              <w:top w:w="113" w:type="dxa"/>
              <w:left w:w="85" w:type="dxa"/>
              <w:bottom w:w="113" w:type="dxa"/>
              <w:right w:w="85" w:type="dxa"/>
            </w:tcMar>
            <w:vAlign w:val="bottom"/>
          </w:tcPr>
          <w:p w14:paraId="26BDE9ED" w14:textId="77777777" w:rsidR="00F14851" w:rsidRPr="003C44C7" w:rsidRDefault="00F14851" w:rsidP="008E16C0">
            <w:pPr>
              <w:pStyle w:val="TableText"/>
            </w:pPr>
            <w:r w:rsidRPr="003C44C7">
              <w:t>J01EA01</w:t>
            </w:r>
          </w:p>
        </w:tc>
        <w:tc>
          <w:tcPr>
            <w:tcW w:w="4952" w:type="dxa"/>
            <w:tcBorders>
              <w:top w:val="single" w:sz="4" w:space="0" w:color="auto"/>
            </w:tcBorders>
            <w:shd w:val="clear" w:color="auto" w:fill="auto"/>
            <w:tcMar>
              <w:top w:w="113" w:type="dxa"/>
              <w:left w:w="85" w:type="dxa"/>
              <w:bottom w:w="113" w:type="dxa"/>
              <w:right w:w="85" w:type="dxa"/>
            </w:tcMar>
            <w:vAlign w:val="bottom"/>
          </w:tcPr>
          <w:p w14:paraId="5EC3DE4C" w14:textId="77777777" w:rsidR="00F14851" w:rsidRPr="003C44C7" w:rsidRDefault="00F14851" w:rsidP="008E16C0">
            <w:pPr>
              <w:pStyle w:val="TableText"/>
            </w:pPr>
            <w:r w:rsidRPr="003C44C7">
              <w:t>Trimethoprim</w:t>
            </w:r>
          </w:p>
        </w:tc>
        <w:tc>
          <w:tcPr>
            <w:tcW w:w="1341" w:type="dxa"/>
            <w:tcBorders>
              <w:top w:val="single" w:sz="4" w:space="0" w:color="auto"/>
            </w:tcBorders>
            <w:shd w:val="clear" w:color="auto" w:fill="auto"/>
            <w:tcMar>
              <w:top w:w="113" w:type="dxa"/>
              <w:left w:w="510" w:type="dxa"/>
              <w:bottom w:w="113" w:type="dxa"/>
              <w:right w:w="85" w:type="dxa"/>
            </w:tcMar>
            <w:vAlign w:val="bottom"/>
          </w:tcPr>
          <w:p w14:paraId="1B33E21A" w14:textId="77777777" w:rsidR="00F14851" w:rsidRPr="003C44C7" w:rsidRDefault="00F14851" w:rsidP="008E16C0">
            <w:pPr>
              <w:pStyle w:val="TableText"/>
            </w:pPr>
            <w:r w:rsidRPr="003C44C7">
              <w:t>0.4</w:t>
            </w:r>
          </w:p>
        </w:tc>
        <w:tc>
          <w:tcPr>
            <w:tcW w:w="1186" w:type="dxa"/>
            <w:tcBorders>
              <w:top w:val="single" w:sz="4" w:space="0" w:color="auto"/>
            </w:tcBorders>
            <w:shd w:val="clear" w:color="auto" w:fill="auto"/>
            <w:tcMar>
              <w:top w:w="113" w:type="dxa"/>
              <w:left w:w="85" w:type="dxa"/>
              <w:bottom w:w="113" w:type="dxa"/>
              <w:right w:w="85" w:type="dxa"/>
            </w:tcMar>
            <w:vAlign w:val="bottom"/>
          </w:tcPr>
          <w:p w14:paraId="3075C6C7" w14:textId="77777777" w:rsidR="00F14851" w:rsidRPr="003C44C7" w:rsidRDefault="00F14851" w:rsidP="008E16C0">
            <w:pPr>
              <w:pStyle w:val="TableText"/>
            </w:pPr>
            <w:r w:rsidRPr="003C44C7">
              <w:t>O, P</w:t>
            </w:r>
          </w:p>
        </w:tc>
      </w:tr>
      <w:tr w:rsidR="00F14851" w:rsidRPr="003C44C7" w14:paraId="75C82A38" w14:textId="77777777" w:rsidTr="00760E1E">
        <w:trPr>
          <w:trHeight w:val="255"/>
        </w:trPr>
        <w:tc>
          <w:tcPr>
            <w:tcW w:w="2149" w:type="dxa"/>
            <w:tcBorders>
              <w:bottom w:val="single" w:sz="4" w:space="0" w:color="auto"/>
            </w:tcBorders>
            <w:shd w:val="clear" w:color="auto" w:fill="auto"/>
            <w:tcMar>
              <w:top w:w="113" w:type="dxa"/>
              <w:left w:w="85" w:type="dxa"/>
              <w:bottom w:w="113" w:type="dxa"/>
              <w:right w:w="85" w:type="dxa"/>
            </w:tcMar>
            <w:vAlign w:val="bottom"/>
          </w:tcPr>
          <w:p w14:paraId="084DE133" w14:textId="77777777" w:rsidR="00F14851" w:rsidRPr="003C44C7" w:rsidRDefault="00F14851" w:rsidP="008E16C0">
            <w:pPr>
              <w:pStyle w:val="TableText"/>
            </w:pPr>
            <w:r w:rsidRPr="003C44C7">
              <w:t>J01EE01</w:t>
            </w:r>
          </w:p>
        </w:tc>
        <w:tc>
          <w:tcPr>
            <w:tcW w:w="4952" w:type="dxa"/>
            <w:tcBorders>
              <w:bottom w:val="single" w:sz="4" w:space="0" w:color="auto"/>
            </w:tcBorders>
            <w:shd w:val="clear" w:color="auto" w:fill="auto"/>
            <w:tcMar>
              <w:top w:w="113" w:type="dxa"/>
              <w:left w:w="85" w:type="dxa"/>
              <w:bottom w:w="113" w:type="dxa"/>
              <w:right w:w="85" w:type="dxa"/>
            </w:tcMar>
            <w:vAlign w:val="bottom"/>
          </w:tcPr>
          <w:p w14:paraId="2EC51FF2" w14:textId="77777777" w:rsidR="00F14851" w:rsidRPr="003C44C7" w:rsidRDefault="00F14851" w:rsidP="008E16C0">
            <w:pPr>
              <w:pStyle w:val="TableText"/>
            </w:pPr>
            <w:r w:rsidRPr="003C44C7">
              <w:t>Sulfamethoxazole and trimethoprim</w:t>
            </w:r>
          </w:p>
        </w:tc>
        <w:tc>
          <w:tcPr>
            <w:tcW w:w="1341" w:type="dxa"/>
            <w:tcBorders>
              <w:bottom w:val="single" w:sz="4" w:space="0" w:color="auto"/>
            </w:tcBorders>
            <w:shd w:val="clear" w:color="auto" w:fill="auto"/>
            <w:tcMar>
              <w:top w:w="113" w:type="dxa"/>
              <w:left w:w="510" w:type="dxa"/>
              <w:bottom w:w="113" w:type="dxa"/>
              <w:right w:w="85" w:type="dxa"/>
            </w:tcMar>
            <w:vAlign w:val="bottom"/>
          </w:tcPr>
          <w:p w14:paraId="5B674627" w14:textId="77777777" w:rsidR="00F14851" w:rsidRPr="003C44C7" w:rsidRDefault="00F14851" w:rsidP="008E16C0">
            <w:pPr>
              <w:pStyle w:val="TableText"/>
            </w:pPr>
            <w:r w:rsidRPr="003C44C7">
              <w:t>1.92</w:t>
            </w:r>
          </w:p>
        </w:tc>
        <w:tc>
          <w:tcPr>
            <w:tcW w:w="1186" w:type="dxa"/>
            <w:tcBorders>
              <w:bottom w:val="single" w:sz="4" w:space="0" w:color="auto"/>
            </w:tcBorders>
            <w:shd w:val="clear" w:color="auto" w:fill="auto"/>
            <w:tcMar>
              <w:top w:w="113" w:type="dxa"/>
              <w:left w:w="85" w:type="dxa"/>
              <w:bottom w:w="113" w:type="dxa"/>
              <w:right w:w="85" w:type="dxa"/>
            </w:tcMar>
            <w:vAlign w:val="bottom"/>
          </w:tcPr>
          <w:p w14:paraId="23FB2BB3" w14:textId="77777777" w:rsidR="00F14851" w:rsidRPr="003C44C7" w:rsidRDefault="00F14851" w:rsidP="008E16C0">
            <w:pPr>
              <w:pStyle w:val="TableText"/>
            </w:pPr>
            <w:r w:rsidRPr="003C44C7">
              <w:t>O, P</w:t>
            </w:r>
          </w:p>
        </w:tc>
      </w:tr>
      <w:tr w:rsidR="00F14851" w:rsidRPr="003C44C7" w14:paraId="45805BC4" w14:textId="77777777" w:rsidTr="00760E1E">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1B08AF64" w14:textId="77777777" w:rsidR="00F14851" w:rsidRPr="003C44C7" w:rsidRDefault="00F14851" w:rsidP="008E16C0">
            <w:pPr>
              <w:pStyle w:val="TableText"/>
              <w:rPr>
                <w:b/>
              </w:rPr>
            </w:pPr>
            <w:r w:rsidRPr="003C44C7">
              <w:rPr>
                <w:b/>
              </w:rPr>
              <w:t>J01F</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373D4B59" w14:textId="77777777" w:rsidR="00F14851" w:rsidRPr="003C44C7" w:rsidRDefault="00F14851" w:rsidP="008E16C0">
            <w:pPr>
              <w:pStyle w:val="TableText"/>
              <w:rPr>
                <w:b/>
              </w:rPr>
            </w:pPr>
            <w:r w:rsidRPr="003C44C7">
              <w:rPr>
                <w:b/>
              </w:rPr>
              <w:t>Macrolides, lincosamides and streptogramins</w:t>
            </w:r>
          </w:p>
        </w:tc>
      </w:tr>
      <w:tr w:rsidR="00F14851" w:rsidRPr="003C44C7" w14:paraId="6398A2F1" w14:textId="77777777" w:rsidTr="00760E1E">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684D3E26" w14:textId="77777777" w:rsidR="00F14851" w:rsidRPr="003C44C7" w:rsidRDefault="00F14851" w:rsidP="008E16C0">
            <w:pPr>
              <w:pStyle w:val="TableText"/>
              <w:rPr>
                <w:i/>
              </w:rPr>
            </w:pPr>
            <w:r w:rsidRPr="003C44C7">
              <w:rPr>
                <w:i/>
              </w:rPr>
              <w:t>J01FA</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765630BC" w14:textId="77777777" w:rsidR="00F14851" w:rsidRPr="003C44C7" w:rsidRDefault="00F14851" w:rsidP="008E16C0">
            <w:pPr>
              <w:pStyle w:val="TableText"/>
              <w:rPr>
                <w:i/>
              </w:rPr>
            </w:pPr>
            <w:r w:rsidRPr="003C44C7">
              <w:rPr>
                <w:i/>
              </w:rPr>
              <w:t>Macrolides</w:t>
            </w:r>
          </w:p>
        </w:tc>
      </w:tr>
      <w:tr w:rsidR="00F14851" w:rsidRPr="003C44C7" w14:paraId="5C8E28D3" w14:textId="77777777" w:rsidTr="00760E1E">
        <w:trPr>
          <w:trHeight w:val="255"/>
        </w:trPr>
        <w:tc>
          <w:tcPr>
            <w:tcW w:w="2149" w:type="dxa"/>
            <w:tcBorders>
              <w:top w:val="single" w:sz="4" w:space="0" w:color="auto"/>
            </w:tcBorders>
            <w:shd w:val="clear" w:color="auto" w:fill="auto"/>
            <w:tcMar>
              <w:top w:w="113" w:type="dxa"/>
              <w:left w:w="85" w:type="dxa"/>
              <w:bottom w:w="113" w:type="dxa"/>
              <w:right w:w="85" w:type="dxa"/>
            </w:tcMar>
            <w:vAlign w:val="bottom"/>
          </w:tcPr>
          <w:p w14:paraId="71AFE11F" w14:textId="77777777" w:rsidR="00F14851" w:rsidRPr="003C44C7" w:rsidRDefault="00F14851" w:rsidP="008E16C0">
            <w:pPr>
              <w:pStyle w:val="TableText"/>
            </w:pPr>
            <w:r w:rsidRPr="003C44C7">
              <w:t>J01FA01</w:t>
            </w:r>
          </w:p>
        </w:tc>
        <w:tc>
          <w:tcPr>
            <w:tcW w:w="4952" w:type="dxa"/>
            <w:tcBorders>
              <w:top w:val="single" w:sz="4" w:space="0" w:color="auto"/>
            </w:tcBorders>
            <w:shd w:val="clear" w:color="auto" w:fill="auto"/>
            <w:tcMar>
              <w:top w:w="113" w:type="dxa"/>
              <w:left w:w="85" w:type="dxa"/>
              <w:bottom w:w="113" w:type="dxa"/>
              <w:right w:w="85" w:type="dxa"/>
            </w:tcMar>
            <w:vAlign w:val="bottom"/>
          </w:tcPr>
          <w:p w14:paraId="035C5FD8" w14:textId="77777777" w:rsidR="00F14851" w:rsidRPr="003C44C7" w:rsidRDefault="00F14851" w:rsidP="008E16C0">
            <w:pPr>
              <w:pStyle w:val="TableText"/>
            </w:pPr>
            <w:r w:rsidRPr="003C44C7">
              <w:t>Erythromycin</w:t>
            </w:r>
          </w:p>
        </w:tc>
        <w:tc>
          <w:tcPr>
            <w:tcW w:w="1341" w:type="dxa"/>
            <w:tcBorders>
              <w:top w:val="single" w:sz="4" w:space="0" w:color="auto"/>
            </w:tcBorders>
            <w:shd w:val="clear" w:color="auto" w:fill="auto"/>
            <w:tcMar>
              <w:top w:w="113" w:type="dxa"/>
              <w:left w:w="510" w:type="dxa"/>
              <w:bottom w:w="113" w:type="dxa"/>
              <w:right w:w="85" w:type="dxa"/>
            </w:tcMar>
            <w:vAlign w:val="bottom"/>
          </w:tcPr>
          <w:p w14:paraId="09D5A56F" w14:textId="77777777" w:rsidR="00F14851" w:rsidRPr="003C44C7" w:rsidRDefault="00F14851" w:rsidP="008E16C0">
            <w:pPr>
              <w:pStyle w:val="TableText"/>
            </w:pPr>
            <w:r w:rsidRPr="003C44C7">
              <w:t>1</w:t>
            </w:r>
          </w:p>
        </w:tc>
        <w:tc>
          <w:tcPr>
            <w:tcW w:w="1186" w:type="dxa"/>
            <w:tcBorders>
              <w:top w:val="single" w:sz="4" w:space="0" w:color="auto"/>
            </w:tcBorders>
            <w:shd w:val="clear" w:color="auto" w:fill="auto"/>
            <w:tcMar>
              <w:top w:w="113" w:type="dxa"/>
              <w:left w:w="85" w:type="dxa"/>
              <w:bottom w:w="113" w:type="dxa"/>
              <w:right w:w="85" w:type="dxa"/>
            </w:tcMar>
            <w:vAlign w:val="bottom"/>
          </w:tcPr>
          <w:p w14:paraId="64383D22" w14:textId="77777777" w:rsidR="00F14851" w:rsidRPr="003C44C7" w:rsidRDefault="00F14851" w:rsidP="008E16C0">
            <w:pPr>
              <w:pStyle w:val="TableText"/>
            </w:pPr>
            <w:r w:rsidRPr="003C44C7">
              <w:t>O, P</w:t>
            </w:r>
          </w:p>
        </w:tc>
      </w:tr>
      <w:tr w:rsidR="00F14851" w:rsidRPr="003C44C7" w14:paraId="4DE4AE57" w14:textId="77777777" w:rsidTr="008E16C0">
        <w:trPr>
          <w:trHeight w:val="255"/>
        </w:trPr>
        <w:tc>
          <w:tcPr>
            <w:tcW w:w="2149" w:type="dxa"/>
            <w:shd w:val="clear" w:color="auto" w:fill="auto"/>
            <w:tcMar>
              <w:top w:w="113" w:type="dxa"/>
              <w:left w:w="85" w:type="dxa"/>
              <w:bottom w:w="113" w:type="dxa"/>
              <w:right w:w="85" w:type="dxa"/>
            </w:tcMar>
            <w:vAlign w:val="bottom"/>
          </w:tcPr>
          <w:p w14:paraId="54C120EF" w14:textId="77777777" w:rsidR="00F14851" w:rsidRPr="003C44C7" w:rsidRDefault="00F14851" w:rsidP="008E16C0">
            <w:pPr>
              <w:pStyle w:val="TableText"/>
            </w:pPr>
            <w:r w:rsidRPr="003C44C7">
              <w:t>J01FA01</w:t>
            </w:r>
          </w:p>
        </w:tc>
        <w:tc>
          <w:tcPr>
            <w:tcW w:w="4952" w:type="dxa"/>
            <w:shd w:val="clear" w:color="auto" w:fill="auto"/>
            <w:tcMar>
              <w:top w:w="113" w:type="dxa"/>
              <w:left w:w="85" w:type="dxa"/>
              <w:bottom w:w="113" w:type="dxa"/>
              <w:right w:w="85" w:type="dxa"/>
            </w:tcMar>
            <w:vAlign w:val="bottom"/>
          </w:tcPr>
          <w:p w14:paraId="10195B73" w14:textId="77777777" w:rsidR="00F14851" w:rsidRPr="003C44C7" w:rsidRDefault="00F14851" w:rsidP="008E16C0">
            <w:pPr>
              <w:pStyle w:val="TableText"/>
            </w:pPr>
            <w:r w:rsidRPr="003C44C7">
              <w:t>Erythromycin ethylsuccinate</w:t>
            </w:r>
          </w:p>
        </w:tc>
        <w:tc>
          <w:tcPr>
            <w:tcW w:w="1341" w:type="dxa"/>
            <w:shd w:val="clear" w:color="auto" w:fill="auto"/>
            <w:tcMar>
              <w:top w:w="113" w:type="dxa"/>
              <w:left w:w="510" w:type="dxa"/>
              <w:bottom w:w="113" w:type="dxa"/>
              <w:right w:w="85" w:type="dxa"/>
            </w:tcMar>
            <w:vAlign w:val="bottom"/>
          </w:tcPr>
          <w:p w14:paraId="37D61076" w14:textId="77777777" w:rsidR="00F14851" w:rsidRPr="003C44C7" w:rsidRDefault="00F14851" w:rsidP="008E16C0">
            <w:pPr>
              <w:pStyle w:val="TableText"/>
            </w:pPr>
            <w:r w:rsidRPr="003C44C7">
              <w:t>2</w:t>
            </w:r>
          </w:p>
        </w:tc>
        <w:tc>
          <w:tcPr>
            <w:tcW w:w="1186" w:type="dxa"/>
            <w:shd w:val="clear" w:color="auto" w:fill="auto"/>
            <w:tcMar>
              <w:top w:w="113" w:type="dxa"/>
              <w:left w:w="85" w:type="dxa"/>
              <w:bottom w:w="113" w:type="dxa"/>
              <w:right w:w="85" w:type="dxa"/>
            </w:tcMar>
            <w:vAlign w:val="bottom"/>
          </w:tcPr>
          <w:p w14:paraId="2A4255DC" w14:textId="77777777" w:rsidR="00F14851" w:rsidRPr="003C44C7" w:rsidRDefault="00F14851" w:rsidP="008E16C0">
            <w:pPr>
              <w:pStyle w:val="TableText"/>
            </w:pPr>
            <w:r w:rsidRPr="003C44C7">
              <w:t>O</w:t>
            </w:r>
          </w:p>
        </w:tc>
      </w:tr>
      <w:tr w:rsidR="00F14851" w:rsidRPr="003C44C7" w14:paraId="41553C0D" w14:textId="77777777" w:rsidTr="008E16C0">
        <w:trPr>
          <w:trHeight w:val="255"/>
        </w:trPr>
        <w:tc>
          <w:tcPr>
            <w:tcW w:w="2149" w:type="dxa"/>
            <w:shd w:val="clear" w:color="auto" w:fill="auto"/>
            <w:tcMar>
              <w:top w:w="113" w:type="dxa"/>
              <w:left w:w="85" w:type="dxa"/>
              <w:bottom w:w="113" w:type="dxa"/>
              <w:right w:w="85" w:type="dxa"/>
            </w:tcMar>
            <w:vAlign w:val="bottom"/>
          </w:tcPr>
          <w:p w14:paraId="59011C24" w14:textId="77777777" w:rsidR="00F14851" w:rsidRPr="003C44C7" w:rsidRDefault="00F14851" w:rsidP="008E16C0">
            <w:pPr>
              <w:pStyle w:val="TableText"/>
            </w:pPr>
            <w:r w:rsidRPr="003C44C7">
              <w:t>J01FA06</w:t>
            </w:r>
          </w:p>
        </w:tc>
        <w:tc>
          <w:tcPr>
            <w:tcW w:w="4952" w:type="dxa"/>
            <w:shd w:val="clear" w:color="auto" w:fill="auto"/>
            <w:tcMar>
              <w:top w:w="113" w:type="dxa"/>
              <w:left w:w="85" w:type="dxa"/>
              <w:bottom w:w="113" w:type="dxa"/>
              <w:right w:w="85" w:type="dxa"/>
            </w:tcMar>
            <w:vAlign w:val="bottom"/>
          </w:tcPr>
          <w:p w14:paraId="1AA1776F" w14:textId="77777777" w:rsidR="00F14851" w:rsidRPr="003C44C7" w:rsidRDefault="00F14851" w:rsidP="008E16C0">
            <w:pPr>
              <w:pStyle w:val="TableText"/>
            </w:pPr>
            <w:r w:rsidRPr="003C44C7">
              <w:t>Roxithromycin</w:t>
            </w:r>
          </w:p>
        </w:tc>
        <w:tc>
          <w:tcPr>
            <w:tcW w:w="1341" w:type="dxa"/>
            <w:shd w:val="clear" w:color="auto" w:fill="auto"/>
            <w:tcMar>
              <w:top w:w="113" w:type="dxa"/>
              <w:left w:w="510" w:type="dxa"/>
              <w:bottom w:w="113" w:type="dxa"/>
              <w:right w:w="85" w:type="dxa"/>
            </w:tcMar>
            <w:vAlign w:val="bottom"/>
          </w:tcPr>
          <w:p w14:paraId="3F6F9572" w14:textId="77777777" w:rsidR="00F14851" w:rsidRPr="003C44C7" w:rsidRDefault="00F14851" w:rsidP="008E16C0">
            <w:pPr>
              <w:pStyle w:val="TableText"/>
            </w:pPr>
            <w:r w:rsidRPr="003C44C7">
              <w:t>0.3</w:t>
            </w:r>
          </w:p>
        </w:tc>
        <w:tc>
          <w:tcPr>
            <w:tcW w:w="1186" w:type="dxa"/>
            <w:shd w:val="clear" w:color="auto" w:fill="auto"/>
            <w:tcMar>
              <w:top w:w="113" w:type="dxa"/>
              <w:left w:w="85" w:type="dxa"/>
              <w:bottom w:w="113" w:type="dxa"/>
              <w:right w:w="85" w:type="dxa"/>
            </w:tcMar>
            <w:vAlign w:val="bottom"/>
          </w:tcPr>
          <w:p w14:paraId="36C51221" w14:textId="77777777" w:rsidR="00F14851" w:rsidRPr="003C44C7" w:rsidRDefault="00F14851" w:rsidP="008E16C0">
            <w:pPr>
              <w:pStyle w:val="TableText"/>
            </w:pPr>
            <w:r w:rsidRPr="003C44C7">
              <w:t>O</w:t>
            </w:r>
          </w:p>
        </w:tc>
      </w:tr>
      <w:tr w:rsidR="00F14851" w:rsidRPr="003C44C7" w14:paraId="53589C58" w14:textId="77777777" w:rsidTr="008E16C0">
        <w:trPr>
          <w:trHeight w:val="255"/>
        </w:trPr>
        <w:tc>
          <w:tcPr>
            <w:tcW w:w="2149" w:type="dxa"/>
            <w:shd w:val="clear" w:color="auto" w:fill="auto"/>
            <w:tcMar>
              <w:top w:w="113" w:type="dxa"/>
              <w:left w:w="85" w:type="dxa"/>
              <w:bottom w:w="113" w:type="dxa"/>
              <w:right w:w="85" w:type="dxa"/>
            </w:tcMar>
            <w:vAlign w:val="bottom"/>
          </w:tcPr>
          <w:p w14:paraId="7DEDA42C" w14:textId="77777777" w:rsidR="00F14851" w:rsidRPr="003C44C7" w:rsidRDefault="00F14851" w:rsidP="008E16C0">
            <w:pPr>
              <w:pStyle w:val="TableText"/>
            </w:pPr>
            <w:r w:rsidRPr="003C44C7">
              <w:t>J01FA09</w:t>
            </w:r>
          </w:p>
        </w:tc>
        <w:tc>
          <w:tcPr>
            <w:tcW w:w="4952" w:type="dxa"/>
            <w:shd w:val="clear" w:color="auto" w:fill="auto"/>
            <w:tcMar>
              <w:top w:w="113" w:type="dxa"/>
              <w:left w:w="85" w:type="dxa"/>
              <w:bottom w:w="113" w:type="dxa"/>
              <w:right w:w="85" w:type="dxa"/>
            </w:tcMar>
            <w:vAlign w:val="bottom"/>
          </w:tcPr>
          <w:p w14:paraId="20C029F1" w14:textId="77777777" w:rsidR="00F14851" w:rsidRPr="003C44C7" w:rsidRDefault="00F14851" w:rsidP="008E16C0">
            <w:pPr>
              <w:pStyle w:val="TableText"/>
            </w:pPr>
            <w:r w:rsidRPr="003C44C7">
              <w:t>Clarithromycin</w:t>
            </w:r>
          </w:p>
        </w:tc>
        <w:tc>
          <w:tcPr>
            <w:tcW w:w="1341" w:type="dxa"/>
            <w:shd w:val="clear" w:color="auto" w:fill="auto"/>
            <w:tcMar>
              <w:top w:w="113" w:type="dxa"/>
              <w:left w:w="510" w:type="dxa"/>
              <w:bottom w:w="113" w:type="dxa"/>
              <w:right w:w="85" w:type="dxa"/>
            </w:tcMar>
            <w:vAlign w:val="bottom"/>
          </w:tcPr>
          <w:p w14:paraId="0715C311" w14:textId="77777777" w:rsidR="00F14851" w:rsidRPr="003C44C7" w:rsidRDefault="00F14851" w:rsidP="008E16C0">
            <w:pPr>
              <w:pStyle w:val="TableText"/>
            </w:pPr>
            <w:r w:rsidRPr="003C44C7">
              <w:t>0.5</w:t>
            </w:r>
          </w:p>
        </w:tc>
        <w:tc>
          <w:tcPr>
            <w:tcW w:w="1186" w:type="dxa"/>
            <w:shd w:val="clear" w:color="auto" w:fill="auto"/>
            <w:tcMar>
              <w:top w:w="113" w:type="dxa"/>
              <w:left w:w="85" w:type="dxa"/>
              <w:bottom w:w="113" w:type="dxa"/>
              <w:right w:w="85" w:type="dxa"/>
            </w:tcMar>
            <w:vAlign w:val="bottom"/>
          </w:tcPr>
          <w:p w14:paraId="68E925B6" w14:textId="77777777" w:rsidR="00F14851" w:rsidRPr="003C44C7" w:rsidRDefault="00F14851" w:rsidP="008E16C0">
            <w:pPr>
              <w:pStyle w:val="TableText"/>
            </w:pPr>
            <w:r w:rsidRPr="003C44C7">
              <w:t>O</w:t>
            </w:r>
          </w:p>
        </w:tc>
      </w:tr>
      <w:tr w:rsidR="00F14851" w:rsidRPr="003C44C7" w14:paraId="490BCD9A" w14:textId="77777777" w:rsidTr="008E16C0">
        <w:trPr>
          <w:trHeight w:val="255"/>
        </w:trPr>
        <w:tc>
          <w:tcPr>
            <w:tcW w:w="2149" w:type="dxa"/>
            <w:shd w:val="clear" w:color="auto" w:fill="auto"/>
            <w:tcMar>
              <w:top w:w="113" w:type="dxa"/>
              <w:left w:w="85" w:type="dxa"/>
              <w:bottom w:w="113" w:type="dxa"/>
              <w:right w:w="85" w:type="dxa"/>
            </w:tcMar>
            <w:vAlign w:val="bottom"/>
          </w:tcPr>
          <w:p w14:paraId="0972C506" w14:textId="77777777" w:rsidR="00F14851" w:rsidRPr="003C44C7" w:rsidRDefault="00F14851" w:rsidP="008E16C0">
            <w:pPr>
              <w:pStyle w:val="TableText"/>
            </w:pPr>
            <w:r w:rsidRPr="003C44C7">
              <w:t>J01FA10</w:t>
            </w:r>
          </w:p>
        </w:tc>
        <w:tc>
          <w:tcPr>
            <w:tcW w:w="4952" w:type="dxa"/>
            <w:shd w:val="clear" w:color="auto" w:fill="auto"/>
            <w:tcMar>
              <w:top w:w="113" w:type="dxa"/>
              <w:left w:w="85" w:type="dxa"/>
              <w:bottom w:w="113" w:type="dxa"/>
              <w:right w:w="85" w:type="dxa"/>
            </w:tcMar>
            <w:vAlign w:val="bottom"/>
          </w:tcPr>
          <w:p w14:paraId="12FD1D9F" w14:textId="77777777" w:rsidR="00F14851" w:rsidRPr="003C44C7" w:rsidRDefault="00F14851" w:rsidP="008E16C0">
            <w:pPr>
              <w:pStyle w:val="TableText"/>
            </w:pPr>
            <w:r w:rsidRPr="003C44C7">
              <w:t>Azithromycin</w:t>
            </w:r>
          </w:p>
        </w:tc>
        <w:tc>
          <w:tcPr>
            <w:tcW w:w="1341" w:type="dxa"/>
            <w:shd w:val="clear" w:color="auto" w:fill="auto"/>
            <w:tcMar>
              <w:top w:w="113" w:type="dxa"/>
              <w:left w:w="510" w:type="dxa"/>
              <w:bottom w:w="113" w:type="dxa"/>
              <w:right w:w="85" w:type="dxa"/>
            </w:tcMar>
            <w:vAlign w:val="bottom"/>
          </w:tcPr>
          <w:p w14:paraId="13661735" w14:textId="77777777" w:rsidR="00F14851" w:rsidRPr="003C44C7" w:rsidRDefault="00F14851" w:rsidP="008E16C0">
            <w:pPr>
              <w:pStyle w:val="TableText"/>
            </w:pPr>
            <w:r w:rsidRPr="003C44C7">
              <w:t>0.3</w:t>
            </w:r>
          </w:p>
        </w:tc>
        <w:tc>
          <w:tcPr>
            <w:tcW w:w="1186" w:type="dxa"/>
            <w:shd w:val="clear" w:color="auto" w:fill="auto"/>
            <w:tcMar>
              <w:top w:w="113" w:type="dxa"/>
              <w:left w:w="85" w:type="dxa"/>
              <w:bottom w:w="113" w:type="dxa"/>
              <w:right w:w="85" w:type="dxa"/>
            </w:tcMar>
            <w:vAlign w:val="bottom"/>
          </w:tcPr>
          <w:p w14:paraId="4E9519CE" w14:textId="77777777" w:rsidR="00F14851" w:rsidRPr="003C44C7" w:rsidRDefault="00F14851" w:rsidP="008E16C0">
            <w:pPr>
              <w:pStyle w:val="TableText"/>
            </w:pPr>
            <w:r w:rsidRPr="003C44C7">
              <w:t>O</w:t>
            </w:r>
          </w:p>
        </w:tc>
      </w:tr>
      <w:tr w:rsidR="00F14851" w:rsidRPr="003C44C7" w14:paraId="18842743" w14:textId="77777777" w:rsidTr="00760E1E">
        <w:trPr>
          <w:trHeight w:val="255"/>
        </w:trPr>
        <w:tc>
          <w:tcPr>
            <w:tcW w:w="2149" w:type="dxa"/>
            <w:tcBorders>
              <w:bottom w:val="single" w:sz="4" w:space="0" w:color="auto"/>
            </w:tcBorders>
            <w:shd w:val="clear" w:color="auto" w:fill="auto"/>
            <w:tcMar>
              <w:top w:w="113" w:type="dxa"/>
              <w:left w:w="85" w:type="dxa"/>
              <w:bottom w:w="113" w:type="dxa"/>
              <w:right w:w="85" w:type="dxa"/>
            </w:tcMar>
            <w:vAlign w:val="bottom"/>
          </w:tcPr>
          <w:p w14:paraId="64DB57A6" w14:textId="77777777" w:rsidR="00F14851" w:rsidRPr="003C44C7" w:rsidRDefault="00F14851" w:rsidP="008E16C0">
            <w:pPr>
              <w:pStyle w:val="TableText"/>
            </w:pPr>
            <w:r w:rsidRPr="003C44C7">
              <w:t>J01FA10</w:t>
            </w:r>
          </w:p>
        </w:tc>
        <w:tc>
          <w:tcPr>
            <w:tcW w:w="4952" w:type="dxa"/>
            <w:tcBorders>
              <w:bottom w:val="single" w:sz="4" w:space="0" w:color="auto"/>
            </w:tcBorders>
            <w:shd w:val="clear" w:color="auto" w:fill="auto"/>
            <w:tcMar>
              <w:top w:w="113" w:type="dxa"/>
              <w:left w:w="85" w:type="dxa"/>
              <w:bottom w:w="113" w:type="dxa"/>
              <w:right w:w="85" w:type="dxa"/>
            </w:tcMar>
            <w:vAlign w:val="bottom"/>
          </w:tcPr>
          <w:p w14:paraId="4DBE58D1" w14:textId="77777777" w:rsidR="00F14851" w:rsidRPr="003C44C7" w:rsidRDefault="00F14851" w:rsidP="008E16C0">
            <w:pPr>
              <w:pStyle w:val="TableText"/>
            </w:pPr>
            <w:r w:rsidRPr="003C44C7">
              <w:t>Azithromycin</w:t>
            </w:r>
          </w:p>
        </w:tc>
        <w:tc>
          <w:tcPr>
            <w:tcW w:w="1341" w:type="dxa"/>
            <w:tcBorders>
              <w:bottom w:val="single" w:sz="4" w:space="0" w:color="auto"/>
            </w:tcBorders>
            <w:shd w:val="clear" w:color="auto" w:fill="auto"/>
            <w:tcMar>
              <w:top w:w="113" w:type="dxa"/>
              <w:left w:w="510" w:type="dxa"/>
              <w:bottom w:w="113" w:type="dxa"/>
              <w:right w:w="85" w:type="dxa"/>
            </w:tcMar>
            <w:vAlign w:val="bottom"/>
          </w:tcPr>
          <w:p w14:paraId="1A6217C7" w14:textId="77777777" w:rsidR="00F14851" w:rsidRPr="003C44C7" w:rsidRDefault="00F14851" w:rsidP="008E16C0">
            <w:pPr>
              <w:pStyle w:val="TableText"/>
            </w:pPr>
            <w:r w:rsidRPr="003C44C7">
              <w:t>0.5</w:t>
            </w:r>
          </w:p>
        </w:tc>
        <w:tc>
          <w:tcPr>
            <w:tcW w:w="1186" w:type="dxa"/>
            <w:tcBorders>
              <w:bottom w:val="single" w:sz="4" w:space="0" w:color="auto"/>
            </w:tcBorders>
            <w:shd w:val="clear" w:color="auto" w:fill="auto"/>
            <w:tcMar>
              <w:top w:w="113" w:type="dxa"/>
              <w:left w:w="85" w:type="dxa"/>
              <w:bottom w:w="113" w:type="dxa"/>
              <w:right w:w="85" w:type="dxa"/>
            </w:tcMar>
            <w:vAlign w:val="bottom"/>
          </w:tcPr>
          <w:p w14:paraId="4036FC91" w14:textId="77777777" w:rsidR="00F14851" w:rsidRPr="003C44C7" w:rsidRDefault="00F14851" w:rsidP="008E16C0">
            <w:pPr>
              <w:pStyle w:val="TableText"/>
            </w:pPr>
            <w:r w:rsidRPr="003C44C7">
              <w:t>P</w:t>
            </w:r>
          </w:p>
        </w:tc>
      </w:tr>
      <w:tr w:rsidR="00F14851" w:rsidRPr="003C44C7" w14:paraId="2FC9306E" w14:textId="77777777" w:rsidTr="00760E1E">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20E2EDFD" w14:textId="77777777" w:rsidR="00F14851" w:rsidRPr="003C44C7" w:rsidRDefault="00F14851" w:rsidP="008E16C0">
            <w:pPr>
              <w:pStyle w:val="TableText"/>
              <w:rPr>
                <w:i/>
              </w:rPr>
            </w:pPr>
            <w:r w:rsidRPr="003C44C7">
              <w:rPr>
                <w:i/>
              </w:rPr>
              <w:t>J01FF</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3CD0C2AD" w14:textId="77777777" w:rsidR="00F14851" w:rsidRPr="003C44C7" w:rsidRDefault="00F14851" w:rsidP="008E16C0">
            <w:pPr>
              <w:pStyle w:val="TableText"/>
              <w:rPr>
                <w:i/>
              </w:rPr>
            </w:pPr>
            <w:r w:rsidRPr="003C44C7">
              <w:rPr>
                <w:i/>
              </w:rPr>
              <w:t>Lincosamides</w:t>
            </w:r>
          </w:p>
        </w:tc>
      </w:tr>
      <w:tr w:rsidR="00F14851" w:rsidRPr="003C44C7" w14:paraId="2F1F613F" w14:textId="77777777" w:rsidTr="00760E1E">
        <w:trPr>
          <w:trHeight w:val="255"/>
        </w:trPr>
        <w:tc>
          <w:tcPr>
            <w:tcW w:w="2149" w:type="dxa"/>
            <w:tcBorders>
              <w:top w:val="single" w:sz="4" w:space="0" w:color="auto"/>
            </w:tcBorders>
            <w:shd w:val="clear" w:color="auto" w:fill="auto"/>
            <w:tcMar>
              <w:top w:w="113" w:type="dxa"/>
              <w:left w:w="85" w:type="dxa"/>
              <w:bottom w:w="113" w:type="dxa"/>
              <w:right w:w="85" w:type="dxa"/>
            </w:tcMar>
            <w:vAlign w:val="bottom"/>
          </w:tcPr>
          <w:p w14:paraId="5453ADAC" w14:textId="77777777" w:rsidR="00F14851" w:rsidRPr="003C44C7" w:rsidRDefault="00F14851" w:rsidP="008E16C0">
            <w:pPr>
              <w:pStyle w:val="TableText"/>
            </w:pPr>
            <w:r w:rsidRPr="003C44C7">
              <w:t>J01FF01</w:t>
            </w:r>
          </w:p>
        </w:tc>
        <w:tc>
          <w:tcPr>
            <w:tcW w:w="4952" w:type="dxa"/>
            <w:tcBorders>
              <w:top w:val="single" w:sz="4" w:space="0" w:color="auto"/>
            </w:tcBorders>
            <w:shd w:val="clear" w:color="auto" w:fill="auto"/>
            <w:tcMar>
              <w:top w:w="113" w:type="dxa"/>
              <w:left w:w="85" w:type="dxa"/>
              <w:bottom w:w="113" w:type="dxa"/>
              <w:right w:w="85" w:type="dxa"/>
            </w:tcMar>
            <w:vAlign w:val="bottom"/>
          </w:tcPr>
          <w:p w14:paraId="293A84CA" w14:textId="77777777" w:rsidR="00F14851" w:rsidRPr="003C44C7" w:rsidRDefault="00F14851" w:rsidP="008E16C0">
            <w:pPr>
              <w:pStyle w:val="TableText"/>
            </w:pPr>
            <w:r w:rsidRPr="003C44C7">
              <w:t>Clindamycin</w:t>
            </w:r>
          </w:p>
        </w:tc>
        <w:tc>
          <w:tcPr>
            <w:tcW w:w="1341" w:type="dxa"/>
            <w:tcBorders>
              <w:top w:val="single" w:sz="4" w:space="0" w:color="auto"/>
            </w:tcBorders>
            <w:shd w:val="clear" w:color="auto" w:fill="auto"/>
            <w:tcMar>
              <w:top w:w="113" w:type="dxa"/>
              <w:left w:w="510" w:type="dxa"/>
              <w:bottom w:w="113" w:type="dxa"/>
              <w:right w:w="85" w:type="dxa"/>
            </w:tcMar>
            <w:vAlign w:val="bottom"/>
          </w:tcPr>
          <w:p w14:paraId="4505030A" w14:textId="77777777" w:rsidR="00F14851" w:rsidRPr="003C44C7" w:rsidRDefault="00F14851" w:rsidP="008E16C0">
            <w:pPr>
              <w:pStyle w:val="TableText"/>
            </w:pPr>
            <w:r w:rsidRPr="003C44C7">
              <w:t>1.2</w:t>
            </w:r>
          </w:p>
        </w:tc>
        <w:tc>
          <w:tcPr>
            <w:tcW w:w="1186" w:type="dxa"/>
            <w:tcBorders>
              <w:top w:val="single" w:sz="4" w:space="0" w:color="auto"/>
            </w:tcBorders>
            <w:shd w:val="clear" w:color="auto" w:fill="auto"/>
            <w:tcMar>
              <w:top w:w="113" w:type="dxa"/>
              <w:left w:w="85" w:type="dxa"/>
              <w:bottom w:w="113" w:type="dxa"/>
              <w:right w:w="85" w:type="dxa"/>
            </w:tcMar>
            <w:vAlign w:val="bottom"/>
          </w:tcPr>
          <w:p w14:paraId="6C525F50" w14:textId="77777777" w:rsidR="00F14851" w:rsidRPr="003C44C7" w:rsidRDefault="00F14851" w:rsidP="008E16C0">
            <w:pPr>
              <w:pStyle w:val="TableText"/>
            </w:pPr>
            <w:r w:rsidRPr="003C44C7">
              <w:t>O</w:t>
            </w:r>
          </w:p>
        </w:tc>
      </w:tr>
      <w:tr w:rsidR="00F14851" w:rsidRPr="003C44C7" w14:paraId="03304810" w14:textId="77777777" w:rsidTr="008E16C0">
        <w:trPr>
          <w:trHeight w:val="255"/>
        </w:trPr>
        <w:tc>
          <w:tcPr>
            <w:tcW w:w="2149" w:type="dxa"/>
            <w:shd w:val="clear" w:color="auto" w:fill="auto"/>
            <w:tcMar>
              <w:top w:w="113" w:type="dxa"/>
              <w:left w:w="85" w:type="dxa"/>
              <w:bottom w:w="113" w:type="dxa"/>
              <w:right w:w="85" w:type="dxa"/>
            </w:tcMar>
            <w:vAlign w:val="bottom"/>
          </w:tcPr>
          <w:p w14:paraId="61E277FD" w14:textId="77777777" w:rsidR="00F14851" w:rsidRPr="003C44C7" w:rsidRDefault="00F14851" w:rsidP="008E16C0">
            <w:pPr>
              <w:pStyle w:val="TableText"/>
            </w:pPr>
            <w:r w:rsidRPr="003C44C7">
              <w:t>J01FF01</w:t>
            </w:r>
          </w:p>
        </w:tc>
        <w:tc>
          <w:tcPr>
            <w:tcW w:w="4952" w:type="dxa"/>
            <w:shd w:val="clear" w:color="auto" w:fill="auto"/>
            <w:tcMar>
              <w:top w:w="113" w:type="dxa"/>
              <w:left w:w="85" w:type="dxa"/>
              <w:bottom w:w="113" w:type="dxa"/>
              <w:right w:w="85" w:type="dxa"/>
            </w:tcMar>
            <w:vAlign w:val="bottom"/>
          </w:tcPr>
          <w:p w14:paraId="48221767" w14:textId="77777777" w:rsidR="00F14851" w:rsidRPr="003C44C7" w:rsidRDefault="00F14851" w:rsidP="008E16C0">
            <w:pPr>
              <w:pStyle w:val="TableText"/>
            </w:pPr>
            <w:r w:rsidRPr="003C44C7">
              <w:t>Clindamycin</w:t>
            </w:r>
          </w:p>
        </w:tc>
        <w:tc>
          <w:tcPr>
            <w:tcW w:w="1341" w:type="dxa"/>
            <w:shd w:val="clear" w:color="auto" w:fill="auto"/>
            <w:tcMar>
              <w:top w:w="113" w:type="dxa"/>
              <w:left w:w="510" w:type="dxa"/>
              <w:bottom w:w="113" w:type="dxa"/>
              <w:right w:w="85" w:type="dxa"/>
            </w:tcMar>
            <w:vAlign w:val="bottom"/>
          </w:tcPr>
          <w:p w14:paraId="5EE892DF" w14:textId="77777777" w:rsidR="00F14851" w:rsidRPr="003C44C7" w:rsidRDefault="00F14851" w:rsidP="008E16C0">
            <w:pPr>
              <w:pStyle w:val="TableText"/>
            </w:pPr>
            <w:r w:rsidRPr="003C44C7">
              <w:t>1.8</w:t>
            </w:r>
          </w:p>
        </w:tc>
        <w:tc>
          <w:tcPr>
            <w:tcW w:w="1186" w:type="dxa"/>
            <w:shd w:val="clear" w:color="auto" w:fill="auto"/>
            <w:tcMar>
              <w:top w:w="113" w:type="dxa"/>
              <w:left w:w="85" w:type="dxa"/>
              <w:bottom w:w="113" w:type="dxa"/>
              <w:right w:w="85" w:type="dxa"/>
            </w:tcMar>
            <w:vAlign w:val="bottom"/>
          </w:tcPr>
          <w:p w14:paraId="1B5767A8" w14:textId="77777777" w:rsidR="00F14851" w:rsidRPr="003C44C7" w:rsidRDefault="00F14851" w:rsidP="008E16C0">
            <w:pPr>
              <w:pStyle w:val="TableText"/>
            </w:pPr>
            <w:r w:rsidRPr="003C44C7">
              <w:t>P</w:t>
            </w:r>
          </w:p>
        </w:tc>
      </w:tr>
      <w:tr w:rsidR="00F14851" w:rsidRPr="003C44C7" w14:paraId="58F24B18" w14:textId="77777777" w:rsidTr="00760E1E">
        <w:trPr>
          <w:trHeight w:val="255"/>
        </w:trPr>
        <w:tc>
          <w:tcPr>
            <w:tcW w:w="2149" w:type="dxa"/>
            <w:tcBorders>
              <w:bottom w:val="single" w:sz="4" w:space="0" w:color="auto"/>
            </w:tcBorders>
            <w:shd w:val="clear" w:color="auto" w:fill="auto"/>
            <w:tcMar>
              <w:top w:w="113" w:type="dxa"/>
              <w:left w:w="85" w:type="dxa"/>
              <w:bottom w:w="113" w:type="dxa"/>
              <w:right w:w="85" w:type="dxa"/>
            </w:tcMar>
            <w:vAlign w:val="bottom"/>
          </w:tcPr>
          <w:p w14:paraId="6E4951D8" w14:textId="77777777" w:rsidR="00F14851" w:rsidRPr="003C44C7" w:rsidRDefault="00F14851" w:rsidP="008E16C0">
            <w:pPr>
              <w:pStyle w:val="TableText"/>
            </w:pPr>
            <w:r w:rsidRPr="003C44C7">
              <w:t>J01FF02</w:t>
            </w:r>
          </w:p>
        </w:tc>
        <w:tc>
          <w:tcPr>
            <w:tcW w:w="4952" w:type="dxa"/>
            <w:tcBorders>
              <w:bottom w:val="single" w:sz="4" w:space="0" w:color="auto"/>
            </w:tcBorders>
            <w:shd w:val="clear" w:color="auto" w:fill="auto"/>
            <w:tcMar>
              <w:top w:w="113" w:type="dxa"/>
              <w:left w:w="85" w:type="dxa"/>
              <w:bottom w:w="113" w:type="dxa"/>
              <w:right w:w="85" w:type="dxa"/>
            </w:tcMar>
            <w:vAlign w:val="bottom"/>
          </w:tcPr>
          <w:p w14:paraId="0DD5C8FB" w14:textId="77777777" w:rsidR="00F14851" w:rsidRPr="003C44C7" w:rsidRDefault="00F14851" w:rsidP="008E16C0">
            <w:pPr>
              <w:pStyle w:val="TableText"/>
            </w:pPr>
            <w:r w:rsidRPr="003C44C7">
              <w:t>Lincomycin</w:t>
            </w:r>
          </w:p>
        </w:tc>
        <w:tc>
          <w:tcPr>
            <w:tcW w:w="1341" w:type="dxa"/>
            <w:tcBorders>
              <w:bottom w:val="single" w:sz="4" w:space="0" w:color="auto"/>
            </w:tcBorders>
            <w:shd w:val="clear" w:color="auto" w:fill="auto"/>
            <w:tcMar>
              <w:top w:w="113" w:type="dxa"/>
              <w:left w:w="510" w:type="dxa"/>
              <w:bottom w:w="113" w:type="dxa"/>
              <w:right w:w="85" w:type="dxa"/>
            </w:tcMar>
            <w:vAlign w:val="bottom"/>
          </w:tcPr>
          <w:p w14:paraId="5D8BF2D0" w14:textId="77777777" w:rsidR="00F14851" w:rsidRPr="003C44C7" w:rsidRDefault="00F14851" w:rsidP="008E16C0">
            <w:pPr>
              <w:pStyle w:val="TableText"/>
            </w:pPr>
            <w:r w:rsidRPr="003C44C7">
              <w:t>1.8</w:t>
            </w:r>
          </w:p>
        </w:tc>
        <w:tc>
          <w:tcPr>
            <w:tcW w:w="1186" w:type="dxa"/>
            <w:tcBorders>
              <w:bottom w:val="single" w:sz="4" w:space="0" w:color="auto"/>
            </w:tcBorders>
            <w:shd w:val="clear" w:color="auto" w:fill="auto"/>
            <w:tcMar>
              <w:top w:w="113" w:type="dxa"/>
              <w:left w:w="85" w:type="dxa"/>
              <w:bottom w:w="113" w:type="dxa"/>
              <w:right w:w="85" w:type="dxa"/>
            </w:tcMar>
            <w:vAlign w:val="bottom"/>
          </w:tcPr>
          <w:p w14:paraId="5CEF0727" w14:textId="77777777" w:rsidR="00F14851" w:rsidRPr="003C44C7" w:rsidRDefault="00F14851" w:rsidP="008E16C0">
            <w:pPr>
              <w:pStyle w:val="TableText"/>
            </w:pPr>
            <w:r w:rsidRPr="003C44C7">
              <w:t>O, P</w:t>
            </w:r>
          </w:p>
        </w:tc>
      </w:tr>
      <w:tr w:rsidR="00F14851" w:rsidRPr="003C44C7" w14:paraId="1F42E2C3" w14:textId="77777777" w:rsidTr="00760E1E">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6237AF15" w14:textId="77777777" w:rsidR="00F14851" w:rsidRPr="003C44C7" w:rsidRDefault="00F14851" w:rsidP="008E16C0">
            <w:pPr>
              <w:pStyle w:val="TableText"/>
              <w:rPr>
                <w:i/>
              </w:rPr>
            </w:pPr>
            <w:r w:rsidRPr="003C44C7">
              <w:rPr>
                <w:i/>
              </w:rPr>
              <w:t>J01FG</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0D44B0E4" w14:textId="77777777" w:rsidR="00F14851" w:rsidRPr="003C44C7" w:rsidRDefault="00F14851" w:rsidP="008E16C0">
            <w:pPr>
              <w:pStyle w:val="TableText"/>
              <w:rPr>
                <w:i/>
              </w:rPr>
            </w:pPr>
            <w:r w:rsidRPr="003C44C7">
              <w:rPr>
                <w:i/>
              </w:rPr>
              <w:t>Streptogramins</w:t>
            </w:r>
          </w:p>
        </w:tc>
      </w:tr>
      <w:tr w:rsidR="00F14851" w:rsidRPr="003C44C7" w14:paraId="19C794AD" w14:textId="77777777" w:rsidTr="00760E1E">
        <w:trPr>
          <w:trHeight w:val="255"/>
        </w:trPr>
        <w:tc>
          <w:tcPr>
            <w:tcW w:w="2149" w:type="dxa"/>
            <w:tcBorders>
              <w:top w:val="single" w:sz="4" w:space="0" w:color="auto"/>
            </w:tcBorders>
            <w:shd w:val="clear" w:color="auto" w:fill="auto"/>
            <w:tcMar>
              <w:top w:w="113" w:type="dxa"/>
              <w:left w:w="85" w:type="dxa"/>
              <w:bottom w:w="113" w:type="dxa"/>
              <w:right w:w="85" w:type="dxa"/>
            </w:tcMar>
            <w:vAlign w:val="bottom"/>
          </w:tcPr>
          <w:p w14:paraId="640214B3" w14:textId="77777777" w:rsidR="00F14851" w:rsidRPr="003C44C7" w:rsidRDefault="00F14851" w:rsidP="008E16C0">
            <w:pPr>
              <w:pStyle w:val="TableText"/>
            </w:pPr>
            <w:r w:rsidRPr="003C44C7">
              <w:t>J01FG01</w:t>
            </w:r>
          </w:p>
        </w:tc>
        <w:tc>
          <w:tcPr>
            <w:tcW w:w="4952" w:type="dxa"/>
            <w:tcBorders>
              <w:top w:val="single" w:sz="4" w:space="0" w:color="auto"/>
            </w:tcBorders>
            <w:shd w:val="clear" w:color="auto" w:fill="auto"/>
            <w:tcMar>
              <w:top w:w="113" w:type="dxa"/>
              <w:left w:w="85" w:type="dxa"/>
              <w:bottom w:w="113" w:type="dxa"/>
              <w:right w:w="85" w:type="dxa"/>
            </w:tcMar>
            <w:vAlign w:val="bottom"/>
          </w:tcPr>
          <w:p w14:paraId="3EE10A44" w14:textId="77777777" w:rsidR="00F14851" w:rsidRPr="003C44C7" w:rsidRDefault="00F14851" w:rsidP="008E16C0">
            <w:pPr>
              <w:pStyle w:val="TableText"/>
            </w:pPr>
            <w:r w:rsidRPr="003C44C7">
              <w:t>Pristinamycin</w:t>
            </w:r>
          </w:p>
        </w:tc>
        <w:tc>
          <w:tcPr>
            <w:tcW w:w="1341" w:type="dxa"/>
            <w:tcBorders>
              <w:top w:val="single" w:sz="4" w:space="0" w:color="auto"/>
            </w:tcBorders>
            <w:shd w:val="clear" w:color="auto" w:fill="auto"/>
            <w:tcMar>
              <w:top w:w="113" w:type="dxa"/>
              <w:left w:w="510" w:type="dxa"/>
              <w:bottom w:w="113" w:type="dxa"/>
              <w:right w:w="85" w:type="dxa"/>
            </w:tcMar>
            <w:vAlign w:val="bottom"/>
          </w:tcPr>
          <w:p w14:paraId="5A53BA7A" w14:textId="77777777" w:rsidR="00F14851" w:rsidRPr="003C44C7" w:rsidRDefault="00F14851" w:rsidP="008E16C0">
            <w:pPr>
              <w:pStyle w:val="TableText"/>
            </w:pPr>
            <w:r w:rsidRPr="003C44C7">
              <w:t>2</w:t>
            </w:r>
          </w:p>
        </w:tc>
        <w:tc>
          <w:tcPr>
            <w:tcW w:w="1186" w:type="dxa"/>
            <w:tcBorders>
              <w:top w:val="single" w:sz="4" w:space="0" w:color="auto"/>
            </w:tcBorders>
            <w:shd w:val="clear" w:color="auto" w:fill="auto"/>
            <w:tcMar>
              <w:top w:w="113" w:type="dxa"/>
              <w:left w:w="85" w:type="dxa"/>
              <w:bottom w:w="113" w:type="dxa"/>
              <w:right w:w="85" w:type="dxa"/>
            </w:tcMar>
            <w:vAlign w:val="bottom"/>
          </w:tcPr>
          <w:p w14:paraId="5925CA1D" w14:textId="77777777" w:rsidR="00F14851" w:rsidRPr="003C44C7" w:rsidRDefault="00F14851" w:rsidP="008E16C0">
            <w:pPr>
              <w:pStyle w:val="TableText"/>
            </w:pPr>
            <w:r w:rsidRPr="003C44C7">
              <w:t>O</w:t>
            </w:r>
          </w:p>
        </w:tc>
      </w:tr>
      <w:tr w:rsidR="00F14851" w:rsidRPr="003C44C7" w14:paraId="26EFDD82" w14:textId="77777777" w:rsidTr="00760E1E">
        <w:trPr>
          <w:trHeight w:val="255"/>
        </w:trPr>
        <w:tc>
          <w:tcPr>
            <w:tcW w:w="2149" w:type="dxa"/>
            <w:tcBorders>
              <w:bottom w:val="single" w:sz="4" w:space="0" w:color="auto"/>
            </w:tcBorders>
            <w:shd w:val="clear" w:color="auto" w:fill="auto"/>
            <w:tcMar>
              <w:top w:w="113" w:type="dxa"/>
              <w:left w:w="85" w:type="dxa"/>
              <w:bottom w:w="113" w:type="dxa"/>
              <w:right w:w="85" w:type="dxa"/>
            </w:tcMar>
            <w:vAlign w:val="bottom"/>
          </w:tcPr>
          <w:p w14:paraId="189F7808" w14:textId="77777777" w:rsidR="00F14851" w:rsidRPr="003C44C7" w:rsidRDefault="00F14851" w:rsidP="008E16C0">
            <w:pPr>
              <w:pStyle w:val="TableText"/>
            </w:pPr>
            <w:r w:rsidRPr="003C44C7">
              <w:t>J01FG02</w:t>
            </w:r>
          </w:p>
        </w:tc>
        <w:tc>
          <w:tcPr>
            <w:tcW w:w="4952" w:type="dxa"/>
            <w:tcBorders>
              <w:bottom w:val="single" w:sz="4" w:space="0" w:color="auto"/>
            </w:tcBorders>
            <w:shd w:val="clear" w:color="auto" w:fill="auto"/>
            <w:tcMar>
              <w:top w:w="113" w:type="dxa"/>
              <w:left w:w="85" w:type="dxa"/>
              <w:bottom w:w="113" w:type="dxa"/>
              <w:right w:w="85" w:type="dxa"/>
            </w:tcMar>
            <w:vAlign w:val="bottom"/>
          </w:tcPr>
          <w:p w14:paraId="38CC93D0" w14:textId="77777777" w:rsidR="00F14851" w:rsidRPr="003C44C7" w:rsidRDefault="00F14851" w:rsidP="008E16C0">
            <w:pPr>
              <w:pStyle w:val="TableText"/>
            </w:pPr>
            <w:r w:rsidRPr="003C44C7">
              <w:t>Quinupristin/dalfopristin</w:t>
            </w:r>
          </w:p>
        </w:tc>
        <w:tc>
          <w:tcPr>
            <w:tcW w:w="1341" w:type="dxa"/>
            <w:tcBorders>
              <w:bottom w:val="single" w:sz="4" w:space="0" w:color="auto"/>
            </w:tcBorders>
            <w:shd w:val="clear" w:color="auto" w:fill="auto"/>
            <w:tcMar>
              <w:top w:w="113" w:type="dxa"/>
              <w:left w:w="510" w:type="dxa"/>
              <w:bottom w:w="113" w:type="dxa"/>
              <w:right w:w="85" w:type="dxa"/>
            </w:tcMar>
            <w:vAlign w:val="bottom"/>
          </w:tcPr>
          <w:p w14:paraId="1B4F624A" w14:textId="77777777" w:rsidR="00F14851" w:rsidRPr="003C44C7" w:rsidRDefault="00F14851" w:rsidP="008E16C0">
            <w:pPr>
              <w:pStyle w:val="TableText"/>
            </w:pPr>
            <w:r w:rsidRPr="003C44C7">
              <w:t>1.5</w:t>
            </w:r>
          </w:p>
        </w:tc>
        <w:tc>
          <w:tcPr>
            <w:tcW w:w="1186" w:type="dxa"/>
            <w:tcBorders>
              <w:bottom w:val="single" w:sz="4" w:space="0" w:color="auto"/>
            </w:tcBorders>
            <w:shd w:val="clear" w:color="auto" w:fill="auto"/>
            <w:tcMar>
              <w:top w:w="113" w:type="dxa"/>
              <w:left w:w="85" w:type="dxa"/>
              <w:bottom w:w="113" w:type="dxa"/>
              <w:right w:w="85" w:type="dxa"/>
            </w:tcMar>
            <w:vAlign w:val="bottom"/>
          </w:tcPr>
          <w:p w14:paraId="4F7A6E8C" w14:textId="77777777" w:rsidR="00F14851" w:rsidRPr="003C44C7" w:rsidRDefault="00F14851" w:rsidP="008E16C0">
            <w:pPr>
              <w:pStyle w:val="TableText"/>
            </w:pPr>
            <w:r w:rsidRPr="003C44C7">
              <w:t>P</w:t>
            </w:r>
          </w:p>
        </w:tc>
      </w:tr>
      <w:tr w:rsidR="00F14851" w:rsidRPr="003C44C7" w14:paraId="2093ABFE" w14:textId="77777777" w:rsidTr="00760E1E">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5B11863D" w14:textId="77777777" w:rsidR="00F14851" w:rsidRPr="003C44C7" w:rsidRDefault="00F14851" w:rsidP="008E16C0">
            <w:pPr>
              <w:pStyle w:val="TableText"/>
              <w:rPr>
                <w:b/>
              </w:rPr>
            </w:pPr>
            <w:r w:rsidRPr="003C44C7">
              <w:rPr>
                <w:b/>
              </w:rPr>
              <w:t>J01GB</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4A57ACF9" w14:textId="77777777" w:rsidR="00F14851" w:rsidRPr="003C44C7" w:rsidRDefault="00F14851" w:rsidP="008E16C0">
            <w:pPr>
              <w:pStyle w:val="TableText"/>
              <w:rPr>
                <w:b/>
              </w:rPr>
            </w:pPr>
            <w:r w:rsidRPr="003C44C7">
              <w:rPr>
                <w:b/>
              </w:rPr>
              <w:t>Aminoglycoside antibacterials</w:t>
            </w:r>
          </w:p>
        </w:tc>
      </w:tr>
      <w:tr w:rsidR="00F14851" w:rsidRPr="003C44C7" w14:paraId="46309654" w14:textId="77777777" w:rsidTr="00760E1E">
        <w:trPr>
          <w:trHeight w:val="319"/>
        </w:trPr>
        <w:tc>
          <w:tcPr>
            <w:tcW w:w="2149" w:type="dxa"/>
            <w:tcBorders>
              <w:top w:val="single" w:sz="4" w:space="0" w:color="auto"/>
            </w:tcBorders>
            <w:shd w:val="clear" w:color="auto" w:fill="auto"/>
            <w:tcMar>
              <w:top w:w="113" w:type="dxa"/>
              <w:left w:w="85" w:type="dxa"/>
              <w:bottom w:w="113" w:type="dxa"/>
              <w:right w:w="85" w:type="dxa"/>
            </w:tcMar>
            <w:vAlign w:val="bottom"/>
          </w:tcPr>
          <w:p w14:paraId="5C39F973" w14:textId="77777777" w:rsidR="00F14851" w:rsidRPr="003C44C7" w:rsidRDefault="00F14851" w:rsidP="008E16C0">
            <w:pPr>
              <w:pStyle w:val="TableText"/>
            </w:pPr>
            <w:r w:rsidRPr="003C44C7">
              <w:t>J01GB01</w:t>
            </w:r>
          </w:p>
        </w:tc>
        <w:tc>
          <w:tcPr>
            <w:tcW w:w="4952" w:type="dxa"/>
            <w:tcBorders>
              <w:top w:val="single" w:sz="4" w:space="0" w:color="auto"/>
            </w:tcBorders>
            <w:shd w:val="clear" w:color="auto" w:fill="auto"/>
            <w:tcMar>
              <w:top w:w="113" w:type="dxa"/>
              <w:left w:w="85" w:type="dxa"/>
              <w:bottom w:w="113" w:type="dxa"/>
              <w:right w:w="85" w:type="dxa"/>
            </w:tcMar>
            <w:vAlign w:val="bottom"/>
          </w:tcPr>
          <w:p w14:paraId="3723AA3D" w14:textId="77777777" w:rsidR="00F14851" w:rsidRPr="003C44C7" w:rsidRDefault="00F14851" w:rsidP="008E16C0">
            <w:pPr>
              <w:pStyle w:val="TableText"/>
            </w:pPr>
            <w:r w:rsidRPr="003C44C7">
              <w:t>Tobramycin</w:t>
            </w:r>
          </w:p>
        </w:tc>
        <w:tc>
          <w:tcPr>
            <w:tcW w:w="1341" w:type="dxa"/>
            <w:tcBorders>
              <w:top w:val="single" w:sz="4" w:space="0" w:color="auto"/>
            </w:tcBorders>
            <w:shd w:val="clear" w:color="auto" w:fill="auto"/>
            <w:tcMar>
              <w:top w:w="113" w:type="dxa"/>
              <w:left w:w="510" w:type="dxa"/>
              <w:bottom w:w="113" w:type="dxa"/>
              <w:right w:w="85" w:type="dxa"/>
            </w:tcMar>
            <w:vAlign w:val="bottom"/>
          </w:tcPr>
          <w:p w14:paraId="6E46AA7E" w14:textId="77777777" w:rsidR="00F14851" w:rsidRPr="003C44C7" w:rsidRDefault="00F14851" w:rsidP="008E16C0">
            <w:pPr>
              <w:pStyle w:val="TableText"/>
            </w:pPr>
            <w:r w:rsidRPr="003C44C7">
              <w:t>0.24</w:t>
            </w:r>
          </w:p>
        </w:tc>
        <w:tc>
          <w:tcPr>
            <w:tcW w:w="1186" w:type="dxa"/>
            <w:tcBorders>
              <w:top w:val="single" w:sz="4" w:space="0" w:color="auto"/>
            </w:tcBorders>
            <w:shd w:val="clear" w:color="auto" w:fill="auto"/>
            <w:tcMar>
              <w:top w:w="113" w:type="dxa"/>
              <w:left w:w="85" w:type="dxa"/>
              <w:bottom w:w="113" w:type="dxa"/>
              <w:right w:w="85" w:type="dxa"/>
            </w:tcMar>
            <w:vAlign w:val="bottom"/>
          </w:tcPr>
          <w:p w14:paraId="280796CA" w14:textId="77777777" w:rsidR="00F14851" w:rsidRPr="003C44C7" w:rsidRDefault="00F14851" w:rsidP="008E16C0">
            <w:pPr>
              <w:pStyle w:val="TableText"/>
            </w:pPr>
            <w:r w:rsidRPr="003C44C7">
              <w:t>P</w:t>
            </w:r>
          </w:p>
        </w:tc>
      </w:tr>
      <w:tr w:rsidR="00F14851" w:rsidRPr="003C44C7" w14:paraId="5CD15361" w14:textId="77777777" w:rsidTr="008E16C0">
        <w:trPr>
          <w:trHeight w:val="255"/>
        </w:trPr>
        <w:tc>
          <w:tcPr>
            <w:tcW w:w="2149" w:type="dxa"/>
            <w:shd w:val="clear" w:color="auto" w:fill="auto"/>
            <w:tcMar>
              <w:top w:w="113" w:type="dxa"/>
              <w:left w:w="85" w:type="dxa"/>
              <w:bottom w:w="113" w:type="dxa"/>
              <w:right w:w="85" w:type="dxa"/>
            </w:tcMar>
            <w:vAlign w:val="bottom"/>
          </w:tcPr>
          <w:p w14:paraId="5103F147" w14:textId="77777777" w:rsidR="00F14851" w:rsidRPr="003C44C7" w:rsidRDefault="00F14851" w:rsidP="008E16C0">
            <w:pPr>
              <w:pStyle w:val="TableText"/>
            </w:pPr>
            <w:r w:rsidRPr="003C44C7">
              <w:t>J01GB01</w:t>
            </w:r>
          </w:p>
        </w:tc>
        <w:tc>
          <w:tcPr>
            <w:tcW w:w="4952" w:type="dxa"/>
            <w:shd w:val="clear" w:color="auto" w:fill="auto"/>
            <w:tcMar>
              <w:top w:w="113" w:type="dxa"/>
              <w:left w:w="85" w:type="dxa"/>
              <w:bottom w:w="113" w:type="dxa"/>
              <w:right w:w="85" w:type="dxa"/>
            </w:tcMar>
            <w:vAlign w:val="bottom"/>
          </w:tcPr>
          <w:p w14:paraId="1F4C05B0" w14:textId="77777777" w:rsidR="00F14851" w:rsidRPr="003C44C7" w:rsidRDefault="00F14851" w:rsidP="008E16C0">
            <w:pPr>
              <w:pStyle w:val="TableText"/>
            </w:pPr>
            <w:r w:rsidRPr="003C44C7">
              <w:t>Tobramycin</w:t>
            </w:r>
          </w:p>
        </w:tc>
        <w:tc>
          <w:tcPr>
            <w:tcW w:w="1341" w:type="dxa"/>
            <w:shd w:val="clear" w:color="auto" w:fill="auto"/>
            <w:tcMar>
              <w:top w:w="113" w:type="dxa"/>
              <w:left w:w="510" w:type="dxa"/>
              <w:bottom w:w="113" w:type="dxa"/>
              <w:right w:w="85" w:type="dxa"/>
            </w:tcMar>
            <w:vAlign w:val="bottom"/>
          </w:tcPr>
          <w:p w14:paraId="4283030F" w14:textId="77777777" w:rsidR="00F14851" w:rsidRPr="003C44C7" w:rsidRDefault="00F14851" w:rsidP="008E16C0">
            <w:pPr>
              <w:pStyle w:val="TableText"/>
            </w:pPr>
            <w:r w:rsidRPr="003C44C7">
              <w:t>0.3</w:t>
            </w:r>
          </w:p>
        </w:tc>
        <w:tc>
          <w:tcPr>
            <w:tcW w:w="1186" w:type="dxa"/>
            <w:shd w:val="clear" w:color="auto" w:fill="auto"/>
            <w:tcMar>
              <w:top w:w="113" w:type="dxa"/>
              <w:left w:w="85" w:type="dxa"/>
              <w:bottom w:w="113" w:type="dxa"/>
              <w:right w:w="85" w:type="dxa"/>
            </w:tcMar>
            <w:vAlign w:val="bottom"/>
          </w:tcPr>
          <w:p w14:paraId="37193349" w14:textId="77777777" w:rsidR="00F14851" w:rsidRPr="003C44C7" w:rsidRDefault="00F14851" w:rsidP="008E16C0">
            <w:pPr>
              <w:pStyle w:val="TableText"/>
            </w:pPr>
            <w:r w:rsidRPr="003C44C7">
              <w:t>Inh solution</w:t>
            </w:r>
          </w:p>
        </w:tc>
      </w:tr>
      <w:tr w:rsidR="00F14851" w:rsidRPr="003C44C7" w14:paraId="4E34E5A6" w14:textId="77777777" w:rsidTr="008E16C0">
        <w:trPr>
          <w:trHeight w:val="255"/>
        </w:trPr>
        <w:tc>
          <w:tcPr>
            <w:tcW w:w="2149" w:type="dxa"/>
            <w:shd w:val="clear" w:color="auto" w:fill="auto"/>
            <w:tcMar>
              <w:top w:w="113" w:type="dxa"/>
              <w:left w:w="85" w:type="dxa"/>
              <w:bottom w:w="113" w:type="dxa"/>
              <w:right w:w="85" w:type="dxa"/>
            </w:tcMar>
            <w:vAlign w:val="bottom"/>
          </w:tcPr>
          <w:p w14:paraId="6578A49A" w14:textId="77777777" w:rsidR="00F14851" w:rsidRPr="003C44C7" w:rsidRDefault="00F14851" w:rsidP="008E16C0">
            <w:pPr>
              <w:pStyle w:val="TableText"/>
            </w:pPr>
            <w:r w:rsidRPr="003C44C7">
              <w:t>J01GB01</w:t>
            </w:r>
          </w:p>
        </w:tc>
        <w:tc>
          <w:tcPr>
            <w:tcW w:w="4952" w:type="dxa"/>
            <w:shd w:val="clear" w:color="auto" w:fill="auto"/>
            <w:tcMar>
              <w:top w:w="113" w:type="dxa"/>
              <w:left w:w="85" w:type="dxa"/>
              <w:bottom w:w="113" w:type="dxa"/>
              <w:right w:w="85" w:type="dxa"/>
            </w:tcMar>
            <w:vAlign w:val="bottom"/>
          </w:tcPr>
          <w:p w14:paraId="604F8528" w14:textId="77777777" w:rsidR="00F14851" w:rsidRPr="003C44C7" w:rsidRDefault="00F14851" w:rsidP="008E16C0">
            <w:pPr>
              <w:pStyle w:val="TableText"/>
            </w:pPr>
            <w:r w:rsidRPr="003C44C7">
              <w:t>Tobramycin</w:t>
            </w:r>
          </w:p>
        </w:tc>
        <w:tc>
          <w:tcPr>
            <w:tcW w:w="1341" w:type="dxa"/>
            <w:shd w:val="clear" w:color="auto" w:fill="auto"/>
            <w:tcMar>
              <w:top w:w="113" w:type="dxa"/>
              <w:left w:w="510" w:type="dxa"/>
              <w:bottom w:w="113" w:type="dxa"/>
              <w:right w:w="85" w:type="dxa"/>
            </w:tcMar>
            <w:vAlign w:val="bottom"/>
          </w:tcPr>
          <w:p w14:paraId="65B427DF" w14:textId="77777777" w:rsidR="00F14851" w:rsidRPr="003C44C7" w:rsidRDefault="00F14851" w:rsidP="008E16C0">
            <w:pPr>
              <w:pStyle w:val="TableText"/>
            </w:pPr>
            <w:r w:rsidRPr="003C44C7">
              <w:t>0.112</w:t>
            </w:r>
          </w:p>
        </w:tc>
        <w:tc>
          <w:tcPr>
            <w:tcW w:w="1186" w:type="dxa"/>
            <w:shd w:val="clear" w:color="auto" w:fill="auto"/>
            <w:tcMar>
              <w:top w:w="113" w:type="dxa"/>
              <w:left w:w="85" w:type="dxa"/>
              <w:bottom w:w="113" w:type="dxa"/>
              <w:right w:w="85" w:type="dxa"/>
            </w:tcMar>
            <w:vAlign w:val="bottom"/>
          </w:tcPr>
          <w:p w14:paraId="4B6A75C5" w14:textId="77777777" w:rsidR="00F14851" w:rsidRPr="003C44C7" w:rsidRDefault="00F14851" w:rsidP="008E16C0">
            <w:pPr>
              <w:pStyle w:val="TableText"/>
            </w:pPr>
            <w:r w:rsidRPr="003C44C7">
              <w:t>Inh powder</w:t>
            </w:r>
          </w:p>
        </w:tc>
      </w:tr>
      <w:tr w:rsidR="00F14851" w:rsidRPr="003C44C7" w14:paraId="53C260BC" w14:textId="77777777" w:rsidTr="008E16C0">
        <w:trPr>
          <w:trHeight w:val="255"/>
        </w:trPr>
        <w:tc>
          <w:tcPr>
            <w:tcW w:w="2149" w:type="dxa"/>
            <w:shd w:val="clear" w:color="auto" w:fill="auto"/>
            <w:tcMar>
              <w:top w:w="113" w:type="dxa"/>
              <w:left w:w="85" w:type="dxa"/>
              <w:bottom w:w="113" w:type="dxa"/>
              <w:right w:w="85" w:type="dxa"/>
            </w:tcMar>
            <w:vAlign w:val="bottom"/>
          </w:tcPr>
          <w:p w14:paraId="5E5AFE66" w14:textId="77777777" w:rsidR="00F14851" w:rsidRPr="003C44C7" w:rsidRDefault="00F14851" w:rsidP="008E16C0">
            <w:pPr>
              <w:pStyle w:val="TableText"/>
            </w:pPr>
            <w:r w:rsidRPr="003C44C7">
              <w:t>J01GB03</w:t>
            </w:r>
          </w:p>
        </w:tc>
        <w:tc>
          <w:tcPr>
            <w:tcW w:w="4952" w:type="dxa"/>
            <w:shd w:val="clear" w:color="auto" w:fill="auto"/>
            <w:tcMar>
              <w:top w:w="113" w:type="dxa"/>
              <w:left w:w="85" w:type="dxa"/>
              <w:bottom w:w="113" w:type="dxa"/>
              <w:right w:w="85" w:type="dxa"/>
            </w:tcMar>
            <w:vAlign w:val="bottom"/>
          </w:tcPr>
          <w:p w14:paraId="63DE7AE0" w14:textId="77777777" w:rsidR="00F14851" w:rsidRPr="003C44C7" w:rsidRDefault="00F14851" w:rsidP="008E16C0">
            <w:pPr>
              <w:pStyle w:val="TableText"/>
            </w:pPr>
            <w:r w:rsidRPr="003C44C7">
              <w:t>Gentamicin</w:t>
            </w:r>
          </w:p>
        </w:tc>
        <w:tc>
          <w:tcPr>
            <w:tcW w:w="1341" w:type="dxa"/>
            <w:shd w:val="clear" w:color="auto" w:fill="auto"/>
            <w:tcMar>
              <w:top w:w="113" w:type="dxa"/>
              <w:left w:w="510" w:type="dxa"/>
              <w:bottom w:w="113" w:type="dxa"/>
              <w:right w:w="85" w:type="dxa"/>
            </w:tcMar>
            <w:vAlign w:val="bottom"/>
          </w:tcPr>
          <w:p w14:paraId="691CCBD3" w14:textId="77777777" w:rsidR="00F14851" w:rsidRPr="003C44C7" w:rsidRDefault="00F14851" w:rsidP="008E16C0">
            <w:pPr>
              <w:pStyle w:val="TableText"/>
            </w:pPr>
            <w:r w:rsidRPr="003C44C7">
              <w:t>0.24</w:t>
            </w:r>
          </w:p>
        </w:tc>
        <w:tc>
          <w:tcPr>
            <w:tcW w:w="1186" w:type="dxa"/>
            <w:shd w:val="clear" w:color="auto" w:fill="auto"/>
            <w:tcMar>
              <w:top w:w="113" w:type="dxa"/>
              <w:left w:w="85" w:type="dxa"/>
              <w:bottom w:w="113" w:type="dxa"/>
              <w:right w:w="85" w:type="dxa"/>
            </w:tcMar>
            <w:vAlign w:val="bottom"/>
          </w:tcPr>
          <w:p w14:paraId="10C43F70" w14:textId="77777777" w:rsidR="00F14851" w:rsidRPr="003C44C7" w:rsidRDefault="00F14851" w:rsidP="008E16C0">
            <w:pPr>
              <w:pStyle w:val="TableText"/>
            </w:pPr>
            <w:r w:rsidRPr="003C44C7">
              <w:t>P</w:t>
            </w:r>
          </w:p>
        </w:tc>
      </w:tr>
      <w:tr w:rsidR="00F14851" w:rsidRPr="003C44C7" w14:paraId="6F2343CB" w14:textId="77777777" w:rsidTr="008E16C0">
        <w:trPr>
          <w:trHeight w:val="255"/>
        </w:trPr>
        <w:tc>
          <w:tcPr>
            <w:tcW w:w="2149" w:type="dxa"/>
            <w:shd w:val="clear" w:color="auto" w:fill="auto"/>
            <w:tcMar>
              <w:top w:w="113" w:type="dxa"/>
              <w:left w:w="85" w:type="dxa"/>
              <w:bottom w:w="113" w:type="dxa"/>
              <w:right w:w="85" w:type="dxa"/>
            </w:tcMar>
            <w:vAlign w:val="bottom"/>
          </w:tcPr>
          <w:p w14:paraId="6305FD36" w14:textId="77777777" w:rsidR="00F14851" w:rsidRPr="003C44C7" w:rsidRDefault="00F14851" w:rsidP="008E16C0">
            <w:pPr>
              <w:pStyle w:val="TableText"/>
            </w:pPr>
            <w:r w:rsidRPr="003C44C7">
              <w:t>J01GB05</w:t>
            </w:r>
          </w:p>
        </w:tc>
        <w:tc>
          <w:tcPr>
            <w:tcW w:w="4952" w:type="dxa"/>
            <w:shd w:val="clear" w:color="auto" w:fill="auto"/>
            <w:tcMar>
              <w:top w:w="113" w:type="dxa"/>
              <w:left w:w="85" w:type="dxa"/>
              <w:bottom w:w="113" w:type="dxa"/>
              <w:right w:w="85" w:type="dxa"/>
            </w:tcMar>
            <w:vAlign w:val="bottom"/>
          </w:tcPr>
          <w:p w14:paraId="77CFF68D" w14:textId="77777777" w:rsidR="00F14851" w:rsidRPr="003C44C7" w:rsidRDefault="00F14851" w:rsidP="008E16C0">
            <w:pPr>
              <w:pStyle w:val="TableText"/>
            </w:pPr>
            <w:r w:rsidRPr="003C44C7">
              <w:t>Neomycin</w:t>
            </w:r>
          </w:p>
        </w:tc>
        <w:tc>
          <w:tcPr>
            <w:tcW w:w="1341" w:type="dxa"/>
            <w:shd w:val="clear" w:color="auto" w:fill="auto"/>
            <w:tcMar>
              <w:top w:w="113" w:type="dxa"/>
              <w:left w:w="510" w:type="dxa"/>
              <w:bottom w:w="113" w:type="dxa"/>
              <w:right w:w="85" w:type="dxa"/>
            </w:tcMar>
            <w:vAlign w:val="bottom"/>
          </w:tcPr>
          <w:p w14:paraId="00327BAF" w14:textId="77777777" w:rsidR="00F14851" w:rsidRPr="003C44C7" w:rsidRDefault="00F14851" w:rsidP="008E16C0">
            <w:pPr>
              <w:pStyle w:val="TableText"/>
            </w:pPr>
            <w:r w:rsidRPr="003C44C7">
              <w:t>1</w:t>
            </w:r>
          </w:p>
        </w:tc>
        <w:tc>
          <w:tcPr>
            <w:tcW w:w="1186" w:type="dxa"/>
            <w:shd w:val="clear" w:color="auto" w:fill="auto"/>
            <w:tcMar>
              <w:top w:w="113" w:type="dxa"/>
              <w:left w:w="85" w:type="dxa"/>
              <w:bottom w:w="113" w:type="dxa"/>
              <w:right w:w="85" w:type="dxa"/>
            </w:tcMar>
            <w:vAlign w:val="bottom"/>
          </w:tcPr>
          <w:p w14:paraId="2BBF90D0" w14:textId="77777777" w:rsidR="00F14851" w:rsidRPr="003C44C7" w:rsidRDefault="00F14851" w:rsidP="008E16C0">
            <w:pPr>
              <w:pStyle w:val="TableText"/>
            </w:pPr>
            <w:r w:rsidRPr="003C44C7">
              <w:t>O</w:t>
            </w:r>
          </w:p>
        </w:tc>
      </w:tr>
      <w:tr w:rsidR="00F14851" w:rsidRPr="003C44C7" w14:paraId="6CDA1565" w14:textId="77777777" w:rsidTr="00760E1E">
        <w:trPr>
          <w:trHeight w:val="255"/>
        </w:trPr>
        <w:tc>
          <w:tcPr>
            <w:tcW w:w="2149" w:type="dxa"/>
            <w:tcBorders>
              <w:bottom w:val="single" w:sz="4" w:space="0" w:color="auto"/>
            </w:tcBorders>
            <w:shd w:val="clear" w:color="auto" w:fill="auto"/>
            <w:tcMar>
              <w:top w:w="113" w:type="dxa"/>
              <w:left w:w="85" w:type="dxa"/>
              <w:bottom w:w="113" w:type="dxa"/>
              <w:right w:w="85" w:type="dxa"/>
            </w:tcMar>
            <w:vAlign w:val="bottom"/>
          </w:tcPr>
          <w:p w14:paraId="36ECAEDE" w14:textId="77777777" w:rsidR="00F14851" w:rsidRPr="003C44C7" w:rsidRDefault="00F14851" w:rsidP="008E16C0">
            <w:pPr>
              <w:pStyle w:val="TableText"/>
            </w:pPr>
            <w:r w:rsidRPr="003C44C7">
              <w:t>J01GB06</w:t>
            </w:r>
          </w:p>
        </w:tc>
        <w:tc>
          <w:tcPr>
            <w:tcW w:w="4952" w:type="dxa"/>
            <w:tcBorders>
              <w:bottom w:val="single" w:sz="4" w:space="0" w:color="auto"/>
            </w:tcBorders>
            <w:shd w:val="clear" w:color="auto" w:fill="auto"/>
            <w:tcMar>
              <w:top w:w="113" w:type="dxa"/>
              <w:left w:w="85" w:type="dxa"/>
              <w:bottom w:w="113" w:type="dxa"/>
              <w:right w:w="85" w:type="dxa"/>
            </w:tcMar>
            <w:vAlign w:val="bottom"/>
          </w:tcPr>
          <w:p w14:paraId="30FD58AF" w14:textId="77777777" w:rsidR="00F14851" w:rsidRPr="003C44C7" w:rsidRDefault="00F14851" w:rsidP="008E16C0">
            <w:pPr>
              <w:pStyle w:val="TableText"/>
            </w:pPr>
            <w:r w:rsidRPr="003C44C7">
              <w:t>Amikacin</w:t>
            </w:r>
          </w:p>
        </w:tc>
        <w:tc>
          <w:tcPr>
            <w:tcW w:w="1341" w:type="dxa"/>
            <w:tcBorders>
              <w:bottom w:val="single" w:sz="4" w:space="0" w:color="auto"/>
            </w:tcBorders>
            <w:shd w:val="clear" w:color="auto" w:fill="auto"/>
            <w:tcMar>
              <w:top w:w="113" w:type="dxa"/>
              <w:left w:w="510" w:type="dxa"/>
              <w:bottom w:w="113" w:type="dxa"/>
              <w:right w:w="85" w:type="dxa"/>
            </w:tcMar>
            <w:vAlign w:val="bottom"/>
          </w:tcPr>
          <w:p w14:paraId="024009D8" w14:textId="77777777" w:rsidR="00F14851" w:rsidRPr="003C44C7" w:rsidRDefault="00F14851" w:rsidP="008E16C0">
            <w:pPr>
              <w:pStyle w:val="TableText"/>
            </w:pPr>
            <w:r w:rsidRPr="003C44C7">
              <w:t>1</w:t>
            </w:r>
          </w:p>
        </w:tc>
        <w:tc>
          <w:tcPr>
            <w:tcW w:w="1186" w:type="dxa"/>
            <w:tcBorders>
              <w:bottom w:val="single" w:sz="4" w:space="0" w:color="auto"/>
            </w:tcBorders>
            <w:shd w:val="clear" w:color="auto" w:fill="auto"/>
            <w:tcMar>
              <w:top w:w="113" w:type="dxa"/>
              <w:left w:w="85" w:type="dxa"/>
              <w:bottom w:w="113" w:type="dxa"/>
              <w:right w:w="85" w:type="dxa"/>
            </w:tcMar>
            <w:vAlign w:val="bottom"/>
          </w:tcPr>
          <w:p w14:paraId="6DC655E5" w14:textId="77777777" w:rsidR="00F14851" w:rsidRPr="003C44C7" w:rsidRDefault="00F14851" w:rsidP="008E16C0">
            <w:pPr>
              <w:pStyle w:val="TableText"/>
            </w:pPr>
            <w:r w:rsidRPr="003C44C7">
              <w:t>P</w:t>
            </w:r>
          </w:p>
        </w:tc>
      </w:tr>
      <w:tr w:rsidR="00F14851" w:rsidRPr="003C44C7" w14:paraId="636B274C" w14:textId="77777777" w:rsidTr="00760E1E">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0573C77F" w14:textId="77777777" w:rsidR="00F14851" w:rsidRPr="003C44C7" w:rsidRDefault="00F14851" w:rsidP="008E16C0">
            <w:pPr>
              <w:pStyle w:val="TableText"/>
              <w:rPr>
                <w:b/>
              </w:rPr>
            </w:pPr>
            <w:r w:rsidRPr="003C44C7">
              <w:rPr>
                <w:b/>
              </w:rPr>
              <w:t>J01MA</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45B8F3BB" w14:textId="77777777" w:rsidR="00F14851" w:rsidRPr="003C44C7" w:rsidRDefault="00F14851" w:rsidP="008E16C0">
            <w:pPr>
              <w:pStyle w:val="TableText"/>
              <w:rPr>
                <w:b/>
              </w:rPr>
            </w:pPr>
            <w:r w:rsidRPr="003C44C7">
              <w:rPr>
                <w:b/>
              </w:rPr>
              <w:t>Quinolone antibacterials</w:t>
            </w:r>
          </w:p>
        </w:tc>
      </w:tr>
      <w:tr w:rsidR="00F14851" w:rsidRPr="003C44C7" w14:paraId="336816A8" w14:textId="77777777" w:rsidTr="00760E1E">
        <w:trPr>
          <w:trHeight w:val="255"/>
        </w:trPr>
        <w:tc>
          <w:tcPr>
            <w:tcW w:w="2149" w:type="dxa"/>
            <w:tcBorders>
              <w:top w:val="single" w:sz="4" w:space="0" w:color="auto"/>
            </w:tcBorders>
            <w:shd w:val="clear" w:color="auto" w:fill="auto"/>
            <w:tcMar>
              <w:top w:w="113" w:type="dxa"/>
              <w:left w:w="85" w:type="dxa"/>
              <w:bottom w:w="113" w:type="dxa"/>
              <w:right w:w="85" w:type="dxa"/>
            </w:tcMar>
            <w:vAlign w:val="bottom"/>
          </w:tcPr>
          <w:p w14:paraId="20CF6AB3" w14:textId="77777777" w:rsidR="00F14851" w:rsidRPr="003C44C7" w:rsidRDefault="00F14851" w:rsidP="008E16C0">
            <w:pPr>
              <w:pStyle w:val="TableText"/>
            </w:pPr>
            <w:r w:rsidRPr="003C44C7">
              <w:t>J01MA01</w:t>
            </w:r>
          </w:p>
        </w:tc>
        <w:tc>
          <w:tcPr>
            <w:tcW w:w="4952" w:type="dxa"/>
            <w:tcBorders>
              <w:top w:val="single" w:sz="4" w:space="0" w:color="auto"/>
            </w:tcBorders>
            <w:shd w:val="clear" w:color="auto" w:fill="auto"/>
            <w:tcMar>
              <w:top w:w="113" w:type="dxa"/>
              <w:left w:w="85" w:type="dxa"/>
              <w:bottom w:w="113" w:type="dxa"/>
              <w:right w:w="85" w:type="dxa"/>
            </w:tcMar>
            <w:vAlign w:val="bottom"/>
          </w:tcPr>
          <w:p w14:paraId="503D1192" w14:textId="77777777" w:rsidR="00F14851" w:rsidRPr="003C44C7" w:rsidRDefault="00F14851" w:rsidP="008E16C0">
            <w:pPr>
              <w:pStyle w:val="TableText"/>
            </w:pPr>
            <w:r w:rsidRPr="003C44C7">
              <w:t>Ofloxacin (oral product not marketed in Australia but available through Special Access Scheme)</w:t>
            </w:r>
          </w:p>
        </w:tc>
        <w:tc>
          <w:tcPr>
            <w:tcW w:w="1341" w:type="dxa"/>
            <w:tcBorders>
              <w:top w:val="single" w:sz="4" w:space="0" w:color="auto"/>
            </w:tcBorders>
            <w:shd w:val="clear" w:color="auto" w:fill="auto"/>
            <w:tcMar>
              <w:top w:w="113" w:type="dxa"/>
              <w:left w:w="510" w:type="dxa"/>
              <w:bottom w:w="113" w:type="dxa"/>
              <w:right w:w="85" w:type="dxa"/>
            </w:tcMar>
            <w:vAlign w:val="bottom"/>
          </w:tcPr>
          <w:p w14:paraId="51D7DEE3" w14:textId="77777777" w:rsidR="00F14851" w:rsidRPr="003C44C7" w:rsidRDefault="00F14851" w:rsidP="008E16C0">
            <w:pPr>
              <w:pStyle w:val="TableText"/>
            </w:pPr>
            <w:r w:rsidRPr="003C44C7">
              <w:t>0.4</w:t>
            </w:r>
          </w:p>
        </w:tc>
        <w:tc>
          <w:tcPr>
            <w:tcW w:w="1186" w:type="dxa"/>
            <w:tcBorders>
              <w:top w:val="single" w:sz="4" w:space="0" w:color="auto"/>
            </w:tcBorders>
            <w:shd w:val="clear" w:color="auto" w:fill="auto"/>
            <w:tcMar>
              <w:top w:w="113" w:type="dxa"/>
              <w:left w:w="85" w:type="dxa"/>
              <w:bottom w:w="113" w:type="dxa"/>
              <w:right w:w="85" w:type="dxa"/>
            </w:tcMar>
            <w:vAlign w:val="bottom"/>
          </w:tcPr>
          <w:p w14:paraId="618E83ED" w14:textId="77777777" w:rsidR="00F14851" w:rsidRPr="003C44C7" w:rsidRDefault="00F14851" w:rsidP="008E16C0">
            <w:pPr>
              <w:pStyle w:val="TableText"/>
            </w:pPr>
            <w:r w:rsidRPr="003C44C7">
              <w:t>O</w:t>
            </w:r>
          </w:p>
        </w:tc>
      </w:tr>
      <w:tr w:rsidR="00F14851" w:rsidRPr="003C44C7" w14:paraId="7B5B9329" w14:textId="77777777" w:rsidTr="008E16C0">
        <w:trPr>
          <w:trHeight w:val="255"/>
        </w:trPr>
        <w:tc>
          <w:tcPr>
            <w:tcW w:w="2149" w:type="dxa"/>
            <w:shd w:val="clear" w:color="auto" w:fill="auto"/>
            <w:tcMar>
              <w:top w:w="113" w:type="dxa"/>
              <w:left w:w="85" w:type="dxa"/>
              <w:bottom w:w="113" w:type="dxa"/>
              <w:right w:w="85" w:type="dxa"/>
            </w:tcMar>
            <w:vAlign w:val="bottom"/>
          </w:tcPr>
          <w:p w14:paraId="3B39F2AA" w14:textId="77777777" w:rsidR="00F14851" w:rsidRPr="003C44C7" w:rsidRDefault="00F14851" w:rsidP="008E16C0">
            <w:pPr>
              <w:pStyle w:val="TableText"/>
            </w:pPr>
            <w:r w:rsidRPr="003C44C7">
              <w:t>J01MA02</w:t>
            </w:r>
          </w:p>
        </w:tc>
        <w:tc>
          <w:tcPr>
            <w:tcW w:w="4952" w:type="dxa"/>
            <w:shd w:val="clear" w:color="auto" w:fill="auto"/>
            <w:tcMar>
              <w:top w:w="113" w:type="dxa"/>
              <w:left w:w="85" w:type="dxa"/>
              <w:bottom w:w="113" w:type="dxa"/>
              <w:right w:w="85" w:type="dxa"/>
            </w:tcMar>
            <w:vAlign w:val="bottom"/>
          </w:tcPr>
          <w:p w14:paraId="391F301C" w14:textId="77777777" w:rsidR="00F14851" w:rsidRPr="003C44C7" w:rsidRDefault="00F14851" w:rsidP="008E16C0">
            <w:pPr>
              <w:pStyle w:val="TableText"/>
            </w:pPr>
            <w:r w:rsidRPr="003C44C7">
              <w:t>Ciprofloxacin</w:t>
            </w:r>
          </w:p>
        </w:tc>
        <w:tc>
          <w:tcPr>
            <w:tcW w:w="1341" w:type="dxa"/>
            <w:shd w:val="clear" w:color="auto" w:fill="auto"/>
            <w:tcMar>
              <w:top w:w="113" w:type="dxa"/>
              <w:left w:w="510" w:type="dxa"/>
              <w:bottom w:w="113" w:type="dxa"/>
              <w:right w:w="85" w:type="dxa"/>
            </w:tcMar>
            <w:vAlign w:val="bottom"/>
          </w:tcPr>
          <w:p w14:paraId="7C857F87" w14:textId="77777777" w:rsidR="00F14851" w:rsidRPr="003C44C7" w:rsidRDefault="00F14851" w:rsidP="008E16C0">
            <w:pPr>
              <w:pStyle w:val="TableText"/>
            </w:pPr>
            <w:r w:rsidRPr="003C44C7">
              <w:t>1</w:t>
            </w:r>
          </w:p>
        </w:tc>
        <w:tc>
          <w:tcPr>
            <w:tcW w:w="1186" w:type="dxa"/>
            <w:shd w:val="clear" w:color="auto" w:fill="auto"/>
            <w:tcMar>
              <w:top w:w="113" w:type="dxa"/>
              <w:left w:w="85" w:type="dxa"/>
              <w:bottom w:w="113" w:type="dxa"/>
              <w:right w:w="85" w:type="dxa"/>
            </w:tcMar>
            <w:vAlign w:val="bottom"/>
          </w:tcPr>
          <w:p w14:paraId="287A6AAF" w14:textId="77777777" w:rsidR="00F14851" w:rsidRPr="003C44C7" w:rsidRDefault="00F14851" w:rsidP="008E16C0">
            <w:pPr>
              <w:pStyle w:val="TableText"/>
            </w:pPr>
            <w:r w:rsidRPr="003C44C7">
              <w:t>O</w:t>
            </w:r>
          </w:p>
        </w:tc>
      </w:tr>
      <w:tr w:rsidR="00F14851" w:rsidRPr="003C44C7" w14:paraId="5264A11C" w14:textId="77777777" w:rsidTr="008E16C0">
        <w:trPr>
          <w:trHeight w:val="255"/>
        </w:trPr>
        <w:tc>
          <w:tcPr>
            <w:tcW w:w="2149" w:type="dxa"/>
            <w:shd w:val="clear" w:color="auto" w:fill="auto"/>
            <w:tcMar>
              <w:top w:w="113" w:type="dxa"/>
              <w:left w:w="85" w:type="dxa"/>
              <w:bottom w:w="113" w:type="dxa"/>
              <w:right w:w="85" w:type="dxa"/>
            </w:tcMar>
            <w:vAlign w:val="bottom"/>
          </w:tcPr>
          <w:p w14:paraId="03299910" w14:textId="77777777" w:rsidR="00F14851" w:rsidRPr="003C44C7" w:rsidRDefault="00F14851" w:rsidP="008E16C0">
            <w:pPr>
              <w:pStyle w:val="TableText"/>
            </w:pPr>
            <w:r w:rsidRPr="003C44C7">
              <w:t>J01MA02</w:t>
            </w:r>
          </w:p>
        </w:tc>
        <w:tc>
          <w:tcPr>
            <w:tcW w:w="4952" w:type="dxa"/>
            <w:shd w:val="clear" w:color="auto" w:fill="auto"/>
            <w:tcMar>
              <w:top w:w="113" w:type="dxa"/>
              <w:left w:w="85" w:type="dxa"/>
              <w:bottom w:w="113" w:type="dxa"/>
              <w:right w:w="85" w:type="dxa"/>
            </w:tcMar>
            <w:vAlign w:val="bottom"/>
          </w:tcPr>
          <w:p w14:paraId="6DE1B661" w14:textId="77777777" w:rsidR="00F14851" w:rsidRPr="003C44C7" w:rsidRDefault="00F14851" w:rsidP="008E16C0">
            <w:pPr>
              <w:pStyle w:val="TableText"/>
            </w:pPr>
            <w:r w:rsidRPr="003C44C7">
              <w:t>Ciprofloxacin</w:t>
            </w:r>
          </w:p>
        </w:tc>
        <w:tc>
          <w:tcPr>
            <w:tcW w:w="1341" w:type="dxa"/>
            <w:shd w:val="clear" w:color="auto" w:fill="auto"/>
            <w:tcMar>
              <w:top w:w="113" w:type="dxa"/>
              <w:left w:w="510" w:type="dxa"/>
              <w:bottom w:w="113" w:type="dxa"/>
              <w:right w:w="85" w:type="dxa"/>
            </w:tcMar>
            <w:vAlign w:val="bottom"/>
          </w:tcPr>
          <w:p w14:paraId="071E9098" w14:textId="77777777" w:rsidR="00F14851" w:rsidRPr="003C44C7" w:rsidRDefault="00F14851" w:rsidP="008E16C0">
            <w:pPr>
              <w:pStyle w:val="TableText"/>
            </w:pPr>
            <w:r w:rsidRPr="003C44C7">
              <w:t>0.5</w:t>
            </w:r>
          </w:p>
        </w:tc>
        <w:tc>
          <w:tcPr>
            <w:tcW w:w="1186" w:type="dxa"/>
            <w:shd w:val="clear" w:color="auto" w:fill="auto"/>
            <w:tcMar>
              <w:top w:w="113" w:type="dxa"/>
              <w:left w:w="85" w:type="dxa"/>
              <w:bottom w:w="113" w:type="dxa"/>
              <w:right w:w="85" w:type="dxa"/>
            </w:tcMar>
            <w:vAlign w:val="bottom"/>
          </w:tcPr>
          <w:p w14:paraId="3A9DCA3F" w14:textId="77777777" w:rsidR="00F14851" w:rsidRPr="003C44C7" w:rsidRDefault="00F14851" w:rsidP="008E16C0">
            <w:pPr>
              <w:pStyle w:val="TableText"/>
            </w:pPr>
            <w:r w:rsidRPr="003C44C7">
              <w:t>P</w:t>
            </w:r>
          </w:p>
        </w:tc>
      </w:tr>
      <w:tr w:rsidR="00F14851" w:rsidRPr="003C44C7" w14:paraId="3A76C67C" w14:textId="77777777" w:rsidTr="008E16C0">
        <w:trPr>
          <w:trHeight w:val="255"/>
        </w:trPr>
        <w:tc>
          <w:tcPr>
            <w:tcW w:w="2149" w:type="dxa"/>
            <w:shd w:val="clear" w:color="auto" w:fill="auto"/>
            <w:tcMar>
              <w:top w:w="113" w:type="dxa"/>
              <w:left w:w="85" w:type="dxa"/>
              <w:bottom w:w="113" w:type="dxa"/>
              <w:right w:w="85" w:type="dxa"/>
            </w:tcMar>
            <w:vAlign w:val="bottom"/>
          </w:tcPr>
          <w:p w14:paraId="7985A149" w14:textId="77777777" w:rsidR="00F14851" w:rsidRPr="003C44C7" w:rsidRDefault="00F14851" w:rsidP="008E16C0">
            <w:pPr>
              <w:pStyle w:val="TableText"/>
            </w:pPr>
            <w:r w:rsidRPr="003C44C7">
              <w:t>J01MA06</w:t>
            </w:r>
          </w:p>
        </w:tc>
        <w:tc>
          <w:tcPr>
            <w:tcW w:w="4952" w:type="dxa"/>
            <w:shd w:val="clear" w:color="auto" w:fill="auto"/>
            <w:tcMar>
              <w:top w:w="113" w:type="dxa"/>
              <w:left w:w="85" w:type="dxa"/>
              <w:bottom w:w="113" w:type="dxa"/>
              <w:right w:w="85" w:type="dxa"/>
            </w:tcMar>
            <w:vAlign w:val="bottom"/>
          </w:tcPr>
          <w:p w14:paraId="16895FDD" w14:textId="77777777" w:rsidR="00F14851" w:rsidRPr="003C44C7" w:rsidRDefault="00F14851" w:rsidP="008E16C0">
            <w:pPr>
              <w:pStyle w:val="TableText"/>
            </w:pPr>
            <w:r w:rsidRPr="003C44C7">
              <w:t>Norfloxacin</w:t>
            </w:r>
          </w:p>
        </w:tc>
        <w:tc>
          <w:tcPr>
            <w:tcW w:w="1341" w:type="dxa"/>
            <w:shd w:val="clear" w:color="auto" w:fill="auto"/>
            <w:tcMar>
              <w:top w:w="113" w:type="dxa"/>
              <w:left w:w="510" w:type="dxa"/>
              <w:bottom w:w="113" w:type="dxa"/>
              <w:right w:w="85" w:type="dxa"/>
            </w:tcMar>
            <w:vAlign w:val="bottom"/>
          </w:tcPr>
          <w:p w14:paraId="2F2F5BF5" w14:textId="77777777" w:rsidR="00F14851" w:rsidRPr="003C44C7" w:rsidRDefault="00F14851" w:rsidP="008E16C0">
            <w:pPr>
              <w:pStyle w:val="TableText"/>
            </w:pPr>
            <w:r w:rsidRPr="003C44C7">
              <w:t>0.8</w:t>
            </w:r>
          </w:p>
        </w:tc>
        <w:tc>
          <w:tcPr>
            <w:tcW w:w="1186" w:type="dxa"/>
            <w:shd w:val="clear" w:color="auto" w:fill="auto"/>
            <w:tcMar>
              <w:top w:w="113" w:type="dxa"/>
              <w:left w:w="85" w:type="dxa"/>
              <w:bottom w:w="113" w:type="dxa"/>
              <w:right w:w="85" w:type="dxa"/>
            </w:tcMar>
            <w:vAlign w:val="bottom"/>
          </w:tcPr>
          <w:p w14:paraId="46E78219" w14:textId="77777777" w:rsidR="00F14851" w:rsidRPr="003C44C7" w:rsidRDefault="00F14851" w:rsidP="008E16C0">
            <w:pPr>
              <w:pStyle w:val="TableText"/>
            </w:pPr>
            <w:r w:rsidRPr="003C44C7">
              <w:t>O</w:t>
            </w:r>
          </w:p>
        </w:tc>
      </w:tr>
      <w:tr w:rsidR="00F14851" w:rsidRPr="003C44C7" w14:paraId="04A470C9" w14:textId="77777777" w:rsidTr="00760E1E">
        <w:trPr>
          <w:trHeight w:val="255"/>
        </w:trPr>
        <w:tc>
          <w:tcPr>
            <w:tcW w:w="2149" w:type="dxa"/>
            <w:tcBorders>
              <w:bottom w:val="single" w:sz="4" w:space="0" w:color="auto"/>
            </w:tcBorders>
            <w:shd w:val="clear" w:color="auto" w:fill="auto"/>
            <w:tcMar>
              <w:top w:w="113" w:type="dxa"/>
              <w:left w:w="85" w:type="dxa"/>
              <w:bottom w:w="113" w:type="dxa"/>
              <w:right w:w="85" w:type="dxa"/>
            </w:tcMar>
            <w:vAlign w:val="bottom"/>
          </w:tcPr>
          <w:p w14:paraId="79A94EDF" w14:textId="77777777" w:rsidR="00F14851" w:rsidRPr="003C44C7" w:rsidRDefault="00F14851" w:rsidP="008E16C0">
            <w:pPr>
              <w:pStyle w:val="TableText"/>
            </w:pPr>
            <w:r w:rsidRPr="003C44C7">
              <w:t>J01MA14</w:t>
            </w:r>
          </w:p>
        </w:tc>
        <w:tc>
          <w:tcPr>
            <w:tcW w:w="4952" w:type="dxa"/>
            <w:tcBorders>
              <w:bottom w:val="single" w:sz="4" w:space="0" w:color="auto"/>
            </w:tcBorders>
            <w:shd w:val="clear" w:color="auto" w:fill="auto"/>
            <w:tcMar>
              <w:top w:w="113" w:type="dxa"/>
              <w:left w:w="85" w:type="dxa"/>
              <w:bottom w:w="113" w:type="dxa"/>
              <w:right w:w="85" w:type="dxa"/>
            </w:tcMar>
            <w:vAlign w:val="bottom"/>
          </w:tcPr>
          <w:p w14:paraId="6F43BA51" w14:textId="77777777" w:rsidR="00F14851" w:rsidRPr="003C44C7" w:rsidRDefault="00F14851" w:rsidP="008E16C0">
            <w:pPr>
              <w:pStyle w:val="TableText"/>
            </w:pPr>
            <w:r w:rsidRPr="003C44C7">
              <w:t>Moxifloxacin</w:t>
            </w:r>
          </w:p>
        </w:tc>
        <w:tc>
          <w:tcPr>
            <w:tcW w:w="1341" w:type="dxa"/>
            <w:tcBorders>
              <w:bottom w:val="single" w:sz="4" w:space="0" w:color="auto"/>
            </w:tcBorders>
            <w:shd w:val="clear" w:color="auto" w:fill="auto"/>
            <w:tcMar>
              <w:top w:w="113" w:type="dxa"/>
              <w:left w:w="510" w:type="dxa"/>
              <w:bottom w:w="113" w:type="dxa"/>
              <w:right w:w="85" w:type="dxa"/>
            </w:tcMar>
            <w:vAlign w:val="bottom"/>
          </w:tcPr>
          <w:p w14:paraId="144FB8A1" w14:textId="77777777" w:rsidR="00F14851" w:rsidRPr="003C44C7" w:rsidRDefault="00F14851" w:rsidP="008E16C0">
            <w:pPr>
              <w:pStyle w:val="TableText"/>
            </w:pPr>
            <w:r w:rsidRPr="003C44C7">
              <w:t>0.4</w:t>
            </w:r>
          </w:p>
        </w:tc>
        <w:tc>
          <w:tcPr>
            <w:tcW w:w="1186" w:type="dxa"/>
            <w:tcBorders>
              <w:bottom w:val="single" w:sz="4" w:space="0" w:color="auto"/>
            </w:tcBorders>
            <w:shd w:val="clear" w:color="auto" w:fill="auto"/>
            <w:tcMar>
              <w:top w:w="113" w:type="dxa"/>
              <w:left w:w="85" w:type="dxa"/>
              <w:bottom w:w="113" w:type="dxa"/>
              <w:right w:w="85" w:type="dxa"/>
            </w:tcMar>
            <w:vAlign w:val="bottom"/>
          </w:tcPr>
          <w:p w14:paraId="516AAE10" w14:textId="77777777" w:rsidR="00F14851" w:rsidRPr="003C44C7" w:rsidRDefault="00F14851" w:rsidP="008E16C0">
            <w:pPr>
              <w:pStyle w:val="TableText"/>
            </w:pPr>
            <w:r w:rsidRPr="003C44C7">
              <w:t>O, P</w:t>
            </w:r>
          </w:p>
        </w:tc>
      </w:tr>
      <w:tr w:rsidR="00F14851" w:rsidRPr="003C44C7" w14:paraId="5F92A2AE" w14:textId="77777777" w:rsidTr="00760E1E">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338781BF" w14:textId="77777777" w:rsidR="00F14851" w:rsidRPr="003C44C7" w:rsidRDefault="00F14851" w:rsidP="008E16C0">
            <w:pPr>
              <w:pStyle w:val="TableText"/>
              <w:rPr>
                <w:b/>
              </w:rPr>
            </w:pPr>
            <w:r w:rsidRPr="003C44C7">
              <w:rPr>
                <w:b/>
              </w:rPr>
              <w:t>J01X</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70895519" w14:textId="77777777" w:rsidR="00F14851" w:rsidRPr="003C44C7" w:rsidRDefault="00F14851" w:rsidP="008E16C0">
            <w:pPr>
              <w:pStyle w:val="TableText"/>
              <w:rPr>
                <w:b/>
              </w:rPr>
            </w:pPr>
            <w:r w:rsidRPr="003C44C7">
              <w:rPr>
                <w:b/>
              </w:rPr>
              <w:t>Other antibacterials</w:t>
            </w:r>
          </w:p>
        </w:tc>
      </w:tr>
      <w:tr w:rsidR="00F14851" w:rsidRPr="003C44C7" w14:paraId="213ED568" w14:textId="77777777" w:rsidTr="00760E1E">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1777DE21" w14:textId="77777777" w:rsidR="00F14851" w:rsidRPr="003C44C7" w:rsidRDefault="00F14851" w:rsidP="008E16C0">
            <w:pPr>
              <w:pStyle w:val="TableText"/>
              <w:rPr>
                <w:i/>
              </w:rPr>
            </w:pPr>
            <w:r w:rsidRPr="003C44C7">
              <w:rPr>
                <w:i/>
              </w:rPr>
              <w:t>J01XA</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6C91678F" w14:textId="77777777" w:rsidR="00F14851" w:rsidRPr="003C44C7" w:rsidRDefault="00F14851" w:rsidP="008E16C0">
            <w:pPr>
              <w:pStyle w:val="TableText"/>
              <w:rPr>
                <w:i/>
              </w:rPr>
            </w:pPr>
            <w:r w:rsidRPr="003C44C7">
              <w:rPr>
                <w:i/>
              </w:rPr>
              <w:t>Glycopeptide antibacterials</w:t>
            </w:r>
          </w:p>
        </w:tc>
      </w:tr>
      <w:tr w:rsidR="00F14851" w:rsidRPr="003C44C7" w14:paraId="319FE075" w14:textId="77777777" w:rsidTr="00760E1E">
        <w:trPr>
          <w:trHeight w:val="255"/>
        </w:trPr>
        <w:tc>
          <w:tcPr>
            <w:tcW w:w="2149" w:type="dxa"/>
            <w:tcBorders>
              <w:top w:val="single" w:sz="4" w:space="0" w:color="auto"/>
            </w:tcBorders>
            <w:shd w:val="clear" w:color="auto" w:fill="auto"/>
            <w:tcMar>
              <w:top w:w="113" w:type="dxa"/>
              <w:left w:w="85" w:type="dxa"/>
              <w:bottom w:w="113" w:type="dxa"/>
              <w:right w:w="85" w:type="dxa"/>
            </w:tcMar>
            <w:vAlign w:val="bottom"/>
          </w:tcPr>
          <w:p w14:paraId="028DC563" w14:textId="77777777" w:rsidR="00F14851" w:rsidRPr="003C44C7" w:rsidRDefault="00F14851" w:rsidP="008E16C0">
            <w:pPr>
              <w:pStyle w:val="TableText"/>
            </w:pPr>
            <w:r w:rsidRPr="003C44C7">
              <w:t>J01XA01</w:t>
            </w:r>
          </w:p>
        </w:tc>
        <w:tc>
          <w:tcPr>
            <w:tcW w:w="4952" w:type="dxa"/>
            <w:tcBorders>
              <w:top w:val="single" w:sz="4" w:space="0" w:color="auto"/>
            </w:tcBorders>
            <w:shd w:val="clear" w:color="auto" w:fill="auto"/>
            <w:tcMar>
              <w:top w:w="113" w:type="dxa"/>
              <w:left w:w="85" w:type="dxa"/>
              <w:bottom w:w="113" w:type="dxa"/>
              <w:right w:w="85" w:type="dxa"/>
            </w:tcMar>
            <w:vAlign w:val="bottom"/>
          </w:tcPr>
          <w:p w14:paraId="13DA08D6" w14:textId="77777777" w:rsidR="00F14851" w:rsidRPr="003C44C7" w:rsidRDefault="00F14851" w:rsidP="008E16C0">
            <w:pPr>
              <w:pStyle w:val="TableText"/>
            </w:pPr>
            <w:r w:rsidRPr="003C44C7">
              <w:t>Vancomycin</w:t>
            </w:r>
          </w:p>
        </w:tc>
        <w:tc>
          <w:tcPr>
            <w:tcW w:w="1341" w:type="dxa"/>
            <w:tcBorders>
              <w:top w:val="single" w:sz="4" w:space="0" w:color="auto"/>
            </w:tcBorders>
            <w:shd w:val="clear" w:color="auto" w:fill="auto"/>
            <w:tcMar>
              <w:top w:w="113" w:type="dxa"/>
              <w:left w:w="510" w:type="dxa"/>
              <w:bottom w:w="113" w:type="dxa"/>
              <w:right w:w="85" w:type="dxa"/>
            </w:tcMar>
            <w:vAlign w:val="bottom"/>
          </w:tcPr>
          <w:p w14:paraId="2E91B11E" w14:textId="77777777" w:rsidR="00F14851" w:rsidRPr="003C44C7" w:rsidRDefault="00F14851" w:rsidP="008E16C0">
            <w:pPr>
              <w:pStyle w:val="TableText"/>
            </w:pPr>
            <w:r w:rsidRPr="003C44C7">
              <w:t>2</w:t>
            </w:r>
          </w:p>
        </w:tc>
        <w:tc>
          <w:tcPr>
            <w:tcW w:w="1186" w:type="dxa"/>
            <w:tcBorders>
              <w:top w:val="single" w:sz="4" w:space="0" w:color="auto"/>
            </w:tcBorders>
            <w:shd w:val="clear" w:color="auto" w:fill="auto"/>
            <w:tcMar>
              <w:top w:w="113" w:type="dxa"/>
              <w:left w:w="85" w:type="dxa"/>
              <w:bottom w:w="113" w:type="dxa"/>
              <w:right w:w="85" w:type="dxa"/>
            </w:tcMar>
            <w:vAlign w:val="bottom"/>
          </w:tcPr>
          <w:p w14:paraId="26449F4C" w14:textId="77777777" w:rsidR="00F14851" w:rsidRPr="003C44C7" w:rsidRDefault="00F14851" w:rsidP="008E16C0">
            <w:pPr>
              <w:pStyle w:val="TableText"/>
            </w:pPr>
            <w:r w:rsidRPr="003C44C7">
              <w:t>O, P</w:t>
            </w:r>
          </w:p>
        </w:tc>
      </w:tr>
      <w:tr w:rsidR="00F14851" w:rsidRPr="003C44C7" w14:paraId="0D693A6C" w14:textId="77777777" w:rsidTr="00760E1E">
        <w:trPr>
          <w:trHeight w:val="255"/>
        </w:trPr>
        <w:tc>
          <w:tcPr>
            <w:tcW w:w="2149" w:type="dxa"/>
            <w:tcBorders>
              <w:bottom w:val="single" w:sz="4" w:space="0" w:color="auto"/>
            </w:tcBorders>
            <w:shd w:val="clear" w:color="auto" w:fill="auto"/>
            <w:tcMar>
              <w:top w:w="113" w:type="dxa"/>
              <w:left w:w="85" w:type="dxa"/>
              <w:bottom w:w="113" w:type="dxa"/>
              <w:right w:w="85" w:type="dxa"/>
            </w:tcMar>
            <w:vAlign w:val="bottom"/>
          </w:tcPr>
          <w:p w14:paraId="5D72A4AB" w14:textId="77777777" w:rsidR="00F14851" w:rsidRPr="003C44C7" w:rsidRDefault="00F14851" w:rsidP="008E16C0">
            <w:pPr>
              <w:pStyle w:val="TableText"/>
            </w:pPr>
            <w:r w:rsidRPr="003C44C7">
              <w:t>J01XA02</w:t>
            </w:r>
          </w:p>
        </w:tc>
        <w:tc>
          <w:tcPr>
            <w:tcW w:w="4952" w:type="dxa"/>
            <w:tcBorders>
              <w:bottom w:val="single" w:sz="4" w:space="0" w:color="auto"/>
            </w:tcBorders>
            <w:shd w:val="clear" w:color="auto" w:fill="auto"/>
            <w:tcMar>
              <w:top w:w="113" w:type="dxa"/>
              <w:left w:w="85" w:type="dxa"/>
              <w:bottom w:w="113" w:type="dxa"/>
              <w:right w:w="85" w:type="dxa"/>
            </w:tcMar>
            <w:vAlign w:val="bottom"/>
          </w:tcPr>
          <w:p w14:paraId="12242EDB" w14:textId="77777777" w:rsidR="00F14851" w:rsidRPr="003C44C7" w:rsidRDefault="00F14851" w:rsidP="008E16C0">
            <w:pPr>
              <w:pStyle w:val="TableText"/>
            </w:pPr>
            <w:r w:rsidRPr="003C44C7">
              <w:t>Teicoplanin</w:t>
            </w:r>
          </w:p>
        </w:tc>
        <w:tc>
          <w:tcPr>
            <w:tcW w:w="1341" w:type="dxa"/>
            <w:tcBorders>
              <w:bottom w:val="single" w:sz="4" w:space="0" w:color="auto"/>
            </w:tcBorders>
            <w:shd w:val="clear" w:color="auto" w:fill="auto"/>
            <w:tcMar>
              <w:top w:w="113" w:type="dxa"/>
              <w:left w:w="510" w:type="dxa"/>
              <w:bottom w:w="113" w:type="dxa"/>
              <w:right w:w="85" w:type="dxa"/>
            </w:tcMar>
            <w:vAlign w:val="bottom"/>
          </w:tcPr>
          <w:p w14:paraId="11264F45" w14:textId="77777777" w:rsidR="00F14851" w:rsidRPr="003C44C7" w:rsidRDefault="00F14851" w:rsidP="008E16C0">
            <w:pPr>
              <w:pStyle w:val="TableText"/>
            </w:pPr>
            <w:r w:rsidRPr="003C44C7">
              <w:t>0.4</w:t>
            </w:r>
          </w:p>
        </w:tc>
        <w:tc>
          <w:tcPr>
            <w:tcW w:w="1186" w:type="dxa"/>
            <w:tcBorders>
              <w:bottom w:val="single" w:sz="4" w:space="0" w:color="auto"/>
            </w:tcBorders>
            <w:shd w:val="clear" w:color="auto" w:fill="auto"/>
            <w:tcMar>
              <w:top w:w="113" w:type="dxa"/>
              <w:left w:w="85" w:type="dxa"/>
              <w:bottom w:w="113" w:type="dxa"/>
              <w:right w:w="85" w:type="dxa"/>
            </w:tcMar>
            <w:vAlign w:val="bottom"/>
          </w:tcPr>
          <w:p w14:paraId="05BBB707" w14:textId="77777777" w:rsidR="00F14851" w:rsidRPr="003C44C7" w:rsidRDefault="00F14851" w:rsidP="008E16C0">
            <w:pPr>
              <w:pStyle w:val="TableText"/>
            </w:pPr>
            <w:r w:rsidRPr="003C44C7">
              <w:t>P</w:t>
            </w:r>
          </w:p>
        </w:tc>
      </w:tr>
      <w:tr w:rsidR="00F14851" w:rsidRPr="003C44C7" w14:paraId="1613C914" w14:textId="77777777" w:rsidTr="00760E1E">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18F30187" w14:textId="77777777" w:rsidR="00F14851" w:rsidRPr="003C44C7" w:rsidRDefault="00F14851" w:rsidP="008E16C0">
            <w:pPr>
              <w:pStyle w:val="TableText"/>
              <w:rPr>
                <w:i/>
              </w:rPr>
            </w:pPr>
            <w:r w:rsidRPr="003C44C7">
              <w:rPr>
                <w:i/>
              </w:rPr>
              <w:t>J01XB</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3D8E45AD" w14:textId="77777777" w:rsidR="00F14851" w:rsidRPr="003C44C7" w:rsidRDefault="00F14851" w:rsidP="008E16C0">
            <w:pPr>
              <w:pStyle w:val="TableText"/>
              <w:rPr>
                <w:i/>
              </w:rPr>
            </w:pPr>
            <w:r w:rsidRPr="003C44C7">
              <w:rPr>
                <w:i/>
              </w:rPr>
              <w:t>Polymyxins</w:t>
            </w:r>
          </w:p>
        </w:tc>
      </w:tr>
      <w:tr w:rsidR="00F14851" w:rsidRPr="003C44C7" w14:paraId="03DAEC31" w14:textId="77777777" w:rsidTr="00760E1E">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1015C5D5" w14:textId="77777777" w:rsidR="00F14851" w:rsidRPr="003C44C7" w:rsidRDefault="00F14851" w:rsidP="008E16C0">
            <w:pPr>
              <w:pStyle w:val="TableText"/>
            </w:pPr>
            <w:r w:rsidRPr="003C44C7">
              <w:t>J01XB01</w:t>
            </w:r>
          </w:p>
        </w:tc>
        <w:tc>
          <w:tcPr>
            <w:tcW w:w="4952"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2E532D62" w14:textId="77777777" w:rsidR="00F14851" w:rsidRPr="003C44C7" w:rsidRDefault="00F14851" w:rsidP="008E16C0">
            <w:pPr>
              <w:pStyle w:val="TableText"/>
            </w:pPr>
            <w:r w:rsidRPr="003C44C7">
              <w:t>Colistin</w:t>
            </w:r>
          </w:p>
        </w:tc>
        <w:tc>
          <w:tcPr>
            <w:tcW w:w="1341" w:type="dxa"/>
            <w:tcBorders>
              <w:top w:val="single" w:sz="4" w:space="0" w:color="auto"/>
              <w:bottom w:val="single" w:sz="4" w:space="0" w:color="auto"/>
            </w:tcBorders>
            <w:shd w:val="clear" w:color="auto" w:fill="auto"/>
            <w:tcMar>
              <w:top w:w="113" w:type="dxa"/>
              <w:left w:w="510" w:type="dxa"/>
              <w:bottom w:w="113" w:type="dxa"/>
              <w:right w:w="85" w:type="dxa"/>
            </w:tcMar>
            <w:vAlign w:val="bottom"/>
          </w:tcPr>
          <w:p w14:paraId="4800DA7F" w14:textId="77777777" w:rsidR="00F14851" w:rsidRPr="003C44C7" w:rsidRDefault="00F14851" w:rsidP="008E16C0">
            <w:pPr>
              <w:pStyle w:val="TableText"/>
            </w:pPr>
            <w:r w:rsidRPr="003C44C7">
              <w:t>3 MU</w:t>
            </w:r>
          </w:p>
        </w:tc>
        <w:tc>
          <w:tcPr>
            <w:tcW w:w="1186"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63CB286E" w14:textId="77777777" w:rsidR="00F14851" w:rsidRPr="003C44C7" w:rsidRDefault="00F14851" w:rsidP="008E16C0">
            <w:pPr>
              <w:pStyle w:val="TableText"/>
            </w:pPr>
            <w:r w:rsidRPr="003C44C7">
              <w:t>P, Inh</w:t>
            </w:r>
          </w:p>
        </w:tc>
      </w:tr>
      <w:tr w:rsidR="00F14851" w:rsidRPr="003C44C7" w14:paraId="4BEEDF89" w14:textId="77777777" w:rsidTr="00760E1E">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00A3BA51" w14:textId="77777777" w:rsidR="00F14851" w:rsidRPr="003C44C7" w:rsidRDefault="00F14851" w:rsidP="008E16C0">
            <w:pPr>
              <w:pStyle w:val="TableText"/>
              <w:rPr>
                <w:i/>
              </w:rPr>
            </w:pPr>
            <w:r w:rsidRPr="003C44C7">
              <w:rPr>
                <w:i/>
              </w:rPr>
              <w:t>J01XC</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242F76D7" w14:textId="77777777" w:rsidR="00F14851" w:rsidRPr="003C44C7" w:rsidRDefault="00F14851" w:rsidP="008E16C0">
            <w:pPr>
              <w:pStyle w:val="TableText"/>
              <w:rPr>
                <w:i/>
              </w:rPr>
            </w:pPr>
            <w:r w:rsidRPr="003C44C7">
              <w:rPr>
                <w:i/>
              </w:rPr>
              <w:t>Steroid antibacterials</w:t>
            </w:r>
          </w:p>
        </w:tc>
      </w:tr>
      <w:tr w:rsidR="00F14851" w:rsidRPr="003C44C7" w14:paraId="75DDDEC6" w14:textId="77777777" w:rsidTr="00760E1E">
        <w:trPr>
          <w:trHeight w:val="255"/>
        </w:trPr>
        <w:tc>
          <w:tcPr>
            <w:tcW w:w="2149" w:type="dxa"/>
            <w:tcBorders>
              <w:top w:val="single" w:sz="4" w:space="0" w:color="auto"/>
            </w:tcBorders>
            <w:shd w:val="clear" w:color="auto" w:fill="auto"/>
            <w:tcMar>
              <w:top w:w="113" w:type="dxa"/>
              <w:left w:w="85" w:type="dxa"/>
              <w:bottom w:w="113" w:type="dxa"/>
              <w:right w:w="85" w:type="dxa"/>
            </w:tcMar>
            <w:vAlign w:val="bottom"/>
          </w:tcPr>
          <w:p w14:paraId="26027069" w14:textId="77777777" w:rsidR="00F14851" w:rsidRPr="003C44C7" w:rsidRDefault="00F14851" w:rsidP="008E16C0">
            <w:pPr>
              <w:pStyle w:val="TableText"/>
            </w:pPr>
            <w:r w:rsidRPr="003C44C7">
              <w:t>J01XC01</w:t>
            </w:r>
          </w:p>
        </w:tc>
        <w:tc>
          <w:tcPr>
            <w:tcW w:w="4952" w:type="dxa"/>
            <w:tcBorders>
              <w:top w:val="single" w:sz="4" w:space="0" w:color="auto"/>
            </w:tcBorders>
            <w:shd w:val="clear" w:color="auto" w:fill="auto"/>
            <w:tcMar>
              <w:top w:w="113" w:type="dxa"/>
              <w:left w:w="85" w:type="dxa"/>
              <w:bottom w:w="113" w:type="dxa"/>
              <w:right w:w="85" w:type="dxa"/>
            </w:tcMar>
            <w:vAlign w:val="bottom"/>
          </w:tcPr>
          <w:p w14:paraId="469F4203" w14:textId="77777777" w:rsidR="00F14851" w:rsidRPr="003C44C7" w:rsidRDefault="00F14851" w:rsidP="008E16C0">
            <w:pPr>
              <w:pStyle w:val="TableText"/>
            </w:pPr>
            <w:r w:rsidRPr="003C44C7">
              <w:t>Fusidic acid</w:t>
            </w:r>
          </w:p>
        </w:tc>
        <w:tc>
          <w:tcPr>
            <w:tcW w:w="1341" w:type="dxa"/>
            <w:tcBorders>
              <w:top w:val="single" w:sz="4" w:space="0" w:color="auto"/>
            </w:tcBorders>
            <w:shd w:val="clear" w:color="auto" w:fill="auto"/>
            <w:tcMar>
              <w:top w:w="113" w:type="dxa"/>
              <w:left w:w="510" w:type="dxa"/>
              <w:bottom w:w="113" w:type="dxa"/>
              <w:right w:w="85" w:type="dxa"/>
            </w:tcMar>
            <w:vAlign w:val="bottom"/>
          </w:tcPr>
          <w:p w14:paraId="66B44D12" w14:textId="77777777" w:rsidR="00F14851" w:rsidRPr="003C44C7" w:rsidRDefault="00F14851" w:rsidP="008E16C0">
            <w:pPr>
              <w:pStyle w:val="TableText"/>
            </w:pPr>
            <w:r w:rsidRPr="003C44C7">
              <w:t>1.5</w:t>
            </w:r>
          </w:p>
        </w:tc>
        <w:tc>
          <w:tcPr>
            <w:tcW w:w="1186" w:type="dxa"/>
            <w:tcBorders>
              <w:top w:val="single" w:sz="4" w:space="0" w:color="auto"/>
            </w:tcBorders>
            <w:shd w:val="clear" w:color="auto" w:fill="auto"/>
            <w:tcMar>
              <w:top w:w="113" w:type="dxa"/>
              <w:left w:w="85" w:type="dxa"/>
              <w:bottom w:w="113" w:type="dxa"/>
              <w:right w:w="85" w:type="dxa"/>
            </w:tcMar>
            <w:vAlign w:val="bottom"/>
          </w:tcPr>
          <w:p w14:paraId="2DFD9F88" w14:textId="77777777" w:rsidR="00F14851" w:rsidRPr="003C44C7" w:rsidRDefault="00F14851" w:rsidP="008E16C0">
            <w:pPr>
              <w:pStyle w:val="TableText"/>
            </w:pPr>
            <w:r w:rsidRPr="003C44C7">
              <w:t>O, P</w:t>
            </w:r>
          </w:p>
        </w:tc>
      </w:tr>
      <w:tr w:rsidR="00F14851" w:rsidRPr="003C44C7" w14:paraId="2AE39569" w14:textId="77777777" w:rsidTr="00760E1E">
        <w:trPr>
          <w:trHeight w:val="255"/>
        </w:trPr>
        <w:tc>
          <w:tcPr>
            <w:tcW w:w="2149" w:type="dxa"/>
            <w:tcBorders>
              <w:bottom w:val="single" w:sz="4" w:space="0" w:color="auto"/>
            </w:tcBorders>
            <w:shd w:val="clear" w:color="auto" w:fill="auto"/>
            <w:tcMar>
              <w:top w:w="113" w:type="dxa"/>
              <w:left w:w="85" w:type="dxa"/>
              <w:bottom w:w="113" w:type="dxa"/>
              <w:right w:w="85" w:type="dxa"/>
            </w:tcMar>
            <w:vAlign w:val="bottom"/>
          </w:tcPr>
          <w:p w14:paraId="5BB83EE0" w14:textId="77777777" w:rsidR="00F14851" w:rsidRPr="003C44C7" w:rsidRDefault="00F14851" w:rsidP="008E16C0">
            <w:pPr>
              <w:pStyle w:val="TableText"/>
              <w:rPr>
                <w:i/>
              </w:rPr>
            </w:pPr>
            <w:r w:rsidRPr="003C44C7">
              <w:rPr>
                <w:i/>
              </w:rPr>
              <w:t>J01XD</w:t>
            </w:r>
          </w:p>
        </w:tc>
        <w:tc>
          <w:tcPr>
            <w:tcW w:w="7479" w:type="dxa"/>
            <w:gridSpan w:val="3"/>
            <w:tcBorders>
              <w:bottom w:val="single" w:sz="4" w:space="0" w:color="auto"/>
            </w:tcBorders>
            <w:shd w:val="clear" w:color="auto" w:fill="auto"/>
            <w:tcMar>
              <w:top w:w="113" w:type="dxa"/>
              <w:left w:w="85" w:type="dxa"/>
              <w:bottom w:w="113" w:type="dxa"/>
              <w:right w:w="85" w:type="dxa"/>
            </w:tcMar>
            <w:vAlign w:val="bottom"/>
          </w:tcPr>
          <w:p w14:paraId="4650F569" w14:textId="77777777" w:rsidR="00F14851" w:rsidRPr="003C44C7" w:rsidRDefault="00F14851" w:rsidP="008E16C0">
            <w:pPr>
              <w:pStyle w:val="TableText"/>
              <w:rPr>
                <w:i/>
              </w:rPr>
            </w:pPr>
            <w:r w:rsidRPr="003C44C7">
              <w:rPr>
                <w:i/>
              </w:rPr>
              <w:t>Imidazole derivatives</w:t>
            </w:r>
          </w:p>
        </w:tc>
      </w:tr>
      <w:tr w:rsidR="00F14851" w:rsidRPr="003C44C7" w14:paraId="5FD44F6A" w14:textId="77777777" w:rsidTr="00760E1E">
        <w:trPr>
          <w:trHeight w:val="255"/>
        </w:trPr>
        <w:tc>
          <w:tcPr>
            <w:tcW w:w="2149" w:type="dxa"/>
            <w:tcBorders>
              <w:top w:val="single" w:sz="4" w:space="0" w:color="auto"/>
            </w:tcBorders>
            <w:shd w:val="clear" w:color="auto" w:fill="auto"/>
            <w:tcMar>
              <w:top w:w="113" w:type="dxa"/>
              <w:left w:w="85" w:type="dxa"/>
              <w:bottom w:w="113" w:type="dxa"/>
              <w:right w:w="85" w:type="dxa"/>
            </w:tcMar>
            <w:vAlign w:val="bottom"/>
          </w:tcPr>
          <w:p w14:paraId="77E7B5EE" w14:textId="77777777" w:rsidR="00F14851" w:rsidRPr="003C44C7" w:rsidRDefault="00F14851" w:rsidP="008E16C0">
            <w:pPr>
              <w:pStyle w:val="TableText"/>
            </w:pPr>
            <w:r w:rsidRPr="003C44C7">
              <w:t>J01XD01</w:t>
            </w:r>
          </w:p>
        </w:tc>
        <w:tc>
          <w:tcPr>
            <w:tcW w:w="4952" w:type="dxa"/>
            <w:tcBorders>
              <w:top w:val="single" w:sz="4" w:space="0" w:color="auto"/>
            </w:tcBorders>
            <w:shd w:val="clear" w:color="auto" w:fill="auto"/>
            <w:tcMar>
              <w:top w:w="113" w:type="dxa"/>
              <w:left w:w="85" w:type="dxa"/>
              <w:bottom w:w="113" w:type="dxa"/>
              <w:right w:w="85" w:type="dxa"/>
            </w:tcMar>
            <w:vAlign w:val="bottom"/>
          </w:tcPr>
          <w:p w14:paraId="0F3B7508" w14:textId="77777777" w:rsidR="00F14851" w:rsidRPr="003C44C7" w:rsidRDefault="00F14851" w:rsidP="008E16C0">
            <w:pPr>
              <w:pStyle w:val="TableText"/>
            </w:pPr>
            <w:r w:rsidRPr="003C44C7">
              <w:t>Metronidazole</w:t>
            </w:r>
          </w:p>
        </w:tc>
        <w:tc>
          <w:tcPr>
            <w:tcW w:w="1341" w:type="dxa"/>
            <w:tcBorders>
              <w:top w:val="single" w:sz="4" w:space="0" w:color="auto"/>
            </w:tcBorders>
            <w:shd w:val="clear" w:color="auto" w:fill="auto"/>
            <w:tcMar>
              <w:top w:w="113" w:type="dxa"/>
              <w:left w:w="510" w:type="dxa"/>
              <w:bottom w:w="113" w:type="dxa"/>
              <w:right w:w="85" w:type="dxa"/>
            </w:tcMar>
            <w:vAlign w:val="bottom"/>
          </w:tcPr>
          <w:p w14:paraId="77057A43" w14:textId="77777777" w:rsidR="00F14851" w:rsidRPr="003C44C7" w:rsidRDefault="00F14851" w:rsidP="008E16C0">
            <w:pPr>
              <w:pStyle w:val="TableText"/>
            </w:pPr>
            <w:r w:rsidRPr="003C44C7">
              <w:t>1.5</w:t>
            </w:r>
          </w:p>
        </w:tc>
        <w:tc>
          <w:tcPr>
            <w:tcW w:w="1186" w:type="dxa"/>
            <w:tcBorders>
              <w:top w:val="single" w:sz="4" w:space="0" w:color="auto"/>
            </w:tcBorders>
            <w:shd w:val="clear" w:color="auto" w:fill="auto"/>
            <w:tcMar>
              <w:top w:w="113" w:type="dxa"/>
              <w:left w:w="85" w:type="dxa"/>
              <w:bottom w:w="113" w:type="dxa"/>
              <w:right w:w="85" w:type="dxa"/>
            </w:tcMar>
            <w:vAlign w:val="bottom"/>
          </w:tcPr>
          <w:p w14:paraId="28304BAF" w14:textId="77777777" w:rsidR="00F14851" w:rsidRPr="003C44C7" w:rsidRDefault="00F14851" w:rsidP="008E16C0">
            <w:pPr>
              <w:pStyle w:val="TableText"/>
            </w:pPr>
            <w:r w:rsidRPr="003C44C7">
              <w:t>P</w:t>
            </w:r>
          </w:p>
        </w:tc>
      </w:tr>
      <w:tr w:rsidR="00F14851" w:rsidRPr="003C44C7" w14:paraId="0DCA0EC6" w14:textId="77777777" w:rsidTr="008E16C0">
        <w:trPr>
          <w:trHeight w:val="255"/>
        </w:trPr>
        <w:tc>
          <w:tcPr>
            <w:tcW w:w="2149" w:type="dxa"/>
            <w:shd w:val="clear" w:color="auto" w:fill="auto"/>
            <w:tcMar>
              <w:top w:w="113" w:type="dxa"/>
              <w:left w:w="85" w:type="dxa"/>
              <w:bottom w:w="113" w:type="dxa"/>
              <w:right w:w="85" w:type="dxa"/>
            </w:tcMar>
            <w:vAlign w:val="bottom"/>
          </w:tcPr>
          <w:p w14:paraId="6EF7835A" w14:textId="77777777" w:rsidR="00F14851" w:rsidRPr="003C44C7" w:rsidRDefault="00F14851" w:rsidP="008E16C0">
            <w:pPr>
              <w:pStyle w:val="TableText"/>
            </w:pPr>
            <w:r w:rsidRPr="003C44C7">
              <w:t>J01XD01</w:t>
            </w:r>
          </w:p>
        </w:tc>
        <w:tc>
          <w:tcPr>
            <w:tcW w:w="4952" w:type="dxa"/>
            <w:shd w:val="clear" w:color="auto" w:fill="auto"/>
            <w:tcMar>
              <w:top w:w="113" w:type="dxa"/>
              <w:left w:w="85" w:type="dxa"/>
              <w:bottom w:w="113" w:type="dxa"/>
              <w:right w:w="85" w:type="dxa"/>
            </w:tcMar>
            <w:vAlign w:val="bottom"/>
          </w:tcPr>
          <w:p w14:paraId="2876F87A" w14:textId="77777777" w:rsidR="00F14851" w:rsidRPr="003C44C7" w:rsidRDefault="00F14851" w:rsidP="008E16C0">
            <w:pPr>
              <w:pStyle w:val="TableText"/>
            </w:pPr>
            <w:r w:rsidRPr="003C44C7">
              <w:t>Metronidazole</w:t>
            </w:r>
          </w:p>
        </w:tc>
        <w:tc>
          <w:tcPr>
            <w:tcW w:w="1341" w:type="dxa"/>
            <w:shd w:val="clear" w:color="auto" w:fill="auto"/>
            <w:tcMar>
              <w:top w:w="113" w:type="dxa"/>
              <w:left w:w="510" w:type="dxa"/>
              <w:bottom w:w="113" w:type="dxa"/>
              <w:right w:w="85" w:type="dxa"/>
            </w:tcMar>
            <w:vAlign w:val="bottom"/>
          </w:tcPr>
          <w:p w14:paraId="77271FA2" w14:textId="77777777" w:rsidR="00F14851" w:rsidRPr="003C44C7" w:rsidRDefault="00F14851" w:rsidP="008E16C0">
            <w:pPr>
              <w:pStyle w:val="TableText"/>
            </w:pPr>
            <w:r w:rsidRPr="003C44C7">
              <w:t>2</w:t>
            </w:r>
          </w:p>
        </w:tc>
        <w:tc>
          <w:tcPr>
            <w:tcW w:w="1186" w:type="dxa"/>
            <w:shd w:val="clear" w:color="auto" w:fill="auto"/>
            <w:tcMar>
              <w:top w:w="113" w:type="dxa"/>
              <w:left w:w="85" w:type="dxa"/>
              <w:bottom w:w="113" w:type="dxa"/>
              <w:right w:w="85" w:type="dxa"/>
            </w:tcMar>
            <w:vAlign w:val="bottom"/>
          </w:tcPr>
          <w:p w14:paraId="32F57659" w14:textId="77777777" w:rsidR="00F14851" w:rsidRPr="003C44C7" w:rsidRDefault="00F14851" w:rsidP="008E16C0">
            <w:pPr>
              <w:pStyle w:val="TableText"/>
            </w:pPr>
            <w:r w:rsidRPr="003C44C7">
              <w:t>O, R</w:t>
            </w:r>
          </w:p>
        </w:tc>
      </w:tr>
      <w:tr w:rsidR="00F14851" w:rsidRPr="003C44C7" w14:paraId="14ED7AFE" w14:textId="77777777" w:rsidTr="00760E1E">
        <w:trPr>
          <w:trHeight w:val="255"/>
        </w:trPr>
        <w:tc>
          <w:tcPr>
            <w:tcW w:w="2149" w:type="dxa"/>
            <w:tcBorders>
              <w:bottom w:val="single" w:sz="4" w:space="0" w:color="auto"/>
            </w:tcBorders>
            <w:shd w:val="clear" w:color="auto" w:fill="auto"/>
            <w:tcMar>
              <w:top w:w="113" w:type="dxa"/>
              <w:left w:w="85" w:type="dxa"/>
              <w:bottom w:w="113" w:type="dxa"/>
              <w:right w:w="85" w:type="dxa"/>
            </w:tcMar>
            <w:vAlign w:val="bottom"/>
          </w:tcPr>
          <w:p w14:paraId="1BA57EA0" w14:textId="77777777" w:rsidR="00F14851" w:rsidRPr="003C44C7" w:rsidRDefault="00F14851" w:rsidP="008E16C0">
            <w:pPr>
              <w:pStyle w:val="TableText"/>
            </w:pPr>
            <w:r w:rsidRPr="003C44C7">
              <w:t>J01XD02</w:t>
            </w:r>
          </w:p>
        </w:tc>
        <w:tc>
          <w:tcPr>
            <w:tcW w:w="4952" w:type="dxa"/>
            <w:tcBorders>
              <w:bottom w:val="single" w:sz="4" w:space="0" w:color="auto"/>
            </w:tcBorders>
            <w:shd w:val="clear" w:color="auto" w:fill="auto"/>
            <w:tcMar>
              <w:top w:w="113" w:type="dxa"/>
              <w:left w:w="85" w:type="dxa"/>
              <w:bottom w:w="113" w:type="dxa"/>
              <w:right w:w="85" w:type="dxa"/>
            </w:tcMar>
            <w:vAlign w:val="bottom"/>
          </w:tcPr>
          <w:p w14:paraId="36F7788C" w14:textId="77777777" w:rsidR="00F14851" w:rsidRPr="003C44C7" w:rsidRDefault="00F14851" w:rsidP="008E16C0">
            <w:pPr>
              <w:pStyle w:val="TableText"/>
            </w:pPr>
            <w:r w:rsidRPr="003C44C7">
              <w:t>Tinidazole</w:t>
            </w:r>
          </w:p>
        </w:tc>
        <w:tc>
          <w:tcPr>
            <w:tcW w:w="1341" w:type="dxa"/>
            <w:tcBorders>
              <w:bottom w:val="single" w:sz="4" w:space="0" w:color="auto"/>
            </w:tcBorders>
            <w:shd w:val="clear" w:color="auto" w:fill="auto"/>
            <w:tcMar>
              <w:top w:w="113" w:type="dxa"/>
              <w:left w:w="510" w:type="dxa"/>
              <w:bottom w:w="113" w:type="dxa"/>
              <w:right w:w="85" w:type="dxa"/>
            </w:tcMar>
            <w:vAlign w:val="bottom"/>
          </w:tcPr>
          <w:p w14:paraId="4ED86415" w14:textId="77777777" w:rsidR="00F14851" w:rsidRPr="003C44C7" w:rsidRDefault="00F14851" w:rsidP="008E16C0">
            <w:pPr>
              <w:pStyle w:val="TableText"/>
            </w:pPr>
            <w:r w:rsidRPr="003C44C7">
              <w:t>2</w:t>
            </w:r>
          </w:p>
        </w:tc>
        <w:tc>
          <w:tcPr>
            <w:tcW w:w="1186" w:type="dxa"/>
            <w:tcBorders>
              <w:bottom w:val="single" w:sz="4" w:space="0" w:color="auto"/>
            </w:tcBorders>
            <w:shd w:val="clear" w:color="auto" w:fill="auto"/>
            <w:tcMar>
              <w:top w:w="113" w:type="dxa"/>
              <w:left w:w="85" w:type="dxa"/>
              <w:bottom w:w="113" w:type="dxa"/>
              <w:right w:w="85" w:type="dxa"/>
            </w:tcMar>
            <w:vAlign w:val="bottom"/>
          </w:tcPr>
          <w:p w14:paraId="5E844F92" w14:textId="77777777" w:rsidR="00F14851" w:rsidRPr="003C44C7" w:rsidRDefault="00F14851" w:rsidP="008E16C0">
            <w:pPr>
              <w:pStyle w:val="TableText"/>
            </w:pPr>
            <w:r w:rsidRPr="003C44C7">
              <w:t>O</w:t>
            </w:r>
          </w:p>
        </w:tc>
      </w:tr>
      <w:tr w:rsidR="00F14851" w:rsidRPr="003C44C7" w14:paraId="1A45FC7B" w14:textId="77777777" w:rsidTr="00760E1E">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75942BC6" w14:textId="77777777" w:rsidR="00F14851" w:rsidRPr="003C44C7" w:rsidRDefault="00F14851" w:rsidP="008E16C0">
            <w:pPr>
              <w:pStyle w:val="TableText"/>
              <w:rPr>
                <w:i/>
              </w:rPr>
            </w:pPr>
            <w:r w:rsidRPr="003C44C7">
              <w:rPr>
                <w:i/>
              </w:rPr>
              <w:t>J01XX</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50605266" w14:textId="77777777" w:rsidR="00F14851" w:rsidRPr="003C44C7" w:rsidRDefault="00F14851" w:rsidP="008E16C0">
            <w:pPr>
              <w:pStyle w:val="TableText"/>
              <w:rPr>
                <w:i/>
              </w:rPr>
            </w:pPr>
            <w:r w:rsidRPr="003C44C7">
              <w:rPr>
                <w:i/>
              </w:rPr>
              <w:t>Other antibacterials</w:t>
            </w:r>
          </w:p>
        </w:tc>
      </w:tr>
      <w:tr w:rsidR="00F14851" w:rsidRPr="003C44C7" w14:paraId="05CCCD8D" w14:textId="77777777" w:rsidTr="00760E1E">
        <w:trPr>
          <w:trHeight w:val="255"/>
        </w:trPr>
        <w:tc>
          <w:tcPr>
            <w:tcW w:w="2149" w:type="dxa"/>
            <w:tcBorders>
              <w:top w:val="single" w:sz="4" w:space="0" w:color="auto"/>
            </w:tcBorders>
            <w:shd w:val="clear" w:color="auto" w:fill="auto"/>
            <w:tcMar>
              <w:top w:w="113" w:type="dxa"/>
              <w:left w:w="85" w:type="dxa"/>
              <w:bottom w:w="113" w:type="dxa"/>
              <w:right w:w="85" w:type="dxa"/>
            </w:tcMar>
            <w:vAlign w:val="bottom"/>
          </w:tcPr>
          <w:p w14:paraId="09F3C3F8" w14:textId="77777777" w:rsidR="00F14851" w:rsidRPr="003C44C7" w:rsidRDefault="00F14851" w:rsidP="008E16C0">
            <w:pPr>
              <w:pStyle w:val="TableText"/>
            </w:pPr>
            <w:r w:rsidRPr="003C44C7">
              <w:t>J01XX08</w:t>
            </w:r>
          </w:p>
        </w:tc>
        <w:tc>
          <w:tcPr>
            <w:tcW w:w="4952" w:type="dxa"/>
            <w:tcBorders>
              <w:top w:val="single" w:sz="4" w:space="0" w:color="auto"/>
            </w:tcBorders>
            <w:shd w:val="clear" w:color="auto" w:fill="auto"/>
            <w:tcMar>
              <w:top w:w="113" w:type="dxa"/>
              <w:left w:w="85" w:type="dxa"/>
              <w:bottom w:w="113" w:type="dxa"/>
              <w:right w:w="85" w:type="dxa"/>
            </w:tcMar>
            <w:vAlign w:val="bottom"/>
          </w:tcPr>
          <w:p w14:paraId="67B1A6EE" w14:textId="77777777" w:rsidR="00F14851" w:rsidRPr="003C44C7" w:rsidRDefault="00F14851" w:rsidP="008E16C0">
            <w:pPr>
              <w:pStyle w:val="TableText"/>
            </w:pPr>
            <w:r w:rsidRPr="003C44C7">
              <w:t>Linezolid</w:t>
            </w:r>
          </w:p>
        </w:tc>
        <w:tc>
          <w:tcPr>
            <w:tcW w:w="1341" w:type="dxa"/>
            <w:tcBorders>
              <w:top w:val="single" w:sz="4" w:space="0" w:color="auto"/>
            </w:tcBorders>
            <w:shd w:val="clear" w:color="auto" w:fill="auto"/>
            <w:tcMar>
              <w:top w:w="113" w:type="dxa"/>
              <w:left w:w="510" w:type="dxa"/>
              <w:bottom w:w="113" w:type="dxa"/>
              <w:right w:w="85" w:type="dxa"/>
            </w:tcMar>
            <w:vAlign w:val="bottom"/>
          </w:tcPr>
          <w:p w14:paraId="255DEE40" w14:textId="77777777" w:rsidR="00F14851" w:rsidRPr="003C44C7" w:rsidRDefault="00F14851" w:rsidP="008E16C0">
            <w:pPr>
              <w:pStyle w:val="TableText"/>
            </w:pPr>
            <w:r w:rsidRPr="003C44C7">
              <w:t>1.2</w:t>
            </w:r>
          </w:p>
        </w:tc>
        <w:tc>
          <w:tcPr>
            <w:tcW w:w="1186" w:type="dxa"/>
            <w:tcBorders>
              <w:top w:val="single" w:sz="4" w:space="0" w:color="auto"/>
            </w:tcBorders>
            <w:shd w:val="clear" w:color="auto" w:fill="auto"/>
            <w:tcMar>
              <w:top w:w="113" w:type="dxa"/>
              <w:left w:w="85" w:type="dxa"/>
              <w:bottom w:w="113" w:type="dxa"/>
              <w:right w:w="85" w:type="dxa"/>
            </w:tcMar>
            <w:vAlign w:val="bottom"/>
          </w:tcPr>
          <w:p w14:paraId="1F89D569" w14:textId="77777777" w:rsidR="00F14851" w:rsidRPr="003C44C7" w:rsidRDefault="00F14851" w:rsidP="008E16C0">
            <w:pPr>
              <w:pStyle w:val="TableText"/>
            </w:pPr>
            <w:r w:rsidRPr="003C44C7">
              <w:t>O, P</w:t>
            </w:r>
          </w:p>
        </w:tc>
      </w:tr>
      <w:tr w:rsidR="00F14851" w:rsidRPr="003C44C7" w14:paraId="37DF250A" w14:textId="77777777" w:rsidTr="00760E1E">
        <w:trPr>
          <w:trHeight w:val="255"/>
        </w:trPr>
        <w:tc>
          <w:tcPr>
            <w:tcW w:w="2149" w:type="dxa"/>
            <w:tcBorders>
              <w:bottom w:val="single" w:sz="4" w:space="0" w:color="auto"/>
            </w:tcBorders>
            <w:shd w:val="clear" w:color="auto" w:fill="auto"/>
            <w:tcMar>
              <w:top w:w="113" w:type="dxa"/>
              <w:left w:w="85" w:type="dxa"/>
              <w:bottom w:w="113" w:type="dxa"/>
              <w:right w:w="85" w:type="dxa"/>
            </w:tcMar>
            <w:vAlign w:val="bottom"/>
          </w:tcPr>
          <w:p w14:paraId="1CF65ABD" w14:textId="77777777" w:rsidR="00F14851" w:rsidRPr="003C44C7" w:rsidRDefault="00F14851" w:rsidP="008E16C0">
            <w:pPr>
              <w:pStyle w:val="TableText"/>
            </w:pPr>
            <w:r w:rsidRPr="003C44C7">
              <w:t>J01XX09</w:t>
            </w:r>
          </w:p>
        </w:tc>
        <w:tc>
          <w:tcPr>
            <w:tcW w:w="4952" w:type="dxa"/>
            <w:tcBorders>
              <w:bottom w:val="single" w:sz="4" w:space="0" w:color="auto"/>
            </w:tcBorders>
            <w:shd w:val="clear" w:color="auto" w:fill="auto"/>
            <w:tcMar>
              <w:top w:w="113" w:type="dxa"/>
              <w:left w:w="85" w:type="dxa"/>
              <w:bottom w:w="113" w:type="dxa"/>
              <w:right w:w="85" w:type="dxa"/>
            </w:tcMar>
            <w:vAlign w:val="bottom"/>
          </w:tcPr>
          <w:p w14:paraId="3203C733" w14:textId="77777777" w:rsidR="00F14851" w:rsidRPr="003C44C7" w:rsidRDefault="00F14851" w:rsidP="008E16C0">
            <w:pPr>
              <w:pStyle w:val="TableText"/>
            </w:pPr>
            <w:r w:rsidRPr="003C44C7">
              <w:t>Daptomycin</w:t>
            </w:r>
          </w:p>
        </w:tc>
        <w:tc>
          <w:tcPr>
            <w:tcW w:w="1341" w:type="dxa"/>
            <w:tcBorders>
              <w:bottom w:val="single" w:sz="4" w:space="0" w:color="auto"/>
            </w:tcBorders>
            <w:shd w:val="clear" w:color="auto" w:fill="auto"/>
            <w:tcMar>
              <w:top w:w="113" w:type="dxa"/>
              <w:left w:w="510" w:type="dxa"/>
              <w:bottom w:w="113" w:type="dxa"/>
              <w:right w:w="85" w:type="dxa"/>
            </w:tcMar>
            <w:vAlign w:val="bottom"/>
          </w:tcPr>
          <w:p w14:paraId="55FDAE64" w14:textId="77777777" w:rsidR="00F14851" w:rsidRPr="003C44C7" w:rsidRDefault="00F14851" w:rsidP="008E16C0">
            <w:pPr>
              <w:pStyle w:val="TableText"/>
            </w:pPr>
            <w:r w:rsidRPr="003C44C7">
              <w:t>0.28</w:t>
            </w:r>
          </w:p>
        </w:tc>
        <w:tc>
          <w:tcPr>
            <w:tcW w:w="1186" w:type="dxa"/>
            <w:tcBorders>
              <w:bottom w:val="single" w:sz="4" w:space="0" w:color="auto"/>
            </w:tcBorders>
            <w:shd w:val="clear" w:color="auto" w:fill="auto"/>
            <w:tcMar>
              <w:top w:w="113" w:type="dxa"/>
              <w:left w:w="85" w:type="dxa"/>
              <w:bottom w:w="113" w:type="dxa"/>
              <w:right w:w="85" w:type="dxa"/>
            </w:tcMar>
            <w:vAlign w:val="bottom"/>
          </w:tcPr>
          <w:p w14:paraId="00181B62" w14:textId="77777777" w:rsidR="00F14851" w:rsidRPr="003C44C7" w:rsidRDefault="00F14851" w:rsidP="008E16C0">
            <w:pPr>
              <w:pStyle w:val="TableText"/>
            </w:pPr>
            <w:r w:rsidRPr="003C44C7">
              <w:t>P</w:t>
            </w:r>
          </w:p>
        </w:tc>
      </w:tr>
      <w:tr w:rsidR="00F14851" w:rsidRPr="003C44C7" w14:paraId="47517B2C" w14:textId="77777777" w:rsidTr="00760E1E">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069CD172" w14:textId="77777777" w:rsidR="00F14851" w:rsidRPr="003C44C7" w:rsidRDefault="00F14851" w:rsidP="008E16C0">
            <w:pPr>
              <w:pStyle w:val="TableText"/>
              <w:rPr>
                <w:i/>
              </w:rPr>
            </w:pPr>
            <w:r w:rsidRPr="003C44C7">
              <w:rPr>
                <w:i/>
              </w:rPr>
              <w:t>J04</w:t>
            </w:r>
          </w:p>
        </w:tc>
        <w:tc>
          <w:tcPr>
            <w:tcW w:w="7479" w:type="dxa"/>
            <w:gridSpan w:val="3"/>
            <w:tcBorders>
              <w:top w:val="single" w:sz="4" w:space="0" w:color="auto"/>
              <w:bottom w:val="single" w:sz="4" w:space="0" w:color="auto"/>
            </w:tcBorders>
            <w:shd w:val="clear" w:color="auto" w:fill="auto"/>
            <w:tcMar>
              <w:top w:w="113" w:type="dxa"/>
              <w:left w:w="85" w:type="dxa"/>
              <w:bottom w:w="113" w:type="dxa"/>
              <w:right w:w="85" w:type="dxa"/>
            </w:tcMar>
            <w:vAlign w:val="bottom"/>
          </w:tcPr>
          <w:p w14:paraId="491BB73D" w14:textId="77777777" w:rsidR="00F14851" w:rsidRPr="003C44C7" w:rsidRDefault="00F14851" w:rsidP="008E16C0">
            <w:pPr>
              <w:pStyle w:val="TableText"/>
              <w:rPr>
                <w:i/>
              </w:rPr>
            </w:pPr>
            <w:r w:rsidRPr="003C44C7">
              <w:rPr>
                <w:i/>
              </w:rPr>
              <w:t>Antimycobacterials</w:t>
            </w:r>
          </w:p>
        </w:tc>
      </w:tr>
      <w:tr w:rsidR="00F14851" w:rsidRPr="003C44C7" w14:paraId="2A3A8E4B" w14:textId="77777777" w:rsidTr="00760E1E">
        <w:trPr>
          <w:trHeight w:val="255"/>
        </w:trPr>
        <w:tc>
          <w:tcPr>
            <w:tcW w:w="2149" w:type="dxa"/>
            <w:tcBorders>
              <w:top w:val="single" w:sz="4" w:space="0" w:color="auto"/>
              <w:bottom w:val="single" w:sz="4" w:space="0" w:color="auto"/>
            </w:tcBorders>
            <w:shd w:val="clear" w:color="auto" w:fill="auto"/>
            <w:tcMar>
              <w:top w:w="113" w:type="dxa"/>
              <w:left w:w="85" w:type="dxa"/>
              <w:bottom w:w="113" w:type="dxa"/>
              <w:right w:w="85" w:type="dxa"/>
            </w:tcMar>
            <w:vAlign w:val="center"/>
          </w:tcPr>
          <w:p w14:paraId="1BEF22ED" w14:textId="77777777" w:rsidR="00F14851" w:rsidRPr="003C44C7" w:rsidRDefault="00F14851" w:rsidP="008E16C0">
            <w:pPr>
              <w:pStyle w:val="TableText"/>
            </w:pPr>
            <w:r w:rsidRPr="003C44C7">
              <w:t>J04AB02</w:t>
            </w:r>
          </w:p>
        </w:tc>
        <w:tc>
          <w:tcPr>
            <w:tcW w:w="4952"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401B8CB4" w14:textId="77777777" w:rsidR="00F14851" w:rsidRPr="003C44C7" w:rsidRDefault="00F14851" w:rsidP="008E16C0">
            <w:pPr>
              <w:pStyle w:val="TableText"/>
            </w:pPr>
            <w:r w:rsidRPr="003C44C7">
              <w:t>Rifampicin</w:t>
            </w:r>
          </w:p>
        </w:tc>
        <w:tc>
          <w:tcPr>
            <w:tcW w:w="1341" w:type="dxa"/>
            <w:tcBorders>
              <w:top w:val="single" w:sz="4" w:space="0" w:color="auto"/>
              <w:bottom w:val="single" w:sz="4" w:space="0" w:color="auto"/>
            </w:tcBorders>
            <w:shd w:val="clear" w:color="auto" w:fill="auto"/>
            <w:tcMar>
              <w:top w:w="113" w:type="dxa"/>
              <w:left w:w="510" w:type="dxa"/>
              <w:bottom w:w="113" w:type="dxa"/>
              <w:right w:w="85" w:type="dxa"/>
            </w:tcMar>
            <w:vAlign w:val="bottom"/>
          </w:tcPr>
          <w:p w14:paraId="7BF1AE7A" w14:textId="77777777" w:rsidR="00F14851" w:rsidRPr="003C44C7" w:rsidRDefault="00F14851" w:rsidP="008E16C0">
            <w:pPr>
              <w:pStyle w:val="TableText"/>
            </w:pPr>
            <w:r w:rsidRPr="003C44C7">
              <w:t>0.6</w:t>
            </w:r>
          </w:p>
        </w:tc>
        <w:tc>
          <w:tcPr>
            <w:tcW w:w="1186" w:type="dxa"/>
            <w:tcBorders>
              <w:top w:val="single" w:sz="4" w:space="0" w:color="auto"/>
              <w:bottom w:val="single" w:sz="4" w:space="0" w:color="auto"/>
            </w:tcBorders>
            <w:shd w:val="clear" w:color="auto" w:fill="auto"/>
            <w:tcMar>
              <w:top w:w="113" w:type="dxa"/>
              <w:left w:w="85" w:type="dxa"/>
              <w:bottom w:w="113" w:type="dxa"/>
              <w:right w:w="85" w:type="dxa"/>
            </w:tcMar>
            <w:vAlign w:val="bottom"/>
          </w:tcPr>
          <w:p w14:paraId="01BF7D67" w14:textId="77777777" w:rsidR="00F14851" w:rsidRPr="003C44C7" w:rsidRDefault="00F14851" w:rsidP="008E16C0">
            <w:pPr>
              <w:pStyle w:val="TableText"/>
            </w:pPr>
            <w:r w:rsidRPr="003C44C7">
              <w:t>O, P</w:t>
            </w:r>
          </w:p>
        </w:tc>
      </w:tr>
    </w:tbl>
    <w:p w14:paraId="58BCC82D" w14:textId="77777777" w:rsidR="00F14851" w:rsidRPr="003C44C7" w:rsidRDefault="00F14851" w:rsidP="008E16C0">
      <w:pPr>
        <w:pStyle w:val="TFListNotes"/>
      </w:pPr>
      <w:r w:rsidRPr="003C44C7">
        <w:t>ATC = Anatomical Therapeutic Classification; Inh = inhalation; MU = million units; O = oral; P = parenteral; R = rectal</w:t>
      </w:r>
    </w:p>
    <w:p w14:paraId="5D585DDB" w14:textId="77777777" w:rsidR="00F14851" w:rsidRPr="003C44C7" w:rsidRDefault="00F14851" w:rsidP="008E16C0">
      <w:pPr>
        <w:pStyle w:val="TFListNotes"/>
      </w:pPr>
      <w:r w:rsidRPr="003C44C7">
        <w:t>a</w:t>
      </w:r>
      <w:r w:rsidRPr="003C44C7">
        <w:tab/>
        <w:t>Without antipseudomonal activity</w:t>
      </w:r>
    </w:p>
    <w:p w14:paraId="22158FE6" w14:textId="77777777" w:rsidR="00F14851" w:rsidRPr="003C44C7" w:rsidRDefault="00F14851" w:rsidP="008E16C0">
      <w:pPr>
        <w:pStyle w:val="TFListNotes"/>
      </w:pPr>
      <w:r w:rsidRPr="003C44C7">
        <w:t>b</w:t>
      </w:r>
      <w:r w:rsidRPr="003C44C7">
        <w:tab/>
        <w:t>With antipseudomonal activity</w:t>
      </w:r>
    </w:p>
    <w:p w14:paraId="303E2F44" w14:textId="77777777" w:rsidR="00F14851" w:rsidRPr="003C44C7" w:rsidRDefault="00F14851" w:rsidP="008E16C0">
      <w:pPr>
        <w:pStyle w:val="TFNoteSourceSpace"/>
      </w:pPr>
      <w:r w:rsidRPr="003C44C7">
        <w:t>Source:</w:t>
      </w:r>
      <w:r w:rsidRPr="003C44C7">
        <w:tab/>
        <w:t>World Health Organization Collaborating Centre for Drug Statistics Methodology</w:t>
      </w:r>
      <w:r w:rsidRPr="003C44C7">
        <w:rPr>
          <w:rStyle w:val="Superscript"/>
        </w:rPr>
        <w:t>3</w:t>
      </w:r>
    </w:p>
    <w:p w14:paraId="36012C02" w14:textId="77777777" w:rsidR="00F14851" w:rsidRPr="003C44C7" w:rsidRDefault="00F14851">
      <w:pPr>
        <w:pStyle w:val="Heading1"/>
      </w:pPr>
      <w:bookmarkStart w:id="42" w:name="_Toc429391562"/>
      <w:r w:rsidRPr="003C44C7">
        <w:t>Glossary</w:t>
      </w:r>
      <w:bookmarkEnd w:id="42"/>
    </w:p>
    <w:tbl>
      <w:tblPr>
        <w:tblW w:w="0" w:type="auto"/>
        <w:tblInd w:w="85" w:type="dxa"/>
        <w:tblLayout w:type="fixed"/>
        <w:tblCellMar>
          <w:left w:w="0" w:type="dxa"/>
          <w:right w:w="0" w:type="dxa"/>
        </w:tblCellMar>
        <w:tblLook w:val="0000" w:firstRow="0" w:lastRow="0" w:firstColumn="0" w:lastColumn="0" w:noHBand="0" w:noVBand="0"/>
      </w:tblPr>
      <w:tblGrid>
        <w:gridCol w:w="2438"/>
        <w:gridCol w:w="7200"/>
      </w:tblGrid>
      <w:tr w:rsidR="00F14851" w:rsidRPr="003C44C7" w14:paraId="223BBEE5" w14:textId="77777777" w:rsidTr="003C44C7">
        <w:trPr>
          <w:trHeight w:val="60"/>
          <w:tblHeader/>
        </w:trPr>
        <w:tc>
          <w:tcPr>
            <w:tcW w:w="2438" w:type="dxa"/>
            <w:shd w:val="clear" w:color="auto" w:fill="auto"/>
            <w:tcMar>
              <w:top w:w="113" w:type="dxa"/>
              <w:left w:w="85" w:type="dxa"/>
              <w:bottom w:w="113" w:type="dxa"/>
              <w:right w:w="85" w:type="dxa"/>
            </w:tcMar>
            <w:vAlign w:val="bottom"/>
          </w:tcPr>
          <w:p w14:paraId="66022064" w14:textId="77777777" w:rsidR="00F14851" w:rsidRPr="003C44C7" w:rsidRDefault="00F14851" w:rsidP="008E16C0">
            <w:pPr>
              <w:pStyle w:val="TableHeading"/>
            </w:pPr>
            <w:r w:rsidRPr="003C44C7">
              <w:t>Term</w:t>
            </w:r>
          </w:p>
        </w:tc>
        <w:tc>
          <w:tcPr>
            <w:tcW w:w="7200" w:type="dxa"/>
            <w:shd w:val="clear" w:color="auto" w:fill="auto"/>
            <w:tcMar>
              <w:top w:w="113" w:type="dxa"/>
              <w:left w:w="85" w:type="dxa"/>
              <w:bottom w:w="113" w:type="dxa"/>
              <w:right w:w="85" w:type="dxa"/>
            </w:tcMar>
            <w:vAlign w:val="bottom"/>
          </w:tcPr>
          <w:p w14:paraId="7AA18A18" w14:textId="77777777" w:rsidR="00F14851" w:rsidRPr="003C44C7" w:rsidRDefault="00F14851" w:rsidP="008E16C0">
            <w:pPr>
              <w:pStyle w:val="TableHeading"/>
            </w:pPr>
            <w:r w:rsidRPr="003C44C7">
              <w:t>Definition</w:t>
            </w:r>
          </w:p>
        </w:tc>
      </w:tr>
      <w:tr w:rsidR="00F14851" w:rsidRPr="003C44C7" w14:paraId="7AB0DCF4" w14:textId="77777777" w:rsidTr="003C44C7">
        <w:trPr>
          <w:trHeight w:val="60"/>
        </w:trPr>
        <w:tc>
          <w:tcPr>
            <w:tcW w:w="2438" w:type="dxa"/>
            <w:shd w:val="clear" w:color="auto" w:fill="auto"/>
            <w:tcMar>
              <w:top w:w="85" w:type="dxa"/>
              <w:left w:w="85" w:type="dxa"/>
              <w:bottom w:w="85" w:type="dxa"/>
              <w:right w:w="85" w:type="dxa"/>
            </w:tcMar>
          </w:tcPr>
          <w:p w14:paraId="69171A8D" w14:textId="77777777" w:rsidR="00F14851" w:rsidRPr="003C44C7" w:rsidRDefault="00F14851" w:rsidP="008E16C0">
            <w:pPr>
              <w:pStyle w:val="TableText"/>
            </w:pPr>
            <w:r w:rsidRPr="003C44C7">
              <w:t>acute care</w:t>
            </w:r>
          </w:p>
        </w:tc>
        <w:tc>
          <w:tcPr>
            <w:tcW w:w="7200" w:type="dxa"/>
            <w:shd w:val="clear" w:color="auto" w:fill="auto"/>
            <w:tcMar>
              <w:top w:w="85" w:type="dxa"/>
              <w:left w:w="85" w:type="dxa"/>
              <w:bottom w:w="85" w:type="dxa"/>
              <w:right w:w="85" w:type="dxa"/>
            </w:tcMar>
            <w:vAlign w:val="center"/>
          </w:tcPr>
          <w:p w14:paraId="36627860" w14:textId="77777777" w:rsidR="00F14851" w:rsidRPr="003C44C7" w:rsidRDefault="00F14851" w:rsidP="008E16C0">
            <w:pPr>
              <w:pStyle w:val="TableText"/>
            </w:pPr>
            <w:r w:rsidRPr="003C44C7">
              <w:t>The health system components, or care delivery platforms, used to treat sudden, often unexpected, urgent or emergent episodes of injury and illness that can lead to death or disability without rapid intervention. This is often care where the intent is to perform surgery, diagnostic or therapeutic procedures.</w:t>
            </w:r>
          </w:p>
        </w:tc>
      </w:tr>
      <w:tr w:rsidR="00F14851" w:rsidRPr="003C44C7" w14:paraId="336FD18E" w14:textId="77777777" w:rsidTr="003C44C7">
        <w:trPr>
          <w:trHeight w:val="60"/>
        </w:trPr>
        <w:tc>
          <w:tcPr>
            <w:tcW w:w="2438" w:type="dxa"/>
            <w:shd w:val="clear" w:color="auto" w:fill="auto"/>
            <w:tcMar>
              <w:top w:w="85" w:type="dxa"/>
              <w:left w:w="85" w:type="dxa"/>
              <w:bottom w:w="85" w:type="dxa"/>
              <w:right w:w="85" w:type="dxa"/>
            </w:tcMar>
          </w:tcPr>
          <w:p w14:paraId="6E1973ED" w14:textId="77777777" w:rsidR="00F14851" w:rsidRPr="003C44C7" w:rsidRDefault="00F14851" w:rsidP="008E16C0">
            <w:pPr>
              <w:pStyle w:val="TableText"/>
            </w:pPr>
            <w:r w:rsidRPr="003C44C7">
              <w:t>antimicrobial</w:t>
            </w:r>
          </w:p>
        </w:tc>
        <w:tc>
          <w:tcPr>
            <w:tcW w:w="7200" w:type="dxa"/>
            <w:shd w:val="clear" w:color="auto" w:fill="auto"/>
            <w:tcMar>
              <w:top w:w="85" w:type="dxa"/>
              <w:left w:w="85" w:type="dxa"/>
              <w:bottom w:w="85" w:type="dxa"/>
              <w:right w:w="85" w:type="dxa"/>
            </w:tcMar>
            <w:vAlign w:val="center"/>
          </w:tcPr>
          <w:p w14:paraId="61812B87" w14:textId="77777777" w:rsidR="00F14851" w:rsidRPr="003C44C7" w:rsidRDefault="00F14851" w:rsidP="008E16C0">
            <w:pPr>
              <w:pStyle w:val="TableText"/>
            </w:pPr>
            <w:r w:rsidRPr="003C44C7">
              <w:t>A chemical substance that inhibits or destroys bacteria, parasites, viruses or fungi and that can be safely administered to humans or animals.</w:t>
            </w:r>
          </w:p>
        </w:tc>
      </w:tr>
      <w:tr w:rsidR="00F14851" w:rsidRPr="003C44C7" w14:paraId="11365F50" w14:textId="77777777" w:rsidTr="003C44C7">
        <w:trPr>
          <w:trHeight w:val="60"/>
        </w:trPr>
        <w:tc>
          <w:tcPr>
            <w:tcW w:w="2438" w:type="dxa"/>
            <w:shd w:val="clear" w:color="auto" w:fill="auto"/>
            <w:tcMar>
              <w:top w:w="85" w:type="dxa"/>
              <w:left w:w="85" w:type="dxa"/>
              <w:bottom w:w="85" w:type="dxa"/>
              <w:right w:w="85" w:type="dxa"/>
            </w:tcMar>
          </w:tcPr>
          <w:p w14:paraId="63C7038F" w14:textId="77777777" w:rsidR="00F14851" w:rsidRPr="003C44C7" w:rsidRDefault="00F14851" w:rsidP="008E16C0">
            <w:pPr>
              <w:pStyle w:val="TableText"/>
            </w:pPr>
            <w:r w:rsidRPr="003C44C7">
              <w:t>antimicrobial resistance</w:t>
            </w:r>
          </w:p>
        </w:tc>
        <w:tc>
          <w:tcPr>
            <w:tcW w:w="7200" w:type="dxa"/>
            <w:shd w:val="clear" w:color="auto" w:fill="auto"/>
            <w:tcMar>
              <w:top w:w="85" w:type="dxa"/>
              <w:left w:w="85" w:type="dxa"/>
              <w:bottom w:w="85" w:type="dxa"/>
              <w:right w:w="85" w:type="dxa"/>
            </w:tcMar>
            <w:vAlign w:val="center"/>
          </w:tcPr>
          <w:p w14:paraId="64E07005" w14:textId="77777777" w:rsidR="00F14851" w:rsidRPr="003C44C7" w:rsidRDefault="00F14851" w:rsidP="008E16C0">
            <w:pPr>
              <w:pStyle w:val="TableText"/>
            </w:pPr>
            <w:r w:rsidRPr="003C44C7">
              <w:t>Failure of an antimicrobial to inhibit a microorganism at the antimicrobial concentrations usually achieved over time with standard dosing regimens.</w:t>
            </w:r>
          </w:p>
        </w:tc>
      </w:tr>
      <w:tr w:rsidR="00F14851" w:rsidRPr="003C44C7" w14:paraId="646676A1" w14:textId="77777777" w:rsidTr="003C44C7">
        <w:trPr>
          <w:trHeight w:val="60"/>
        </w:trPr>
        <w:tc>
          <w:tcPr>
            <w:tcW w:w="2438" w:type="dxa"/>
            <w:shd w:val="clear" w:color="auto" w:fill="auto"/>
            <w:tcMar>
              <w:top w:w="85" w:type="dxa"/>
              <w:left w:w="85" w:type="dxa"/>
              <w:bottom w:w="85" w:type="dxa"/>
              <w:right w:w="85" w:type="dxa"/>
            </w:tcMar>
          </w:tcPr>
          <w:p w14:paraId="6DF33E53" w14:textId="77777777" w:rsidR="00F14851" w:rsidRPr="003C44C7" w:rsidRDefault="00F14851" w:rsidP="008E16C0">
            <w:pPr>
              <w:pStyle w:val="TableText"/>
            </w:pPr>
            <w:r w:rsidRPr="003C44C7">
              <w:t>antimicrobial stewardship</w:t>
            </w:r>
          </w:p>
        </w:tc>
        <w:tc>
          <w:tcPr>
            <w:tcW w:w="7200" w:type="dxa"/>
            <w:shd w:val="clear" w:color="auto" w:fill="auto"/>
            <w:tcMar>
              <w:top w:w="85" w:type="dxa"/>
              <w:left w:w="85" w:type="dxa"/>
              <w:bottom w:w="85" w:type="dxa"/>
              <w:right w:w="85" w:type="dxa"/>
            </w:tcMar>
            <w:vAlign w:val="center"/>
          </w:tcPr>
          <w:p w14:paraId="27AAF42F" w14:textId="77777777" w:rsidR="00F14851" w:rsidRPr="003C44C7" w:rsidRDefault="00F14851" w:rsidP="008E16C0">
            <w:pPr>
              <w:pStyle w:val="TableText"/>
            </w:pPr>
            <w:r w:rsidRPr="003C44C7">
              <w:t>An ongoing effort by a health service to reduce the risks associated with increasing microbial resistance and to extend the effectiveness of antimicrobial treatments. Antimicrobial stewardship may incorporate a broad range of strategies, including monitoring and review of antimicrobial use.</w:t>
            </w:r>
          </w:p>
        </w:tc>
      </w:tr>
      <w:tr w:rsidR="00F14851" w:rsidRPr="003C44C7" w14:paraId="134646B3" w14:textId="77777777" w:rsidTr="003C44C7">
        <w:trPr>
          <w:trHeight w:val="60"/>
        </w:trPr>
        <w:tc>
          <w:tcPr>
            <w:tcW w:w="2438" w:type="dxa"/>
            <w:shd w:val="clear" w:color="auto" w:fill="auto"/>
            <w:tcMar>
              <w:top w:w="85" w:type="dxa"/>
              <w:left w:w="85" w:type="dxa"/>
              <w:bottom w:w="85" w:type="dxa"/>
              <w:right w:w="85" w:type="dxa"/>
            </w:tcMar>
          </w:tcPr>
          <w:p w14:paraId="49E1EA3C" w14:textId="77777777" w:rsidR="00F14851" w:rsidRPr="003C44C7" w:rsidRDefault="00F14851" w:rsidP="008E16C0">
            <w:pPr>
              <w:pStyle w:val="TableText"/>
            </w:pPr>
            <w:r w:rsidRPr="003C44C7">
              <w:t>broad-spectrum antimicrobials</w:t>
            </w:r>
          </w:p>
        </w:tc>
        <w:tc>
          <w:tcPr>
            <w:tcW w:w="7200" w:type="dxa"/>
            <w:shd w:val="clear" w:color="auto" w:fill="auto"/>
            <w:tcMar>
              <w:top w:w="85" w:type="dxa"/>
              <w:left w:w="85" w:type="dxa"/>
              <w:bottom w:w="85" w:type="dxa"/>
              <w:right w:w="85" w:type="dxa"/>
            </w:tcMar>
            <w:vAlign w:val="center"/>
          </w:tcPr>
          <w:p w14:paraId="7AE3E146" w14:textId="77777777" w:rsidR="00F14851" w:rsidRPr="003C44C7" w:rsidRDefault="00F14851" w:rsidP="008E16C0">
            <w:pPr>
              <w:pStyle w:val="TableText"/>
            </w:pPr>
            <w:r w:rsidRPr="003C44C7">
              <w:t>A class of antimicrobials that affect many organisms.</w:t>
            </w:r>
          </w:p>
        </w:tc>
      </w:tr>
      <w:tr w:rsidR="00F14851" w:rsidRPr="003C44C7" w14:paraId="12DF616A" w14:textId="77777777" w:rsidTr="003C44C7">
        <w:trPr>
          <w:trHeight w:val="60"/>
        </w:trPr>
        <w:tc>
          <w:tcPr>
            <w:tcW w:w="2438" w:type="dxa"/>
            <w:shd w:val="clear" w:color="auto" w:fill="auto"/>
            <w:tcMar>
              <w:top w:w="85" w:type="dxa"/>
              <w:left w:w="85" w:type="dxa"/>
              <w:bottom w:w="85" w:type="dxa"/>
              <w:right w:w="85" w:type="dxa"/>
            </w:tcMar>
          </w:tcPr>
          <w:p w14:paraId="0A12F5B5" w14:textId="77777777" w:rsidR="00F14851" w:rsidRPr="003C44C7" w:rsidRDefault="00F14851" w:rsidP="008E16C0">
            <w:pPr>
              <w:pStyle w:val="TableText"/>
            </w:pPr>
            <w:r w:rsidRPr="003C44C7">
              <w:t>defined daily dose</w:t>
            </w:r>
          </w:p>
        </w:tc>
        <w:tc>
          <w:tcPr>
            <w:tcW w:w="7200" w:type="dxa"/>
            <w:shd w:val="clear" w:color="auto" w:fill="auto"/>
            <w:tcMar>
              <w:top w:w="85" w:type="dxa"/>
              <w:left w:w="85" w:type="dxa"/>
              <w:bottom w:w="85" w:type="dxa"/>
              <w:right w:w="85" w:type="dxa"/>
            </w:tcMar>
            <w:vAlign w:val="center"/>
          </w:tcPr>
          <w:p w14:paraId="1468C878" w14:textId="77777777" w:rsidR="00F14851" w:rsidRPr="003C44C7" w:rsidRDefault="00F14851" w:rsidP="008E16C0">
            <w:pPr>
              <w:pStyle w:val="TableText"/>
            </w:pPr>
            <w:r w:rsidRPr="003C44C7">
              <w:t>The average dose per day to treat the main indication for an average adult patient.</w:t>
            </w:r>
          </w:p>
        </w:tc>
      </w:tr>
      <w:tr w:rsidR="00F14851" w:rsidRPr="003C44C7" w14:paraId="13893AF0" w14:textId="77777777" w:rsidTr="003C44C7">
        <w:trPr>
          <w:trHeight w:val="60"/>
        </w:trPr>
        <w:tc>
          <w:tcPr>
            <w:tcW w:w="2438" w:type="dxa"/>
            <w:shd w:val="clear" w:color="auto" w:fill="auto"/>
            <w:tcMar>
              <w:top w:w="85" w:type="dxa"/>
              <w:left w:w="85" w:type="dxa"/>
              <w:bottom w:w="85" w:type="dxa"/>
              <w:right w:w="85" w:type="dxa"/>
            </w:tcMar>
          </w:tcPr>
          <w:p w14:paraId="1EA8CD5E" w14:textId="77777777" w:rsidR="00F14851" w:rsidRPr="003C44C7" w:rsidRDefault="00F14851" w:rsidP="008E16C0">
            <w:pPr>
              <w:pStyle w:val="TableText"/>
            </w:pPr>
            <w:r w:rsidRPr="003C44C7">
              <w:t>extended-spectrum-β-lactamase</w:t>
            </w:r>
          </w:p>
        </w:tc>
        <w:tc>
          <w:tcPr>
            <w:tcW w:w="7200" w:type="dxa"/>
            <w:shd w:val="clear" w:color="auto" w:fill="auto"/>
            <w:tcMar>
              <w:top w:w="85" w:type="dxa"/>
              <w:left w:w="85" w:type="dxa"/>
              <w:bottom w:w="85" w:type="dxa"/>
              <w:right w:w="85" w:type="dxa"/>
            </w:tcMar>
            <w:vAlign w:val="center"/>
          </w:tcPr>
          <w:p w14:paraId="4CDB48EB" w14:textId="77777777" w:rsidR="00F14851" w:rsidRPr="003C44C7" w:rsidRDefault="00F14851" w:rsidP="008E16C0">
            <w:pPr>
              <w:pStyle w:val="TableText"/>
            </w:pPr>
            <w:r w:rsidRPr="003C44C7">
              <w:t>Enzyme that is produced by some gram-negative bacteria. These bacteria are usually found in the bowel and urinary tract, and are considered multiresistant organisms because they are resistant to a large number of antimicrobials.</w:t>
            </w:r>
          </w:p>
        </w:tc>
      </w:tr>
      <w:tr w:rsidR="00F14851" w:rsidRPr="003C44C7" w14:paraId="67EABE51" w14:textId="77777777" w:rsidTr="003C44C7">
        <w:trPr>
          <w:trHeight w:val="60"/>
        </w:trPr>
        <w:tc>
          <w:tcPr>
            <w:tcW w:w="2438" w:type="dxa"/>
            <w:shd w:val="clear" w:color="auto" w:fill="auto"/>
            <w:tcMar>
              <w:top w:w="85" w:type="dxa"/>
              <w:left w:w="85" w:type="dxa"/>
              <w:bottom w:w="85" w:type="dxa"/>
              <w:right w:w="85" w:type="dxa"/>
            </w:tcMar>
          </w:tcPr>
          <w:p w14:paraId="12A6BB51" w14:textId="77777777" w:rsidR="00F14851" w:rsidRPr="003C44C7" w:rsidRDefault="00F14851" w:rsidP="008E16C0">
            <w:pPr>
              <w:pStyle w:val="TableText"/>
            </w:pPr>
            <w:r w:rsidRPr="003C44C7">
              <w:t>highly reserved agent</w:t>
            </w:r>
          </w:p>
        </w:tc>
        <w:tc>
          <w:tcPr>
            <w:tcW w:w="7200" w:type="dxa"/>
            <w:shd w:val="clear" w:color="auto" w:fill="auto"/>
            <w:tcMar>
              <w:top w:w="85" w:type="dxa"/>
              <w:left w:w="85" w:type="dxa"/>
              <w:bottom w:w="85" w:type="dxa"/>
              <w:right w:w="85" w:type="dxa"/>
            </w:tcMar>
            <w:vAlign w:val="center"/>
          </w:tcPr>
          <w:p w14:paraId="216CD9C2" w14:textId="77777777" w:rsidR="00F14851" w:rsidRPr="003C44C7" w:rsidRDefault="00F14851" w:rsidP="008E16C0">
            <w:pPr>
              <w:pStyle w:val="TableText"/>
            </w:pPr>
            <w:r w:rsidRPr="003C44C7">
              <w:t>Antimicrobial requiring formal approval before dispensing, and not subject to pre-approval.</w:t>
            </w:r>
          </w:p>
        </w:tc>
      </w:tr>
      <w:tr w:rsidR="00F14851" w:rsidRPr="003C44C7" w14:paraId="62A0C212" w14:textId="77777777" w:rsidTr="003C44C7">
        <w:trPr>
          <w:trHeight w:val="60"/>
        </w:trPr>
        <w:tc>
          <w:tcPr>
            <w:tcW w:w="2438" w:type="dxa"/>
            <w:shd w:val="clear" w:color="auto" w:fill="auto"/>
            <w:tcMar>
              <w:top w:w="85" w:type="dxa"/>
              <w:left w:w="85" w:type="dxa"/>
              <w:bottom w:w="85" w:type="dxa"/>
              <w:right w:w="85" w:type="dxa"/>
            </w:tcMar>
          </w:tcPr>
          <w:p w14:paraId="33941746" w14:textId="77777777" w:rsidR="00F14851" w:rsidRPr="003C44C7" w:rsidRDefault="00F14851" w:rsidP="008E16C0">
            <w:pPr>
              <w:pStyle w:val="TableText"/>
            </w:pPr>
            <w:r w:rsidRPr="003C44C7">
              <w:t>National Antimicrobial Prescribing Survey (NAPS)</w:t>
            </w:r>
          </w:p>
        </w:tc>
        <w:tc>
          <w:tcPr>
            <w:tcW w:w="7200" w:type="dxa"/>
            <w:shd w:val="clear" w:color="auto" w:fill="auto"/>
            <w:tcMar>
              <w:top w:w="85" w:type="dxa"/>
              <w:left w:w="85" w:type="dxa"/>
              <w:bottom w:w="85" w:type="dxa"/>
              <w:right w:w="85" w:type="dxa"/>
            </w:tcMar>
            <w:vAlign w:val="center"/>
          </w:tcPr>
          <w:p w14:paraId="534D96D8" w14:textId="77777777" w:rsidR="00F14851" w:rsidRPr="003C44C7" w:rsidRDefault="00F14851" w:rsidP="008E16C0">
            <w:pPr>
              <w:pStyle w:val="TableText"/>
            </w:pPr>
            <w:r w:rsidRPr="003C44C7">
              <w:t>A national survey that uses a standardised auditing tool. The survey is designed to assist healthcare facilities to assess the quantity and quality of antimicrobial prescribing. NAPS is developed by the National Centre for Antimicrobial Stewardship at the Doherty Institute (a joint venture between the Royal Melbourne Hospital and the University of Melbourne), and is supported by the Australian Commission on Safety and Quality in Health Care, with the aim of improving appropriateness of antimicrobial prescribing.</w:t>
            </w:r>
          </w:p>
        </w:tc>
      </w:tr>
      <w:tr w:rsidR="00F14851" w:rsidRPr="003C44C7" w14:paraId="4EA8B2FA" w14:textId="77777777" w:rsidTr="003C44C7">
        <w:trPr>
          <w:trHeight w:val="60"/>
        </w:trPr>
        <w:tc>
          <w:tcPr>
            <w:tcW w:w="2438" w:type="dxa"/>
            <w:shd w:val="clear" w:color="auto" w:fill="auto"/>
            <w:tcMar>
              <w:top w:w="85" w:type="dxa"/>
              <w:left w:w="85" w:type="dxa"/>
              <w:bottom w:w="85" w:type="dxa"/>
              <w:right w:w="85" w:type="dxa"/>
            </w:tcMar>
          </w:tcPr>
          <w:p w14:paraId="4C421211" w14:textId="77777777" w:rsidR="00F14851" w:rsidRPr="003C44C7" w:rsidRDefault="00F14851" w:rsidP="008E16C0">
            <w:pPr>
              <w:pStyle w:val="TableText"/>
            </w:pPr>
            <w:r w:rsidRPr="003C44C7">
              <w:t>National Safety and Quality Health Service (NSQHS) Standards</w:t>
            </w:r>
          </w:p>
        </w:tc>
        <w:tc>
          <w:tcPr>
            <w:tcW w:w="7200" w:type="dxa"/>
            <w:shd w:val="clear" w:color="auto" w:fill="auto"/>
            <w:tcMar>
              <w:top w:w="85" w:type="dxa"/>
              <w:left w:w="85" w:type="dxa"/>
              <w:bottom w:w="85" w:type="dxa"/>
              <w:right w:w="85" w:type="dxa"/>
            </w:tcMar>
            <w:vAlign w:val="center"/>
          </w:tcPr>
          <w:p w14:paraId="1DBBF4BD" w14:textId="77777777" w:rsidR="00F14851" w:rsidRPr="003C44C7" w:rsidRDefault="00F14851" w:rsidP="008E16C0">
            <w:pPr>
              <w:pStyle w:val="TableText"/>
            </w:pPr>
            <w:r w:rsidRPr="003C44C7">
              <w:t xml:space="preserve">Standards developed by the Australian Commission on Safety and Quality in Health Care to drive the implementation of safety and quality systems, and improve the quality of health care in Australia. The NSQHS Standards provide a nationally consistent statement about the level of care consumers can expect from health service organisations. </w:t>
            </w:r>
          </w:p>
        </w:tc>
      </w:tr>
      <w:tr w:rsidR="00F14851" w:rsidRPr="003C44C7" w14:paraId="0869DE37" w14:textId="77777777" w:rsidTr="003C44C7">
        <w:trPr>
          <w:trHeight w:val="60"/>
        </w:trPr>
        <w:tc>
          <w:tcPr>
            <w:tcW w:w="2438" w:type="dxa"/>
            <w:shd w:val="clear" w:color="auto" w:fill="auto"/>
            <w:tcMar>
              <w:top w:w="85" w:type="dxa"/>
              <w:left w:w="85" w:type="dxa"/>
              <w:bottom w:w="85" w:type="dxa"/>
              <w:right w:w="85" w:type="dxa"/>
            </w:tcMar>
          </w:tcPr>
          <w:p w14:paraId="38E70321" w14:textId="77777777" w:rsidR="00F14851" w:rsidRPr="003C44C7" w:rsidRDefault="00F14851" w:rsidP="008E16C0">
            <w:pPr>
              <w:pStyle w:val="TableText"/>
            </w:pPr>
            <w:r w:rsidRPr="003C44C7">
              <w:t>occupied-bed-days</w:t>
            </w:r>
          </w:p>
        </w:tc>
        <w:tc>
          <w:tcPr>
            <w:tcW w:w="7200" w:type="dxa"/>
            <w:shd w:val="clear" w:color="auto" w:fill="auto"/>
            <w:tcMar>
              <w:top w:w="85" w:type="dxa"/>
              <w:left w:w="85" w:type="dxa"/>
              <w:bottom w:w="85" w:type="dxa"/>
              <w:right w:w="85" w:type="dxa"/>
            </w:tcMar>
            <w:vAlign w:val="center"/>
          </w:tcPr>
          <w:p w14:paraId="116FC875" w14:textId="77777777" w:rsidR="00F14851" w:rsidRPr="003C44C7" w:rsidRDefault="00F14851" w:rsidP="008E16C0">
            <w:pPr>
              <w:pStyle w:val="TableText"/>
            </w:pPr>
            <w:r w:rsidRPr="003C44C7">
              <w:t>The total number of bed days of all admitted patients accommodated during the reporting period, taken from a count of the number of inpatients at about midnight each day.</w:t>
            </w:r>
          </w:p>
        </w:tc>
      </w:tr>
      <w:tr w:rsidR="00F14851" w:rsidRPr="003C44C7" w14:paraId="6847A7E3" w14:textId="77777777" w:rsidTr="003C44C7">
        <w:trPr>
          <w:trHeight w:val="60"/>
        </w:trPr>
        <w:tc>
          <w:tcPr>
            <w:tcW w:w="2438" w:type="dxa"/>
            <w:shd w:val="clear" w:color="auto" w:fill="auto"/>
            <w:tcMar>
              <w:top w:w="85" w:type="dxa"/>
              <w:left w:w="85" w:type="dxa"/>
              <w:bottom w:w="85" w:type="dxa"/>
              <w:right w:w="85" w:type="dxa"/>
            </w:tcMar>
          </w:tcPr>
          <w:p w14:paraId="607E8FD0" w14:textId="77777777" w:rsidR="00F14851" w:rsidRPr="003C44C7" w:rsidRDefault="00F14851" w:rsidP="008E16C0">
            <w:pPr>
              <w:pStyle w:val="TableText"/>
            </w:pPr>
            <w:r w:rsidRPr="003C44C7">
              <w:t>parenteral (agents)</w:t>
            </w:r>
          </w:p>
        </w:tc>
        <w:tc>
          <w:tcPr>
            <w:tcW w:w="7200" w:type="dxa"/>
            <w:shd w:val="clear" w:color="auto" w:fill="auto"/>
            <w:tcMar>
              <w:top w:w="85" w:type="dxa"/>
              <w:left w:w="85" w:type="dxa"/>
              <w:bottom w:w="85" w:type="dxa"/>
              <w:right w:w="85" w:type="dxa"/>
            </w:tcMar>
            <w:vAlign w:val="center"/>
          </w:tcPr>
          <w:p w14:paraId="7260025D" w14:textId="77777777" w:rsidR="00F14851" w:rsidRPr="003C44C7" w:rsidRDefault="00F14851" w:rsidP="008E16C0">
            <w:pPr>
              <w:pStyle w:val="TableText"/>
            </w:pPr>
            <w:r w:rsidRPr="003C44C7">
              <w:t>Antimicrobials that must be given by injection, such as via the intravenous or intramuscular routes, to be effective.</w:t>
            </w:r>
          </w:p>
        </w:tc>
      </w:tr>
      <w:tr w:rsidR="00F14851" w:rsidRPr="003C44C7" w14:paraId="65D5D9C1" w14:textId="77777777" w:rsidTr="003C44C7">
        <w:trPr>
          <w:trHeight w:val="60"/>
        </w:trPr>
        <w:tc>
          <w:tcPr>
            <w:tcW w:w="2438" w:type="dxa"/>
            <w:shd w:val="clear" w:color="auto" w:fill="auto"/>
            <w:tcMar>
              <w:top w:w="85" w:type="dxa"/>
              <w:left w:w="85" w:type="dxa"/>
              <w:bottom w:w="85" w:type="dxa"/>
              <w:right w:w="85" w:type="dxa"/>
            </w:tcMar>
          </w:tcPr>
          <w:p w14:paraId="2000A448" w14:textId="77777777" w:rsidR="00F14851" w:rsidRPr="003C44C7" w:rsidRDefault="00F14851" w:rsidP="008E16C0">
            <w:pPr>
              <w:pStyle w:val="TableText"/>
            </w:pPr>
            <w:r w:rsidRPr="003C44C7">
              <w:t>(hospital) peer group</w:t>
            </w:r>
          </w:p>
        </w:tc>
        <w:tc>
          <w:tcPr>
            <w:tcW w:w="7200" w:type="dxa"/>
            <w:shd w:val="clear" w:color="auto" w:fill="auto"/>
            <w:tcMar>
              <w:top w:w="85" w:type="dxa"/>
              <w:left w:w="85" w:type="dxa"/>
              <w:bottom w:w="85" w:type="dxa"/>
              <w:right w:w="85" w:type="dxa"/>
            </w:tcMar>
            <w:vAlign w:val="center"/>
          </w:tcPr>
          <w:p w14:paraId="53AB1873" w14:textId="77777777" w:rsidR="00F14851" w:rsidRPr="003C44C7" w:rsidRDefault="00F14851" w:rsidP="008E16C0">
            <w:pPr>
              <w:pStyle w:val="TableText"/>
            </w:pPr>
            <w:r w:rsidRPr="003C44C7">
              <w:t>Hospitals of a similar size (major, large, medium or small) or geographical location. Peer groups only apply to public hospitals. The grouping allows comparison between similar hospitals. This minimises the effect of different hospital size, service provision and rurality when comparing hospitals.</w:t>
            </w:r>
          </w:p>
        </w:tc>
      </w:tr>
      <w:tr w:rsidR="00F14851" w:rsidRPr="003C44C7" w14:paraId="53827089" w14:textId="77777777" w:rsidTr="003C44C7">
        <w:trPr>
          <w:trHeight w:val="60"/>
        </w:trPr>
        <w:tc>
          <w:tcPr>
            <w:tcW w:w="2438" w:type="dxa"/>
            <w:shd w:val="clear" w:color="auto" w:fill="auto"/>
            <w:tcMar>
              <w:top w:w="85" w:type="dxa"/>
              <w:left w:w="85" w:type="dxa"/>
              <w:bottom w:w="85" w:type="dxa"/>
              <w:right w:w="85" w:type="dxa"/>
            </w:tcMar>
          </w:tcPr>
          <w:p w14:paraId="580FA31E" w14:textId="77777777" w:rsidR="00F14851" w:rsidRPr="003C44C7" w:rsidRDefault="00F14851" w:rsidP="008E16C0">
            <w:pPr>
              <w:pStyle w:val="TableText"/>
            </w:pPr>
            <w:r w:rsidRPr="003C44C7">
              <w:t>primary (health) care</w:t>
            </w:r>
          </w:p>
        </w:tc>
        <w:tc>
          <w:tcPr>
            <w:tcW w:w="7200" w:type="dxa"/>
            <w:shd w:val="clear" w:color="auto" w:fill="auto"/>
            <w:tcMar>
              <w:top w:w="85" w:type="dxa"/>
              <w:left w:w="85" w:type="dxa"/>
              <w:bottom w:w="85" w:type="dxa"/>
              <w:right w:w="85" w:type="dxa"/>
            </w:tcMar>
            <w:vAlign w:val="center"/>
          </w:tcPr>
          <w:p w14:paraId="6AF1A637" w14:textId="77777777" w:rsidR="00F14851" w:rsidRPr="003C44C7" w:rsidRDefault="00F14851" w:rsidP="008E16C0">
            <w:pPr>
              <w:pStyle w:val="TableText"/>
            </w:pPr>
            <w:r w:rsidRPr="003C44C7">
              <w:t>Includes most health services not provided by hospitals.</w:t>
            </w:r>
          </w:p>
        </w:tc>
      </w:tr>
      <w:tr w:rsidR="00F14851" w:rsidRPr="003C44C7" w14:paraId="4F88E97A" w14:textId="77777777" w:rsidTr="003C44C7">
        <w:trPr>
          <w:trHeight w:val="60"/>
        </w:trPr>
        <w:tc>
          <w:tcPr>
            <w:tcW w:w="2438" w:type="dxa"/>
            <w:shd w:val="clear" w:color="auto" w:fill="auto"/>
            <w:tcMar>
              <w:top w:w="85" w:type="dxa"/>
              <w:left w:w="85" w:type="dxa"/>
              <w:bottom w:w="85" w:type="dxa"/>
              <w:right w:w="85" w:type="dxa"/>
            </w:tcMar>
          </w:tcPr>
          <w:p w14:paraId="4E24089E" w14:textId="77777777" w:rsidR="00F14851" w:rsidRPr="003C44C7" w:rsidRDefault="00F14851" w:rsidP="008E16C0">
            <w:pPr>
              <w:pStyle w:val="TableText"/>
            </w:pPr>
            <w:r w:rsidRPr="003C44C7">
              <w:t>principal referral hospital</w:t>
            </w:r>
          </w:p>
        </w:tc>
        <w:tc>
          <w:tcPr>
            <w:tcW w:w="7200" w:type="dxa"/>
            <w:shd w:val="clear" w:color="auto" w:fill="auto"/>
            <w:tcMar>
              <w:top w:w="85" w:type="dxa"/>
              <w:left w:w="85" w:type="dxa"/>
              <w:bottom w:w="85" w:type="dxa"/>
              <w:right w:w="85" w:type="dxa"/>
            </w:tcMar>
            <w:vAlign w:val="center"/>
          </w:tcPr>
          <w:p w14:paraId="576B6EDD" w14:textId="77777777" w:rsidR="00F14851" w:rsidRPr="003C44C7" w:rsidRDefault="00F14851" w:rsidP="008E16C0">
            <w:pPr>
              <w:pStyle w:val="TableText"/>
            </w:pPr>
            <w:r w:rsidRPr="003C44C7">
              <w:t>Major city hospitals with more than 20 000 acute casemix-adjusted separations, and regional hospitals with more than 16 000 acute casemix-adjusted separations per year.</w:t>
            </w:r>
          </w:p>
        </w:tc>
      </w:tr>
      <w:tr w:rsidR="00F14851" w:rsidRPr="003C44C7" w14:paraId="55C775A7" w14:textId="77777777" w:rsidTr="003C44C7">
        <w:trPr>
          <w:trHeight w:val="60"/>
        </w:trPr>
        <w:tc>
          <w:tcPr>
            <w:tcW w:w="2438" w:type="dxa"/>
            <w:shd w:val="clear" w:color="auto" w:fill="auto"/>
            <w:tcMar>
              <w:top w:w="85" w:type="dxa"/>
              <w:left w:w="85" w:type="dxa"/>
              <w:bottom w:w="85" w:type="dxa"/>
              <w:right w:w="85" w:type="dxa"/>
            </w:tcMar>
          </w:tcPr>
          <w:p w14:paraId="5271DB50" w14:textId="77777777" w:rsidR="00F14851" w:rsidRPr="003C44C7" w:rsidRDefault="00F14851" w:rsidP="008E16C0">
            <w:pPr>
              <w:pStyle w:val="TableText"/>
            </w:pPr>
            <w:r w:rsidRPr="003C44C7">
              <w:t>standardised usage density rate</w:t>
            </w:r>
          </w:p>
        </w:tc>
        <w:tc>
          <w:tcPr>
            <w:tcW w:w="7200" w:type="dxa"/>
            <w:shd w:val="clear" w:color="auto" w:fill="auto"/>
            <w:tcMar>
              <w:top w:w="85" w:type="dxa"/>
              <w:left w:w="85" w:type="dxa"/>
              <w:bottom w:w="85" w:type="dxa"/>
              <w:right w:w="85" w:type="dxa"/>
            </w:tcMar>
            <w:vAlign w:val="center"/>
          </w:tcPr>
          <w:p w14:paraId="74F77EC6" w14:textId="77777777" w:rsidR="00F14851" w:rsidRPr="003C44C7" w:rsidRDefault="00F14851" w:rsidP="008E16C0">
            <w:pPr>
              <w:pStyle w:val="TableText"/>
            </w:pPr>
            <w:r w:rsidRPr="003C44C7">
              <w:t>The number of defined daily doses used per 1000 occupied-bed-days.</w:t>
            </w:r>
          </w:p>
        </w:tc>
      </w:tr>
      <w:tr w:rsidR="00F14851" w:rsidRPr="003C44C7" w14:paraId="75D29393" w14:textId="77777777" w:rsidTr="003C44C7">
        <w:trPr>
          <w:trHeight w:val="60"/>
        </w:trPr>
        <w:tc>
          <w:tcPr>
            <w:tcW w:w="2438" w:type="dxa"/>
            <w:shd w:val="clear" w:color="auto" w:fill="auto"/>
            <w:tcMar>
              <w:top w:w="85" w:type="dxa"/>
              <w:left w:w="85" w:type="dxa"/>
              <w:bottom w:w="85" w:type="dxa"/>
              <w:right w:w="85" w:type="dxa"/>
            </w:tcMar>
          </w:tcPr>
          <w:p w14:paraId="5FF96E18" w14:textId="77777777" w:rsidR="00F14851" w:rsidRPr="003C44C7" w:rsidRDefault="00F14851" w:rsidP="008E16C0">
            <w:pPr>
              <w:pStyle w:val="TableText"/>
            </w:pPr>
            <w:r w:rsidRPr="003C44C7">
              <w:t>therapeutic group</w:t>
            </w:r>
          </w:p>
        </w:tc>
        <w:tc>
          <w:tcPr>
            <w:tcW w:w="7200" w:type="dxa"/>
            <w:shd w:val="clear" w:color="auto" w:fill="auto"/>
            <w:tcMar>
              <w:top w:w="85" w:type="dxa"/>
              <w:left w:w="85" w:type="dxa"/>
              <w:bottom w:w="85" w:type="dxa"/>
              <w:right w:w="85" w:type="dxa"/>
            </w:tcMar>
            <w:vAlign w:val="center"/>
          </w:tcPr>
          <w:p w14:paraId="7F01742B" w14:textId="77777777" w:rsidR="00F14851" w:rsidRPr="003C44C7" w:rsidRDefault="00F14851" w:rsidP="008E16C0">
            <w:pPr>
              <w:pStyle w:val="TableText"/>
            </w:pPr>
            <w:r w:rsidRPr="003C44C7">
              <w:t>Categorisation of drugs that have similar chemical structure and spectrum.</w:t>
            </w:r>
          </w:p>
        </w:tc>
      </w:tr>
      <w:tr w:rsidR="00F14851" w:rsidRPr="003C44C7" w14:paraId="1497E467" w14:textId="77777777" w:rsidTr="003C44C7">
        <w:trPr>
          <w:trHeight w:val="60"/>
        </w:trPr>
        <w:tc>
          <w:tcPr>
            <w:tcW w:w="2438" w:type="dxa"/>
            <w:shd w:val="clear" w:color="auto" w:fill="auto"/>
            <w:tcMar>
              <w:top w:w="85" w:type="dxa"/>
              <w:left w:w="85" w:type="dxa"/>
              <w:bottom w:w="85" w:type="dxa"/>
              <w:right w:w="85" w:type="dxa"/>
            </w:tcMar>
          </w:tcPr>
          <w:p w14:paraId="2A745548" w14:textId="77777777" w:rsidR="00F14851" w:rsidRPr="003C44C7" w:rsidRDefault="00F14851" w:rsidP="008E16C0">
            <w:pPr>
              <w:pStyle w:val="TableText"/>
            </w:pPr>
            <w:r w:rsidRPr="003C44C7">
              <w:t>topical (medication)</w:t>
            </w:r>
          </w:p>
        </w:tc>
        <w:tc>
          <w:tcPr>
            <w:tcW w:w="7200" w:type="dxa"/>
            <w:shd w:val="clear" w:color="auto" w:fill="auto"/>
            <w:tcMar>
              <w:top w:w="85" w:type="dxa"/>
              <w:left w:w="85" w:type="dxa"/>
              <w:bottom w:w="85" w:type="dxa"/>
              <w:right w:w="85" w:type="dxa"/>
            </w:tcMar>
            <w:vAlign w:val="center"/>
          </w:tcPr>
          <w:p w14:paraId="4BF86DC4" w14:textId="77777777" w:rsidR="00F14851" w:rsidRPr="003C44C7" w:rsidRDefault="00F14851" w:rsidP="008E16C0">
            <w:pPr>
              <w:pStyle w:val="TableText"/>
            </w:pPr>
            <w:r w:rsidRPr="003C44C7">
              <w:t>A medication that is applied to body surfaces such as the skin or mucous membranes; includes creams, foams, gels, lotions and ointments.</w:t>
            </w:r>
          </w:p>
        </w:tc>
      </w:tr>
    </w:tbl>
    <w:p w14:paraId="2456AF7F" w14:textId="77777777" w:rsidR="00F14851" w:rsidRPr="003C44C7" w:rsidRDefault="00F14851">
      <w:pPr>
        <w:pStyle w:val="Heading1"/>
      </w:pPr>
      <w:bookmarkStart w:id="43" w:name="_Toc429391563"/>
      <w:r w:rsidRPr="003C44C7">
        <w:t>References</w:t>
      </w:r>
      <w:bookmarkEnd w:id="43"/>
    </w:p>
    <w:p w14:paraId="2C975415" w14:textId="77777777" w:rsidR="00F14851" w:rsidRPr="003C44C7" w:rsidRDefault="00F14851">
      <w:pPr>
        <w:pStyle w:val="References"/>
      </w:pPr>
      <w:r w:rsidRPr="003C44C7">
        <w:t>1.</w:t>
      </w:r>
      <w:r w:rsidRPr="003C44C7">
        <w:tab/>
        <w:t>Commonwealth Department of Health and Aged Care. Report of the Joint Expert Technical Advisory Committee on Antibiotic Resistance (JETACAR). Canberra: Commonwealth Government, 1999.</w:t>
      </w:r>
    </w:p>
    <w:p w14:paraId="44818544" w14:textId="77777777" w:rsidR="00F14851" w:rsidRPr="003C44C7" w:rsidRDefault="00F14851">
      <w:pPr>
        <w:pStyle w:val="References"/>
      </w:pPr>
      <w:r w:rsidRPr="003C44C7">
        <w:t>2.</w:t>
      </w:r>
      <w:r w:rsidRPr="003C44C7">
        <w:tab/>
        <w:t xml:space="preserve">Australian Institute of Health and Welfare. Australian hospital statistics 2012–13. Appendix C: Public hospital peer groups. Canberra: AIHW, 2014, </w:t>
      </w:r>
      <w:hyperlink r:id="rId46" w:history="1">
        <w:r w:rsidRPr="003C44C7">
          <w:rPr>
            <w:rStyle w:val="Hyperlink"/>
            <w:color w:val="0070C0"/>
            <w:u w:val="single"/>
          </w:rPr>
          <w:t>www.aihw.gov.au/WorkArea/DownloadAsset.aspx?id=60129547084</w:t>
        </w:r>
        <w:r w:rsidRPr="003C44C7">
          <w:rPr>
            <w:rStyle w:val="Hyperlink"/>
          </w:rPr>
          <w:t>.</w:t>
        </w:r>
      </w:hyperlink>
    </w:p>
    <w:p w14:paraId="37E2612A" w14:textId="77777777" w:rsidR="00F14851" w:rsidRPr="003C44C7" w:rsidRDefault="00F14851">
      <w:pPr>
        <w:pStyle w:val="References"/>
      </w:pPr>
      <w:r w:rsidRPr="003C44C7">
        <w:t>3.</w:t>
      </w:r>
      <w:r w:rsidRPr="003C44C7">
        <w:tab/>
        <w:t xml:space="preserve">World Health Organization Collaborating Centre for Drug Statistics Methodology. ATC/DDD index 2015, </w:t>
      </w:r>
      <w:hyperlink r:id="rId47" w:history="1">
        <w:r w:rsidRPr="003C44C7">
          <w:rPr>
            <w:rStyle w:val="Hyperlink"/>
          </w:rPr>
          <w:t>www.whocc.no/atcddd</w:t>
        </w:r>
      </w:hyperlink>
      <w:r w:rsidRPr="003C44C7">
        <w:t>.</w:t>
      </w:r>
    </w:p>
    <w:p w14:paraId="02B64B79" w14:textId="77777777" w:rsidR="00F14851" w:rsidRPr="003C44C7" w:rsidRDefault="00F14851">
      <w:pPr>
        <w:pStyle w:val="References"/>
      </w:pPr>
      <w:r w:rsidRPr="003C44C7">
        <w:t>4.</w:t>
      </w:r>
      <w:r w:rsidRPr="003C44C7">
        <w:tab/>
        <w:t xml:space="preserve">WHO Collaborating Centre for Drug Statistics Methodology. Purpose of the ATC/DDD system, </w:t>
      </w:r>
      <w:hyperlink r:id="rId48" w:history="1">
        <w:r w:rsidRPr="003C44C7">
          <w:rPr>
            <w:rStyle w:val="Hyperlink"/>
            <w:color w:val="0070C0"/>
            <w:u w:val="single"/>
          </w:rPr>
          <w:t>www.whocc.no/atc_ddd_methodology/purpose_of_the_atc_ddd_system</w:t>
        </w:r>
      </w:hyperlink>
      <w:r w:rsidRPr="003C44C7">
        <w:t>.</w:t>
      </w:r>
    </w:p>
    <w:p w14:paraId="267A11D0" w14:textId="61EC8E3C" w:rsidR="00F14851" w:rsidRPr="003C44C7" w:rsidRDefault="00F14851">
      <w:pPr>
        <w:pStyle w:val="References"/>
      </w:pPr>
      <w:r w:rsidRPr="003C44C7">
        <w:t>5.</w:t>
      </w:r>
      <w:r w:rsidRPr="003C44C7">
        <w:tab/>
        <w:t xml:space="preserve">National Food Institute, Statens Serum Institute. DANMAP 2013: use of antimicrobial agents and occurrence of antimicrobial resistance in bacteria from food animals, food and humans in Denmark. Søborg/Copenhagen: Statens Serum Institute, National Veterinary Institute, National Food Institute, 2014, </w:t>
      </w:r>
      <w:hyperlink r:id="rId49" w:history="1">
        <w:r w:rsidR="00760E1E" w:rsidRPr="003C44C7">
          <w:rPr>
            <w:rStyle w:val="Hyperlink"/>
            <w:color w:val="0070C0"/>
            <w:u w:val="single"/>
          </w:rPr>
          <w:t>www.danmap.org/~/media/Projekt%20sites/Danmap/DANMAP%20reports/DANMAP%202013/DANMAP%202013.ashx?utm_source=DN+Nyhedsbreve&amp;utm_campaign=dba67a1145-DN_Nyhedsbrev_uge_39_2014&amp;utm_medium=email&amp;utm_term=0_16ebc33b07-dba67a1145-42049169</w:t>
        </w:r>
      </w:hyperlink>
      <w:r w:rsidRPr="003C44C7">
        <w:t>.</w:t>
      </w:r>
    </w:p>
    <w:p w14:paraId="340A1C87" w14:textId="77777777" w:rsidR="00F14851" w:rsidRPr="003C44C7" w:rsidRDefault="00F14851">
      <w:pPr>
        <w:pStyle w:val="References"/>
      </w:pPr>
      <w:r w:rsidRPr="003C44C7">
        <w:t>6.</w:t>
      </w:r>
      <w:r w:rsidRPr="003C44C7">
        <w:tab/>
        <w:t xml:space="preserve">Hellman J, Aspevall O, Bengtsson B, Greko C (eds). SWEDRES–SVARM 2013: use of antimicrobials and occurrence of antimicrobial resistance in Sweden. Solna/Uppsala: Public Health Agency of Sweden, National Veterinary Institute, 2013, </w:t>
      </w:r>
      <w:hyperlink r:id="rId50" w:history="1">
        <w:r w:rsidRPr="003C44C7">
          <w:rPr>
            <w:rStyle w:val="Hyperlink"/>
            <w:color w:val="0070C0"/>
            <w:u w:val="single"/>
          </w:rPr>
          <w:t>www.folkhalsomyndigheten.se/pagefiles/17612/Swedres-Svarm-2013.pdf</w:t>
        </w:r>
      </w:hyperlink>
      <w:r w:rsidRPr="003C44C7">
        <w:t>.</w:t>
      </w:r>
    </w:p>
    <w:p w14:paraId="02F527DC" w14:textId="77777777" w:rsidR="00F14851" w:rsidRPr="003C44C7" w:rsidRDefault="00F14851">
      <w:pPr>
        <w:pStyle w:val="References"/>
      </w:pPr>
      <w:r w:rsidRPr="003C44C7">
        <w:t>7.</w:t>
      </w:r>
      <w:r w:rsidRPr="003C44C7">
        <w:tab/>
        <w:t xml:space="preserve">de Greeff ISC, Mouton JW (eds). NethMap 2014: consumption of antimicrobial agents and antimicrobial resistance among medically important bacteria in the Netherlands in 2013. Dutch Foundation of the Working Party on Antibiotic Policy (SWAB), 2014, </w:t>
      </w:r>
      <w:hyperlink r:id="rId51" w:history="1">
        <w:r w:rsidRPr="003C44C7">
          <w:rPr>
            <w:rStyle w:val="Hyperlink"/>
            <w:color w:val="0070C0"/>
            <w:u w:val="single"/>
          </w:rPr>
          <w:t>www.wageningenur.nl/upload_mm/1/a/1/0704c512-5b42-4cef-8c1b-60e9e3fb2a62_NethMap-MARAN2014.pdf</w:t>
        </w:r>
      </w:hyperlink>
      <w:r w:rsidRPr="003C44C7">
        <w:t>.</w:t>
      </w:r>
    </w:p>
    <w:p w14:paraId="1206DAF9" w14:textId="77777777" w:rsidR="00F14851" w:rsidRPr="003C44C7" w:rsidRDefault="00F14851">
      <w:pPr>
        <w:pStyle w:val="References"/>
      </w:pPr>
      <w:r w:rsidRPr="003C44C7">
        <w:t>8.</w:t>
      </w:r>
      <w:r w:rsidRPr="003C44C7">
        <w:tab/>
        <w:t>Australian Commission on Safety and Quality in Health Care. Antimicrobial prescribing practice in Australia: results of the 2013 National Antimicrobial Prescribing Survey. Sydney: ACSQHC, 2014.</w:t>
      </w:r>
    </w:p>
    <w:p w14:paraId="2C0B30D7" w14:textId="77777777" w:rsidR="00F14851" w:rsidRPr="003C44C7" w:rsidRDefault="00F14851">
      <w:pPr>
        <w:pStyle w:val="References"/>
      </w:pPr>
      <w:r w:rsidRPr="003C44C7">
        <w:t>9.</w:t>
      </w:r>
      <w:r w:rsidRPr="003C44C7">
        <w:tab/>
        <w:t xml:space="preserve">European Centre for Disease Prevention and Control. Surveillance of antimicrobial consumption in Europe 2012. Stockholm: ECDC, 2014, </w:t>
      </w:r>
      <w:hyperlink r:id="rId52" w:history="1">
        <w:r w:rsidRPr="003C44C7">
          <w:rPr>
            <w:rStyle w:val="Hyperlink"/>
            <w:color w:val="0070C0"/>
            <w:u w:val="single"/>
          </w:rPr>
          <w:t>http://ecdc.europa.eu/en/publications/Publications/antimicrobial-consumption-europe-esac-net-2012.pdf</w:t>
        </w:r>
      </w:hyperlink>
      <w:r w:rsidRPr="003C44C7">
        <w:t>.</w:t>
      </w:r>
    </w:p>
    <w:p w14:paraId="445D834B" w14:textId="159ADE1A" w:rsidR="00F14851" w:rsidRPr="003C44C7" w:rsidRDefault="00F14851">
      <w:pPr>
        <w:pStyle w:val="References"/>
      </w:pPr>
      <w:r w:rsidRPr="003C44C7">
        <w:t>10.</w:t>
      </w:r>
      <w:r w:rsidRPr="003C44C7">
        <w:tab/>
        <w:t>Duguid M, Cruikshank M (eds). Antimicrobial stewardship</w:t>
      </w:r>
      <w:r w:rsidR="00E945C4" w:rsidRPr="003C44C7">
        <w:t xml:space="preserve"> in Australian hospitals 2011. </w:t>
      </w:r>
      <w:r w:rsidRPr="003C44C7">
        <w:t>Sydney: Australian Commission on Safety and Quality in Health Care, 2011.</w:t>
      </w:r>
    </w:p>
    <w:p w14:paraId="5282B042" w14:textId="77777777" w:rsidR="00F14851" w:rsidRPr="003C44C7" w:rsidRDefault="00F14851">
      <w:pPr>
        <w:pStyle w:val="References"/>
      </w:pPr>
      <w:r w:rsidRPr="003C44C7">
        <w:t>11.</w:t>
      </w:r>
      <w:r w:rsidRPr="003C44C7">
        <w:tab/>
        <w:t xml:space="preserve">Australian Commission on Safety and Quality in Health Care. Standard 3 – Preventing and Controlling Healthcare Associated Infections – safety and quality improvement guide. Sydney: ACSQHC, 2012, </w:t>
      </w:r>
      <w:hyperlink r:id="rId53" w:history="1">
        <w:r w:rsidRPr="003C44C7">
          <w:rPr>
            <w:rStyle w:val="Hyperlink"/>
            <w:color w:val="0070C0"/>
            <w:u w:val="single"/>
          </w:rPr>
          <w:t>www.safetyandquality.gov.au/wp-content/uploads/2012/10/Standard3_Oct_2012_WEB.pdf</w:t>
        </w:r>
      </w:hyperlink>
      <w:r w:rsidRPr="003C44C7">
        <w:t>.</w:t>
      </w:r>
    </w:p>
    <w:p w14:paraId="7AB0AFE9" w14:textId="77777777" w:rsidR="00F14851" w:rsidRPr="003C44C7" w:rsidRDefault="00F14851">
      <w:pPr>
        <w:pStyle w:val="References"/>
      </w:pPr>
      <w:r w:rsidRPr="003C44C7">
        <w:t>12.</w:t>
      </w:r>
      <w:r w:rsidRPr="003C44C7">
        <w:tab/>
        <w:t>Shaban RZ, Cruickshank M, Christiansen K, Antimicrobial Resistance Standing Committee. National surveillance and reporting of antimicrobial resistance and antibiotic usage for human health in Australia. Canberra: Antimicrobial Resistance Standing Committee, Australian Health Protection Principal Committee, 2013.</w:t>
      </w:r>
    </w:p>
    <w:p w14:paraId="675978F9" w14:textId="77777777" w:rsidR="00F14851" w:rsidRPr="003C44C7" w:rsidRDefault="00F14851">
      <w:pPr>
        <w:pStyle w:val="References"/>
      </w:pPr>
      <w:r w:rsidRPr="003C44C7">
        <w:t>13.</w:t>
      </w:r>
      <w:r w:rsidRPr="003C44C7">
        <w:tab/>
        <w:t xml:space="preserve">Australian Commission on Safety and Quality in Health Care. Antimicrobial Use and Resistance in Australia project, </w:t>
      </w:r>
      <w:hyperlink r:id="rId54" w:history="1">
        <w:r w:rsidRPr="003C44C7">
          <w:rPr>
            <w:rStyle w:val="Hyperlink"/>
            <w:color w:val="0070C0"/>
            <w:u w:val="single"/>
          </w:rPr>
          <w:t>www.safetyandquality.gov.au/national-priorities/amr-and-au-surveillance-project/</w:t>
        </w:r>
      </w:hyperlink>
      <w:r w:rsidRPr="003C44C7">
        <w:t>.</w:t>
      </w:r>
    </w:p>
    <w:p w14:paraId="6E82E80F" w14:textId="77777777" w:rsidR="00F14851" w:rsidRPr="003C44C7" w:rsidRDefault="00F14851">
      <w:pPr>
        <w:pStyle w:val="References"/>
      </w:pPr>
      <w:r w:rsidRPr="003C44C7">
        <w:t>14.</w:t>
      </w:r>
      <w:r w:rsidRPr="003C44C7">
        <w:tab/>
        <w:t xml:space="preserve">Cope C, Wilkinson I. SA Healthcare Associated Infection Surveillance Program. Multi-resistant organisms – 2013 annual report. Adelaide: South Australian Department for Health and Ageing, 2013, </w:t>
      </w:r>
      <w:hyperlink r:id="rId55" w:history="1">
        <w:r w:rsidRPr="003C44C7">
          <w:rPr>
            <w:rStyle w:val="Hyperlink"/>
            <w:color w:val="0070C0"/>
            <w:u w:val="single"/>
          </w:rPr>
          <w:t>www.sahealth.sa.gov.au/wps/wcm/connect/02193d004ffc9eed8f5cbf4826472d56/SA-HAI-MRO-2013-annual-report-phcs-ics-20141127.pdf?MOD=AJPERES&amp;CACHEID=02193d004ffc9eed8f5cbf4826472d56</w:t>
        </w:r>
      </w:hyperlink>
      <w:r w:rsidRPr="003C44C7">
        <w:t>.</w:t>
      </w:r>
    </w:p>
    <w:p w14:paraId="2F0D6E1A" w14:textId="77777777" w:rsidR="00F14851" w:rsidRPr="003C44C7" w:rsidRDefault="00F14851">
      <w:pPr>
        <w:pStyle w:val="References"/>
      </w:pPr>
      <w:r w:rsidRPr="003C44C7">
        <w:t>15.</w:t>
      </w:r>
      <w:r w:rsidRPr="003C44C7">
        <w:tab/>
        <w:t>de With K, Bestehorn H, Steib-Bauert M, Kern WV. Comparison of defined versus recommended versus prescribed daily doses for measuring hospital antibiotic consumption. Infection 2009;37(4):349–52.</w:t>
      </w:r>
    </w:p>
    <w:p w14:paraId="3145AF97" w14:textId="77777777" w:rsidR="00F14851" w:rsidRPr="003C44C7" w:rsidRDefault="00F14851">
      <w:pPr>
        <w:pStyle w:val="References"/>
      </w:pPr>
      <w:r w:rsidRPr="003C44C7">
        <w:t>16.</w:t>
      </w:r>
      <w:r w:rsidRPr="003C44C7">
        <w:tab/>
        <w:t>Berrington A. Antimicrobial prescribing in hospitals: be careful what you measure. Journal of Antimicrobial Chemotherapy 2009;65:163–8.</w:t>
      </w:r>
    </w:p>
    <w:p w14:paraId="596E0D05" w14:textId="5905CA36" w:rsidR="00F14851" w:rsidRPr="003C44C7" w:rsidRDefault="00F14851">
      <w:pPr>
        <w:pStyle w:val="References"/>
      </w:pPr>
      <w:r w:rsidRPr="003C44C7">
        <w:t>17.</w:t>
      </w:r>
      <w:r w:rsidRPr="003C44C7">
        <w:tab/>
        <w:t>Muller A, Monnet DL,</w:t>
      </w:r>
      <w:r w:rsidR="00E945C4" w:rsidRPr="003C44C7">
        <w:t xml:space="preserve"> Talon D, Hénon T, Bertrand X. </w:t>
      </w:r>
      <w:r w:rsidRPr="003C44C7">
        <w:t>Discrepancies between prescribed daily doses and WHO defined daily doses of antibacterials at a university hospital. British Journal of Clinical Pharmacology 2006;61(5):585–91.</w:t>
      </w:r>
    </w:p>
    <w:p w14:paraId="2EE81A54" w14:textId="77777777" w:rsidR="00760E1E" w:rsidRPr="003C44C7" w:rsidRDefault="00760E1E">
      <w:pPr>
        <w:spacing w:after="0"/>
        <w:rPr>
          <w:rFonts w:ascii="Gotham-Bold" w:hAnsi="Gotham-Bold" w:cs="Gotham-Bold"/>
          <w:b/>
          <w:bCs/>
          <w:color w:val="C06104"/>
          <w:sz w:val="28"/>
          <w:szCs w:val="28"/>
        </w:rPr>
      </w:pPr>
      <w:r w:rsidRPr="003C44C7">
        <w:rPr>
          <w:rFonts w:ascii="Gotham-Bold" w:hAnsi="Gotham-Bold" w:cs="Gotham-Bold"/>
          <w:b/>
          <w:bCs/>
          <w:color w:val="C06104"/>
        </w:rPr>
        <w:br w:type="page"/>
      </w:r>
    </w:p>
    <w:p w14:paraId="6DF6587F" w14:textId="4B19914D" w:rsidR="001137D1" w:rsidRPr="003C44C7" w:rsidRDefault="001137D1" w:rsidP="00760E1E">
      <w:pPr>
        <w:pStyle w:val="Heading2a"/>
      </w:pPr>
      <w:r w:rsidRPr="003C44C7">
        <w:t>For more information</w:t>
      </w:r>
    </w:p>
    <w:p w14:paraId="1EADFE9E" w14:textId="77777777" w:rsidR="001137D1" w:rsidRPr="003C44C7" w:rsidRDefault="001137D1" w:rsidP="00760E1E">
      <w:pPr>
        <w:pStyle w:val="ImprintText"/>
      </w:pPr>
      <w:r w:rsidRPr="003C44C7">
        <w:t>Infection Control Service</w:t>
      </w:r>
      <w:r w:rsidRPr="003C44C7">
        <w:br/>
        <w:t>Public Health and Clinical Systems</w:t>
      </w:r>
    </w:p>
    <w:p w14:paraId="140DBE41" w14:textId="77777777" w:rsidR="001137D1" w:rsidRPr="003C44C7" w:rsidRDefault="001137D1" w:rsidP="00760E1E">
      <w:pPr>
        <w:pStyle w:val="ImprintText"/>
      </w:pPr>
      <w:r w:rsidRPr="003C44C7">
        <w:t>SA Department for Health and Ageing</w:t>
      </w:r>
      <w:r w:rsidRPr="003C44C7">
        <w:br/>
        <w:t>11 Hindmarsh Square</w:t>
      </w:r>
      <w:r w:rsidRPr="003C44C7">
        <w:br/>
        <w:t>Adelaide, South Australia 5000</w:t>
      </w:r>
      <w:r w:rsidRPr="003C44C7">
        <w:br/>
      </w:r>
      <w:r w:rsidRPr="003C44C7">
        <w:br/>
        <w:t>Telephone: 1300 232 272</w:t>
      </w:r>
      <w:r w:rsidRPr="003C44C7">
        <w:br/>
      </w:r>
      <w:r w:rsidRPr="003C44C7">
        <w:br/>
      </w:r>
      <w:r w:rsidRPr="005A1501">
        <w:rPr>
          <w:color w:val="0070C0"/>
          <w:u w:val="single"/>
        </w:rPr>
        <w:t>www.sahealth.sa.gov.au/</w:t>
      </w:r>
    </w:p>
    <w:p w14:paraId="6E4888B2" w14:textId="77777777" w:rsidR="001137D1" w:rsidRPr="003C44C7" w:rsidRDefault="001137D1" w:rsidP="00760E1E">
      <w:pPr>
        <w:pStyle w:val="ImprintText"/>
      </w:pPr>
      <w:r w:rsidRPr="003C44C7">
        <w:t>AURA Project</w:t>
      </w:r>
      <w:r w:rsidRPr="003C44C7">
        <w:br/>
        <w:t>Australian Commission on Safety and Quality in Health Care</w:t>
      </w:r>
    </w:p>
    <w:p w14:paraId="6FB100A2" w14:textId="77777777" w:rsidR="001137D1" w:rsidRPr="003C44C7" w:rsidRDefault="001137D1" w:rsidP="00760E1E">
      <w:pPr>
        <w:pStyle w:val="ImprintText"/>
      </w:pPr>
      <w:r w:rsidRPr="003C44C7">
        <w:t>Level 5, 255 Elizabeth Street</w:t>
      </w:r>
      <w:r w:rsidRPr="003C44C7">
        <w:br/>
        <w:t>Sydney, New South Wales 2000</w:t>
      </w:r>
    </w:p>
    <w:p w14:paraId="74723D4F" w14:textId="77777777" w:rsidR="001137D1" w:rsidRPr="003C44C7" w:rsidRDefault="001137D1" w:rsidP="00760E1E">
      <w:pPr>
        <w:pStyle w:val="ImprintText"/>
      </w:pPr>
      <w:r w:rsidRPr="003C44C7">
        <w:t>Telephone: 02 9126 3600</w:t>
      </w:r>
    </w:p>
    <w:p w14:paraId="5DFE1E46" w14:textId="4C23D96A" w:rsidR="001137D1" w:rsidRPr="005A1501" w:rsidRDefault="001137D1" w:rsidP="00760E1E">
      <w:pPr>
        <w:pStyle w:val="ImprintText"/>
        <w:rPr>
          <w:rFonts w:ascii="Gotham-Bold" w:hAnsi="Gotham-Bold" w:cs="Gotham-Bold"/>
          <w:color w:val="0070C0"/>
          <w:u w:val="single"/>
        </w:rPr>
      </w:pPr>
      <w:r w:rsidRPr="005A1501">
        <w:rPr>
          <w:color w:val="0070C0"/>
          <w:u w:val="single"/>
        </w:rPr>
        <w:t>www.safetyandquality.gov.au/</w:t>
      </w:r>
    </w:p>
    <w:p w14:paraId="78DC4F40" w14:textId="77777777" w:rsidR="001137D1" w:rsidRPr="003C44C7" w:rsidRDefault="001137D1" w:rsidP="001137D1">
      <w:pPr>
        <w:pStyle w:val="SAHealthDisclaimer"/>
        <w:rPr>
          <w:color w:val="000000"/>
        </w:rPr>
      </w:pPr>
    </w:p>
    <w:p w14:paraId="36D932B3" w14:textId="4E91D84D" w:rsidR="00F14851" w:rsidRPr="003C44C7" w:rsidRDefault="00F14851"/>
    <w:sectPr w:rsidR="00F14851" w:rsidRPr="003C44C7" w:rsidSect="001C4A6D">
      <w:footerReference w:type="even" r:id="rId56"/>
      <w:footerReference w:type="default" r:id="rId57"/>
      <w:type w:val="oddPage"/>
      <w:pgSz w:w="11906" w:h="16838"/>
      <w:pgMar w:top="1440" w:right="1440" w:bottom="1440" w:left="1440" w:header="720" w:footer="720"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84891D" w14:textId="77777777" w:rsidR="001C4A6D" w:rsidRDefault="001C4A6D" w:rsidP="001C4A6D">
      <w:pPr>
        <w:spacing w:after="0"/>
      </w:pPr>
      <w:r>
        <w:separator/>
      </w:r>
    </w:p>
  </w:endnote>
  <w:endnote w:type="continuationSeparator" w:id="0">
    <w:p w14:paraId="2F03C602" w14:textId="77777777" w:rsidR="001C4A6D" w:rsidRDefault="001C4A6D" w:rsidP="001C4A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radeGothicLTStd-Cn18">
    <w:panose1 w:val="00000000000000000000"/>
    <w:charset w:val="4D"/>
    <w:family w:val="auto"/>
    <w:notTrueType/>
    <w:pitch w:val="default"/>
    <w:sig w:usb0="00000003" w:usb1="00000000" w:usb2="00000000" w:usb3="00000000" w:csb0="00000001" w:csb1="00000000"/>
  </w:font>
  <w:font w:name="Gotham-Medium">
    <w:altName w:val="Gotham Medium"/>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Helvetica-Light">
    <w:altName w:val="Helvetica Light"/>
    <w:panose1 w:val="00000000000000000000"/>
    <w:charset w:val="4D"/>
    <w:family w:val="auto"/>
    <w:notTrueType/>
    <w:pitch w:val="default"/>
    <w:sig w:usb0="00000003" w:usb1="00000000" w:usb2="00000000" w:usb3="00000000" w:csb0="00000001" w:csb1="00000000"/>
  </w:font>
  <w:font w:name="Gotham-Light">
    <w:altName w:val="Gotham Light"/>
    <w:panose1 w:val="00000000000000000000"/>
    <w:charset w:val="4D"/>
    <w:family w:val="auto"/>
    <w:notTrueType/>
    <w:pitch w:val="default"/>
    <w:sig w:usb0="00000003" w:usb1="00000000" w:usb2="00000000" w:usb3="00000000" w:csb0="00000001" w:csb1="00000000"/>
  </w:font>
  <w:font w:name="Times New Roman Bold">
    <w:panose1 w:val="020208030705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Gotham-Bold">
    <w:altName w:val="Gotham Bol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BB418" w14:textId="0A513216" w:rsidR="001C4A6D" w:rsidRDefault="001C4A6D">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7704031"/>
      <w:docPartObj>
        <w:docPartGallery w:val="Page Numbers (Bottom of Page)"/>
        <w:docPartUnique/>
      </w:docPartObj>
    </w:sdtPr>
    <w:sdtEndPr>
      <w:rPr>
        <w:noProof/>
      </w:rPr>
    </w:sdtEndPr>
    <w:sdtContent>
      <w:p w14:paraId="46FF090F" w14:textId="77777777" w:rsidR="001C4A6D" w:rsidRDefault="001C4A6D">
        <w:pPr>
          <w:pStyle w:val="Footer"/>
        </w:pPr>
        <w:r>
          <w:fldChar w:fldCharType="begin"/>
        </w:r>
        <w:r>
          <w:instrText xml:space="preserve"> PAGE   \* MERGEFORMAT </w:instrText>
        </w:r>
        <w:r>
          <w:fldChar w:fldCharType="separate"/>
        </w:r>
        <w:r w:rsidR="00881525">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419385"/>
      <w:docPartObj>
        <w:docPartGallery w:val="Page Numbers (Bottom of Page)"/>
        <w:docPartUnique/>
      </w:docPartObj>
    </w:sdtPr>
    <w:sdtEndPr>
      <w:rPr>
        <w:noProof/>
      </w:rPr>
    </w:sdtEndPr>
    <w:sdtContent>
      <w:p w14:paraId="597A5EA5" w14:textId="460BC01B" w:rsidR="001C4A6D" w:rsidRDefault="001C4A6D">
        <w:pPr>
          <w:pStyle w:val="Footer"/>
          <w:jc w:val="right"/>
        </w:pPr>
        <w:r>
          <w:fldChar w:fldCharType="begin"/>
        </w:r>
        <w:r>
          <w:instrText xml:space="preserve"> PAGE   \* MERGEFORMAT </w:instrText>
        </w:r>
        <w:r>
          <w:fldChar w:fldCharType="separate"/>
        </w:r>
        <w:r w:rsidR="00881525">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4337EF" w14:textId="77777777" w:rsidR="001C4A6D" w:rsidRDefault="001C4A6D" w:rsidP="001C4A6D">
      <w:pPr>
        <w:spacing w:after="0"/>
      </w:pPr>
      <w:r>
        <w:separator/>
      </w:r>
    </w:p>
  </w:footnote>
  <w:footnote w:type="continuationSeparator" w:id="0">
    <w:p w14:paraId="495820FD" w14:textId="77777777" w:rsidR="001C4A6D" w:rsidRDefault="001C4A6D" w:rsidP="001C4A6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CA4E8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466BED4"/>
    <w:lvl w:ilvl="0">
      <w:start w:val="1"/>
      <w:numFmt w:val="decimal"/>
      <w:lvlText w:val="%1."/>
      <w:lvlJc w:val="left"/>
      <w:pPr>
        <w:tabs>
          <w:tab w:val="num" w:pos="1492"/>
        </w:tabs>
        <w:ind w:left="1492" w:hanging="360"/>
      </w:pPr>
    </w:lvl>
  </w:abstractNum>
  <w:abstractNum w:abstractNumId="2">
    <w:nsid w:val="FFFFFF7D"/>
    <w:multiLevelType w:val="singleLevel"/>
    <w:tmpl w:val="1EAC1CB8"/>
    <w:lvl w:ilvl="0">
      <w:start w:val="1"/>
      <w:numFmt w:val="decimal"/>
      <w:lvlText w:val="%1."/>
      <w:lvlJc w:val="left"/>
      <w:pPr>
        <w:tabs>
          <w:tab w:val="num" w:pos="1209"/>
        </w:tabs>
        <w:ind w:left="1209" w:hanging="360"/>
      </w:pPr>
    </w:lvl>
  </w:abstractNum>
  <w:abstractNum w:abstractNumId="3">
    <w:nsid w:val="FFFFFF7E"/>
    <w:multiLevelType w:val="singleLevel"/>
    <w:tmpl w:val="3E9C713A"/>
    <w:lvl w:ilvl="0">
      <w:start w:val="1"/>
      <w:numFmt w:val="decimal"/>
      <w:lvlText w:val="%1."/>
      <w:lvlJc w:val="left"/>
      <w:pPr>
        <w:tabs>
          <w:tab w:val="num" w:pos="926"/>
        </w:tabs>
        <w:ind w:left="926" w:hanging="360"/>
      </w:pPr>
    </w:lvl>
  </w:abstractNum>
  <w:abstractNum w:abstractNumId="4">
    <w:nsid w:val="FFFFFF7F"/>
    <w:multiLevelType w:val="singleLevel"/>
    <w:tmpl w:val="815641AE"/>
    <w:lvl w:ilvl="0">
      <w:start w:val="1"/>
      <w:numFmt w:val="decimal"/>
      <w:lvlText w:val="%1."/>
      <w:lvlJc w:val="left"/>
      <w:pPr>
        <w:tabs>
          <w:tab w:val="num" w:pos="643"/>
        </w:tabs>
        <w:ind w:left="643" w:hanging="360"/>
      </w:pPr>
    </w:lvl>
  </w:abstractNum>
  <w:abstractNum w:abstractNumId="5">
    <w:nsid w:val="FFFFFF80"/>
    <w:multiLevelType w:val="singleLevel"/>
    <w:tmpl w:val="72324B8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05C918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BBEB09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F0026E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A863BAC"/>
    <w:lvl w:ilvl="0">
      <w:start w:val="1"/>
      <w:numFmt w:val="decimal"/>
      <w:lvlText w:val="%1."/>
      <w:lvlJc w:val="left"/>
      <w:pPr>
        <w:tabs>
          <w:tab w:val="num" w:pos="360"/>
        </w:tabs>
        <w:ind w:left="360" w:hanging="360"/>
      </w:pPr>
    </w:lvl>
  </w:abstractNum>
  <w:abstractNum w:abstractNumId="10">
    <w:nsid w:val="FFFFFF89"/>
    <w:multiLevelType w:val="singleLevel"/>
    <w:tmpl w:val="38046142"/>
    <w:lvl w:ilvl="0">
      <w:start w:val="1"/>
      <w:numFmt w:val="bullet"/>
      <w:lvlText w:val=""/>
      <w:lvlJc w:val="left"/>
      <w:pPr>
        <w:tabs>
          <w:tab w:val="num" w:pos="360"/>
        </w:tabs>
        <w:ind w:left="360" w:hanging="360"/>
      </w:pPr>
      <w:rPr>
        <w:rFonts w:ascii="Symbol" w:hAnsi="Symbol" w:hint="default"/>
      </w:rPr>
    </w:lvl>
  </w:abstractNum>
  <w:abstractNum w:abstractNumId="11">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2BFD4DC7"/>
    <w:multiLevelType w:val="hybridMultilevel"/>
    <w:tmpl w:val="035E74BC"/>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3C372F4"/>
    <w:multiLevelType w:val="multilevel"/>
    <w:tmpl w:val="498868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3713210C"/>
    <w:multiLevelType w:val="hybridMultilevel"/>
    <w:tmpl w:val="E0A81C54"/>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7D47304"/>
    <w:multiLevelType w:val="multilevel"/>
    <w:tmpl w:val="C7546528"/>
    <w:lvl w:ilvl="0">
      <w:start w:val="1"/>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2087D42"/>
    <w:multiLevelType w:val="hybridMultilevel"/>
    <w:tmpl w:val="48C87A36"/>
    <w:lvl w:ilvl="0" w:tplc="E1F647D4">
      <w:start w:val="1"/>
      <w:numFmt w:val="decimal"/>
      <w:pStyle w:val="Table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D987542"/>
    <w:multiLevelType w:val="hybridMultilevel"/>
    <w:tmpl w:val="7E34F542"/>
    <w:lvl w:ilvl="0" w:tplc="1824A0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651309"/>
    <w:multiLevelType w:val="hybridMultilevel"/>
    <w:tmpl w:val="DB4C7F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61A96687"/>
    <w:multiLevelType w:val="multilevel"/>
    <w:tmpl w:val="F8DE0C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4A14859"/>
    <w:multiLevelType w:val="hybridMultilevel"/>
    <w:tmpl w:val="9796D414"/>
    <w:lvl w:ilvl="0" w:tplc="F30EFE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6F1E66"/>
    <w:multiLevelType w:val="hybridMultilevel"/>
    <w:tmpl w:val="B93CC196"/>
    <w:lvl w:ilvl="0" w:tplc="FBDCBE52">
      <w:start w:val="1"/>
      <w:numFmt w:val="bullet"/>
      <w:lvlText w:val=""/>
      <w:lvlJc w:val="left"/>
      <w:pPr>
        <w:ind w:left="1061" w:hanging="360"/>
      </w:pPr>
      <w:rPr>
        <w:rFonts w:ascii="Symbol" w:hAnsi="Symbol" w:hint="default"/>
      </w:rPr>
    </w:lvl>
    <w:lvl w:ilvl="1" w:tplc="04090003" w:tentative="1">
      <w:start w:val="1"/>
      <w:numFmt w:val="bullet"/>
      <w:lvlText w:val="o"/>
      <w:lvlJc w:val="left"/>
      <w:pPr>
        <w:ind w:left="1781" w:hanging="360"/>
      </w:pPr>
      <w:rPr>
        <w:rFonts w:ascii="Courier New" w:hAnsi="Courier New" w:cs="Courier New" w:hint="default"/>
      </w:rPr>
    </w:lvl>
    <w:lvl w:ilvl="2" w:tplc="04090005" w:tentative="1">
      <w:start w:val="1"/>
      <w:numFmt w:val="bullet"/>
      <w:lvlText w:val=""/>
      <w:lvlJc w:val="left"/>
      <w:pPr>
        <w:ind w:left="2501" w:hanging="360"/>
      </w:pPr>
      <w:rPr>
        <w:rFonts w:ascii="Wingdings" w:hAnsi="Wingdings" w:hint="default"/>
      </w:rPr>
    </w:lvl>
    <w:lvl w:ilvl="3" w:tplc="04090001" w:tentative="1">
      <w:start w:val="1"/>
      <w:numFmt w:val="bullet"/>
      <w:lvlText w:val=""/>
      <w:lvlJc w:val="left"/>
      <w:pPr>
        <w:ind w:left="3221" w:hanging="360"/>
      </w:pPr>
      <w:rPr>
        <w:rFonts w:ascii="Symbol" w:hAnsi="Symbol" w:hint="default"/>
      </w:rPr>
    </w:lvl>
    <w:lvl w:ilvl="4" w:tplc="04090003" w:tentative="1">
      <w:start w:val="1"/>
      <w:numFmt w:val="bullet"/>
      <w:lvlText w:val="o"/>
      <w:lvlJc w:val="left"/>
      <w:pPr>
        <w:ind w:left="3941" w:hanging="360"/>
      </w:pPr>
      <w:rPr>
        <w:rFonts w:ascii="Courier New" w:hAnsi="Courier New" w:cs="Courier New" w:hint="default"/>
      </w:rPr>
    </w:lvl>
    <w:lvl w:ilvl="5" w:tplc="04090005" w:tentative="1">
      <w:start w:val="1"/>
      <w:numFmt w:val="bullet"/>
      <w:lvlText w:val=""/>
      <w:lvlJc w:val="left"/>
      <w:pPr>
        <w:ind w:left="4661" w:hanging="360"/>
      </w:pPr>
      <w:rPr>
        <w:rFonts w:ascii="Wingdings" w:hAnsi="Wingdings" w:hint="default"/>
      </w:rPr>
    </w:lvl>
    <w:lvl w:ilvl="6" w:tplc="04090001" w:tentative="1">
      <w:start w:val="1"/>
      <w:numFmt w:val="bullet"/>
      <w:lvlText w:val=""/>
      <w:lvlJc w:val="left"/>
      <w:pPr>
        <w:ind w:left="5381" w:hanging="360"/>
      </w:pPr>
      <w:rPr>
        <w:rFonts w:ascii="Symbol" w:hAnsi="Symbol" w:hint="default"/>
      </w:rPr>
    </w:lvl>
    <w:lvl w:ilvl="7" w:tplc="04090003" w:tentative="1">
      <w:start w:val="1"/>
      <w:numFmt w:val="bullet"/>
      <w:lvlText w:val="o"/>
      <w:lvlJc w:val="left"/>
      <w:pPr>
        <w:ind w:left="6101" w:hanging="360"/>
      </w:pPr>
      <w:rPr>
        <w:rFonts w:ascii="Courier New" w:hAnsi="Courier New" w:cs="Courier New" w:hint="default"/>
      </w:rPr>
    </w:lvl>
    <w:lvl w:ilvl="8" w:tplc="04090005" w:tentative="1">
      <w:start w:val="1"/>
      <w:numFmt w:val="bullet"/>
      <w:lvlText w:val=""/>
      <w:lvlJc w:val="left"/>
      <w:pPr>
        <w:ind w:left="6821" w:hanging="360"/>
      </w:pPr>
      <w:rPr>
        <w:rFonts w:ascii="Wingdings" w:hAnsi="Wingdings" w:hint="default"/>
      </w:rPr>
    </w:lvl>
  </w:abstractNum>
  <w:abstractNum w:abstractNumId="28">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7"/>
  </w:num>
  <w:num w:numId="3">
    <w:abstractNumId w:val="20"/>
  </w:num>
  <w:num w:numId="4">
    <w:abstractNumId w:val="23"/>
  </w:num>
  <w:num w:numId="5">
    <w:abstractNumId w:val="28"/>
  </w:num>
  <w:num w:numId="6">
    <w:abstractNumId w:val="12"/>
  </w:num>
  <w:num w:numId="7">
    <w:abstractNumId w:val="11"/>
  </w:num>
  <w:num w:numId="8">
    <w:abstractNumId w:val="10"/>
  </w:num>
  <w:num w:numId="9">
    <w:abstractNumId w:val="8"/>
  </w:num>
  <w:num w:numId="10">
    <w:abstractNumId w:val="7"/>
  </w:num>
  <w:num w:numId="11">
    <w:abstractNumId w:val="6"/>
  </w:num>
  <w:num w:numId="12">
    <w:abstractNumId w:val="5"/>
  </w:num>
  <w:num w:numId="13">
    <w:abstractNumId w:val="9"/>
  </w:num>
  <w:num w:numId="14">
    <w:abstractNumId w:val="4"/>
  </w:num>
  <w:num w:numId="15">
    <w:abstractNumId w:val="3"/>
  </w:num>
  <w:num w:numId="16">
    <w:abstractNumId w:val="2"/>
  </w:num>
  <w:num w:numId="17">
    <w:abstractNumId w:val="1"/>
  </w:num>
  <w:num w:numId="18">
    <w:abstractNumId w:val="25"/>
  </w:num>
  <w:num w:numId="19">
    <w:abstractNumId w:val="0"/>
  </w:num>
  <w:num w:numId="20">
    <w:abstractNumId w:val="14"/>
  </w:num>
  <w:num w:numId="21">
    <w:abstractNumId w:val="26"/>
  </w:num>
  <w:num w:numId="22">
    <w:abstractNumId w:val="15"/>
  </w:num>
  <w:num w:numId="23">
    <w:abstractNumId w:val="17"/>
  </w:num>
  <w:num w:numId="24">
    <w:abstractNumId w:val="18"/>
  </w:num>
  <w:num w:numId="25">
    <w:abstractNumId w:val="13"/>
  </w:num>
  <w:num w:numId="26">
    <w:abstractNumId w:val="16"/>
  </w:num>
  <w:num w:numId="27">
    <w:abstractNumId w:val="24"/>
  </w:num>
  <w:num w:numId="28">
    <w:abstractNumId w:val="22"/>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ttachedTemplate r:id="rId1"/>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851"/>
    <w:rsid w:val="000E4D1C"/>
    <w:rsid w:val="001137D1"/>
    <w:rsid w:val="001C4A6D"/>
    <w:rsid w:val="003C44C7"/>
    <w:rsid w:val="003C6DE0"/>
    <w:rsid w:val="00501A45"/>
    <w:rsid w:val="005058EE"/>
    <w:rsid w:val="00577034"/>
    <w:rsid w:val="005A1501"/>
    <w:rsid w:val="005A1BC8"/>
    <w:rsid w:val="005C387B"/>
    <w:rsid w:val="00602410"/>
    <w:rsid w:val="007000FA"/>
    <w:rsid w:val="00760E1E"/>
    <w:rsid w:val="00815745"/>
    <w:rsid w:val="00881525"/>
    <w:rsid w:val="008E16C0"/>
    <w:rsid w:val="009F7825"/>
    <w:rsid w:val="00A57F4C"/>
    <w:rsid w:val="00A829B3"/>
    <w:rsid w:val="00A85AE3"/>
    <w:rsid w:val="00B525AC"/>
    <w:rsid w:val="00B55A65"/>
    <w:rsid w:val="00BE172D"/>
    <w:rsid w:val="00C3207F"/>
    <w:rsid w:val="00D93E3A"/>
    <w:rsid w:val="00E30E24"/>
    <w:rsid w:val="00E945C4"/>
    <w:rsid w:val="00ED3824"/>
    <w:rsid w:val="00EF5A92"/>
    <w:rsid w:val="00F14851"/>
    <w:rsid w:val="00F26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CA4909"/>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AE3"/>
    <w:pPr>
      <w:spacing w:after="240"/>
    </w:pPr>
    <w:rPr>
      <w:color w:val="000000"/>
      <w:sz w:val="24"/>
      <w:lang w:val="en-AU" w:eastAsia="en-AU"/>
    </w:rPr>
  </w:style>
  <w:style w:type="paragraph" w:styleId="Heading1">
    <w:name w:val="heading 1"/>
    <w:basedOn w:val="Normal"/>
    <w:next w:val="Normal"/>
    <w:link w:val="Heading1Char"/>
    <w:qFormat/>
    <w:rsid w:val="00A85AE3"/>
    <w:pPr>
      <w:keepNext/>
      <w:pageBreakBefore/>
      <w:spacing w:after="480"/>
      <w:ind w:left="720" w:hanging="720"/>
      <w:outlineLvl w:val="0"/>
    </w:pPr>
    <w:rPr>
      <w:rFonts w:cs="Arial"/>
      <w:b/>
      <w:bCs/>
      <w:kern w:val="32"/>
      <w:sz w:val="40"/>
      <w:szCs w:val="32"/>
    </w:rPr>
  </w:style>
  <w:style w:type="paragraph" w:styleId="Heading2">
    <w:name w:val="heading 2"/>
    <w:basedOn w:val="Normal"/>
    <w:next w:val="Normal"/>
    <w:link w:val="Heading2Char"/>
    <w:qFormat/>
    <w:rsid w:val="00A85AE3"/>
    <w:pPr>
      <w:keepNext/>
      <w:spacing w:before="240"/>
      <w:ind w:left="720" w:hanging="720"/>
      <w:outlineLvl w:val="1"/>
    </w:pPr>
    <w:rPr>
      <w:rFonts w:cs="Arial"/>
      <w:b/>
      <w:bCs/>
      <w:iCs/>
      <w:sz w:val="28"/>
      <w:szCs w:val="28"/>
    </w:rPr>
  </w:style>
  <w:style w:type="paragraph" w:styleId="Heading3">
    <w:name w:val="heading 3"/>
    <w:basedOn w:val="Normal"/>
    <w:next w:val="Normal"/>
    <w:link w:val="Heading3Char"/>
    <w:qFormat/>
    <w:rsid w:val="00A85AE3"/>
    <w:pPr>
      <w:keepNext/>
      <w:spacing w:before="240"/>
      <w:ind w:left="720" w:hanging="720"/>
      <w:outlineLvl w:val="2"/>
    </w:pPr>
    <w:rPr>
      <w:rFonts w:cs="Arial"/>
      <w:b/>
      <w:bCs/>
      <w:szCs w:val="26"/>
    </w:rPr>
  </w:style>
  <w:style w:type="paragraph" w:styleId="Heading4">
    <w:name w:val="heading 4"/>
    <w:basedOn w:val="Normal"/>
    <w:next w:val="Normal"/>
    <w:link w:val="Heading4Char"/>
    <w:rsid w:val="00A85AE3"/>
    <w:pPr>
      <w:keepNext/>
      <w:spacing w:before="120" w:after="120"/>
      <w:outlineLvl w:val="3"/>
    </w:pPr>
    <w:rPr>
      <w:b/>
      <w:bCs/>
      <w:i/>
      <w:szCs w:val="28"/>
    </w:rPr>
  </w:style>
  <w:style w:type="paragraph" w:styleId="Heading5">
    <w:name w:val="heading 5"/>
    <w:basedOn w:val="Normal"/>
    <w:next w:val="Normal"/>
    <w:link w:val="Heading5Char"/>
    <w:rsid w:val="00A85AE3"/>
    <w:pPr>
      <w:keepNext/>
      <w:spacing w:before="60" w:after="60"/>
      <w:outlineLvl w:val="4"/>
    </w:pPr>
    <w:rPr>
      <w:bCs/>
      <w:i/>
      <w:iCs/>
      <w:sz w:val="22"/>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BaseStyle1">
    <w:name w:val="BaseStyle1"/>
    <w:basedOn w:val="NoParagraphStyle"/>
    <w:uiPriority w:val="99"/>
    <w:pPr>
      <w:suppressAutoHyphens/>
    </w:pPr>
    <w:rPr>
      <w:rFonts w:ascii="TradeGothicLTStd-Cn18" w:hAnsi="TradeGothicLTStd-Cn18" w:cs="TradeGothicLTStd-Cn18"/>
      <w:sz w:val="21"/>
      <w:szCs w:val="21"/>
    </w:rPr>
  </w:style>
  <w:style w:type="character" w:customStyle="1" w:styleId="Heading1Char">
    <w:name w:val="Heading 1 Char"/>
    <w:basedOn w:val="DefaultParagraphFont"/>
    <w:link w:val="Heading1"/>
    <w:rPr>
      <w:rFonts w:cs="Arial"/>
      <w:b/>
      <w:bCs/>
      <w:color w:val="000000"/>
      <w:kern w:val="32"/>
      <w:sz w:val="40"/>
      <w:szCs w:val="32"/>
      <w:lang w:val="en-AU" w:eastAsia="en-AU"/>
    </w:rPr>
  </w:style>
  <w:style w:type="paragraph" w:customStyle="1" w:styleId="Heading1a">
    <w:name w:val="Heading 1a"/>
    <w:basedOn w:val="Heading1"/>
    <w:next w:val="Normal"/>
    <w:rsid w:val="00A85AE3"/>
    <w:pPr>
      <w:outlineLvl w:val="9"/>
    </w:pPr>
  </w:style>
  <w:style w:type="paragraph" w:customStyle="1" w:styleId="Heading1lessspace">
    <w:name w:val="Heading 1 less space"/>
    <w:basedOn w:val="Heading1"/>
    <w:uiPriority w:val="99"/>
    <w:pPr>
      <w:spacing w:after="397"/>
      <w:outlineLvl w:val="9"/>
    </w:pPr>
  </w:style>
  <w:style w:type="paragraph" w:customStyle="1" w:styleId="TFIHolder">
    <w:name w:val="TFIHolder"/>
    <w:basedOn w:val="TFAbbrevs"/>
    <w:qFormat/>
    <w:rsid w:val="00A85AE3"/>
    <w:rPr>
      <w:sz w:val="12"/>
    </w:rPr>
  </w:style>
  <w:style w:type="paragraph" w:customStyle="1" w:styleId="TFIHolderSpace">
    <w:name w:val="TFIHolder+Space"/>
    <w:basedOn w:val="TFIHolder"/>
    <w:qFormat/>
    <w:rsid w:val="00A85AE3"/>
    <w:pPr>
      <w:spacing w:after="240"/>
    </w:pPr>
  </w:style>
  <w:style w:type="paragraph" w:customStyle="1" w:styleId="NormalIndent">
    <w:name w:val="NormalIndent"/>
    <w:basedOn w:val="Normal"/>
    <w:rsid w:val="00A85AE3"/>
    <w:pPr>
      <w:ind w:left="357"/>
    </w:pPr>
  </w:style>
  <w:style w:type="paragraph" w:customStyle="1" w:styleId="ExecSummfeature">
    <w:name w:val="ExecSumm feature"/>
    <w:basedOn w:val="NormalIndent"/>
    <w:uiPriority w:val="99"/>
    <w:pPr>
      <w:spacing w:after="454"/>
      <w:ind w:left="567"/>
    </w:pPr>
    <w:rPr>
      <w:rFonts w:ascii="Gotham-Medium" w:hAnsi="Gotham-Medium" w:cs="Gotham-Medium"/>
      <w:color w:val="A23E00"/>
      <w:sz w:val="18"/>
      <w:szCs w:val="18"/>
    </w:rPr>
  </w:style>
  <w:style w:type="paragraph" w:customStyle="1" w:styleId="TFIHolderSpan">
    <w:name w:val="TFIHolderSpan"/>
    <w:basedOn w:val="TFIHolder"/>
    <w:uiPriority w:val="99"/>
  </w:style>
  <w:style w:type="character" w:customStyle="1" w:styleId="Heading2Char">
    <w:name w:val="Heading 2 Char"/>
    <w:basedOn w:val="DefaultParagraphFont"/>
    <w:link w:val="Heading2"/>
    <w:rPr>
      <w:rFonts w:cs="Arial"/>
      <w:b/>
      <w:bCs/>
      <w:iCs/>
      <w:color w:val="000000"/>
      <w:sz w:val="28"/>
      <w:szCs w:val="28"/>
      <w:lang w:val="en-AU" w:eastAsia="en-AU"/>
    </w:rPr>
  </w:style>
  <w:style w:type="character" w:customStyle="1" w:styleId="Heading3Char">
    <w:name w:val="Heading 3 Char"/>
    <w:basedOn w:val="DefaultParagraphFont"/>
    <w:link w:val="Heading3"/>
    <w:rPr>
      <w:rFonts w:cs="Arial"/>
      <w:b/>
      <w:bCs/>
      <w:color w:val="000000"/>
      <w:sz w:val="24"/>
      <w:szCs w:val="26"/>
      <w:lang w:val="en-AU" w:eastAsia="en-AU"/>
    </w:rPr>
  </w:style>
  <w:style w:type="paragraph" w:customStyle="1" w:styleId="FigureName">
    <w:name w:val="FigureName"/>
    <w:basedOn w:val="FigureNameSpace"/>
    <w:next w:val="Normal"/>
    <w:rsid w:val="00A85AE3"/>
    <w:pPr>
      <w:keepNext/>
      <w:spacing w:after="120"/>
      <w:ind w:left="1077" w:hanging="1077"/>
    </w:pPr>
  </w:style>
  <w:style w:type="paragraph" w:customStyle="1" w:styleId="FigureNameSpan">
    <w:name w:val="FigureName Span"/>
    <w:basedOn w:val="FigureName"/>
    <w:uiPriority w:val="99"/>
  </w:style>
  <w:style w:type="paragraph" w:styleId="BodyText">
    <w:name w:val="Body Text"/>
    <w:basedOn w:val="Normal"/>
    <w:link w:val="BodyTextChar"/>
    <w:uiPriority w:val="99"/>
    <w:pPr>
      <w:spacing w:after="120"/>
    </w:pPr>
    <w:rPr>
      <w:rFonts w:ascii="TimesNewRomanPSMT" w:hAnsi="TimesNewRomanPSMT" w:cs="TimesNewRomanPSMT"/>
      <w:szCs w:val="24"/>
      <w:lang w:val="en-US"/>
    </w:rPr>
  </w:style>
  <w:style w:type="character" w:customStyle="1" w:styleId="BodyTextChar">
    <w:name w:val="Body Text Char"/>
    <w:basedOn w:val="DefaultParagraphFont"/>
    <w:link w:val="BodyText"/>
    <w:uiPriority w:val="99"/>
    <w:semiHidden/>
    <w:rPr>
      <w:rFonts w:ascii="Helvetica-Light" w:hAnsi="Helvetica-Light" w:cs="Helvetica-Light"/>
      <w:color w:val="000000"/>
      <w:lang w:val="en-GB"/>
    </w:rPr>
  </w:style>
  <w:style w:type="paragraph" w:customStyle="1" w:styleId="NormalBeforeBullet">
    <w:name w:val="NormalBeforeBullet"/>
    <w:basedOn w:val="Normal"/>
    <w:qFormat/>
    <w:rsid w:val="00A85AE3"/>
    <w:pPr>
      <w:keepNext/>
      <w:spacing w:after="120"/>
    </w:pPr>
  </w:style>
  <w:style w:type="paragraph" w:customStyle="1" w:styleId="BulletBeforeDash">
    <w:name w:val="BulletBeforeDash"/>
    <w:basedOn w:val="Normal"/>
    <w:rsid w:val="00A85AE3"/>
    <w:pPr>
      <w:numPr>
        <w:numId w:val="5"/>
      </w:numPr>
      <w:spacing w:after="0"/>
    </w:pPr>
  </w:style>
  <w:style w:type="paragraph" w:customStyle="1" w:styleId="Bullet">
    <w:name w:val="Bullet"/>
    <w:basedOn w:val="BulletBeforeDash"/>
    <w:qFormat/>
    <w:rsid w:val="00A85AE3"/>
    <w:pPr>
      <w:spacing w:after="120"/>
    </w:pPr>
  </w:style>
  <w:style w:type="paragraph" w:customStyle="1" w:styleId="BulletLast">
    <w:name w:val="BulletLast"/>
    <w:basedOn w:val="Bullet"/>
    <w:qFormat/>
    <w:rsid w:val="00A85AE3"/>
    <w:pPr>
      <w:spacing w:after="240"/>
    </w:pPr>
  </w:style>
  <w:style w:type="paragraph" w:customStyle="1" w:styleId="Pullquotepre">
    <w:name w:val="Pull quote pre"/>
    <w:basedOn w:val="Normal"/>
    <w:uiPriority w:val="99"/>
  </w:style>
  <w:style w:type="paragraph" w:customStyle="1" w:styleId="BaseStyle2">
    <w:name w:val="BaseStyle2"/>
    <w:basedOn w:val="NoParagraphStyle"/>
    <w:uiPriority w:val="99"/>
    <w:pPr>
      <w:suppressAutoHyphens/>
    </w:pPr>
    <w:rPr>
      <w:rFonts w:ascii="Gotham-Light" w:hAnsi="Gotham-Light" w:cs="Gotham-Light"/>
    </w:rPr>
  </w:style>
  <w:style w:type="paragraph" w:customStyle="1" w:styleId="PullQuote">
    <w:name w:val="PullQuote"/>
    <w:basedOn w:val="Normal"/>
    <w:next w:val="Normal"/>
    <w:rsid w:val="00A85AE3"/>
    <w:rPr>
      <w:rFonts w:ascii="Times New Roman Bold" w:hAnsi="Times New Roman Bold"/>
      <w:b/>
      <w:color w:val="76923C" w:themeColor="accent3" w:themeShade="BF"/>
    </w:rPr>
  </w:style>
  <w:style w:type="paragraph" w:customStyle="1" w:styleId="TFIHolderSpaceSpan">
    <w:name w:val="TFIHolder+SpaceSpan"/>
    <w:basedOn w:val="TFIHolderSpace"/>
    <w:uiPriority w:val="99"/>
    <w:pPr>
      <w:spacing w:after="283"/>
    </w:pPr>
  </w:style>
  <w:style w:type="paragraph" w:customStyle="1" w:styleId="TableName">
    <w:name w:val="TableName"/>
    <w:basedOn w:val="TableText"/>
    <w:rsid w:val="00A85AE3"/>
    <w:pPr>
      <w:tabs>
        <w:tab w:val="left" w:pos="1080"/>
      </w:tabs>
      <w:spacing w:before="120" w:after="120"/>
      <w:ind w:left="1080" w:hanging="1080"/>
    </w:pPr>
    <w:rPr>
      <w:rFonts w:ascii="Times New Roman Bold" w:hAnsi="Times New Roman Bold"/>
      <w:b/>
      <w:bCs/>
      <w:sz w:val="22"/>
    </w:rPr>
  </w:style>
  <w:style w:type="paragraph" w:customStyle="1" w:styleId="TableNameSpan">
    <w:name w:val="TableNameSpan"/>
    <w:basedOn w:val="TableName"/>
    <w:uiPriority w:val="99"/>
  </w:style>
  <w:style w:type="paragraph" w:customStyle="1" w:styleId="TFAbbrevs">
    <w:name w:val="TFAbbrevs"/>
    <w:basedOn w:val="TFListNotes"/>
    <w:rsid w:val="00A85AE3"/>
    <w:pPr>
      <w:ind w:left="0" w:firstLine="0"/>
    </w:pPr>
  </w:style>
  <w:style w:type="paragraph" w:customStyle="1" w:styleId="TFListNotes">
    <w:name w:val="TFListNotes"/>
    <w:basedOn w:val="TFListNotesSpace"/>
    <w:rsid w:val="00A85AE3"/>
    <w:pPr>
      <w:keepNext/>
      <w:spacing w:after="0"/>
    </w:pPr>
  </w:style>
  <w:style w:type="paragraph" w:customStyle="1" w:styleId="TFNoteSource">
    <w:name w:val="TFNoteSource"/>
    <w:basedOn w:val="TFNoteSourceSpace"/>
    <w:rsid w:val="00A85AE3"/>
    <w:pPr>
      <w:spacing w:after="0"/>
    </w:pPr>
  </w:style>
  <w:style w:type="paragraph" w:customStyle="1" w:styleId="TFNoteSourceSpan">
    <w:name w:val="TFNoteSourceSpan"/>
    <w:basedOn w:val="TFNoteSource"/>
    <w:uiPriority w:val="99"/>
  </w:style>
  <w:style w:type="paragraph" w:customStyle="1" w:styleId="TFNoteSourceSpace">
    <w:name w:val="TFNoteSource+Space"/>
    <w:basedOn w:val="TFListNotesSpace"/>
    <w:next w:val="Normal"/>
    <w:rsid w:val="00A85AE3"/>
    <w:pPr>
      <w:ind w:left="624" w:hanging="624"/>
    </w:pPr>
  </w:style>
  <w:style w:type="paragraph" w:customStyle="1" w:styleId="TFNoteSourceSpaceSpan">
    <w:name w:val="TFNoteSource+SpaceSpan"/>
    <w:basedOn w:val="TFNoteSourceSpace"/>
    <w:uiPriority w:val="99"/>
  </w:style>
  <w:style w:type="paragraph" w:customStyle="1" w:styleId="Heading1App">
    <w:name w:val="Heading 1 App"/>
    <w:basedOn w:val="Heading1"/>
    <w:uiPriority w:val="99"/>
    <w:pPr>
      <w:spacing w:line="288" w:lineRule="auto"/>
      <w:outlineLvl w:val="9"/>
    </w:pPr>
  </w:style>
  <w:style w:type="paragraph" w:customStyle="1" w:styleId="Heading3a">
    <w:name w:val="Heading 3a"/>
    <w:basedOn w:val="Heading3"/>
    <w:next w:val="Normal"/>
    <w:rsid w:val="00A85AE3"/>
    <w:pPr>
      <w:ind w:left="0" w:firstLine="0"/>
      <w:outlineLvl w:val="9"/>
    </w:pPr>
  </w:style>
  <w:style w:type="paragraph" w:customStyle="1" w:styleId="TFAbbrevsSpan">
    <w:name w:val="TFAbbrevsSpan"/>
    <w:basedOn w:val="TFAbbrevs"/>
    <w:uiPriority w:val="99"/>
    <w:pPr>
      <w:tabs>
        <w:tab w:val="left" w:pos="260"/>
      </w:tabs>
    </w:pPr>
  </w:style>
  <w:style w:type="paragraph" w:customStyle="1" w:styleId="TFListNoteSpan">
    <w:name w:val="TFListNoteSpan"/>
    <w:basedOn w:val="TFListNotes"/>
    <w:uiPriority w:val="99"/>
  </w:style>
  <w:style w:type="paragraph" w:customStyle="1" w:styleId="References">
    <w:name w:val="References"/>
    <w:basedOn w:val="Normal"/>
    <w:rsid w:val="00A85AE3"/>
    <w:pPr>
      <w:keepLines/>
      <w:ind w:left="720" w:hanging="720"/>
    </w:pPr>
  </w:style>
  <w:style w:type="paragraph" w:customStyle="1" w:styleId="BasicParagraph">
    <w:name w:val="[Basic Paragraph]"/>
    <w:basedOn w:val="NoParagraphStyle"/>
    <w:uiPriority w:val="99"/>
  </w:style>
  <w:style w:type="paragraph" w:customStyle="1" w:styleId="TableHeading">
    <w:name w:val="TableHeading"/>
    <w:basedOn w:val="TableText"/>
    <w:rsid w:val="00A85AE3"/>
    <w:rPr>
      <w:b/>
      <w:bCs/>
    </w:rPr>
  </w:style>
  <w:style w:type="paragraph" w:customStyle="1" w:styleId="TableHeadingCA">
    <w:name w:val="TableHeadingCA"/>
    <w:basedOn w:val="TableHeading"/>
    <w:rsid w:val="00A85AE3"/>
    <w:pPr>
      <w:jc w:val="center"/>
    </w:pPr>
  </w:style>
  <w:style w:type="paragraph" w:customStyle="1" w:styleId="TableText">
    <w:name w:val="TableText"/>
    <w:basedOn w:val="Normal"/>
    <w:rsid w:val="00A85AE3"/>
    <w:pPr>
      <w:keepNext/>
      <w:spacing w:before="60" w:after="60"/>
    </w:pPr>
    <w:rPr>
      <w:sz w:val="21"/>
      <w:szCs w:val="21"/>
    </w:rPr>
  </w:style>
  <w:style w:type="paragraph" w:customStyle="1" w:styleId="TableTextDA">
    <w:name w:val="TableTextDA"/>
    <w:basedOn w:val="TableText"/>
    <w:uiPriority w:val="99"/>
    <w:pPr>
      <w:tabs>
        <w:tab w:val="decimal" w:pos="1960"/>
      </w:tabs>
    </w:pPr>
  </w:style>
  <w:style w:type="paragraph" w:customStyle="1" w:styleId="TableSubHeading">
    <w:name w:val="TableSubHeading"/>
    <w:basedOn w:val="TableHeading"/>
    <w:uiPriority w:val="99"/>
    <w:rPr>
      <w:rFonts w:ascii="Helvetica" w:hAnsi="Helvetica" w:cs="Helvetica"/>
    </w:rPr>
  </w:style>
  <w:style w:type="paragraph" w:customStyle="1" w:styleId="TableTextDecimalAlign">
    <w:name w:val="TableTextDecimalAlign"/>
    <w:basedOn w:val="TableText"/>
    <w:rsid w:val="00A85AE3"/>
    <w:pPr>
      <w:tabs>
        <w:tab w:val="decimal" w:pos="1119"/>
      </w:tabs>
    </w:pPr>
  </w:style>
  <w:style w:type="paragraph" w:customStyle="1" w:styleId="TableTextCA">
    <w:name w:val="TableTextCA"/>
    <w:basedOn w:val="TableText"/>
    <w:rsid w:val="00A85AE3"/>
    <w:pPr>
      <w:jc w:val="center"/>
    </w:pPr>
  </w:style>
  <w:style w:type="paragraph" w:customStyle="1" w:styleId="BoxName">
    <w:name w:val="BoxName"/>
    <w:basedOn w:val="BoxText"/>
    <w:rsid w:val="00A85AE3"/>
    <w:pPr>
      <w:keepNext/>
      <w:spacing w:before="180"/>
      <w:ind w:left="1080" w:hanging="1080"/>
    </w:pPr>
    <w:rPr>
      <w:b/>
      <w:bCs/>
      <w:sz w:val="24"/>
    </w:rPr>
  </w:style>
  <w:style w:type="paragraph" w:customStyle="1" w:styleId="BoxHeading">
    <w:name w:val="BoxHeading"/>
    <w:basedOn w:val="BoxText"/>
    <w:rsid w:val="00A85AE3"/>
    <w:pPr>
      <w:keepNext/>
      <w:spacing w:before="120" w:after="60"/>
    </w:pPr>
    <w:rPr>
      <w:b/>
      <w:bCs/>
    </w:rPr>
  </w:style>
  <w:style w:type="paragraph" w:customStyle="1" w:styleId="BoxText">
    <w:name w:val="BoxText"/>
    <w:basedOn w:val="Normal"/>
    <w:qFormat/>
    <w:rsid w:val="00A85AE3"/>
    <w:pPr>
      <w:pBdr>
        <w:top w:val="single" w:sz="4" w:space="4" w:color="000000"/>
        <w:left w:val="single" w:sz="4" w:space="4" w:color="000000"/>
        <w:bottom w:val="single" w:sz="4" w:space="4" w:color="000000"/>
        <w:right w:val="single" w:sz="4" w:space="4" w:color="000000"/>
      </w:pBdr>
      <w:spacing w:after="120"/>
    </w:pPr>
    <w:rPr>
      <w:sz w:val="22"/>
    </w:rPr>
  </w:style>
  <w:style w:type="character" w:customStyle="1" w:styleId="Superscript">
    <w:name w:val="Superscript"/>
    <w:basedOn w:val="DefaultParagraphFont"/>
    <w:uiPriority w:val="1"/>
    <w:rsid w:val="00A85AE3"/>
    <w:rPr>
      <w:noProof/>
      <w:vertAlign w:val="superscript"/>
    </w:rPr>
  </w:style>
  <w:style w:type="character" w:styleId="Strong">
    <w:name w:val="Strong"/>
    <w:basedOn w:val="DefaultParagraphFont"/>
    <w:uiPriority w:val="22"/>
    <w:qFormat/>
    <w:rsid w:val="00A85AE3"/>
    <w:rPr>
      <w:b/>
      <w:bCs/>
    </w:rPr>
  </w:style>
  <w:style w:type="character" w:styleId="Emphasis">
    <w:name w:val="Emphasis"/>
    <w:basedOn w:val="DefaultParagraphFont"/>
    <w:uiPriority w:val="20"/>
    <w:qFormat/>
    <w:rsid w:val="00A85AE3"/>
    <w:rPr>
      <w:i/>
      <w:iCs/>
    </w:rPr>
  </w:style>
  <w:style w:type="character" w:styleId="Hyperlink">
    <w:name w:val="Hyperlink"/>
    <w:basedOn w:val="DefaultParagraphFont"/>
    <w:uiPriority w:val="99"/>
  </w:style>
  <w:style w:type="character" w:customStyle="1" w:styleId="FootnoteReference1">
    <w:name w:val="Footnote Reference1"/>
    <w:uiPriority w:val="99"/>
    <w:rPr>
      <w:vertAlign w:val="superscript"/>
    </w:rPr>
  </w:style>
  <w:style w:type="character" w:customStyle="1" w:styleId="Strongemphasis">
    <w:name w:val="Strong emphasis"/>
    <w:basedOn w:val="Emphasis"/>
    <w:uiPriority w:val="99"/>
    <w:rPr>
      <w:b/>
      <w:bCs/>
      <w:i/>
      <w:iCs/>
    </w:rPr>
  </w:style>
  <w:style w:type="character" w:customStyle="1" w:styleId="Boldoblique">
    <w:name w:val="Bold oblique"/>
    <w:basedOn w:val="Strongemphasis"/>
    <w:uiPriority w:val="99"/>
    <w:rPr>
      <w:b/>
      <w:bCs/>
      <w:i/>
      <w:iCs/>
    </w:rPr>
  </w:style>
  <w:style w:type="character" w:customStyle="1" w:styleId="Colour-1p">
    <w:name w:val="Colour-1p"/>
    <w:uiPriority w:val="99"/>
    <w:rPr>
      <w:color w:val="E89B0D"/>
    </w:rPr>
  </w:style>
  <w:style w:type="paragraph" w:customStyle="1" w:styleId="ImprintText">
    <w:name w:val="ImprintText"/>
    <w:basedOn w:val="Normal"/>
    <w:rsid w:val="00A85AE3"/>
    <w:pPr>
      <w:spacing w:after="120"/>
    </w:pPr>
    <w:rPr>
      <w:sz w:val="20"/>
    </w:rPr>
  </w:style>
  <w:style w:type="paragraph" w:styleId="BalloonText">
    <w:name w:val="Balloon Text"/>
    <w:basedOn w:val="Normal"/>
    <w:link w:val="BalloonTextChar"/>
    <w:uiPriority w:val="99"/>
    <w:semiHidden/>
    <w:unhideWhenUsed/>
    <w:rsid w:val="00A85A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AE3"/>
    <w:rPr>
      <w:rFonts w:ascii="Tahoma" w:hAnsi="Tahoma" w:cs="Tahoma"/>
      <w:color w:val="000000"/>
      <w:sz w:val="16"/>
      <w:szCs w:val="16"/>
      <w:lang w:val="en-AU" w:eastAsia="en-AU"/>
    </w:rPr>
  </w:style>
  <w:style w:type="paragraph" w:customStyle="1" w:styleId="ForMoreInformation">
    <w:name w:val="For More Information"/>
    <w:basedOn w:val="Normal"/>
    <w:uiPriority w:val="99"/>
    <w:rsid w:val="001137D1"/>
    <w:pPr>
      <w:spacing w:after="264" w:line="336" w:lineRule="atLeast"/>
    </w:pPr>
    <w:rPr>
      <w:rFonts w:ascii="TimesNewRomanPSMT" w:hAnsi="TimesNewRomanPSMT" w:cs="TimesNewRomanPSMT"/>
      <w:sz w:val="28"/>
      <w:szCs w:val="28"/>
      <w:lang w:val="en-US"/>
    </w:rPr>
  </w:style>
  <w:style w:type="paragraph" w:customStyle="1" w:styleId="ContactDetails">
    <w:name w:val="Contact Details"/>
    <w:basedOn w:val="Normal"/>
    <w:uiPriority w:val="99"/>
    <w:rsid w:val="001137D1"/>
    <w:pPr>
      <w:spacing w:line="220" w:lineRule="atLeast"/>
    </w:pPr>
    <w:rPr>
      <w:rFonts w:ascii="TimesNewRomanPS-BoldMT" w:hAnsi="TimesNewRomanPS-BoldMT" w:cs="TimesNewRomanPS-BoldMT"/>
      <w:b/>
      <w:bCs/>
      <w:sz w:val="18"/>
      <w:szCs w:val="18"/>
      <w:lang w:val="en-US"/>
    </w:rPr>
  </w:style>
  <w:style w:type="paragraph" w:customStyle="1" w:styleId="SAHealthDisclaimer">
    <w:name w:val="SA Health Disclaimer"/>
    <w:basedOn w:val="Normal"/>
    <w:uiPriority w:val="99"/>
    <w:rsid w:val="001137D1"/>
    <w:rPr>
      <w:color w:val="C06104"/>
      <w:sz w:val="16"/>
      <w:szCs w:val="16"/>
    </w:rPr>
  </w:style>
  <w:style w:type="paragraph" w:customStyle="1" w:styleId="BoxBullet">
    <w:name w:val="BoxBullet"/>
    <w:basedOn w:val="BoxText"/>
    <w:rsid w:val="00A85AE3"/>
    <w:pPr>
      <w:numPr>
        <w:numId w:val="25"/>
      </w:numPr>
    </w:pPr>
  </w:style>
  <w:style w:type="character" w:customStyle="1" w:styleId="Heading4Char">
    <w:name w:val="Heading 4 Char"/>
    <w:basedOn w:val="DefaultParagraphFont"/>
    <w:link w:val="Heading4"/>
    <w:rsid w:val="00A85AE3"/>
    <w:rPr>
      <w:b/>
      <w:bCs/>
      <w:i/>
      <w:color w:val="000000"/>
      <w:sz w:val="24"/>
      <w:szCs w:val="28"/>
      <w:lang w:val="en-AU" w:eastAsia="en-AU"/>
    </w:rPr>
  </w:style>
  <w:style w:type="character" w:customStyle="1" w:styleId="Heading5Char">
    <w:name w:val="Heading 5 Char"/>
    <w:basedOn w:val="DefaultParagraphFont"/>
    <w:link w:val="Heading5"/>
    <w:rsid w:val="00A85AE3"/>
    <w:rPr>
      <w:bCs/>
      <w:i/>
      <w:iCs/>
      <w:color w:val="000000"/>
      <w:sz w:val="22"/>
      <w:szCs w:val="26"/>
      <w:lang w:val="en-AU" w:eastAsia="en-AU"/>
    </w:rPr>
  </w:style>
  <w:style w:type="paragraph" w:styleId="Subtitle">
    <w:name w:val="Subtitle"/>
    <w:basedOn w:val="Normal"/>
    <w:next w:val="Normal"/>
    <w:link w:val="SubtitleChar"/>
    <w:uiPriority w:val="11"/>
    <w:rsid w:val="00A85AE3"/>
    <w:pPr>
      <w:numPr>
        <w:ilvl w:val="1"/>
      </w:numPr>
      <w:jc w:val="center"/>
    </w:pPr>
    <w:rPr>
      <w:rFonts w:ascii="Times New Roman Bold" w:eastAsiaTheme="majorEastAsia" w:hAnsi="Times New Roman Bold" w:cstheme="majorBidi"/>
      <w:b/>
      <w:iCs/>
      <w:color w:val="auto"/>
      <w:sz w:val="40"/>
      <w:szCs w:val="24"/>
    </w:rPr>
  </w:style>
  <w:style w:type="character" w:customStyle="1" w:styleId="SubtitleChar">
    <w:name w:val="Subtitle Char"/>
    <w:basedOn w:val="DefaultParagraphFont"/>
    <w:link w:val="Subtitle"/>
    <w:uiPriority w:val="11"/>
    <w:rsid w:val="00A85AE3"/>
    <w:rPr>
      <w:rFonts w:ascii="Times New Roman Bold" w:eastAsiaTheme="majorEastAsia" w:hAnsi="Times New Roman Bold" w:cstheme="majorBidi"/>
      <w:b/>
      <w:iCs/>
      <w:sz w:val="40"/>
      <w:szCs w:val="24"/>
      <w:lang w:val="en-AU" w:eastAsia="en-AU"/>
    </w:rPr>
  </w:style>
  <w:style w:type="paragraph" w:customStyle="1" w:styleId="ReportDate">
    <w:name w:val="ReportDate"/>
    <w:basedOn w:val="Normal"/>
    <w:rsid w:val="00A85AE3"/>
    <w:pPr>
      <w:jc w:val="center"/>
    </w:pPr>
    <w:rPr>
      <w:sz w:val="40"/>
    </w:rPr>
  </w:style>
  <w:style w:type="paragraph" w:customStyle="1" w:styleId="Heading2a">
    <w:name w:val="Heading 2a"/>
    <w:basedOn w:val="Heading2"/>
    <w:next w:val="Normal"/>
    <w:rsid w:val="00A85AE3"/>
    <w:pPr>
      <w:ind w:left="0" w:firstLine="0"/>
      <w:outlineLvl w:val="9"/>
    </w:pPr>
  </w:style>
  <w:style w:type="paragraph" w:styleId="Header">
    <w:name w:val="header"/>
    <w:basedOn w:val="Normal"/>
    <w:link w:val="HeaderChar"/>
    <w:semiHidden/>
    <w:rsid w:val="00A85AE3"/>
    <w:pPr>
      <w:tabs>
        <w:tab w:val="right" w:pos="9000"/>
      </w:tabs>
      <w:spacing w:after="0"/>
    </w:pPr>
    <w:rPr>
      <w:sz w:val="18"/>
    </w:rPr>
  </w:style>
  <w:style w:type="character" w:customStyle="1" w:styleId="HeaderChar">
    <w:name w:val="Header Char"/>
    <w:basedOn w:val="DefaultParagraphFont"/>
    <w:link w:val="Header"/>
    <w:semiHidden/>
    <w:rsid w:val="00A85AE3"/>
    <w:rPr>
      <w:color w:val="000000"/>
      <w:sz w:val="18"/>
      <w:lang w:val="en-AU" w:eastAsia="en-AU"/>
    </w:rPr>
  </w:style>
  <w:style w:type="paragraph" w:styleId="Footer">
    <w:name w:val="footer"/>
    <w:basedOn w:val="Normal"/>
    <w:link w:val="FooterChar"/>
    <w:uiPriority w:val="99"/>
    <w:rsid w:val="00A85AE3"/>
    <w:pPr>
      <w:tabs>
        <w:tab w:val="right" w:pos="9000"/>
      </w:tabs>
      <w:spacing w:after="0"/>
    </w:pPr>
    <w:rPr>
      <w:sz w:val="20"/>
    </w:rPr>
  </w:style>
  <w:style w:type="character" w:customStyle="1" w:styleId="FooterChar">
    <w:name w:val="Footer Char"/>
    <w:basedOn w:val="DefaultParagraphFont"/>
    <w:link w:val="Footer"/>
    <w:uiPriority w:val="99"/>
    <w:rsid w:val="00A85AE3"/>
    <w:rPr>
      <w:color w:val="000000"/>
      <w:lang w:val="en-AU" w:eastAsia="en-AU"/>
    </w:rPr>
  </w:style>
  <w:style w:type="character" w:styleId="PageNumber">
    <w:name w:val="page number"/>
    <w:basedOn w:val="DefaultParagraphFont"/>
    <w:semiHidden/>
    <w:rsid w:val="00A85AE3"/>
    <w:rPr>
      <w:rFonts w:ascii="Times New Roman" w:hAnsi="Times New Roman"/>
      <w:b/>
      <w:sz w:val="20"/>
    </w:rPr>
  </w:style>
  <w:style w:type="paragraph" w:customStyle="1" w:styleId="TFListNotesSpace">
    <w:name w:val="TFListNotes+Space"/>
    <w:basedOn w:val="TableText"/>
    <w:next w:val="Normal"/>
    <w:rsid w:val="00A85AE3"/>
    <w:pPr>
      <w:keepNext w:val="0"/>
      <w:keepLines/>
      <w:spacing w:before="0" w:after="360"/>
      <w:ind w:left="170" w:hanging="170"/>
    </w:pPr>
    <w:rPr>
      <w:sz w:val="18"/>
      <w:szCs w:val="18"/>
    </w:rPr>
  </w:style>
  <w:style w:type="paragraph" w:customStyle="1" w:styleId="TableBullet">
    <w:name w:val="TableBullet"/>
    <w:basedOn w:val="TableText"/>
    <w:rsid w:val="00A85AE3"/>
    <w:pPr>
      <w:numPr>
        <w:numId w:val="3"/>
      </w:numPr>
      <w:tabs>
        <w:tab w:val="clear" w:pos="360"/>
        <w:tab w:val="left" w:pos="216"/>
      </w:tabs>
      <w:ind w:left="216" w:hanging="216"/>
    </w:pPr>
  </w:style>
  <w:style w:type="paragraph" w:customStyle="1" w:styleId="TableDash">
    <w:name w:val="TableDash"/>
    <w:basedOn w:val="TableText"/>
    <w:rsid w:val="00A85AE3"/>
    <w:pPr>
      <w:numPr>
        <w:numId w:val="4"/>
      </w:numPr>
      <w:tabs>
        <w:tab w:val="clear" w:pos="216"/>
        <w:tab w:val="num" w:pos="432"/>
      </w:tabs>
    </w:pPr>
  </w:style>
  <w:style w:type="paragraph" w:styleId="Quote">
    <w:name w:val="Quote"/>
    <w:basedOn w:val="Normal"/>
    <w:link w:val="QuoteChar"/>
    <w:rsid w:val="00A85AE3"/>
    <w:pPr>
      <w:ind w:left="720" w:right="720"/>
    </w:pPr>
    <w:rPr>
      <w:sz w:val="20"/>
    </w:rPr>
  </w:style>
  <w:style w:type="character" w:customStyle="1" w:styleId="QuoteChar">
    <w:name w:val="Quote Char"/>
    <w:basedOn w:val="DefaultParagraphFont"/>
    <w:link w:val="Quote"/>
    <w:rsid w:val="00A85AE3"/>
    <w:rPr>
      <w:color w:val="000000"/>
      <w:lang w:val="en-AU" w:eastAsia="en-AU"/>
    </w:rPr>
  </w:style>
  <w:style w:type="paragraph" w:styleId="FootnoteText">
    <w:name w:val="footnote text"/>
    <w:basedOn w:val="Normal"/>
    <w:link w:val="FootnoteTextChar"/>
    <w:semiHidden/>
    <w:rsid w:val="00A85AE3"/>
    <w:pPr>
      <w:spacing w:after="0"/>
      <w:ind w:left="360" w:hanging="360"/>
    </w:pPr>
    <w:rPr>
      <w:sz w:val="20"/>
    </w:rPr>
  </w:style>
  <w:style w:type="character" w:customStyle="1" w:styleId="FootnoteTextChar">
    <w:name w:val="Footnote Text Char"/>
    <w:basedOn w:val="DefaultParagraphFont"/>
    <w:link w:val="FootnoteText"/>
    <w:semiHidden/>
    <w:rsid w:val="00A85AE3"/>
    <w:rPr>
      <w:color w:val="000000"/>
      <w:lang w:val="en-AU" w:eastAsia="en-AU"/>
    </w:rPr>
  </w:style>
  <w:style w:type="character" w:styleId="FootnoteReference">
    <w:name w:val="footnote reference"/>
    <w:basedOn w:val="DefaultParagraphFont"/>
    <w:semiHidden/>
    <w:rsid w:val="00A85AE3"/>
    <w:rPr>
      <w:vertAlign w:val="superscript"/>
    </w:rPr>
  </w:style>
  <w:style w:type="paragraph" w:customStyle="1" w:styleId="FigTabPara">
    <w:name w:val="FigTabPara"/>
    <w:basedOn w:val="Normal"/>
    <w:next w:val="TFIHolder"/>
    <w:rsid w:val="00A85AE3"/>
    <w:pPr>
      <w:keepNext/>
      <w:spacing w:after="120"/>
      <w:ind w:left="1077"/>
    </w:pPr>
  </w:style>
  <w:style w:type="paragraph" w:customStyle="1" w:styleId="FigureNameSpace">
    <w:name w:val="FigureName+Space"/>
    <w:basedOn w:val="Normal"/>
    <w:next w:val="Normal"/>
    <w:rsid w:val="00A85AE3"/>
    <w:pPr>
      <w:keepLines/>
      <w:tabs>
        <w:tab w:val="left" w:pos="1080"/>
      </w:tabs>
      <w:spacing w:before="120" w:after="360"/>
      <w:ind w:left="1080" w:hanging="1080"/>
    </w:pPr>
    <w:rPr>
      <w:b/>
      <w:bCs/>
      <w:sz w:val="22"/>
    </w:rPr>
  </w:style>
  <w:style w:type="paragraph" w:styleId="TOC1">
    <w:name w:val="toc 1"/>
    <w:basedOn w:val="Normal"/>
    <w:next w:val="Normal"/>
    <w:autoRedefine/>
    <w:uiPriority w:val="39"/>
    <w:rsid w:val="00A85AE3"/>
    <w:pPr>
      <w:tabs>
        <w:tab w:val="left" w:pos="720"/>
        <w:tab w:val="right" w:leader="dot" w:pos="9016"/>
      </w:tabs>
      <w:spacing w:before="360" w:after="60"/>
      <w:ind w:left="720" w:right="720" w:hanging="720"/>
    </w:pPr>
    <w:rPr>
      <w:b/>
      <w:bCs/>
      <w:noProof/>
    </w:rPr>
  </w:style>
  <w:style w:type="paragraph" w:styleId="TOC2">
    <w:name w:val="toc 2"/>
    <w:basedOn w:val="Normal"/>
    <w:next w:val="Normal"/>
    <w:autoRedefine/>
    <w:uiPriority w:val="39"/>
    <w:rsid w:val="00A85AE3"/>
    <w:pPr>
      <w:tabs>
        <w:tab w:val="left" w:pos="1440"/>
        <w:tab w:val="right" w:leader="dot" w:pos="9016"/>
      </w:tabs>
      <w:spacing w:before="120" w:after="60"/>
      <w:ind w:left="1440" w:right="720" w:hanging="720"/>
    </w:pPr>
  </w:style>
  <w:style w:type="paragraph" w:styleId="TOC3">
    <w:name w:val="toc 3"/>
    <w:basedOn w:val="Normal"/>
    <w:next w:val="Normal"/>
    <w:autoRedefine/>
    <w:uiPriority w:val="39"/>
    <w:rsid w:val="00A85AE3"/>
    <w:pPr>
      <w:tabs>
        <w:tab w:val="left" w:pos="2160"/>
        <w:tab w:val="right" w:leader="dot" w:pos="9016"/>
      </w:tabs>
      <w:spacing w:after="20"/>
      <w:ind w:left="2160" w:right="720" w:hanging="720"/>
    </w:pPr>
  </w:style>
  <w:style w:type="paragraph" w:styleId="TableofFigures">
    <w:name w:val="table of figures"/>
    <w:basedOn w:val="Normal"/>
    <w:next w:val="Normal"/>
    <w:uiPriority w:val="99"/>
    <w:rsid w:val="00A85AE3"/>
    <w:pPr>
      <w:tabs>
        <w:tab w:val="left" w:pos="1080"/>
        <w:tab w:val="right" w:leader="dot" w:pos="9000"/>
      </w:tabs>
      <w:spacing w:after="120"/>
      <w:ind w:left="1080" w:right="720" w:hangingChars="450" w:hanging="1080"/>
    </w:pPr>
  </w:style>
  <w:style w:type="paragraph" w:customStyle="1" w:styleId="Dash">
    <w:name w:val="Dash"/>
    <w:basedOn w:val="Normal"/>
    <w:rsid w:val="00A85AE3"/>
    <w:pPr>
      <w:numPr>
        <w:numId w:val="6"/>
      </w:numPr>
      <w:tabs>
        <w:tab w:val="clear" w:pos="216"/>
        <w:tab w:val="left" w:pos="720"/>
      </w:tabs>
      <w:spacing w:after="0"/>
      <w:ind w:left="720" w:hanging="360"/>
    </w:pPr>
  </w:style>
  <w:style w:type="paragraph" w:customStyle="1" w:styleId="DashLast">
    <w:name w:val="DashLast"/>
    <w:basedOn w:val="Dash"/>
    <w:rsid w:val="00A85AE3"/>
    <w:pPr>
      <w:spacing w:after="120"/>
    </w:pPr>
  </w:style>
  <w:style w:type="paragraph" w:customStyle="1" w:styleId="DashLastSpace">
    <w:name w:val="DashLast+Space"/>
    <w:basedOn w:val="DashLast"/>
    <w:rsid w:val="00A85AE3"/>
    <w:pPr>
      <w:spacing w:after="240"/>
    </w:pPr>
  </w:style>
  <w:style w:type="paragraph" w:customStyle="1" w:styleId="BoxNotes">
    <w:name w:val="BoxNotes"/>
    <w:basedOn w:val="BoxText"/>
    <w:rsid w:val="00A85AE3"/>
    <w:pPr>
      <w:spacing w:before="120" w:after="60"/>
    </w:pPr>
    <w:rPr>
      <w:sz w:val="18"/>
    </w:rPr>
  </w:style>
  <w:style w:type="paragraph" w:customStyle="1" w:styleId="BoxDashManual">
    <w:name w:val="BoxDashManual"/>
    <w:basedOn w:val="BoxText"/>
    <w:rsid w:val="00A85AE3"/>
    <w:pPr>
      <w:tabs>
        <w:tab w:val="left" w:pos="360"/>
        <w:tab w:val="left" w:pos="720"/>
      </w:tabs>
      <w:ind w:left="720" w:hanging="720"/>
    </w:pPr>
  </w:style>
  <w:style w:type="paragraph" w:styleId="Index1">
    <w:name w:val="index 1"/>
    <w:basedOn w:val="Normal"/>
    <w:next w:val="Normal"/>
    <w:rsid w:val="00A85AE3"/>
    <w:pPr>
      <w:spacing w:after="0"/>
      <w:ind w:left="518" w:hanging="518"/>
    </w:pPr>
    <w:rPr>
      <w:noProof/>
      <w:sz w:val="22"/>
    </w:rPr>
  </w:style>
  <w:style w:type="paragraph" w:styleId="Index2">
    <w:name w:val="index 2"/>
    <w:basedOn w:val="Index1"/>
    <w:next w:val="Normal"/>
    <w:rsid w:val="00A85AE3"/>
    <w:pPr>
      <w:ind w:left="816" w:hanging="476"/>
    </w:pPr>
  </w:style>
  <w:style w:type="paragraph" w:styleId="TOC4">
    <w:name w:val="toc 4"/>
    <w:basedOn w:val="Normal"/>
    <w:next w:val="Normal"/>
    <w:autoRedefine/>
    <w:semiHidden/>
    <w:rsid w:val="00A85AE3"/>
    <w:pPr>
      <w:tabs>
        <w:tab w:val="right" w:leader="dot" w:pos="9016"/>
      </w:tabs>
      <w:spacing w:after="0"/>
      <w:ind w:left="2160" w:right="720"/>
    </w:pPr>
    <w:rPr>
      <w:noProof/>
      <w:szCs w:val="24"/>
    </w:rPr>
  </w:style>
  <w:style w:type="paragraph" w:customStyle="1" w:styleId="NumberList">
    <w:name w:val="NumberList"/>
    <w:basedOn w:val="Normal"/>
    <w:rsid w:val="00A85AE3"/>
    <w:pPr>
      <w:tabs>
        <w:tab w:val="left" w:pos="360"/>
      </w:tabs>
      <w:ind w:left="360" w:hanging="360"/>
    </w:pPr>
  </w:style>
  <w:style w:type="character" w:customStyle="1" w:styleId="DesignerNotesChar">
    <w:name w:val="DesignerNotesChar"/>
    <w:basedOn w:val="DefaultParagraphFont"/>
    <w:rsid w:val="00A85AE3"/>
    <w:rPr>
      <w:rFonts w:ascii="Arial" w:hAnsi="Arial"/>
      <w:b/>
      <w:color w:val="3366FF"/>
      <w:sz w:val="20"/>
    </w:rPr>
  </w:style>
  <w:style w:type="paragraph" w:customStyle="1" w:styleId="TFAbbrevsSpace">
    <w:name w:val="TFAbbrevs+Space"/>
    <w:basedOn w:val="TFAbbrevs"/>
    <w:next w:val="Normal"/>
    <w:rsid w:val="00A85AE3"/>
    <w:pPr>
      <w:spacing w:after="360"/>
    </w:pPr>
  </w:style>
  <w:style w:type="character" w:customStyle="1" w:styleId="Roman">
    <w:name w:val="Roman"/>
    <w:uiPriority w:val="1"/>
    <w:rsid w:val="00A85AE3"/>
    <w:rPr>
      <w:b w:val="0"/>
      <w:i/>
    </w:rPr>
  </w:style>
  <w:style w:type="character" w:customStyle="1" w:styleId="PullQuoteOrigin">
    <w:name w:val="PullQuoteOrigin"/>
    <w:basedOn w:val="DefaultParagraphFont"/>
    <w:uiPriority w:val="1"/>
    <w:rsid w:val="00A85AE3"/>
    <w:rPr>
      <w:b/>
      <w:noProof/>
      <w:color w:val="76923C" w:themeColor="accent3" w:themeShade="BF"/>
    </w:rPr>
  </w:style>
  <w:style w:type="table" w:styleId="TableGrid">
    <w:name w:val="Table Grid"/>
    <w:basedOn w:val="TableNormal"/>
    <w:uiPriority w:val="59"/>
    <w:rsid w:val="00A85AE3"/>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ignerNotes">
    <w:name w:val="DesignerNotes"/>
    <w:basedOn w:val="Normal"/>
    <w:rsid w:val="00A85AE3"/>
    <w:rPr>
      <w:rFonts w:ascii="Arial" w:hAnsi="Arial"/>
      <w:b/>
      <w:color w:val="3366FF"/>
      <w:sz w:val="20"/>
    </w:rPr>
  </w:style>
  <w:style w:type="character" w:customStyle="1" w:styleId="Subscript">
    <w:name w:val="Subscript"/>
    <w:basedOn w:val="DefaultParagraphFont"/>
    <w:uiPriority w:val="1"/>
    <w:rsid w:val="00A85AE3"/>
    <w:rPr>
      <w:noProof/>
      <w:vertAlign w:val="subscript"/>
    </w:rPr>
  </w:style>
  <w:style w:type="character" w:customStyle="1" w:styleId="Symbol">
    <w:name w:val="Symbol"/>
    <w:basedOn w:val="DefaultParagraphFont"/>
    <w:uiPriority w:val="1"/>
    <w:rsid w:val="00A85AE3"/>
    <w:rPr>
      <w:noProof/>
    </w:rPr>
  </w:style>
  <w:style w:type="character" w:customStyle="1" w:styleId="NoBreak">
    <w:name w:val="NoBreak"/>
    <w:basedOn w:val="DefaultParagraphFont"/>
    <w:uiPriority w:val="1"/>
    <w:rsid w:val="00A85AE3"/>
    <w:rPr>
      <w:noProof/>
    </w:rPr>
  </w:style>
  <w:style w:type="paragraph" w:customStyle="1" w:styleId="MathEquation">
    <w:name w:val="MathEquation"/>
    <w:basedOn w:val="Normal"/>
    <w:rsid w:val="00A85AE3"/>
    <w:rPr>
      <w:rFonts w:ascii="Cambria Math" w:hAnsi="Cambria Math"/>
      <w:i/>
      <w:noProof/>
    </w:rPr>
  </w:style>
  <w:style w:type="paragraph" w:customStyle="1" w:styleId="ComputerCode">
    <w:name w:val="ComputerCode"/>
    <w:basedOn w:val="Normal"/>
    <w:rsid w:val="00A85AE3"/>
    <w:pPr>
      <w:ind w:left="567"/>
      <w:contextualSpacing/>
    </w:pPr>
    <w:rPr>
      <w:rFonts w:ascii="Courier New" w:hAnsi="Courier New"/>
      <w:color w:val="auto"/>
      <w:sz w:val="20"/>
      <w:szCs w:val="24"/>
    </w:rPr>
  </w:style>
  <w:style w:type="paragraph" w:customStyle="1" w:styleId="BulletChecklist">
    <w:name w:val="BulletChecklist"/>
    <w:basedOn w:val="Bullet"/>
    <w:rsid w:val="00A85AE3"/>
    <w:pPr>
      <w:numPr>
        <w:numId w:val="18"/>
      </w:numPr>
    </w:pPr>
    <w:rPr>
      <w:noProof/>
    </w:rPr>
  </w:style>
  <w:style w:type="paragraph" w:customStyle="1" w:styleId="AltText">
    <w:name w:val="AltText"/>
    <w:basedOn w:val="Normal"/>
    <w:rsid w:val="00A85AE3"/>
    <w:rPr>
      <w:rFonts w:ascii="Arial" w:hAnsi="Arial"/>
      <w:color w:val="E36C0A" w:themeColor="accent6" w:themeShade="BF"/>
      <w:sz w:val="20"/>
    </w:rPr>
  </w:style>
  <w:style w:type="paragraph" w:styleId="Caption">
    <w:name w:val="caption"/>
    <w:basedOn w:val="Normal"/>
    <w:next w:val="Credit"/>
    <w:uiPriority w:val="35"/>
    <w:unhideWhenUsed/>
    <w:rsid w:val="00A85AE3"/>
    <w:pPr>
      <w:spacing w:after="0"/>
    </w:pPr>
    <w:rPr>
      <w:b/>
      <w:bCs/>
      <w:color w:val="auto"/>
      <w:sz w:val="18"/>
      <w:szCs w:val="18"/>
    </w:rPr>
  </w:style>
  <w:style w:type="paragraph" w:customStyle="1" w:styleId="Credit">
    <w:name w:val="Credit"/>
    <w:basedOn w:val="Caption"/>
    <w:next w:val="Normal"/>
    <w:rsid w:val="00A85AE3"/>
    <w:pPr>
      <w:spacing w:after="240"/>
    </w:pPr>
    <w:rPr>
      <w:b w:val="0"/>
      <w:noProof/>
    </w:rPr>
  </w:style>
  <w:style w:type="paragraph" w:customStyle="1" w:styleId="NormalFirstPara">
    <w:name w:val="NormalFirstPara"/>
    <w:basedOn w:val="Normal"/>
    <w:rsid w:val="00A85AE3"/>
    <w:rPr>
      <w:noProof/>
      <w:color w:val="9BBB59" w:themeColor="accent3"/>
    </w:rPr>
  </w:style>
  <w:style w:type="paragraph" w:styleId="Title">
    <w:name w:val="Title"/>
    <w:basedOn w:val="Normal"/>
    <w:next w:val="Normal"/>
    <w:link w:val="TitleChar"/>
    <w:uiPriority w:val="10"/>
    <w:rsid w:val="00A85AE3"/>
    <w:pPr>
      <w:spacing w:after="300"/>
      <w:contextualSpacing/>
      <w:jc w:val="center"/>
    </w:pPr>
    <w:rPr>
      <w:rFonts w:ascii="Times New Roman Bold" w:eastAsiaTheme="majorEastAsia" w:hAnsi="Times New Roman Bold" w:cstheme="majorBidi"/>
      <w:b/>
      <w:color w:val="auto"/>
      <w:spacing w:val="5"/>
      <w:kern w:val="28"/>
      <w:sz w:val="48"/>
      <w:szCs w:val="52"/>
    </w:rPr>
  </w:style>
  <w:style w:type="character" w:customStyle="1" w:styleId="TitleChar">
    <w:name w:val="Title Char"/>
    <w:basedOn w:val="DefaultParagraphFont"/>
    <w:link w:val="Title"/>
    <w:uiPriority w:val="10"/>
    <w:rsid w:val="00A85AE3"/>
    <w:rPr>
      <w:rFonts w:ascii="Times New Roman Bold" w:eastAsiaTheme="majorEastAsia" w:hAnsi="Times New Roman Bold" w:cstheme="majorBidi"/>
      <w:b/>
      <w:spacing w:val="5"/>
      <w:kern w:val="28"/>
      <w:sz w:val="48"/>
      <w:szCs w:val="52"/>
      <w:lang w:val="en-AU" w:eastAsia="en-AU"/>
    </w:rPr>
  </w:style>
  <w:style w:type="paragraph" w:customStyle="1" w:styleId="SectionTitle">
    <w:name w:val="SectionTitle"/>
    <w:basedOn w:val="Normal"/>
    <w:next w:val="Normal"/>
    <w:rsid w:val="00A85AE3"/>
    <w:pPr>
      <w:jc w:val="center"/>
    </w:pPr>
    <w:rPr>
      <w:b/>
      <w:sz w:val="40"/>
    </w:rPr>
  </w:style>
  <w:style w:type="paragraph" w:customStyle="1" w:styleId="SectionSubtitle">
    <w:name w:val="SectionSubtitle"/>
    <w:basedOn w:val="Normal"/>
    <w:rsid w:val="00A85AE3"/>
    <w:pPr>
      <w:spacing w:after="0"/>
      <w:jc w:val="center"/>
    </w:pPr>
    <w:rPr>
      <w:sz w:val="32"/>
    </w:rPr>
  </w:style>
  <w:style w:type="paragraph" w:customStyle="1" w:styleId="QuoteNumberList">
    <w:name w:val="QuoteNumberList"/>
    <w:basedOn w:val="Quote"/>
    <w:rsid w:val="00A85AE3"/>
    <w:pPr>
      <w:ind w:left="1117" w:hanging="397"/>
    </w:pPr>
    <w:rPr>
      <w:noProof/>
    </w:rPr>
  </w:style>
  <w:style w:type="paragraph" w:customStyle="1" w:styleId="QuoteBullet">
    <w:name w:val="QuoteBullet"/>
    <w:basedOn w:val="Quote"/>
    <w:rsid w:val="00A85AE3"/>
    <w:pPr>
      <w:numPr>
        <w:numId w:val="20"/>
      </w:numPr>
      <w:ind w:left="1117" w:hanging="397"/>
    </w:pPr>
    <w:rPr>
      <w:noProof/>
    </w:rPr>
  </w:style>
  <w:style w:type="paragraph" w:customStyle="1" w:styleId="BoxDash">
    <w:name w:val="BoxDash"/>
    <w:basedOn w:val="BoxBullet"/>
    <w:rsid w:val="00A85AE3"/>
    <w:pPr>
      <w:numPr>
        <w:numId w:val="7"/>
      </w:numPr>
    </w:pPr>
  </w:style>
  <w:style w:type="character" w:customStyle="1" w:styleId="CrossRef">
    <w:name w:val="CrossRef"/>
    <w:basedOn w:val="DefaultParagraphFont"/>
    <w:uiPriority w:val="1"/>
    <w:rsid w:val="00A85AE3"/>
    <w:rPr>
      <w:rFonts w:ascii="Times New Roman" w:hAnsi="Times New Roman"/>
      <w:b/>
      <w:noProof/>
      <w:color w:val="C0504D" w:themeColor="accent2"/>
      <w:sz w:val="24"/>
    </w:rPr>
  </w:style>
  <w:style w:type="paragraph" w:customStyle="1" w:styleId="TableNumberedList">
    <w:name w:val="TableNumberedList"/>
    <w:basedOn w:val="TableText"/>
    <w:autoRedefine/>
    <w:qFormat/>
    <w:rsid w:val="00A85AE3"/>
    <w:pPr>
      <w:numPr>
        <w:numId w:val="29"/>
      </w:numPr>
      <w:ind w:left="357" w:hanging="357"/>
    </w:pPr>
  </w:style>
  <w:style w:type="character" w:customStyle="1" w:styleId="StrongEmphasis0">
    <w:name w:val="StrongEmphasis"/>
    <w:basedOn w:val="DefaultParagraphFont"/>
    <w:rsid w:val="00A85AE3"/>
    <w:rPr>
      <w:b/>
      <w:bCs/>
      <w:i/>
      <w:iCs/>
    </w:rPr>
  </w:style>
  <w:style w:type="character" w:styleId="PlaceholderText">
    <w:name w:val="Placeholder Text"/>
    <w:basedOn w:val="DefaultParagraphFont"/>
    <w:uiPriority w:val="99"/>
    <w:semiHidden/>
    <w:rsid w:val="00F2600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AE3"/>
    <w:pPr>
      <w:spacing w:after="240"/>
    </w:pPr>
    <w:rPr>
      <w:color w:val="000000"/>
      <w:sz w:val="24"/>
      <w:lang w:val="en-AU" w:eastAsia="en-AU"/>
    </w:rPr>
  </w:style>
  <w:style w:type="paragraph" w:styleId="Heading1">
    <w:name w:val="heading 1"/>
    <w:basedOn w:val="Normal"/>
    <w:next w:val="Normal"/>
    <w:link w:val="Heading1Char"/>
    <w:qFormat/>
    <w:rsid w:val="00A85AE3"/>
    <w:pPr>
      <w:keepNext/>
      <w:pageBreakBefore/>
      <w:spacing w:after="480"/>
      <w:ind w:left="720" w:hanging="720"/>
      <w:outlineLvl w:val="0"/>
    </w:pPr>
    <w:rPr>
      <w:rFonts w:cs="Arial"/>
      <w:b/>
      <w:bCs/>
      <w:kern w:val="32"/>
      <w:sz w:val="40"/>
      <w:szCs w:val="32"/>
    </w:rPr>
  </w:style>
  <w:style w:type="paragraph" w:styleId="Heading2">
    <w:name w:val="heading 2"/>
    <w:basedOn w:val="Normal"/>
    <w:next w:val="Normal"/>
    <w:link w:val="Heading2Char"/>
    <w:qFormat/>
    <w:rsid w:val="00A85AE3"/>
    <w:pPr>
      <w:keepNext/>
      <w:spacing w:before="240"/>
      <w:ind w:left="720" w:hanging="720"/>
      <w:outlineLvl w:val="1"/>
    </w:pPr>
    <w:rPr>
      <w:rFonts w:cs="Arial"/>
      <w:b/>
      <w:bCs/>
      <w:iCs/>
      <w:sz w:val="28"/>
      <w:szCs w:val="28"/>
    </w:rPr>
  </w:style>
  <w:style w:type="paragraph" w:styleId="Heading3">
    <w:name w:val="heading 3"/>
    <w:basedOn w:val="Normal"/>
    <w:next w:val="Normal"/>
    <w:link w:val="Heading3Char"/>
    <w:qFormat/>
    <w:rsid w:val="00A85AE3"/>
    <w:pPr>
      <w:keepNext/>
      <w:spacing w:before="240"/>
      <w:ind w:left="720" w:hanging="720"/>
      <w:outlineLvl w:val="2"/>
    </w:pPr>
    <w:rPr>
      <w:rFonts w:cs="Arial"/>
      <w:b/>
      <w:bCs/>
      <w:szCs w:val="26"/>
    </w:rPr>
  </w:style>
  <w:style w:type="paragraph" w:styleId="Heading4">
    <w:name w:val="heading 4"/>
    <w:basedOn w:val="Normal"/>
    <w:next w:val="Normal"/>
    <w:link w:val="Heading4Char"/>
    <w:rsid w:val="00A85AE3"/>
    <w:pPr>
      <w:keepNext/>
      <w:spacing w:before="120" w:after="120"/>
      <w:outlineLvl w:val="3"/>
    </w:pPr>
    <w:rPr>
      <w:b/>
      <w:bCs/>
      <w:i/>
      <w:szCs w:val="28"/>
    </w:rPr>
  </w:style>
  <w:style w:type="paragraph" w:styleId="Heading5">
    <w:name w:val="heading 5"/>
    <w:basedOn w:val="Normal"/>
    <w:next w:val="Normal"/>
    <w:link w:val="Heading5Char"/>
    <w:rsid w:val="00A85AE3"/>
    <w:pPr>
      <w:keepNext/>
      <w:spacing w:before="60" w:after="60"/>
      <w:outlineLvl w:val="4"/>
    </w:pPr>
    <w:rPr>
      <w:bCs/>
      <w:i/>
      <w:iCs/>
      <w:sz w:val="22"/>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BaseStyle1">
    <w:name w:val="BaseStyle1"/>
    <w:basedOn w:val="NoParagraphStyle"/>
    <w:uiPriority w:val="99"/>
    <w:pPr>
      <w:suppressAutoHyphens/>
    </w:pPr>
    <w:rPr>
      <w:rFonts w:ascii="TradeGothicLTStd-Cn18" w:hAnsi="TradeGothicLTStd-Cn18" w:cs="TradeGothicLTStd-Cn18"/>
      <w:sz w:val="21"/>
      <w:szCs w:val="21"/>
    </w:rPr>
  </w:style>
  <w:style w:type="character" w:customStyle="1" w:styleId="Heading1Char">
    <w:name w:val="Heading 1 Char"/>
    <w:basedOn w:val="DefaultParagraphFont"/>
    <w:link w:val="Heading1"/>
    <w:rPr>
      <w:rFonts w:cs="Arial"/>
      <w:b/>
      <w:bCs/>
      <w:color w:val="000000"/>
      <w:kern w:val="32"/>
      <w:sz w:val="40"/>
      <w:szCs w:val="32"/>
      <w:lang w:val="en-AU" w:eastAsia="en-AU"/>
    </w:rPr>
  </w:style>
  <w:style w:type="paragraph" w:customStyle="1" w:styleId="Heading1a">
    <w:name w:val="Heading 1a"/>
    <w:basedOn w:val="Heading1"/>
    <w:next w:val="Normal"/>
    <w:rsid w:val="00A85AE3"/>
    <w:pPr>
      <w:outlineLvl w:val="9"/>
    </w:pPr>
  </w:style>
  <w:style w:type="paragraph" w:customStyle="1" w:styleId="Heading1lessspace">
    <w:name w:val="Heading 1 less space"/>
    <w:basedOn w:val="Heading1"/>
    <w:uiPriority w:val="99"/>
    <w:pPr>
      <w:spacing w:after="397"/>
      <w:outlineLvl w:val="9"/>
    </w:pPr>
  </w:style>
  <w:style w:type="paragraph" w:customStyle="1" w:styleId="TFIHolder">
    <w:name w:val="TFIHolder"/>
    <w:basedOn w:val="TFAbbrevs"/>
    <w:qFormat/>
    <w:rsid w:val="00A85AE3"/>
    <w:rPr>
      <w:sz w:val="12"/>
    </w:rPr>
  </w:style>
  <w:style w:type="paragraph" w:customStyle="1" w:styleId="TFIHolderSpace">
    <w:name w:val="TFIHolder+Space"/>
    <w:basedOn w:val="TFIHolder"/>
    <w:qFormat/>
    <w:rsid w:val="00A85AE3"/>
    <w:pPr>
      <w:spacing w:after="240"/>
    </w:pPr>
  </w:style>
  <w:style w:type="paragraph" w:customStyle="1" w:styleId="NormalIndent">
    <w:name w:val="NormalIndent"/>
    <w:basedOn w:val="Normal"/>
    <w:rsid w:val="00A85AE3"/>
    <w:pPr>
      <w:ind w:left="357"/>
    </w:pPr>
  </w:style>
  <w:style w:type="paragraph" w:customStyle="1" w:styleId="ExecSummfeature">
    <w:name w:val="ExecSumm feature"/>
    <w:basedOn w:val="NormalIndent"/>
    <w:uiPriority w:val="99"/>
    <w:pPr>
      <w:spacing w:after="454"/>
      <w:ind w:left="567"/>
    </w:pPr>
    <w:rPr>
      <w:rFonts w:ascii="Gotham-Medium" w:hAnsi="Gotham-Medium" w:cs="Gotham-Medium"/>
      <w:color w:val="A23E00"/>
      <w:sz w:val="18"/>
      <w:szCs w:val="18"/>
    </w:rPr>
  </w:style>
  <w:style w:type="paragraph" w:customStyle="1" w:styleId="TFIHolderSpan">
    <w:name w:val="TFIHolderSpan"/>
    <w:basedOn w:val="TFIHolder"/>
    <w:uiPriority w:val="99"/>
  </w:style>
  <w:style w:type="character" w:customStyle="1" w:styleId="Heading2Char">
    <w:name w:val="Heading 2 Char"/>
    <w:basedOn w:val="DefaultParagraphFont"/>
    <w:link w:val="Heading2"/>
    <w:rPr>
      <w:rFonts w:cs="Arial"/>
      <w:b/>
      <w:bCs/>
      <w:iCs/>
      <w:color w:val="000000"/>
      <w:sz w:val="28"/>
      <w:szCs w:val="28"/>
      <w:lang w:val="en-AU" w:eastAsia="en-AU"/>
    </w:rPr>
  </w:style>
  <w:style w:type="character" w:customStyle="1" w:styleId="Heading3Char">
    <w:name w:val="Heading 3 Char"/>
    <w:basedOn w:val="DefaultParagraphFont"/>
    <w:link w:val="Heading3"/>
    <w:rPr>
      <w:rFonts w:cs="Arial"/>
      <w:b/>
      <w:bCs/>
      <w:color w:val="000000"/>
      <w:sz w:val="24"/>
      <w:szCs w:val="26"/>
      <w:lang w:val="en-AU" w:eastAsia="en-AU"/>
    </w:rPr>
  </w:style>
  <w:style w:type="paragraph" w:customStyle="1" w:styleId="FigureName">
    <w:name w:val="FigureName"/>
    <w:basedOn w:val="FigureNameSpace"/>
    <w:next w:val="Normal"/>
    <w:rsid w:val="00A85AE3"/>
    <w:pPr>
      <w:keepNext/>
      <w:spacing w:after="120"/>
      <w:ind w:left="1077" w:hanging="1077"/>
    </w:pPr>
  </w:style>
  <w:style w:type="paragraph" w:customStyle="1" w:styleId="FigureNameSpan">
    <w:name w:val="FigureName Span"/>
    <w:basedOn w:val="FigureName"/>
    <w:uiPriority w:val="99"/>
  </w:style>
  <w:style w:type="paragraph" w:styleId="BodyText">
    <w:name w:val="Body Text"/>
    <w:basedOn w:val="Normal"/>
    <w:link w:val="BodyTextChar"/>
    <w:uiPriority w:val="99"/>
    <w:pPr>
      <w:spacing w:after="120"/>
    </w:pPr>
    <w:rPr>
      <w:rFonts w:ascii="TimesNewRomanPSMT" w:hAnsi="TimesNewRomanPSMT" w:cs="TimesNewRomanPSMT"/>
      <w:szCs w:val="24"/>
      <w:lang w:val="en-US"/>
    </w:rPr>
  </w:style>
  <w:style w:type="character" w:customStyle="1" w:styleId="BodyTextChar">
    <w:name w:val="Body Text Char"/>
    <w:basedOn w:val="DefaultParagraphFont"/>
    <w:link w:val="BodyText"/>
    <w:uiPriority w:val="99"/>
    <w:semiHidden/>
    <w:rPr>
      <w:rFonts w:ascii="Helvetica-Light" w:hAnsi="Helvetica-Light" w:cs="Helvetica-Light"/>
      <w:color w:val="000000"/>
      <w:lang w:val="en-GB"/>
    </w:rPr>
  </w:style>
  <w:style w:type="paragraph" w:customStyle="1" w:styleId="NormalBeforeBullet">
    <w:name w:val="NormalBeforeBullet"/>
    <w:basedOn w:val="Normal"/>
    <w:qFormat/>
    <w:rsid w:val="00A85AE3"/>
    <w:pPr>
      <w:keepNext/>
      <w:spacing w:after="120"/>
    </w:pPr>
  </w:style>
  <w:style w:type="paragraph" w:customStyle="1" w:styleId="BulletBeforeDash">
    <w:name w:val="BulletBeforeDash"/>
    <w:basedOn w:val="Normal"/>
    <w:rsid w:val="00A85AE3"/>
    <w:pPr>
      <w:numPr>
        <w:numId w:val="5"/>
      </w:numPr>
      <w:spacing w:after="0"/>
    </w:pPr>
  </w:style>
  <w:style w:type="paragraph" w:customStyle="1" w:styleId="Bullet">
    <w:name w:val="Bullet"/>
    <w:basedOn w:val="BulletBeforeDash"/>
    <w:qFormat/>
    <w:rsid w:val="00A85AE3"/>
    <w:pPr>
      <w:spacing w:after="120"/>
    </w:pPr>
  </w:style>
  <w:style w:type="paragraph" w:customStyle="1" w:styleId="BulletLast">
    <w:name w:val="BulletLast"/>
    <w:basedOn w:val="Bullet"/>
    <w:qFormat/>
    <w:rsid w:val="00A85AE3"/>
    <w:pPr>
      <w:spacing w:after="240"/>
    </w:pPr>
  </w:style>
  <w:style w:type="paragraph" w:customStyle="1" w:styleId="Pullquotepre">
    <w:name w:val="Pull quote pre"/>
    <w:basedOn w:val="Normal"/>
    <w:uiPriority w:val="99"/>
  </w:style>
  <w:style w:type="paragraph" w:customStyle="1" w:styleId="BaseStyle2">
    <w:name w:val="BaseStyle2"/>
    <w:basedOn w:val="NoParagraphStyle"/>
    <w:uiPriority w:val="99"/>
    <w:pPr>
      <w:suppressAutoHyphens/>
    </w:pPr>
    <w:rPr>
      <w:rFonts w:ascii="Gotham-Light" w:hAnsi="Gotham-Light" w:cs="Gotham-Light"/>
    </w:rPr>
  </w:style>
  <w:style w:type="paragraph" w:customStyle="1" w:styleId="PullQuote">
    <w:name w:val="PullQuote"/>
    <w:basedOn w:val="Normal"/>
    <w:next w:val="Normal"/>
    <w:rsid w:val="00A85AE3"/>
    <w:rPr>
      <w:rFonts w:ascii="Times New Roman Bold" w:hAnsi="Times New Roman Bold"/>
      <w:b/>
      <w:color w:val="76923C" w:themeColor="accent3" w:themeShade="BF"/>
    </w:rPr>
  </w:style>
  <w:style w:type="paragraph" w:customStyle="1" w:styleId="TFIHolderSpaceSpan">
    <w:name w:val="TFIHolder+SpaceSpan"/>
    <w:basedOn w:val="TFIHolderSpace"/>
    <w:uiPriority w:val="99"/>
    <w:pPr>
      <w:spacing w:after="283"/>
    </w:pPr>
  </w:style>
  <w:style w:type="paragraph" w:customStyle="1" w:styleId="TableName">
    <w:name w:val="TableName"/>
    <w:basedOn w:val="TableText"/>
    <w:rsid w:val="00A85AE3"/>
    <w:pPr>
      <w:tabs>
        <w:tab w:val="left" w:pos="1080"/>
      </w:tabs>
      <w:spacing w:before="120" w:after="120"/>
      <w:ind w:left="1080" w:hanging="1080"/>
    </w:pPr>
    <w:rPr>
      <w:rFonts w:ascii="Times New Roman Bold" w:hAnsi="Times New Roman Bold"/>
      <w:b/>
      <w:bCs/>
      <w:sz w:val="22"/>
    </w:rPr>
  </w:style>
  <w:style w:type="paragraph" w:customStyle="1" w:styleId="TableNameSpan">
    <w:name w:val="TableNameSpan"/>
    <w:basedOn w:val="TableName"/>
    <w:uiPriority w:val="99"/>
  </w:style>
  <w:style w:type="paragraph" w:customStyle="1" w:styleId="TFAbbrevs">
    <w:name w:val="TFAbbrevs"/>
    <w:basedOn w:val="TFListNotes"/>
    <w:rsid w:val="00A85AE3"/>
    <w:pPr>
      <w:ind w:left="0" w:firstLine="0"/>
    </w:pPr>
  </w:style>
  <w:style w:type="paragraph" w:customStyle="1" w:styleId="TFListNotes">
    <w:name w:val="TFListNotes"/>
    <w:basedOn w:val="TFListNotesSpace"/>
    <w:rsid w:val="00A85AE3"/>
    <w:pPr>
      <w:keepNext/>
      <w:spacing w:after="0"/>
    </w:pPr>
  </w:style>
  <w:style w:type="paragraph" w:customStyle="1" w:styleId="TFNoteSource">
    <w:name w:val="TFNoteSource"/>
    <w:basedOn w:val="TFNoteSourceSpace"/>
    <w:rsid w:val="00A85AE3"/>
    <w:pPr>
      <w:spacing w:after="0"/>
    </w:pPr>
  </w:style>
  <w:style w:type="paragraph" w:customStyle="1" w:styleId="TFNoteSourceSpan">
    <w:name w:val="TFNoteSourceSpan"/>
    <w:basedOn w:val="TFNoteSource"/>
    <w:uiPriority w:val="99"/>
  </w:style>
  <w:style w:type="paragraph" w:customStyle="1" w:styleId="TFNoteSourceSpace">
    <w:name w:val="TFNoteSource+Space"/>
    <w:basedOn w:val="TFListNotesSpace"/>
    <w:next w:val="Normal"/>
    <w:rsid w:val="00A85AE3"/>
    <w:pPr>
      <w:ind w:left="624" w:hanging="624"/>
    </w:pPr>
  </w:style>
  <w:style w:type="paragraph" w:customStyle="1" w:styleId="TFNoteSourceSpaceSpan">
    <w:name w:val="TFNoteSource+SpaceSpan"/>
    <w:basedOn w:val="TFNoteSourceSpace"/>
    <w:uiPriority w:val="99"/>
  </w:style>
  <w:style w:type="paragraph" w:customStyle="1" w:styleId="Heading1App">
    <w:name w:val="Heading 1 App"/>
    <w:basedOn w:val="Heading1"/>
    <w:uiPriority w:val="99"/>
    <w:pPr>
      <w:spacing w:line="288" w:lineRule="auto"/>
      <w:outlineLvl w:val="9"/>
    </w:pPr>
  </w:style>
  <w:style w:type="paragraph" w:customStyle="1" w:styleId="Heading3a">
    <w:name w:val="Heading 3a"/>
    <w:basedOn w:val="Heading3"/>
    <w:next w:val="Normal"/>
    <w:rsid w:val="00A85AE3"/>
    <w:pPr>
      <w:ind w:left="0" w:firstLine="0"/>
      <w:outlineLvl w:val="9"/>
    </w:pPr>
  </w:style>
  <w:style w:type="paragraph" w:customStyle="1" w:styleId="TFAbbrevsSpan">
    <w:name w:val="TFAbbrevsSpan"/>
    <w:basedOn w:val="TFAbbrevs"/>
    <w:uiPriority w:val="99"/>
    <w:pPr>
      <w:tabs>
        <w:tab w:val="left" w:pos="260"/>
      </w:tabs>
    </w:pPr>
  </w:style>
  <w:style w:type="paragraph" w:customStyle="1" w:styleId="TFListNoteSpan">
    <w:name w:val="TFListNoteSpan"/>
    <w:basedOn w:val="TFListNotes"/>
    <w:uiPriority w:val="99"/>
  </w:style>
  <w:style w:type="paragraph" w:customStyle="1" w:styleId="References">
    <w:name w:val="References"/>
    <w:basedOn w:val="Normal"/>
    <w:rsid w:val="00A85AE3"/>
    <w:pPr>
      <w:keepLines/>
      <w:ind w:left="720" w:hanging="720"/>
    </w:pPr>
  </w:style>
  <w:style w:type="paragraph" w:customStyle="1" w:styleId="BasicParagraph">
    <w:name w:val="[Basic Paragraph]"/>
    <w:basedOn w:val="NoParagraphStyle"/>
    <w:uiPriority w:val="99"/>
  </w:style>
  <w:style w:type="paragraph" w:customStyle="1" w:styleId="TableHeading">
    <w:name w:val="TableHeading"/>
    <w:basedOn w:val="TableText"/>
    <w:rsid w:val="00A85AE3"/>
    <w:rPr>
      <w:b/>
      <w:bCs/>
    </w:rPr>
  </w:style>
  <w:style w:type="paragraph" w:customStyle="1" w:styleId="TableHeadingCA">
    <w:name w:val="TableHeadingCA"/>
    <w:basedOn w:val="TableHeading"/>
    <w:rsid w:val="00A85AE3"/>
    <w:pPr>
      <w:jc w:val="center"/>
    </w:pPr>
  </w:style>
  <w:style w:type="paragraph" w:customStyle="1" w:styleId="TableText">
    <w:name w:val="TableText"/>
    <w:basedOn w:val="Normal"/>
    <w:rsid w:val="00A85AE3"/>
    <w:pPr>
      <w:keepNext/>
      <w:spacing w:before="60" w:after="60"/>
    </w:pPr>
    <w:rPr>
      <w:sz w:val="21"/>
      <w:szCs w:val="21"/>
    </w:rPr>
  </w:style>
  <w:style w:type="paragraph" w:customStyle="1" w:styleId="TableTextDA">
    <w:name w:val="TableTextDA"/>
    <w:basedOn w:val="TableText"/>
    <w:uiPriority w:val="99"/>
    <w:pPr>
      <w:tabs>
        <w:tab w:val="decimal" w:pos="1960"/>
      </w:tabs>
    </w:pPr>
  </w:style>
  <w:style w:type="paragraph" w:customStyle="1" w:styleId="TableSubHeading">
    <w:name w:val="TableSubHeading"/>
    <w:basedOn w:val="TableHeading"/>
    <w:uiPriority w:val="99"/>
    <w:rPr>
      <w:rFonts w:ascii="Helvetica" w:hAnsi="Helvetica" w:cs="Helvetica"/>
    </w:rPr>
  </w:style>
  <w:style w:type="paragraph" w:customStyle="1" w:styleId="TableTextDecimalAlign">
    <w:name w:val="TableTextDecimalAlign"/>
    <w:basedOn w:val="TableText"/>
    <w:rsid w:val="00A85AE3"/>
    <w:pPr>
      <w:tabs>
        <w:tab w:val="decimal" w:pos="1119"/>
      </w:tabs>
    </w:pPr>
  </w:style>
  <w:style w:type="paragraph" w:customStyle="1" w:styleId="TableTextCA">
    <w:name w:val="TableTextCA"/>
    <w:basedOn w:val="TableText"/>
    <w:rsid w:val="00A85AE3"/>
    <w:pPr>
      <w:jc w:val="center"/>
    </w:pPr>
  </w:style>
  <w:style w:type="paragraph" w:customStyle="1" w:styleId="BoxName">
    <w:name w:val="BoxName"/>
    <w:basedOn w:val="BoxText"/>
    <w:rsid w:val="00A85AE3"/>
    <w:pPr>
      <w:keepNext/>
      <w:spacing w:before="180"/>
      <w:ind w:left="1080" w:hanging="1080"/>
    </w:pPr>
    <w:rPr>
      <w:b/>
      <w:bCs/>
      <w:sz w:val="24"/>
    </w:rPr>
  </w:style>
  <w:style w:type="paragraph" w:customStyle="1" w:styleId="BoxHeading">
    <w:name w:val="BoxHeading"/>
    <w:basedOn w:val="BoxText"/>
    <w:rsid w:val="00A85AE3"/>
    <w:pPr>
      <w:keepNext/>
      <w:spacing w:before="120" w:after="60"/>
    </w:pPr>
    <w:rPr>
      <w:b/>
      <w:bCs/>
    </w:rPr>
  </w:style>
  <w:style w:type="paragraph" w:customStyle="1" w:styleId="BoxText">
    <w:name w:val="BoxText"/>
    <w:basedOn w:val="Normal"/>
    <w:qFormat/>
    <w:rsid w:val="00A85AE3"/>
    <w:pPr>
      <w:pBdr>
        <w:top w:val="single" w:sz="4" w:space="4" w:color="000000"/>
        <w:left w:val="single" w:sz="4" w:space="4" w:color="000000"/>
        <w:bottom w:val="single" w:sz="4" w:space="4" w:color="000000"/>
        <w:right w:val="single" w:sz="4" w:space="4" w:color="000000"/>
      </w:pBdr>
      <w:spacing w:after="120"/>
    </w:pPr>
    <w:rPr>
      <w:sz w:val="22"/>
    </w:rPr>
  </w:style>
  <w:style w:type="character" w:customStyle="1" w:styleId="Superscript">
    <w:name w:val="Superscript"/>
    <w:basedOn w:val="DefaultParagraphFont"/>
    <w:uiPriority w:val="1"/>
    <w:rsid w:val="00A85AE3"/>
    <w:rPr>
      <w:noProof/>
      <w:vertAlign w:val="superscript"/>
    </w:rPr>
  </w:style>
  <w:style w:type="character" w:styleId="Strong">
    <w:name w:val="Strong"/>
    <w:basedOn w:val="DefaultParagraphFont"/>
    <w:uiPriority w:val="22"/>
    <w:qFormat/>
    <w:rsid w:val="00A85AE3"/>
    <w:rPr>
      <w:b/>
      <w:bCs/>
    </w:rPr>
  </w:style>
  <w:style w:type="character" w:styleId="Emphasis">
    <w:name w:val="Emphasis"/>
    <w:basedOn w:val="DefaultParagraphFont"/>
    <w:uiPriority w:val="20"/>
    <w:qFormat/>
    <w:rsid w:val="00A85AE3"/>
    <w:rPr>
      <w:i/>
      <w:iCs/>
    </w:rPr>
  </w:style>
  <w:style w:type="character" w:styleId="Hyperlink">
    <w:name w:val="Hyperlink"/>
    <w:basedOn w:val="DefaultParagraphFont"/>
    <w:uiPriority w:val="99"/>
  </w:style>
  <w:style w:type="character" w:customStyle="1" w:styleId="FootnoteReference1">
    <w:name w:val="Footnote Reference1"/>
    <w:uiPriority w:val="99"/>
    <w:rPr>
      <w:vertAlign w:val="superscript"/>
    </w:rPr>
  </w:style>
  <w:style w:type="character" w:customStyle="1" w:styleId="Strongemphasis">
    <w:name w:val="Strong emphasis"/>
    <w:basedOn w:val="Emphasis"/>
    <w:uiPriority w:val="99"/>
    <w:rPr>
      <w:b/>
      <w:bCs/>
      <w:i/>
      <w:iCs/>
    </w:rPr>
  </w:style>
  <w:style w:type="character" w:customStyle="1" w:styleId="Boldoblique">
    <w:name w:val="Bold oblique"/>
    <w:basedOn w:val="Strongemphasis"/>
    <w:uiPriority w:val="99"/>
    <w:rPr>
      <w:b/>
      <w:bCs/>
      <w:i/>
      <w:iCs/>
    </w:rPr>
  </w:style>
  <w:style w:type="character" w:customStyle="1" w:styleId="Colour-1p">
    <w:name w:val="Colour-1p"/>
    <w:uiPriority w:val="99"/>
    <w:rPr>
      <w:color w:val="E89B0D"/>
    </w:rPr>
  </w:style>
  <w:style w:type="paragraph" w:customStyle="1" w:styleId="ImprintText">
    <w:name w:val="ImprintText"/>
    <w:basedOn w:val="Normal"/>
    <w:rsid w:val="00A85AE3"/>
    <w:pPr>
      <w:spacing w:after="120"/>
    </w:pPr>
    <w:rPr>
      <w:sz w:val="20"/>
    </w:rPr>
  </w:style>
  <w:style w:type="paragraph" w:styleId="BalloonText">
    <w:name w:val="Balloon Text"/>
    <w:basedOn w:val="Normal"/>
    <w:link w:val="BalloonTextChar"/>
    <w:uiPriority w:val="99"/>
    <w:semiHidden/>
    <w:unhideWhenUsed/>
    <w:rsid w:val="00A85A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AE3"/>
    <w:rPr>
      <w:rFonts w:ascii="Tahoma" w:hAnsi="Tahoma" w:cs="Tahoma"/>
      <w:color w:val="000000"/>
      <w:sz w:val="16"/>
      <w:szCs w:val="16"/>
      <w:lang w:val="en-AU" w:eastAsia="en-AU"/>
    </w:rPr>
  </w:style>
  <w:style w:type="paragraph" w:customStyle="1" w:styleId="ForMoreInformation">
    <w:name w:val="For More Information"/>
    <w:basedOn w:val="Normal"/>
    <w:uiPriority w:val="99"/>
    <w:rsid w:val="001137D1"/>
    <w:pPr>
      <w:spacing w:after="264" w:line="336" w:lineRule="atLeast"/>
    </w:pPr>
    <w:rPr>
      <w:rFonts w:ascii="TimesNewRomanPSMT" w:hAnsi="TimesNewRomanPSMT" w:cs="TimesNewRomanPSMT"/>
      <w:sz w:val="28"/>
      <w:szCs w:val="28"/>
      <w:lang w:val="en-US"/>
    </w:rPr>
  </w:style>
  <w:style w:type="paragraph" w:customStyle="1" w:styleId="ContactDetails">
    <w:name w:val="Contact Details"/>
    <w:basedOn w:val="Normal"/>
    <w:uiPriority w:val="99"/>
    <w:rsid w:val="001137D1"/>
    <w:pPr>
      <w:spacing w:line="220" w:lineRule="atLeast"/>
    </w:pPr>
    <w:rPr>
      <w:rFonts w:ascii="TimesNewRomanPS-BoldMT" w:hAnsi="TimesNewRomanPS-BoldMT" w:cs="TimesNewRomanPS-BoldMT"/>
      <w:b/>
      <w:bCs/>
      <w:sz w:val="18"/>
      <w:szCs w:val="18"/>
      <w:lang w:val="en-US"/>
    </w:rPr>
  </w:style>
  <w:style w:type="paragraph" w:customStyle="1" w:styleId="SAHealthDisclaimer">
    <w:name w:val="SA Health Disclaimer"/>
    <w:basedOn w:val="Normal"/>
    <w:uiPriority w:val="99"/>
    <w:rsid w:val="001137D1"/>
    <w:rPr>
      <w:color w:val="C06104"/>
      <w:sz w:val="16"/>
      <w:szCs w:val="16"/>
    </w:rPr>
  </w:style>
  <w:style w:type="paragraph" w:customStyle="1" w:styleId="BoxBullet">
    <w:name w:val="BoxBullet"/>
    <w:basedOn w:val="BoxText"/>
    <w:rsid w:val="00A85AE3"/>
    <w:pPr>
      <w:numPr>
        <w:numId w:val="25"/>
      </w:numPr>
    </w:pPr>
  </w:style>
  <w:style w:type="character" w:customStyle="1" w:styleId="Heading4Char">
    <w:name w:val="Heading 4 Char"/>
    <w:basedOn w:val="DefaultParagraphFont"/>
    <w:link w:val="Heading4"/>
    <w:rsid w:val="00A85AE3"/>
    <w:rPr>
      <w:b/>
      <w:bCs/>
      <w:i/>
      <w:color w:val="000000"/>
      <w:sz w:val="24"/>
      <w:szCs w:val="28"/>
      <w:lang w:val="en-AU" w:eastAsia="en-AU"/>
    </w:rPr>
  </w:style>
  <w:style w:type="character" w:customStyle="1" w:styleId="Heading5Char">
    <w:name w:val="Heading 5 Char"/>
    <w:basedOn w:val="DefaultParagraphFont"/>
    <w:link w:val="Heading5"/>
    <w:rsid w:val="00A85AE3"/>
    <w:rPr>
      <w:bCs/>
      <w:i/>
      <w:iCs/>
      <w:color w:val="000000"/>
      <w:sz w:val="22"/>
      <w:szCs w:val="26"/>
      <w:lang w:val="en-AU" w:eastAsia="en-AU"/>
    </w:rPr>
  </w:style>
  <w:style w:type="paragraph" w:styleId="Subtitle">
    <w:name w:val="Subtitle"/>
    <w:basedOn w:val="Normal"/>
    <w:next w:val="Normal"/>
    <w:link w:val="SubtitleChar"/>
    <w:uiPriority w:val="11"/>
    <w:rsid w:val="00A85AE3"/>
    <w:pPr>
      <w:numPr>
        <w:ilvl w:val="1"/>
      </w:numPr>
      <w:jc w:val="center"/>
    </w:pPr>
    <w:rPr>
      <w:rFonts w:ascii="Times New Roman Bold" w:eastAsiaTheme="majorEastAsia" w:hAnsi="Times New Roman Bold" w:cstheme="majorBidi"/>
      <w:b/>
      <w:iCs/>
      <w:color w:val="auto"/>
      <w:sz w:val="40"/>
      <w:szCs w:val="24"/>
    </w:rPr>
  </w:style>
  <w:style w:type="character" w:customStyle="1" w:styleId="SubtitleChar">
    <w:name w:val="Subtitle Char"/>
    <w:basedOn w:val="DefaultParagraphFont"/>
    <w:link w:val="Subtitle"/>
    <w:uiPriority w:val="11"/>
    <w:rsid w:val="00A85AE3"/>
    <w:rPr>
      <w:rFonts w:ascii="Times New Roman Bold" w:eastAsiaTheme="majorEastAsia" w:hAnsi="Times New Roman Bold" w:cstheme="majorBidi"/>
      <w:b/>
      <w:iCs/>
      <w:sz w:val="40"/>
      <w:szCs w:val="24"/>
      <w:lang w:val="en-AU" w:eastAsia="en-AU"/>
    </w:rPr>
  </w:style>
  <w:style w:type="paragraph" w:customStyle="1" w:styleId="ReportDate">
    <w:name w:val="ReportDate"/>
    <w:basedOn w:val="Normal"/>
    <w:rsid w:val="00A85AE3"/>
    <w:pPr>
      <w:jc w:val="center"/>
    </w:pPr>
    <w:rPr>
      <w:sz w:val="40"/>
    </w:rPr>
  </w:style>
  <w:style w:type="paragraph" w:customStyle="1" w:styleId="Heading2a">
    <w:name w:val="Heading 2a"/>
    <w:basedOn w:val="Heading2"/>
    <w:next w:val="Normal"/>
    <w:rsid w:val="00A85AE3"/>
    <w:pPr>
      <w:ind w:left="0" w:firstLine="0"/>
      <w:outlineLvl w:val="9"/>
    </w:pPr>
  </w:style>
  <w:style w:type="paragraph" w:styleId="Header">
    <w:name w:val="header"/>
    <w:basedOn w:val="Normal"/>
    <w:link w:val="HeaderChar"/>
    <w:semiHidden/>
    <w:rsid w:val="00A85AE3"/>
    <w:pPr>
      <w:tabs>
        <w:tab w:val="right" w:pos="9000"/>
      </w:tabs>
      <w:spacing w:after="0"/>
    </w:pPr>
    <w:rPr>
      <w:sz w:val="18"/>
    </w:rPr>
  </w:style>
  <w:style w:type="character" w:customStyle="1" w:styleId="HeaderChar">
    <w:name w:val="Header Char"/>
    <w:basedOn w:val="DefaultParagraphFont"/>
    <w:link w:val="Header"/>
    <w:semiHidden/>
    <w:rsid w:val="00A85AE3"/>
    <w:rPr>
      <w:color w:val="000000"/>
      <w:sz w:val="18"/>
      <w:lang w:val="en-AU" w:eastAsia="en-AU"/>
    </w:rPr>
  </w:style>
  <w:style w:type="paragraph" w:styleId="Footer">
    <w:name w:val="footer"/>
    <w:basedOn w:val="Normal"/>
    <w:link w:val="FooterChar"/>
    <w:uiPriority w:val="99"/>
    <w:rsid w:val="00A85AE3"/>
    <w:pPr>
      <w:tabs>
        <w:tab w:val="right" w:pos="9000"/>
      </w:tabs>
      <w:spacing w:after="0"/>
    </w:pPr>
    <w:rPr>
      <w:sz w:val="20"/>
    </w:rPr>
  </w:style>
  <w:style w:type="character" w:customStyle="1" w:styleId="FooterChar">
    <w:name w:val="Footer Char"/>
    <w:basedOn w:val="DefaultParagraphFont"/>
    <w:link w:val="Footer"/>
    <w:uiPriority w:val="99"/>
    <w:rsid w:val="00A85AE3"/>
    <w:rPr>
      <w:color w:val="000000"/>
      <w:lang w:val="en-AU" w:eastAsia="en-AU"/>
    </w:rPr>
  </w:style>
  <w:style w:type="character" w:styleId="PageNumber">
    <w:name w:val="page number"/>
    <w:basedOn w:val="DefaultParagraphFont"/>
    <w:semiHidden/>
    <w:rsid w:val="00A85AE3"/>
    <w:rPr>
      <w:rFonts w:ascii="Times New Roman" w:hAnsi="Times New Roman"/>
      <w:b/>
      <w:sz w:val="20"/>
    </w:rPr>
  </w:style>
  <w:style w:type="paragraph" w:customStyle="1" w:styleId="TFListNotesSpace">
    <w:name w:val="TFListNotes+Space"/>
    <w:basedOn w:val="TableText"/>
    <w:next w:val="Normal"/>
    <w:rsid w:val="00A85AE3"/>
    <w:pPr>
      <w:keepNext w:val="0"/>
      <w:keepLines/>
      <w:spacing w:before="0" w:after="360"/>
      <w:ind w:left="170" w:hanging="170"/>
    </w:pPr>
    <w:rPr>
      <w:sz w:val="18"/>
      <w:szCs w:val="18"/>
    </w:rPr>
  </w:style>
  <w:style w:type="paragraph" w:customStyle="1" w:styleId="TableBullet">
    <w:name w:val="TableBullet"/>
    <w:basedOn w:val="TableText"/>
    <w:rsid w:val="00A85AE3"/>
    <w:pPr>
      <w:numPr>
        <w:numId w:val="3"/>
      </w:numPr>
      <w:tabs>
        <w:tab w:val="clear" w:pos="360"/>
        <w:tab w:val="left" w:pos="216"/>
      </w:tabs>
      <w:ind w:left="216" w:hanging="216"/>
    </w:pPr>
  </w:style>
  <w:style w:type="paragraph" w:customStyle="1" w:styleId="TableDash">
    <w:name w:val="TableDash"/>
    <w:basedOn w:val="TableText"/>
    <w:rsid w:val="00A85AE3"/>
    <w:pPr>
      <w:numPr>
        <w:numId w:val="4"/>
      </w:numPr>
      <w:tabs>
        <w:tab w:val="clear" w:pos="216"/>
        <w:tab w:val="num" w:pos="432"/>
      </w:tabs>
    </w:pPr>
  </w:style>
  <w:style w:type="paragraph" w:styleId="Quote">
    <w:name w:val="Quote"/>
    <w:basedOn w:val="Normal"/>
    <w:link w:val="QuoteChar"/>
    <w:rsid w:val="00A85AE3"/>
    <w:pPr>
      <w:ind w:left="720" w:right="720"/>
    </w:pPr>
    <w:rPr>
      <w:sz w:val="20"/>
    </w:rPr>
  </w:style>
  <w:style w:type="character" w:customStyle="1" w:styleId="QuoteChar">
    <w:name w:val="Quote Char"/>
    <w:basedOn w:val="DefaultParagraphFont"/>
    <w:link w:val="Quote"/>
    <w:rsid w:val="00A85AE3"/>
    <w:rPr>
      <w:color w:val="000000"/>
      <w:lang w:val="en-AU" w:eastAsia="en-AU"/>
    </w:rPr>
  </w:style>
  <w:style w:type="paragraph" w:styleId="FootnoteText">
    <w:name w:val="footnote text"/>
    <w:basedOn w:val="Normal"/>
    <w:link w:val="FootnoteTextChar"/>
    <w:semiHidden/>
    <w:rsid w:val="00A85AE3"/>
    <w:pPr>
      <w:spacing w:after="0"/>
      <w:ind w:left="360" w:hanging="360"/>
    </w:pPr>
    <w:rPr>
      <w:sz w:val="20"/>
    </w:rPr>
  </w:style>
  <w:style w:type="character" w:customStyle="1" w:styleId="FootnoteTextChar">
    <w:name w:val="Footnote Text Char"/>
    <w:basedOn w:val="DefaultParagraphFont"/>
    <w:link w:val="FootnoteText"/>
    <w:semiHidden/>
    <w:rsid w:val="00A85AE3"/>
    <w:rPr>
      <w:color w:val="000000"/>
      <w:lang w:val="en-AU" w:eastAsia="en-AU"/>
    </w:rPr>
  </w:style>
  <w:style w:type="character" w:styleId="FootnoteReference">
    <w:name w:val="footnote reference"/>
    <w:basedOn w:val="DefaultParagraphFont"/>
    <w:semiHidden/>
    <w:rsid w:val="00A85AE3"/>
    <w:rPr>
      <w:vertAlign w:val="superscript"/>
    </w:rPr>
  </w:style>
  <w:style w:type="paragraph" w:customStyle="1" w:styleId="FigTabPara">
    <w:name w:val="FigTabPara"/>
    <w:basedOn w:val="Normal"/>
    <w:next w:val="TFIHolder"/>
    <w:rsid w:val="00A85AE3"/>
    <w:pPr>
      <w:keepNext/>
      <w:spacing w:after="120"/>
      <w:ind w:left="1077"/>
    </w:pPr>
  </w:style>
  <w:style w:type="paragraph" w:customStyle="1" w:styleId="FigureNameSpace">
    <w:name w:val="FigureName+Space"/>
    <w:basedOn w:val="Normal"/>
    <w:next w:val="Normal"/>
    <w:rsid w:val="00A85AE3"/>
    <w:pPr>
      <w:keepLines/>
      <w:tabs>
        <w:tab w:val="left" w:pos="1080"/>
      </w:tabs>
      <w:spacing w:before="120" w:after="360"/>
      <w:ind w:left="1080" w:hanging="1080"/>
    </w:pPr>
    <w:rPr>
      <w:b/>
      <w:bCs/>
      <w:sz w:val="22"/>
    </w:rPr>
  </w:style>
  <w:style w:type="paragraph" w:styleId="TOC1">
    <w:name w:val="toc 1"/>
    <w:basedOn w:val="Normal"/>
    <w:next w:val="Normal"/>
    <w:autoRedefine/>
    <w:uiPriority w:val="39"/>
    <w:rsid w:val="00A85AE3"/>
    <w:pPr>
      <w:tabs>
        <w:tab w:val="left" w:pos="720"/>
        <w:tab w:val="right" w:leader="dot" w:pos="9016"/>
      </w:tabs>
      <w:spacing w:before="360" w:after="60"/>
      <w:ind w:left="720" w:right="720" w:hanging="720"/>
    </w:pPr>
    <w:rPr>
      <w:b/>
      <w:bCs/>
      <w:noProof/>
    </w:rPr>
  </w:style>
  <w:style w:type="paragraph" w:styleId="TOC2">
    <w:name w:val="toc 2"/>
    <w:basedOn w:val="Normal"/>
    <w:next w:val="Normal"/>
    <w:autoRedefine/>
    <w:uiPriority w:val="39"/>
    <w:rsid w:val="00A85AE3"/>
    <w:pPr>
      <w:tabs>
        <w:tab w:val="left" w:pos="1440"/>
        <w:tab w:val="right" w:leader="dot" w:pos="9016"/>
      </w:tabs>
      <w:spacing w:before="120" w:after="60"/>
      <w:ind w:left="1440" w:right="720" w:hanging="720"/>
    </w:pPr>
  </w:style>
  <w:style w:type="paragraph" w:styleId="TOC3">
    <w:name w:val="toc 3"/>
    <w:basedOn w:val="Normal"/>
    <w:next w:val="Normal"/>
    <w:autoRedefine/>
    <w:uiPriority w:val="39"/>
    <w:rsid w:val="00A85AE3"/>
    <w:pPr>
      <w:tabs>
        <w:tab w:val="left" w:pos="2160"/>
        <w:tab w:val="right" w:leader="dot" w:pos="9016"/>
      </w:tabs>
      <w:spacing w:after="20"/>
      <w:ind w:left="2160" w:right="720" w:hanging="720"/>
    </w:pPr>
  </w:style>
  <w:style w:type="paragraph" w:styleId="TableofFigures">
    <w:name w:val="table of figures"/>
    <w:basedOn w:val="Normal"/>
    <w:next w:val="Normal"/>
    <w:uiPriority w:val="99"/>
    <w:rsid w:val="00A85AE3"/>
    <w:pPr>
      <w:tabs>
        <w:tab w:val="left" w:pos="1080"/>
        <w:tab w:val="right" w:leader="dot" w:pos="9000"/>
      </w:tabs>
      <w:spacing w:after="120"/>
      <w:ind w:left="1080" w:right="720" w:hangingChars="450" w:hanging="1080"/>
    </w:pPr>
  </w:style>
  <w:style w:type="paragraph" w:customStyle="1" w:styleId="Dash">
    <w:name w:val="Dash"/>
    <w:basedOn w:val="Normal"/>
    <w:rsid w:val="00A85AE3"/>
    <w:pPr>
      <w:numPr>
        <w:numId w:val="6"/>
      </w:numPr>
      <w:tabs>
        <w:tab w:val="clear" w:pos="216"/>
        <w:tab w:val="left" w:pos="720"/>
      </w:tabs>
      <w:spacing w:after="0"/>
      <w:ind w:left="720" w:hanging="360"/>
    </w:pPr>
  </w:style>
  <w:style w:type="paragraph" w:customStyle="1" w:styleId="DashLast">
    <w:name w:val="DashLast"/>
    <w:basedOn w:val="Dash"/>
    <w:rsid w:val="00A85AE3"/>
    <w:pPr>
      <w:spacing w:after="120"/>
    </w:pPr>
  </w:style>
  <w:style w:type="paragraph" w:customStyle="1" w:styleId="DashLastSpace">
    <w:name w:val="DashLast+Space"/>
    <w:basedOn w:val="DashLast"/>
    <w:rsid w:val="00A85AE3"/>
    <w:pPr>
      <w:spacing w:after="240"/>
    </w:pPr>
  </w:style>
  <w:style w:type="paragraph" w:customStyle="1" w:styleId="BoxNotes">
    <w:name w:val="BoxNotes"/>
    <w:basedOn w:val="BoxText"/>
    <w:rsid w:val="00A85AE3"/>
    <w:pPr>
      <w:spacing w:before="120" w:after="60"/>
    </w:pPr>
    <w:rPr>
      <w:sz w:val="18"/>
    </w:rPr>
  </w:style>
  <w:style w:type="paragraph" w:customStyle="1" w:styleId="BoxDashManual">
    <w:name w:val="BoxDashManual"/>
    <w:basedOn w:val="BoxText"/>
    <w:rsid w:val="00A85AE3"/>
    <w:pPr>
      <w:tabs>
        <w:tab w:val="left" w:pos="360"/>
        <w:tab w:val="left" w:pos="720"/>
      </w:tabs>
      <w:ind w:left="720" w:hanging="720"/>
    </w:pPr>
  </w:style>
  <w:style w:type="paragraph" w:styleId="Index1">
    <w:name w:val="index 1"/>
    <w:basedOn w:val="Normal"/>
    <w:next w:val="Normal"/>
    <w:rsid w:val="00A85AE3"/>
    <w:pPr>
      <w:spacing w:after="0"/>
      <w:ind w:left="518" w:hanging="518"/>
    </w:pPr>
    <w:rPr>
      <w:noProof/>
      <w:sz w:val="22"/>
    </w:rPr>
  </w:style>
  <w:style w:type="paragraph" w:styleId="Index2">
    <w:name w:val="index 2"/>
    <w:basedOn w:val="Index1"/>
    <w:next w:val="Normal"/>
    <w:rsid w:val="00A85AE3"/>
    <w:pPr>
      <w:ind w:left="816" w:hanging="476"/>
    </w:pPr>
  </w:style>
  <w:style w:type="paragraph" w:styleId="TOC4">
    <w:name w:val="toc 4"/>
    <w:basedOn w:val="Normal"/>
    <w:next w:val="Normal"/>
    <w:autoRedefine/>
    <w:semiHidden/>
    <w:rsid w:val="00A85AE3"/>
    <w:pPr>
      <w:tabs>
        <w:tab w:val="right" w:leader="dot" w:pos="9016"/>
      </w:tabs>
      <w:spacing w:after="0"/>
      <w:ind w:left="2160" w:right="720"/>
    </w:pPr>
    <w:rPr>
      <w:noProof/>
      <w:szCs w:val="24"/>
    </w:rPr>
  </w:style>
  <w:style w:type="paragraph" w:customStyle="1" w:styleId="NumberList">
    <w:name w:val="NumberList"/>
    <w:basedOn w:val="Normal"/>
    <w:rsid w:val="00A85AE3"/>
    <w:pPr>
      <w:tabs>
        <w:tab w:val="left" w:pos="360"/>
      </w:tabs>
      <w:ind w:left="360" w:hanging="360"/>
    </w:pPr>
  </w:style>
  <w:style w:type="character" w:customStyle="1" w:styleId="DesignerNotesChar">
    <w:name w:val="DesignerNotesChar"/>
    <w:basedOn w:val="DefaultParagraphFont"/>
    <w:rsid w:val="00A85AE3"/>
    <w:rPr>
      <w:rFonts w:ascii="Arial" w:hAnsi="Arial"/>
      <w:b/>
      <w:color w:val="3366FF"/>
      <w:sz w:val="20"/>
    </w:rPr>
  </w:style>
  <w:style w:type="paragraph" w:customStyle="1" w:styleId="TFAbbrevsSpace">
    <w:name w:val="TFAbbrevs+Space"/>
    <w:basedOn w:val="TFAbbrevs"/>
    <w:next w:val="Normal"/>
    <w:rsid w:val="00A85AE3"/>
    <w:pPr>
      <w:spacing w:after="360"/>
    </w:pPr>
  </w:style>
  <w:style w:type="character" w:customStyle="1" w:styleId="Roman">
    <w:name w:val="Roman"/>
    <w:uiPriority w:val="1"/>
    <w:rsid w:val="00A85AE3"/>
    <w:rPr>
      <w:b w:val="0"/>
      <w:i/>
    </w:rPr>
  </w:style>
  <w:style w:type="character" w:customStyle="1" w:styleId="PullQuoteOrigin">
    <w:name w:val="PullQuoteOrigin"/>
    <w:basedOn w:val="DefaultParagraphFont"/>
    <w:uiPriority w:val="1"/>
    <w:rsid w:val="00A85AE3"/>
    <w:rPr>
      <w:b/>
      <w:noProof/>
      <w:color w:val="76923C" w:themeColor="accent3" w:themeShade="BF"/>
    </w:rPr>
  </w:style>
  <w:style w:type="table" w:styleId="TableGrid">
    <w:name w:val="Table Grid"/>
    <w:basedOn w:val="TableNormal"/>
    <w:uiPriority w:val="59"/>
    <w:rsid w:val="00A85AE3"/>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ignerNotes">
    <w:name w:val="DesignerNotes"/>
    <w:basedOn w:val="Normal"/>
    <w:rsid w:val="00A85AE3"/>
    <w:rPr>
      <w:rFonts w:ascii="Arial" w:hAnsi="Arial"/>
      <w:b/>
      <w:color w:val="3366FF"/>
      <w:sz w:val="20"/>
    </w:rPr>
  </w:style>
  <w:style w:type="character" w:customStyle="1" w:styleId="Subscript">
    <w:name w:val="Subscript"/>
    <w:basedOn w:val="DefaultParagraphFont"/>
    <w:uiPriority w:val="1"/>
    <w:rsid w:val="00A85AE3"/>
    <w:rPr>
      <w:noProof/>
      <w:vertAlign w:val="subscript"/>
    </w:rPr>
  </w:style>
  <w:style w:type="character" w:customStyle="1" w:styleId="Symbol">
    <w:name w:val="Symbol"/>
    <w:basedOn w:val="DefaultParagraphFont"/>
    <w:uiPriority w:val="1"/>
    <w:rsid w:val="00A85AE3"/>
    <w:rPr>
      <w:noProof/>
    </w:rPr>
  </w:style>
  <w:style w:type="character" w:customStyle="1" w:styleId="NoBreak">
    <w:name w:val="NoBreak"/>
    <w:basedOn w:val="DefaultParagraphFont"/>
    <w:uiPriority w:val="1"/>
    <w:rsid w:val="00A85AE3"/>
    <w:rPr>
      <w:noProof/>
    </w:rPr>
  </w:style>
  <w:style w:type="paragraph" w:customStyle="1" w:styleId="MathEquation">
    <w:name w:val="MathEquation"/>
    <w:basedOn w:val="Normal"/>
    <w:rsid w:val="00A85AE3"/>
    <w:rPr>
      <w:rFonts w:ascii="Cambria Math" w:hAnsi="Cambria Math"/>
      <w:i/>
      <w:noProof/>
    </w:rPr>
  </w:style>
  <w:style w:type="paragraph" w:customStyle="1" w:styleId="ComputerCode">
    <w:name w:val="ComputerCode"/>
    <w:basedOn w:val="Normal"/>
    <w:rsid w:val="00A85AE3"/>
    <w:pPr>
      <w:ind w:left="567"/>
      <w:contextualSpacing/>
    </w:pPr>
    <w:rPr>
      <w:rFonts w:ascii="Courier New" w:hAnsi="Courier New"/>
      <w:color w:val="auto"/>
      <w:sz w:val="20"/>
      <w:szCs w:val="24"/>
    </w:rPr>
  </w:style>
  <w:style w:type="paragraph" w:customStyle="1" w:styleId="BulletChecklist">
    <w:name w:val="BulletChecklist"/>
    <w:basedOn w:val="Bullet"/>
    <w:rsid w:val="00A85AE3"/>
    <w:pPr>
      <w:numPr>
        <w:numId w:val="18"/>
      </w:numPr>
    </w:pPr>
    <w:rPr>
      <w:noProof/>
    </w:rPr>
  </w:style>
  <w:style w:type="paragraph" w:customStyle="1" w:styleId="AltText">
    <w:name w:val="AltText"/>
    <w:basedOn w:val="Normal"/>
    <w:rsid w:val="00A85AE3"/>
    <w:rPr>
      <w:rFonts w:ascii="Arial" w:hAnsi="Arial"/>
      <w:color w:val="E36C0A" w:themeColor="accent6" w:themeShade="BF"/>
      <w:sz w:val="20"/>
    </w:rPr>
  </w:style>
  <w:style w:type="paragraph" w:styleId="Caption">
    <w:name w:val="caption"/>
    <w:basedOn w:val="Normal"/>
    <w:next w:val="Credit"/>
    <w:uiPriority w:val="35"/>
    <w:unhideWhenUsed/>
    <w:rsid w:val="00A85AE3"/>
    <w:pPr>
      <w:spacing w:after="0"/>
    </w:pPr>
    <w:rPr>
      <w:b/>
      <w:bCs/>
      <w:color w:val="auto"/>
      <w:sz w:val="18"/>
      <w:szCs w:val="18"/>
    </w:rPr>
  </w:style>
  <w:style w:type="paragraph" w:customStyle="1" w:styleId="Credit">
    <w:name w:val="Credit"/>
    <w:basedOn w:val="Caption"/>
    <w:next w:val="Normal"/>
    <w:rsid w:val="00A85AE3"/>
    <w:pPr>
      <w:spacing w:after="240"/>
    </w:pPr>
    <w:rPr>
      <w:b w:val="0"/>
      <w:noProof/>
    </w:rPr>
  </w:style>
  <w:style w:type="paragraph" w:customStyle="1" w:styleId="NormalFirstPara">
    <w:name w:val="NormalFirstPara"/>
    <w:basedOn w:val="Normal"/>
    <w:rsid w:val="00A85AE3"/>
    <w:rPr>
      <w:noProof/>
      <w:color w:val="9BBB59" w:themeColor="accent3"/>
    </w:rPr>
  </w:style>
  <w:style w:type="paragraph" w:styleId="Title">
    <w:name w:val="Title"/>
    <w:basedOn w:val="Normal"/>
    <w:next w:val="Normal"/>
    <w:link w:val="TitleChar"/>
    <w:uiPriority w:val="10"/>
    <w:rsid w:val="00A85AE3"/>
    <w:pPr>
      <w:spacing w:after="300"/>
      <w:contextualSpacing/>
      <w:jc w:val="center"/>
    </w:pPr>
    <w:rPr>
      <w:rFonts w:ascii="Times New Roman Bold" w:eastAsiaTheme="majorEastAsia" w:hAnsi="Times New Roman Bold" w:cstheme="majorBidi"/>
      <w:b/>
      <w:color w:val="auto"/>
      <w:spacing w:val="5"/>
      <w:kern w:val="28"/>
      <w:sz w:val="48"/>
      <w:szCs w:val="52"/>
    </w:rPr>
  </w:style>
  <w:style w:type="character" w:customStyle="1" w:styleId="TitleChar">
    <w:name w:val="Title Char"/>
    <w:basedOn w:val="DefaultParagraphFont"/>
    <w:link w:val="Title"/>
    <w:uiPriority w:val="10"/>
    <w:rsid w:val="00A85AE3"/>
    <w:rPr>
      <w:rFonts w:ascii="Times New Roman Bold" w:eastAsiaTheme="majorEastAsia" w:hAnsi="Times New Roman Bold" w:cstheme="majorBidi"/>
      <w:b/>
      <w:spacing w:val="5"/>
      <w:kern w:val="28"/>
      <w:sz w:val="48"/>
      <w:szCs w:val="52"/>
      <w:lang w:val="en-AU" w:eastAsia="en-AU"/>
    </w:rPr>
  </w:style>
  <w:style w:type="paragraph" w:customStyle="1" w:styleId="SectionTitle">
    <w:name w:val="SectionTitle"/>
    <w:basedOn w:val="Normal"/>
    <w:next w:val="Normal"/>
    <w:rsid w:val="00A85AE3"/>
    <w:pPr>
      <w:jc w:val="center"/>
    </w:pPr>
    <w:rPr>
      <w:b/>
      <w:sz w:val="40"/>
    </w:rPr>
  </w:style>
  <w:style w:type="paragraph" w:customStyle="1" w:styleId="SectionSubtitle">
    <w:name w:val="SectionSubtitle"/>
    <w:basedOn w:val="Normal"/>
    <w:rsid w:val="00A85AE3"/>
    <w:pPr>
      <w:spacing w:after="0"/>
      <w:jc w:val="center"/>
    </w:pPr>
    <w:rPr>
      <w:sz w:val="32"/>
    </w:rPr>
  </w:style>
  <w:style w:type="paragraph" w:customStyle="1" w:styleId="QuoteNumberList">
    <w:name w:val="QuoteNumberList"/>
    <w:basedOn w:val="Quote"/>
    <w:rsid w:val="00A85AE3"/>
    <w:pPr>
      <w:ind w:left="1117" w:hanging="397"/>
    </w:pPr>
    <w:rPr>
      <w:noProof/>
    </w:rPr>
  </w:style>
  <w:style w:type="paragraph" w:customStyle="1" w:styleId="QuoteBullet">
    <w:name w:val="QuoteBullet"/>
    <w:basedOn w:val="Quote"/>
    <w:rsid w:val="00A85AE3"/>
    <w:pPr>
      <w:numPr>
        <w:numId w:val="20"/>
      </w:numPr>
      <w:ind w:left="1117" w:hanging="397"/>
    </w:pPr>
    <w:rPr>
      <w:noProof/>
    </w:rPr>
  </w:style>
  <w:style w:type="paragraph" w:customStyle="1" w:styleId="BoxDash">
    <w:name w:val="BoxDash"/>
    <w:basedOn w:val="BoxBullet"/>
    <w:rsid w:val="00A85AE3"/>
    <w:pPr>
      <w:numPr>
        <w:numId w:val="7"/>
      </w:numPr>
    </w:pPr>
  </w:style>
  <w:style w:type="character" w:customStyle="1" w:styleId="CrossRef">
    <w:name w:val="CrossRef"/>
    <w:basedOn w:val="DefaultParagraphFont"/>
    <w:uiPriority w:val="1"/>
    <w:rsid w:val="00A85AE3"/>
    <w:rPr>
      <w:rFonts w:ascii="Times New Roman" w:hAnsi="Times New Roman"/>
      <w:b/>
      <w:noProof/>
      <w:color w:val="C0504D" w:themeColor="accent2"/>
      <w:sz w:val="24"/>
    </w:rPr>
  </w:style>
  <w:style w:type="paragraph" w:customStyle="1" w:styleId="TableNumberedList">
    <w:name w:val="TableNumberedList"/>
    <w:basedOn w:val="TableText"/>
    <w:autoRedefine/>
    <w:qFormat/>
    <w:rsid w:val="00A85AE3"/>
    <w:pPr>
      <w:numPr>
        <w:numId w:val="29"/>
      </w:numPr>
      <w:ind w:left="357" w:hanging="357"/>
    </w:pPr>
  </w:style>
  <w:style w:type="character" w:customStyle="1" w:styleId="StrongEmphasis0">
    <w:name w:val="StrongEmphasis"/>
    <w:basedOn w:val="DefaultParagraphFont"/>
    <w:rsid w:val="00A85AE3"/>
    <w:rPr>
      <w:b/>
      <w:bCs/>
      <w:i/>
      <w:iCs/>
    </w:rPr>
  </w:style>
  <w:style w:type="character" w:styleId="PlaceholderText">
    <w:name w:val="Placeholder Text"/>
    <w:basedOn w:val="DefaultParagraphFont"/>
    <w:uiPriority w:val="99"/>
    <w:semiHidden/>
    <w:rsid w:val="00F260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hyperlink" Target="www.safetyandquality.gov.au"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www.whocc.no/atcddd" TargetMode="External"/><Relationship Id="rId50" Type="http://schemas.openxmlformats.org/officeDocument/2006/relationships/hyperlink" Target="http://www.folkhalsomyndigheten.se/pagefiles/17612/Swedres-Svarm-2013.pdf" TargetMode="External"/><Relationship Id="rId55" Type="http://schemas.openxmlformats.org/officeDocument/2006/relationships/hyperlink" Target="http://www.sahealth.sa.gov.au/wps/wcm/connect/02193d004ffc9eed8f5cbf4826472d56/SA-HAI-MRO-2013-annual-repor" TargetMode="External"/><Relationship Id="rId7" Type="http://schemas.openxmlformats.org/officeDocument/2006/relationships/footnotes" Target="footnotes.xml"/><Relationship Id="rId12" Type="http://schemas.openxmlformats.org/officeDocument/2006/relationships/hyperlink" Target="www.sahealth.sa.gov.au/nausp"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www.aihw.gov.au/WorkArea/DownloadAsset.aspx?id=60129547084." TargetMode="External"/><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yperlink" Target="http://www.safetyandquality.gov.au/national-priorities/amr-and-au-surveillance-projec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www.safetyandquality.gov.au/wp-content/uploads/2012/10/Standard3_Oct_2012_WEB.pdf"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danmap.org/~/media/Projekt%20sites/Danmap/DANMAP%20reports/DANMAP%202013/DANMAP%202013.ashx?utm_source=DN+Nyhedsbreve&amp;utm_campaign=dba67a1145-DN_Nyhedsbrev_uge_39_2014&amp;utm_medium=email&amp;utm_term=0_16ebc33b07-dba67a1145-42049169" TargetMode="External"/><Relationship Id="rId57"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ecdc.europa.eu/en/publications/Publications/antimicrobial-consumption-europe-esac-net-2012.pd"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www.whocc.no/atc_ddd_methodology/purpose_of_the_atc_ddd_system" TargetMode="Externa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www.wageningenur.nl/upload_mm/1/a/1/0704c512-5b42-4cef-8c1b-60e9e3fb2a62_NethMap-MARAN2014.pdf"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ina\AppData\Roaming\Microsoft\Templates\BT_basic(20Nov1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radeGothicLTStd-Cn18">
    <w:panose1 w:val="00000000000000000000"/>
    <w:charset w:val="4D"/>
    <w:family w:val="auto"/>
    <w:notTrueType/>
    <w:pitch w:val="default"/>
    <w:sig w:usb0="00000003" w:usb1="00000000" w:usb2="00000000" w:usb3="00000000" w:csb0="00000001" w:csb1="00000000"/>
  </w:font>
  <w:font w:name="Gotham-Medium">
    <w:altName w:val="Gotham Medium"/>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Helvetica-Light">
    <w:altName w:val="Helvetica Light"/>
    <w:panose1 w:val="00000000000000000000"/>
    <w:charset w:val="4D"/>
    <w:family w:val="auto"/>
    <w:notTrueType/>
    <w:pitch w:val="default"/>
    <w:sig w:usb0="00000003" w:usb1="00000000" w:usb2="00000000" w:usb3="00000000" w:csb0="00000001" w:csb1="00000000"/>
  </w:font>
  <w:font w:name="Gotham-Light">
    <w:altName w:val="Gotham Light"/>
    <w:panose1 w:val="00000000000000000000"/>
    <w:charset w:val="4D"/>
    <w:family w:val="auto"/>
    <w:notTrueType/>
    <w:pitch w:val="default"/>
    <w:sig w:usb0="00000003" w:usb1="00000000" w:usb2="00000000" w:usb3="00000000" w:csb0="00000001" w:csb1="00000000"/>
  </w:font>
  <w:font w:name="Times New Roman Bold">
    <w:panose1 w:val="020208030705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Gotham-Bold">
    <w:altName w:val="Gotham Bol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969"/>
    <w:rsid w:val="002E39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3969"/>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396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3C469-9817-48CA-A753-0094AC9DF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BT_basic(20Nov12)</Template>
  <TotalTime>180</TotalTime>
  <Pages>65</Pages>
  <Words>10266</Words>
  <Characters>68182</Characters>
  <Application>Microsoft Office Word</Application>
  <DocSecurity>0</DocSecurity>
  <Lines>568</Lines>
  <Paragraphs>156</Paragraphs>
  <ScaleCrop>false</ScaleCrop>
  <HeadingPairs>
    <vt:vector size="2" baseType="variant">
      <vt:variant>
        <vt:lpstr>Title</vt:lpstr>
      </vt:variant>
      <vt:variant>
        <vt:i4>1</vt:i4>
      </vt:variant>
    </vt:vector>
  </HeadingPairs>
  <TitlesOfParts>
    <vt:vector size="1" baseType="lpstr">
      <vt:lpstr>Antimicrobial use in Australian hospitals: 2014 report of the National Antimicrobial Utilisation Surveillance Program </vt:lpstr>
    </vt:vector>
  </TitlesOfParts>
  <Company>Microsoft</Company>
  <LinksUpToDate>false</LinksUpToDate>
  <CharactersWithSpaces>78292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Antimicrobial use in Australian hospitals: 2014 report of the National Antimicrobial Utilisation Surveillance Program </dc:title>
  <dc:subject>Antimicrobial use in Australian hospitals in 2014</dc:subject>
  <dc:creator>Australian Commission on Safety and Quality in Health Care</dc:creator>
  <cp:keywords>antimicrobial use, antimicrobial resistance, hospital, NAUSP, ACSQHC, Biotext</cp:keywords>
  <dc:description>This annual report summarises the results of the National Antimicrobial Utilisation Surveillance Program for 2014, providing national data on antimicrobial use in 129 adult acute care hospitals in Australia.</dc:description>
  <cp:lastModifiedBy>Biotext</cp:lastModifiedBy>
  <cp:revision>16</cp:revision>
  <cp:lastPrinted>2015-09-06T23:55:00Z</cp:lastPrinted>
  <dcterms:created xsi:type="dcterms:W3CDTF">2015-09-04T06:00:00Z</dcterms:created>
  <dcterms:modified xsi:type="dcterms:W3CDTF">2015-09-07T02:20:00Z</dcterms:modified>
</cp:coreProperties>
</file>